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648AE9B7" w:rsidR="001879E5" w:rsidRDefault="000A1524"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Division of Practitioner Data Bank (DPDB)</w:t>
      </w:r>
      <w:r w:rsidR="007F2365">
        <w:rPr>
          <w:rFonts w:ascii="Times New Roman" w:hAnsi="Times New Roman"/>
          <w:b/>
          <w:bCs/>
          <w:sz w:val="24"/>
          <w:szCs w:val="24"/>
        </w:rPr>
        <w:t xml:space="preserve"> </w:t>
      </w:r>
      <w:r w:rsidR="0096682A">
        <w:rPr>
          <w:rFonts w:ascii="Times New Roman" w:hAnsi="Times New Roman"/>
          <w:b/>
          <w:bCs/>
          <w:sz w:val="24"/>
          <w:szCs w:val="24"/>
        </w:rPr>
        <w:t>Feedback and Satisfaction Surveys</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sidRPr="00076D9F">
        <w:rPr>
          <w:rFonts w:ascii="Times New Roman" w:hAnsi="Times New Roman"/>
          <w:sz w:val="24"/>
          <w:szCs w:val="24"/>
        </w:rPr>
        <w:t>1.</w:t>
      </w:r>
      <w:r w:rsidRPr="00076D9F">
        <w:rPr>
          <w:rFonts w:ascii="Times New Roman" w:hAnsi="Times New Roman"/>
          <w:sz w:val="24"/>
          <w:szCs w:val="24"/>
        </w:rPr>
        <w:tab/>
      </w:r>
      <w:r w:rsidRPr="00076D9F">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00762FFA" w:rsidR="00A342EB" w:rsidRDefault="00A342EB" w:rsidP="00A342EB">
      <w:pPr>
        <w:pStyle w:val="Heading2"/>
        <w:numPr>
          <w:ilvl w:val="0"/>
          <w:numId w:val="1"/>
        </w:numPr>
        <w:rPr>
          <w:b w:val="0"/>
          <w:color w:val="auto"/>
          <w:sz w:val="24"/>
          <w:szCs w:val="24"/>
        </w:rPr>
      </w:pPr>
      <w:r>
        <w:rPr>
          <w:b w:val="0"/>
          <w:color w:val="auto"/>
          <w:sz w:val="24"/>
          <w:szCs w:val="24"/>
        </w:rPr>
        <w:t xml:space="preserve">Executive Order 12862, “Setting Customer Service Standards,” directs Agencies to continually reform their management practices and operations </w:t>
      </w:r>
      <w:r w:rsidR="00EC2EAD">
        <w:rPr>
          <w:b w:val="0"/>
          <w:color w:val="auto"/>
          <w:sz w:val="24"/>
          <w:szCs w:val="24"/>
        </w:rPr>
        <w:t xml:space="preserve">in order </w:t>
      </w:r>
      <w:r>
        <w:rPr>
          <w:b w:val="0"/>
          <w:color w:val="auto"/>
          <w:sz w:val="24"/>
          <w:szCs w:val="24"/>
        </w:rPr>
        <w:t>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6EAA4BE1"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w:t>
      </w:r>
      <w:r w:rsidR="00C5747C">
        <w:rPr>
          <w:rFonts w:ascii="Times New Roman" w:hAnsi="Times New Roman"/>
          <w:sz w:val="24"/>
          <w:szCs w:val="24"/>
        </w:rPr>
        <w:t xml:space="preserve">a </w:t>
      </w:r>
      <w:r w:rsidR="00A342EB" w:rsidRPr="00A4213C">
        <w:rPr>
          <w:rFonts w:ascii="Times New Roman" w:hAnsi="Times New Roman"/>
          <w:sz w:val="24"/>
          <w:szCs w:val="24"/>
        </w:rPr>
        <w:t xml:space="preserve">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4F343962" w14:textId="612904AC" w:rsidR="005D0D7C" w:rsidRPr="00170363" w:rsidRDefault="005D0D7C" w:rsidP="00170363">
      <w:pPr>
        <w:tabs>
          <w:tab w:val="left" w:pos="-720"/>
        </w:tabs>
        <w:rPr>
          <w:rFonts w:ascii="Times New Roman" w:hAnsi="Times New Roman"/>
          <w:sz w:val="24"/>
          <w:szCs w:val="24"/>
        </w:rPr>
      </w:pPr>
      <w:r w:rsidRPr="00170363">
        <w:rPr>
          <w:rFonts w:ascii="Times New Roman" w:hAnsi="Times New Roman"/>
          <w:sz w:val="24"/>
          <w:szCs w:val="24"/>
        </w:rPr>
        <w:t xml:space="preserve">The </w:t>
      </w:r>
      <w:r w:rsidR="00170363" w:rsidRPr="00170363">
        <w:rPr>
          <w:rFonts w:ascii="Times New Roman" w:hAnsi="Times New Roman"/>
          <w:sz w:val="24"/>
          <w:szCs w:val="24"/>
        </w:rPr>
        <w:t>Bureau of Health Workforce’s</w:t>
      </w:r>
      <w:r w:rsidRPr="00170363">
        <w:rPr>
          <w:rFonts w:ascii="Times New Roman" w:hAnsi="Times New Roman"/>
          <w:sz w:val="24"/>
          <w:szCs w:val="24"/>
        </w:rPr>
        <w:t xml:space="preserve"> Division of </w:t>
      </w:r>
      <w:r w:rsidR="00170363" w:rsidRPr="00170363">
        <w:rPr>
          <w:rFonts w:ascii="Times New Roman" w:hAnsi="Times New Roman"/>
          <w:sz w:val="24"/>
          <w:szCs w:val="24"/>
        </w:rPr>
        <w:t>Practitioner Data Bank (DPBD)</w:t>
      </w:r>
      <w:r w:rsidRPr="00170363">
        <w:rPr>
          <w:rFonts w:ascii="Times New Roman" w:hAnsi="Times New Roman"/>
          <w:sz w:val="24"/>
          <w:szCs w:val="24"/>
        </w:rPr>
        <w:t xml:space="preserve"> conducts numerous </w:t>
      </w:r>
      <w:r w:rsidR="00170363" w:rsidRPr="00170363">
        <w:rPr>
          <w:rFonts w:ascii="Times New Roman" w:hAnsi="Times New Roman"/>
          <w:sz w:val="24"/>
          <w:szCs w:val="24"/>
        </w:rPr>
        <w:t>education and outreach</w:t>
      </w:r>
      <w:r w:rsidRPr="00170363">
        <w:rPr>
          <w:rFonts w:ascii="Times New Roman" w:hAnsi="Times New Roman"/>
          <w:sz w:val="24"/>
          <w:szCs w:val="24"/>
        </w:rPr>
        <w:t xml:space="preserve"> activities to support </w:t>
      </w:r>
      <w:r w:rsidR="00170363" w:rsidRPr="00170363">
        <w:rPr>
          <w:rFonts w:ascii="Times New Roman" w:hAnsi="Times New Roman"/>
          <w:sz w:val="24"/>
          <w:szCs w:val="24"/>
        </w:rPr>
        <w:t>its customers’ understanding of their registration, reporting, and querying requirements under federal statutes and regulations</w:t>
      </w:r>
      <w:r w:rsidR="00B670B2" w:rsidRPr="00170363">
        <w:rPr>
          <w:rFonts w:ascii="Times New Roman" w:hAnsi="Times New Roman"/>
          <w:sz w:val="24"/>
          <w:szCs w:val="24"/>
        </w:rPr>
        <w:t xml:space="preserve">. </w:t>
      </w:r>
      <w:r w:rsidR="00170363" w:rsidRPr="00170363">
        <w:rPr>
          <w:rFonts w:ascii="Times New Roman" w:hAnsi="Times New Roman"/>
          <w:sz w:val="24"/>
          <w:szCs w:val="24"/>
        </w:rPr>
        <w:t>By law, certain entities (referred to as "eligible entities") report to the N</w:t>
      </w:r>
      <w:r w:rsidR="00E82E48">
        <w:rPr>
          <w:rFonts w:ascii="Times New Roman" w:hAnsi="Times New Roman"/>
          <w:sz w:val="24"/>
          <w:szCs w:val="24"/>
        </w:rPr>
        <w:t xml:space="preserve">ational </w:t>
      </w:r>
      <w:r w:rsidR="00170363" w:rsidRPr="00170363">
        <w:rPr>
          <w:rFonts w:ascii="Times New Roman" w:hAnsi="Times New Roman"/>
          <w:sz w:val="24"/>
          <w:szCs w:val="24"/>
        </w:rPr>
        <w:t>P</w:t>
      </w:r>
      <w:r w:rsidR="00E82E48">
        <w:rPr>
          <w:rFonts w:ascii="Times New Roman" w:hAnsi="Times New Roman"/>
          <w:sz w:val="24"/>
          <w:szCs w:val="24"/>
        </w:rPr>
        <w:t xml:space="preserve">ractitioner </w:t>
      </w:r>
      <w:r w:rsidR="00170363" w:rsidRPr="00170363">
        <w:rPr>
          <w:rFonts w:ascii="Times New Roman" w:hAnsi="Times New Roman"/>
          <w:sz w:val="24"/>
          <w:szCs w:val="24"/>
        </w:rPr>
        <w:t>D</w:t>
      </w:r>
      <w:r w:rsidR="00E82E48">
        <w:rPr>
          <w:rFonts w:ascii="Times New Roman" w:hAnsi="Times New Roman"/>
          <w:sz w:val="24"/>
          <w:szCs w:val="24"/>
        </w:rPr>
        <w:t>atabank (NPDB)</w:t>
      </w:r>
      <w:r w:rsidR="00170363" w:rsidRPr="00170363">
        <w:rPr>
          <w:rFonts w:ascii="Times New Roman" w:hAnsi="Times New Roman"/>
          <w:sz w:val="24"/>
          <w:szCs w:val="24"/>
        </w:rPr>
        <w:t xml:space="preserve">, query the NPDB, or both. Eligible entities include medical malpractice payers, hospitals and other health care entities, professional societies, health plans, peer review organizations, private accreditation organizations, quality improvement organizations, and certain federal and state agencies. Health care practitioners, entities, providers, and suppliers are </w:t>
      </w:r>
      <w:r w:rsidR="000C342B">
        <w:rPr>
          <w:rFonts w:ascii="Times New Roman" w:hAnsi="Times New Roman"/>
          <w:sz w:val="24"/>
          <w:szCs w:val="24"/>
        </w:rPr>
        <w:t xml:space="preserve">also </w:t>
      </w:r>
      <w:r w:rsidR="00170363" w:rsidRPr="00170363">
        <w:rPr>
          <w:rFonts w:ascii="Times New Roman" w:hAnsi="Times New Roman"/>
          <w:sz w:val="24"/>
          <w:szCs w:val="24"/>
        </w:rPr>
        <w:t xml:space="preserve">authorized to query on themselves for information reported to the NPDB, since they may be the subjects of NPDB reports.  Final regulations implementing the laws referenced above governing the NPDB are found at 45 CFR Part 60. </w:t>
      </w:r>
      <w:r w:rsidR="007613E7">
        <w:rPr>
          <w:rFonts w:ascii="Times New Roman" w:hAnsi="Times New Roman"/>
          <w:sz w:val="24"/>
          <w:szCs w:val="24"/>
        </w:rPr>
        <w:t xml:space="preserve"> </w:t>
      </w:r>
      <w:r w:rsidRPr="00170363">
        <w:rPr>
          <w:rFonts w:ascii="Times New Roman" w:hAnsi="Times New Roman"/>
          <w:sz w:val="24"/>
          <w:szCs w:val="24"/>
        </w:rPr>
        <w:t xml:space="preserve">In order to </w:t>
      </w:r>
      <w:r w:rsidR="0055034A" w:rsidRPr="00170363">
        <w:rPr>
          <w:rFonts w:ascii="Times New Roman" w:hAnsi="Times New Roman"/>
          <w:sz w:val="24"/>
          <w:szCs w:val="24"/>
        </w:rPr>
        <w:t>assess</w:t>
      </w:r>
      <w:r w:rsidRPr="00170363">
        <w:rPr>
          <w:rFonts w:ascii="Times New Roman" w:hAnsi="Times New Roman"/>
          <w:sz w:val="24"/>
          <w:szCs w:val="24"/>
        </w:rPr>
        <w:t xml:space="preserve"> </w:t>
      </w:r>
      <w:r w:rsidR="00170363" w:rsidRPr="00170363">
        <w:rPr>
          <w:rFonts w:ascii="Times New Roman" w:hAnsi="Times New Roman"/>
          <w:sz w:val="24"/>
          <w:szCs w:val="24"/>
        </w:rPr>
        <w:t>DPDB’s</w:t>
      </w:r>
      <w:r w:rsidRPr="00170363">
        <w:rPr>
          <w:rFonts w:ascii="Times New Roman" w:hAnsi="Times New Roman"/>
          <w:sz w:val="24"/>
          <w:szCs w:val="24"/>
        </w:rPr>
        <w:t xml:space="preserve"> </w:t>
      </w:r>
      <w:r w:rsidR="0055034A" w:rsidRPr="00170363">
        <w:rPr>
          <w:rFonts w:ascii="Times New Roman" w:hAnsi="Times New Roman"/>
          <w:sz w:val="24"/>
          <w:szCs w:val="24"/>
        </w:rPr>
        <w:t xml:space="preserve">customer </w:t>
      </w:r>
      <w:r w:rsidRPr="00170363">
        <w:rPr>
          <w:rFonts w:ascii="Times New Roman" w:hAnsi="Times New Roman"/>
          <w:sz w:val="24"/>
          <w:szCs w:val="24"/>
        </w:rPr>
        <w:t>satisfaction</w:t>
      </w:r>
      <w:r w:rsidR="000C49CF" w:rsidRPr="00170363">
        <w:rPr>
          <w:rFonts w:ascii="Times New Roman" w:hAnsi="Times New Roman"/>
          <w:sz w:val="24"/>
          <w:szCs w:val="24"/>
        </w:rPr>
        <w:t xml:space="preserve"> </w:t>
      </w:r>
      <w:r w:rsidR="004F1264" w:rsidRPr="00170363">
        <w:rPr>
          <w:rFonts w:ascii="Times New Roman" w:hAnsi="Times New Roman"/>
          <w:sz w:val="24"/>
          <w:szCs w:val="24"/>
        </w:rPr>
        <w:t xml:space="preserve">in a timely manner </w:t>
      </w:r>
      <w:r w:rsidR="000C49CF" w:rsidRPr="00170363">
        <w:rPr>
          <w:rFonts w:ascii="Times New Roman" w:hAnsi="Times New Roman"/>
          <w:sz w:val="24"/>
          <w:szCs w:val="24"/>
        </w:rPr>
        <w:t>and collect feedback on</w:t>
      </w:r>
      <w:r w:rsidRPr="00170363">
        <w:rPr>
          <w:rFonts w:ascii="Times New Roman" w:hAnsi="Times New Roman"/>
          <w:sz w:val="24"/>
          <w:szCs w:val="24"/>
        </w:rPr>
        <w:t xml:space="preserve"> </w:t>
      </w:r>
      <w:r w:rsidR="00BD3ABF" w:rsidRPr="00170363">
        <w:rPr>
          <w:rFonts w:ascii="Times New Roman" w:hAnsi="Times New Roman"/>
          <w:sz w:val="24"/>
          <w:szCs w:val="24"/>
        </w:rPr>
        <w:t xml:space="preserve">various </w:t>
      </w:r>
      <w:r w:rsidR="00170363" w:rsidRPr="00170363">
        <w:rPr>
          <w:rFonts w:ascii="Times New Roman" w:hAnsi="Times New Roman"/>
          <w:sz w:val="24"/>
          <w:szCs w:val="24"/>
        </w:rPr>
        <w:t>education and outreach</w:t>
      </w:r>
      <w:r w:rsidR="00461E5B" w:rsidRPr="00170363">
        <w:rPr>
          <w:rFonts w:ascii="Times New Roman" w:hAnsi="Times New Roman"/>
          <w:sz w:val="24"/>
          <w:szCs w:val="24"/>
        </w:rPr>
        <w:t xml:space="preserve"> </w:t>
      </w:r>
      <w:r w:rsidR="00E37A63" w:rsidRPr="00170363">
        <w:rPr>
          <w:rFonts w:ascii="Times New Roman" w:hAnsi="Times New Roman"/>
          <w:sz w:val="24"/>
          <w:szCs w:val="24"/>
        </w:rPr>
        <w:t>activities</w:t>
      </w:r>
      <w:r w:rsidRPr="00170363">
        <w:rPr>
          <w:rFonts w:ascii="Times New Roman" w:hAnsi="Times New Roman"/>
          <w:sz w:val="24"/>
          <w:szCs w:val="24"/>
        </w:rPr>
        <w:t xml:space="preserve">, </w:t>
      </w:r>
      <w:r w:rsidR="00910925" w:rsidRPr="00170363">
        <w:rPr>
          <w:rFonts w:ascii="Times New Roman" w:hAnsi="Times New Roman"/>
          <w:sz w:val="24"/>
          <w:szCs w:val="24"/>
        </w:rPr>
        <w:t>HRSA</w:t>
      </w:r>
      <w:r w:rsidRPr="00170363">
        <w:rPr>
          <w:rFonts w:ascii="Times New Roman" w:hAnsi="Times New Roman"/>
          <w:sz w:val="24"/>
          <w:szCs w:val="24"/>
        </w:rPr>
        <w:t xml:space="preserve"> is proposing to implement </w:t>
      </w:r>
      <w:r w:rsidR="000C49CF" w:rsidRPr="00170363">
        <w:rPr>
          <w:rFonts w:ascii="Times New Roman" w:hAnsi="Times New Roman"/>
          <w:sz w:val="24"/>
          <w:szCs w:val="24"/>
        </w:rPr>
        <w:t xml:space="preserve">a </w:t>
      </w:r>
      <w:r w:rsidR="00C5747C">
        <w:rPr>
          <w:rFonts w:ascii="Times New Roman" w:hAnsi="Times New Roman"/>
          <w:sz w:val="24"/>
          <w:szCs w:val="24"/>
        </w:rPr>
        <w:t>satisfaction survey</w:t>
      </w:r>
      <w:r w:rsidRPr="00170363">
        <w:rPr>
          <w:rFonts w:ascii="Times New Roman" w:hAnsi="Times New Roman"/>
          <w:sz w:val="24"/>
          <w:szCs w:val="24"/>
        </w:rPr>
        <w:t>.</w:t>
      </w:r>
      <w:r w:rsidR="00170F93" w:rsidRPr="00170363">
        <w:rPr>
          <w:rFonts w:ascii="Times New Roman" w:hAnsi="Times New Roman"/>
          <w:sz w:val="24"/>
          <w:szCs w:val="24"/>
        </w:rPr>
        <w:t xml:space="preserve">  </w:t>
      </w:r>
      <w:r w:rsidR="00170363" w:rsidRPr="00170363">
        <w:rPr>
          <w:rFonts w:ascii="Times New Roman" w:hAnsi="Times New Roman"/>
          <w:sz w:val="24"/>
          <w:szCs w:val="24"/>
        </w:rPr>
        <w:t>DPDB staff</w:t>
      </w:r>
      <w:r w:rsidR="00B670B2" w:rsidRPr="00170363">
        <w:rPr>
          <w:rFonts w:ascii="Times New Roman" w:hAnsi="Times New Roman"/>
          <w:sz w:val="24"/>
          <w:szCs w:val="24"/>
        </w:rPr>
        <w:t xml:space="preserve"> </w:t>
      </w:r>
      <w:r w:rsidR="004F1264" w:rsidRPr="00170363">
        <w:rPr>
          <w:rFonts w:ascii="Times New Roman" w:hAnsi="Times New Roman"/>
          <w:sz w:val="24"/>
          <w:szCs w:val="24"/>
        </w:rPr>
        <w:t xml:space="preserve">plan to </w:t>
      </w:r>
      <w:r w:rsidR="00096237" w:rsidRPr="00170363">
        <w:rPr>
          <w:rFonts w:ascii="Times New Roman" w:hAnsi="Times New Roman"/>
          <w:sz w:val="24"/>
          <w:szCs w:val="24"/>
        </w:rPr>
        <w:t>use</w:t>
      </w:r>
      <w:r w:rsidR="00B670B2" w:rsidRPr="00170363">
        <w:rPr>
          <w:rFonts w:ascii="Times New Roman" w:hAnsi="Times New Roman"/>
          <w:sz w:val="24"/>
          <w:szCs w:val="24"/>
        </w:rPr>
        <w:t xml:space="preserve"> </w:t>
      </w:r>
      <w:r w:rsidR="004F1264" w:rsidRPr="00170363">
        <w:rPr>
          <w:rFonts w:ascii="Times New Roman" w:hAnsi="Times New Roman"/>
          <w:sz w:val="24"/>
          <w:szCs w:val="24"/>
        </w:rPr>
        <w:t>d</w:t>
      </w:r>
      <w:r w:rsidR="000C49CF" w:rsidRPr="00170363">
        <w:rPr>
          <w:rFonts w:ascii="Times New Roman" w:hAnsi="Times New Roman"/>
          <w:sz w:val="24"/>
          <w:szCs w:val="24"/>
        </w:rPr>
        <w:t>ata</w:t>
      </w:r>
      <w:r w:rsidR="00C5747C">
        <w:rPr>
          <w:rFonts w:ascii="Times New Roman" w:hAnsi="Times New Roman"/>
          <w:sz w:val="24"/>
          <w:szCs w:val="24"/>
        </w:rPr>
        <w:t xml:space="preserve"> from the survey</w:t>
      </w:r>
      <w:r w:rsidR="0055034A" w:rsidRPr="00170363">
        <w:rPr>
          <w:rFonts w:ascii="Times New Roman" w:hAnsi="Times New Roman"/>
          <w:sz w:val="24"/>
          <w:szCs w:val="24"/>
        </w:rPr>
        <w:t xml:space="preserve"> </w:t>
      </w:r>
      <w:r w:rsidR="00B670B2" w:rsidRPr="00170363">
        <w:rPr>
          <w:rFonts w:ascii="Times New Roman" w:hAnsi="Times New Roman"/>
          <w:sz w:val="24"/>
          <w:szCs w:val="24"/>
        </w:rPr>
        <w:t>for</w:t>
      </w:r>
      <w:r w:rsidR="0055034A" w:rsidRPr="00170363">
        <w:rPr>
          <w:rFonts w:ascii="Times New Roman" w:hAnsi="Times New Roman"/>
          <w:sz w:val="24"/>
          <w:szCs w:val="24"/>
        </w:rPr>
        <w:t xml:space="preserve"> program improvement purposes only. </w:t>
      </w:r>
    </w:p>
    <w:p w14:paraId="218A4A05" w14:textId="77777777" w:rsidR="005D0D7C" w:rsidRPr="00170363" w:rsidRDefault="005D0D7C">
      <w:pPr>
        <w:tabs>
          <w:tab w:val="left" w:pos="-720"/>
        </w:tabs>
        <w:rPr>
          <w:rFonts w:ascii="Times New Roman" w:hAnsi="Times New Roman"/>
          <w:sz w:val="24"/>
          <w:szCs w:val="24"/>
        </w:rPr>
      </w:pPr>
    </w:p>
    <w:p w14:paraId="356DD9FB" w14:textId="42D11BEC" w:rsidR="00170F93" w:rsidRDefault="001879E5">
      <w:pPr>
        <w:tabs>
          <w:tab w:val="left" w:pos="-720"/>
        </w:tabs>
        <w:rPr>
          <w:rFonts w:ascii="Times New Roman" w:hAnsi="Times New Roman"/>
          <w:sz w:val="24"/>
          <w:szCs w:val="24"/>
        </w:rPr>
      </w:pPr>
      <w:r w:rsidRPr="00170363">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E82E48">
        <w:rPr>
          <w:rFonts w:ascii="Times New Roman" w:hAnsi="Times New Roman"/>
          <w:sz w:val="24"/>
          <w:szCs w:val="24"/>
        </w:rPr>
        <w:t>The objective</w:t>
      </w:r>
      <w:r w:rsidR="00170F93" w:rsidRPr="00170363">
        <w:rPr>
          <w:rFonts w:ascii="Times New Roman" w:hAnsi="Times New Roman"/>
          <w:sz w:val="24"/>
          <w:szCs w:val="24"/>
        </w:rPr>
        <w:t xml:space="preserve"> of this data collection request </w:t>
      </w:r>
      <w:r w:rsidR="00E82E48">
        <w:rPr>
          <w:rFonts w:ascii="Times New Roman" w:hAnsi="Times New Roman"/>
          <w:sz w:val="24"/>
          <w:szCs w:val="24"/>
        </w:rPr>
        <w:t>is</w:t>
      </w:r>
      <w:r w:rsidR="00170F93" w:rsidRPr="00170363">
        <w:rPr>
          <w:rFonts w:ascii="Times New Roman" w:hAnsi="Times New Roman"/>
          <w:sz w:val="24"/>
          <w:szCs w:val="24"/>
        </w:rPr>
        <w:t xml:space="preserve"> to assess </w:t>
      </w:r>
      <w:r w:rsidR="0055034A" w:rsidRPr="00170363">
        <w:rPr>
          <w:rFonts w:ascii="Times New Roman" w:hAnsi="Times New Roman"/>
          <w:sz w:val="24"/>
          <w:szCs w:val="24"/>
        </w:rPr>
        <w:t xml:space="preserve">customer </w:t>
      </w:r>
      <w:r w:rsidR="00170F93" w:rsidRPr="00170363">
        <w:rPr>
          <w:rFonts w:ascii="Times New Roman" w:hAnsi="Times New Roman"/>
          <w:sz w:val="24"/>
          <w:szCs w:val="24"/>
        </w:rPr>
        <w:t xml:space="preserve">satisfaction with </w:t>
      </w:r>
      <w:r w:rsidR="007613E7">
        <w:rPr>
          <w:rFonts w:ascii="Times New Roman" w:hAnsi="Times New Roman"/>
          <w:sz w:val="24"/>
          <w:szCs w:val="24"/>
        </w:rPr>
        <w:t>webcast</w:t>
      </w:r>
      <w:r w:rsidR="004A27A5">
        <w:rPr>
          <w:rFonts w:ascii="Times New Roman" w:hAnsi="Times New Roman"/>
          <w:sz w:val="24"/>
          <w:szCs w:val="24"/>
        </w:rPr>
        <w:t>s</w:t>
      </w:r>
      <w:r w:rsidR="00170F93" w:rsidRPr="00170363">
        <w:rPr>
          <w:rFonts w:ascii="Times New Roman" w:hAnsi="Times New Roman"/>
          <w:sz w:val="24"/>
          <w:szCs w:val="24"/>
        </w:rPr>
        <w:t xml:space="preserve"> provided by </w:t>
      </w:r>
      <w:r w:rsidR="00170363" w:rsidRPr="00170363">
        <w:rPr>
          <w:rFonts w:ascii="Times New Roman" w:hAnsi="Times New Roman"/>
          <w:sz w:val="24"/>
          <w:szCs w:val="24"/>
        </w:rPr>
        <w:t>DPDB staff</w:t>
      </w:r>
      <w:r w:rsidR="004F1264" w:rsidRPr="00170363">
        <w:rPr>
          <w:rFonts w:ascii="Times New Roman" w:hAnsi="Times New Roman"/>
          <w:sz w:val="24"/>
          <w:szCs w:val="24"/>
        </w:rPr>
        <w:t xml:space="preserve">. </w:t>
      </w:r>
      <w:r w:rsidR="00170363" w:rsidRPr="00170363">
        <w:rPr>
          <w:rFonts w:ascii="Times New Roman" w:hAnsi="Times New Roman"/>
          <w:sz w:val="24"/>
          <w:szCs w:val="24"/>
        </w:rPr>
        <w:t>I</w:t>
      </w:r>
      <w:r w:rsidR="00096237" w:rsidRPr="00170363">
        <w:rPr>
          <w:rFonts w:ascii="Times New Roman" w:hAnsi="Times New Roman"/>
          <w:sz w:val="24"/>
          <w:szCs w:val="24"/>
        </w:rPr>
        <w:t>nformation</w:t>
      </w:r>
      <w:r w:rsidR="00170F93" w:rsidRPr="00170363">
        <w:rPr>
          <w:rFonts w:ascii="Times New Roman" w:hAnsi="Times New Roman"/>
          <w:sz w:val="24"/>
          <w:szCs w:val="24"/>
        </w:rPr>
        <w:t xml:space="preserve"> </w:t>
      </w:r>
      <w:r w:rsidR="00096237" w:rsidRPr="00170363">
        <w:rPr>
          <w:rFonts w:ascii="Times New Roman" w:hAnsi="Times New Roman"/>
          <w:sz w:val="24"/>
          <w:szCs w:val="24"/>
        </w:rPr>
        <w:t>collect</w:t>
      </w:r>
      <w:r w:rsidR="00C5747C">
        <w:rPr>
          <w:rFonts w:ascii="Times New Roman" w:hAnsi="Times New Roman"/>
          <w:sz w:val="24"/>
          <w:szCs w:val="24"/>
        </w:rPr>
        <w:t>ed through this survey tool</w:t>
      </w:r>
      <w:r w:rsidR="00170363" w:rsidRPr="00170363">
        <w:rPr>
          <w:rFonts w:ascii="Times New Roman" w:hAnsi="Times New Roman"/>
          <w:sz w:val="24"/>
          <w:szCs w:val="24"/>
        </w:rPr>
        <w:t xml:space="preserve"> will only be used to</w:t>
      </w:r>
      <w:r w:rsidR="00170F93" w:rsidRPr="00170363">
        <w:rPr>
          <w:rFonts w:ascii="Times New Roman" w:hAnsi="Times New Roman"/>
          <w:sz w:val="24"/>
          <w:szCs w:val="24"/>
        </w:rPr>
        <w:t xml:space="preserve"> improve the quality and effectiveness of </w:t>
      </w:r>
      <w:r w:rsidR="007613E7">
        <w:rPr>
          <w:rFonts w:ascii="Times New Roman" w:hAnsi="Times New Roman"/>
          <w:sz w:val="24"/>
          <w:szCs w:val="24"/>
        </w:rPr>
        <w:t>webcast</w:t>
      </w:r>
      <w:r w:rsidR="00170F93" w:rsidRPr="00170363">
        <w:rPr>
          <w:rFonts w:ascii="Times New Roman" w:hAnsi="Times New Roman"/>
          <w:sz w:val="24"/>
          <w:szCs w:val="24"/>
        </w:rPr>
        <w:t xml:space="preserve"> offerings</w:t>
      </w:r>
      <w:r w:rsidR="0055034A" w:rsidRPr="00170363">
        <w:rPr>
          <w:rFonts w:ascii="Times New Roman" w:hAnsi="Times New Roman"/>
          <w:sz w:val="24"/>
          <w:szCs w:val="24"/>
        </w:rPr>
        <w:t xml:space="preserve"> </w:t>
      </w:r>
      <w:r w:rsidR="00EC2EAD" w:rsidRPr="00170363">
        <w:rPr>
          <w:rFonts w:ascii="Times New Roman" w:hAnsi="Times New Roman"/>
          <w:sz w:val="24"/>
          <w:szCs w:val="24"/>
        </w:rPr>
        <w:t>or</w:t>
      </w:r>
      <w:r w:rsidR="0055034A" w:rsidRPr="00170363">
        <w:rPr>
          <w:rFonts w:ascii="Times New Roman" w:hAnsi="Times New Roman"/>
          <w:sz w:val="24"/>
          <w:szCs w:val="24"/>
        </w:rPr>
        <w:t xml:space="preserve"> for program improvement purposes</w:t>
      </w:r>
      <w:r w:rsidR="00170F93" w:rsidRPr="00170363">
        <w:rPr>
          <w:rFonts w:ascii="Times New Roman" w:hAnsi="Times New Roman"/>
          <w:sz w:val="24"/>
          <w:szCs w:val="24"/>
        </w:rPr>
        <w:t>.</w:t>
      </w:r>
      <w:r w:rsidRPr="00170363">
        <w:rPr>
          <w:rFonts w:ascii="Times New Roman" w:hAnsi="Times New Roman"/>
          <w:sz w:val="24"/>
          <w:szCs w:val="24"/>
        </w:rPr>
        <w:t xml:space="preserve">  </w:t>
      </w:r>
      <w:r w:rsidR="007A23BD" w:rsidRPr="00170363">
        <w:rPr>
          <w:rFonts w:ascii="Times New Roman" w:hAnsi="Times New Roman"/>
          <w:sz w:val="24"/>
          <w:szCs w:val="24"/>
        </w:rPr>
        <w:t xml:space="preserve"> </w:t>
      </w:r>
    </w:p>
    <w:p w14:paraId="36EEE29A" w14:textId="0B1730FF" w:rsidR="00E82E48" w:rsidRDefault="00E82E48">
      <w:pPr>
        <w:tabs>
          <w:tab w:val="left" w:pos="-720"/>
        </w:tabs>
        <w:rPr>
          <w:rFonts w:ascii="Times New Roman" w:hAnsi="Times New Roman"/>
          <w:sz w:val="24"/>
          <w:szCs w:val="24"/>
        </w:rPr>
      </w:pPr>
    </w:p>
    <w:p w14:paraId="13BF56BE" w14:textId="05C2339C" w:rsidR="00E82E48" w:rsidRDefault="00E82E48">
      <w:pPr>
        <w:tabs>
          <w:tab w:val="left" w:pos="-720"/>
        </w:tabs>
        <w:rPr>
          <w:rFonts w:ascii="Times New Roman" w:hAnsi="Times New Roman"/>
          <w:sz w:val="24"/>
          <w:szCs w:val="24"/>
        </w:rPr>
      </w:pPr>
    </w:p>
    <w:p w14:paraId="06428C8A" w14:textId="02B51FD9" w:rsidR="00E82E48" w:rsidRDefault="00E82E48">
      <w:pPr>
        <w:tabs>
          <w:tab w:val="left" w:pos="-720"/>
        </w:tabs>
        <w:rPr>
          <w:rFonts w:ascii="Times New Roman" w:hAnsi="Times New Roman"/>
          <w:sz w:val="24"/>
          <w:szCs w:val="24"/>
        </w:rPr>
      </w:pPr>
    </w:p>
    <w:p w14:paraId="799389EA" w14:textId="77777777" w:rsidR="00E82E48" w:rsidRPr="00170363" w:rsidRDefault="00E82E48">
      <w:pPr>
        <w:tabs>
          <w:tab w:val="left" w:pos="-720"/>
        </w:tabs>
        <w:rPr>
          <w:rFonts w:ascii="Times New Roman" w:hAnsi="Times New Roman"/>
          <w:sz w:val="24"/>
          <w:szCs w:val="24"/>
        </w:rPr>
      </w:pPr>
    </w:p>
    <w:p w14:paraId="69512416" w14:textId="77777777" w:rsidR="00170F93" w:rsidRPr="000A1524" w:rsidRDefault="00170F93">
      <w:pPr>
        <w:tabs>
          <w:tab w:val="left" w:pos="-720"/>
        </w:tabs>
        <w:rPr>
          <w:rFonts w:ascii="Times New Roman" w:hAnsi="Times New Roman"/>
          <w:sz w:val="24"/>
          <w:szCs w:val="24"/>
          <w:highlight w:val="yellow"/>
        </w:rPr>
      </w:pPr>
    </w:p>
    <w:p w14:paraId="0D6D0422" w14:textId="77777777" w:rsidR="001879E5" w:rsidRPr="000A1524" w:rsidRDefault="001879E5">
      <w:pPr>
        <w:tabs>
          <w:tab w:val="left" w:pos="-720"/>
          <w:tab w:val="left" w:pos="720"/>
          <w:tab w:val="right" w:pos="8648"/>
        </w:tabs>
        <w:rPr>
          <w:rFonts w:ascii="Times New Roman" w:hAnsi="Times New Roman"/>
          <w:sz w:val="24"/>
          <w:szCs w:val="24"/>
          <w:u w:val="single"/>
        </w:rPr>
      </w:pPr>
      <w:r w:rsidRPr="000A1524">
        <w:rPr>
          <w:rFonts w:ascii="Times New Roman" w:hAnsi="Times New Roman"/>
          <w:sz w:val="24"/>
          <w:szCs w:val="24"/>
        </w:rPr>
        <w:lastRenderedPageBreak/>
        <w:t>2.</w:t>
      </w:r>
      <w:r w:rsidRPr="000A1524">
        <w:rPr>
          <w:rFonts w:ascii="Times New Roman" w:hAnsi="Times New Roman"/>
          <w:sz w:val="24"/>
          <w:szCs w:val="24"/>
        </w:rPr>
        <w:tab/>
      </w:r>
      <w:r w:rsidRPr="000A1524">
        <w:rPr>
          <w:rFonts w:ascii="Times New Roman" w:hAnsi="Times New Roman"/>
          <w:sz w:val="24"/>
          <w:szCs w:val="24"/>
          <w:u w:val="single"/>
        </w:rPr>
        <w:t>Purpose and Use of the Information</w:t>
      </w:r>
    </w:p>
    <w:p w14:paraId="0D6D0423" w14:textId="77777777" w:rsidR="001879E5" w:rsidRPr="000A1524" w:rsidRDefault="001879E5">
      <w:pPr>
        <w:tabs>
          <w:tab w:val="left" w:pos="-720"/>
          <w:tab w:val="left" w:pos="720"/>
          <w:tab w:val="right" w:pos="8648"/>
        </w:tabs>
        <w:rPr>
          <w:rFonts w:ascii="Times New Roman" w:hAnsi="Times New Roman"/>
          <w:sz w:val="24"/>
          <w:szCs w:val="24"/>
        </w:rPr>
      </w:pPr>
    </w:p>
    <w:p w14:paraId="1EF5C593" w14:textId="4FE1A6C0" w:rsidR="004F23D2" w:rsidRPr="000A1524" w:rsidRDefault="004F23D2" w:rsidP="005E79EC">
      <w:pPr>
        <w:spacing w:before="120"/>
        <w:rPr>
          <w:rFonts w:ascii="Times New Roman" w:hAnsi="Times New Roman"/>
          <w:sz w:val="24"/>
        </w:rPr>
      </w:pPr>
      <w:r w:rsidRPr="000A1524">
        <w:rPr>
          <w:rFonts w:ascii="Times New Roman" w:hAnsi="Times New Roman"/>
          <w:sz w:val="24"/>
        </w:rPr>
        <w:t xml:space="preserve">The purpose of this information collection request is to assess </w:t>
      </w:r>
      <w:r w:rsidR="00910925" w:rsidRPr="000A1524">
        <w:rPr>
          <w:rFonts w:ascii="Times New Roman" w:hAnsi="Times New Roman"/>
          <w:sz w:val="24"/>
        </w:rPr>
        <w:t>participant</w:t>
      </w:r>
      <w:r w:rsidRPr="000A1524">
        <w:rPr>
          <w:rFonts w:ascii="Times New Roman" w:hAnsi="Times New Roman"/>
          <w:sz w:val="24"/>
        </w:rPr>
        <w:t xml:space="preserve"> satisfaction with various </w:t>
      </w:r>
      <w:r w:rsidR="004A27A5">
        <w:rPr>
          <w:rFonts w:ascii="Times New Roman" w:hAnsi="Times New Roman"/>
          <w:sz w:val="24"/>
        </w:rPr>
        <w:t xml:space="preserve">training and educational </w:t>
      </w:r>
      <w:r w:rsidR="007613E7">
        <w:rPr>
          <w:rFonts w:ascii="Times New Roman" w:hAnsi="Times New Roman"/>
          <w:sz w:val="24"/>
        </w:rPr>
        <w:t>webcast</w:t>
      </w:r>
      <w:r w:rsidR="004A27A5">
        <w:rPr>
          <w:rFonts w:ascii="Times New Roman" w:hAnsi="Times New Roman"/>
          <w:sz w:val="24"/>
        </w:rPr>
        <w:t>s</w:t>
      </w:r>
      <w:r w:rsidR="007A23BD" w:rsidRPr="000A1524">
        <w:rPr>
          <w:rFonts w:ascii="Times New Roman" w:hAnsi="Times New Roman"/>
          <w:sz w:val="24"/>
        </w:rPr>
        <w:t xml:space="preserve"> offered </w:t>
      </w:r>
      <w:r w:rsidR="000A1524" w:rsidRPr="000A1524">
        <w:rPr>
          <w:rFonts w:ascii="Times New Roman" w:hAnsi="Times New Roman"/>
          <w:sz w:val="24"/>
        </w:rPr>
        <w:t xml:space="preserve">by DPDB.  </w:t>
      </w:r>
      <w:r w:rsidR="00C5747C">
        <w:rPr>
          <w:rFonts w:ascii="Times New Roman" w:hAnsi="Times New Roman"/>
          <w:sz w:val="24"/>
        </w:rPr>
        <w:t xml:space="preserve">The satisfaction survey </w:t>
      </w:r>
      <w:r w:rsidR="005E79EC" w:rsidRPr="000A1524">
        <w:rPr>
          <w:rFonts w:ascii="Times New Roman" w:hAnsi="Times New Roman"/>
          <w:sz w:val="24"/>
        </w:rPr>
        <w:t xml:space="preserve">will collect immediate feedback from </w:t>
      </w:r>
      <w:r w:rsidR="000A1524" w:rsidRPr="000A1524">
        <w:rPr>
          <w:rFonts w:ascii="Times New Roman" w:hAnsi="Times New Roman"/>
          <w:sz w:val="24"/>
        </w:rPr>
        <w:t>participants</w:t>
      </w:r>
      <w:r w:rsidR="005E79EC" w:rsidRPr="000A1524">
        <w:rPr>
          <w:rFonts w:ascii="Times New Roman" w:hAnsi="Times New Roman"/>
          <w:sz w:val="24"/>
        </w:rPr>
        <w:t xml:space="preserve"> in </w:t>
      </w:r>
      <w:r w:rsidR="007613E7">
        <w:rPr>
          <w:rFonts w:ascii="Times New Roman" w:hAnsi="Times New Roman"/>
          <w:sz w:val="24"/>
        </w:rPr>
        <w:t>webcast</w:t>
      </w:r>
      <w:r w:rsidR="004A27A5">
        <w:rPr>
          <w:rFonts w:ascii="Times New Roman" w:hAnsi="Times New Roman"/>
          <w:sz w:val="24"/>
        </w:rPr>
        <w:t xml:space="preserve">s </w:t>
      </w:r>
      <w:r w:rsidR="005E79EC" w:rsidRPr="000A1524">
        <w:rPr>
          <w:rFonts w:ascii="Times New Roman" w:hAnsi="Times New Roman"/>
          <w:sz w:val="24"/>
        </w:rPr>
        <w:t xml:space="preserve">offered during the year in order to make improvements to service delivery. </w:t>
      </w:r>
      <w:r w:rsidRPr="000A1524">
        <w:rPr>
          <w:rFonts w:ascii="Times New Roman" w:hAnsi="Times New Roman"/>
          <w:sz w:val="24"/>
        </w:rPr>
        <w:t xml:space="preserve">Understanding </w:t>
      </w:r>
      <w:r w:rsidR="00910925" w:rsidRPr="000A1524">
        <w:rPr>
          <w:rFonts w:ascii="Times New Roman" w:hAnsi="Times New Roman"/>
          <w:sz w:val="24"/>
        </w:rPr>
        <w:t>participant</w:t>
      </w:r>
      <w:r w:rsidRPr="000A1524">
        <w:rPr>
          <w:rFonts w:ascii="Times New Roman" w:hAnsi="Times New Roman"/>
          <w:sz w:val="24"/>
        </w:rPr>
        <w:t xml:space="preserve"> </w:t>
      </w:r>
      <w:r w:rsidR="0055034A" w:rsidRPr="000A1524">
        <w:rPr>
          <w:rFonts w:ascii="Times New Roman" w:hAnsi="Times New Roman"/>
          <w:sz w:val="24"/>
        </w:rPr>
        <w:t xml:space="preserve">customer </w:t>
      </w:r>
      <w:r w:rsidRPr="000A1524">
        <w:rPr>
          <w:rFonts w:ascii="Times New Roman" w:hAnsi="Times New Roman"/>
          <w:sz w:val="24"/>
        </w:rPr>
        <w:t xml:space="preserve">satisfaction with these activities can assist </w:t>
      </w:r>
      <w:r w:rsidR="00910925" w:rsidRPr="000A1524">
        <w:rPr>
          <w:rFonts w:ascii="Times New Roman" w:hAnsi="Times New Roman"/>
          <w:sz w:val="24"/>
        </w:rPr>
        <w:t>HRSA</w:t>
      </w:r>
      <w:r w:rsidRPr="000A1524">
        <w:rPr>
          <w:rFonts w:ascii="Times New Roman" w:hAnsi="Times New Roman"/>
          <w:sz w:val="24"/>
        </w:rPr>
        <w:t xml:space="preserve"> in properly tailoring </w:t>
      </w:r>
      <w:r w:rsidR="007613E7">
        <w:rPr>
          <w:rFonts w:ascii="Times New Roman" w:hAnsi="Times New Roman"/>
          <w:sz w:val="24"/>
        </w:rPr>
        <w:t>webcast</w:t>
      </w:r>
      <w:r w:rsidR="004A27A5">
        <w:rPr>
          <w:rFonts w:ascii="Times New Roman" w:hAnsi="Times New Roman"/>
          <w:sz w:val="24"/>
        </w:rPr>
        <w:t>s</w:t>
      </w:r>
      <w:r w:rsidRPr="000A1524">
        <w:rPr>
          <w:rFonts w:ascii="Times New Roman" w:hAnsi="Times New Roman"/>
          <w:sz w:val="24"/>
        </w:rPr>
        <w:t xml:space="preserve"> to </w:t>
      </w:r>
      <w:r w:rsidR="000A1524" w:rsidRPr="000A1524">
        <w:rPr>
          <w:rFonts w:ascii="Times New Roman" w:hAnsi="Times New Roman"/>
          <w:sz w:val="24"/>
        </w:rPr>
        <w:t>participant</w:t>
      </w:r>
      <w:r w:rsidRPr="000A1524">
        <w:rPr>
          <w:rFonts w:ascii="Times New Roman" w:hAnsi="Times New Roman"/>
          <w:sz w:val="24"/>
        </w:rPr>
        <w:t xml:space="preserve"> preferences and improve participation in voluntary activities.  </w:t>
      </w:r>
    </w:p>
    <w:p w14:paraId="73F05617" w14:textId="30018370" w:rsidR="00802A88" w:rsidRPr="000A1524" w:rsidRDefault="00910925" w:rsidP="00896384">
      <w:pPr>
        <w:spacing w:before="120"/>
        <w:rPr>
          <w:rFonts w:ascii="Times New Roman" w:hAnsi="Times New Roman"/>
          <w:sz w:val="24"/>
        </w:rPr>
      </w:pPr>
      <w:r w:rsidRPr="000A1524">
        <w:rPr>
          <w:rFonts w:ascii="Times New Roman" w:hAnsi="Times New Roman"/>
          <w:sz w:val="24"/>
        </w:rPr>
        <w:t>HRSA</w:t>
      </w:r>
      <w:r w:rsidR="0096682A" w:rsidRPr="000A1524">
        <w:rPr>
          <w:rFonts w:ascii="Times New Roman" w:hAnsi="Times New Roman"/>
          <w:sz w:val="24"/>
        </w:rPr>
        <w:t xml:space="preserve"> provides </w:t>
      </w:r>
      <w:r w:rsidR="000A1524" w:rsidRPr="000A1524">
        <w:rPr>
          <w:rFonts w:ascii="Times New Roman" w:hAnsi="Times New Roman"/>
          <w:sz w:val="24"/>
        </w:rPr>
        <w:t>educational and outreach activities</w:t>
      </w:r>
      <w:r w:rsidR="0096682A" w:rsidRPr="000A1524">
        <w:rPr>
          <w:rFonts w:ascii="Times New Roman" w:hAnsi="Times New Roman"/>
          <w:sz w:val="24"/>
        </w:rPr>
        <w:t xml:space="preserve"> to </w:t>
      </w:r>
      <w:r w:rsidR="000A1524" w:rsidRPr="000A1524">
        <w:rPr>
          <w:rFonts w:ascii="Times New Roman" w:hAnsi="Times New Roman"/>
          <w:sz w:val="24"/>
        </w:rPr>
        <w:t>participants</w:t>
      </w:r>
      <w:r w:rsidR="0096682A" w:rsidRPr="000A1524">
        <w:rPr>
          <w:rFonts w:ascii="Times New Roman" w:hAnsi="Times New Roman"/>
          <w:sz w:val="24"/>
        </w:rPr>
        <w:t xml:space="preserve"> through multiple means</w:t>
      </w:r>
      <w:r w:rsidR="00C5747C">
        <w:rPr>
          <w:rFonts w:ascii="Times New Roman" w:hAnsi="Times New Roman"/>
          <w:sz w:val="24"/>
        </w:rPr>
        <w:t>. Specifically, the survey</w:t>
      </w:r>
      <w:r w:rsidR="00615984" w:rsidRPr="000A1524">
        <w:rPr>
          <w:rFonts w:ascii="Times New Roman" w:hAnsi="Times New Roman"/>
          <w:sz w:val="24"/>
        </w:rPr>
        <w:t xml:space="preserve"> included in this clearance package will evaluate</w:t>
      </w:r>
      <w:r w:rsidR="007A23BD" w:rsidRPr="000A1524">
        <w:rPr>
          <w:rFonts w:ascii="Times New Roman" w:hAnsi="Times New Roman"/>
          <w:sz w:val="24"/>
        </w:rPr>
        <w:t xml:space="preserve"> customer satisfaction with the following activities</w:t>
      </w:r>
      <w:r w:rsidR="00615984" w:rsidRPr="000A1524">
        <w:rPr>
          <w:rFonts w:ascii="Times New Roman" w:hAnsi="Times New Roman"/>
          <w:sz w:val="24"/>
        </w:rPr>
        <w:t xml:space="preserve">: </w:t>
      </w:r>
      <w:r w:rsidR="007613E7">
        <w:rPr>
          <w:rFonts w:ascii="Times New Roman" w:hAnsi="Times New Roman"/>
          <w:sz w:val="24"/>
        </w:rPr>
        <w:t>webcast</w:t>
      </w:r>
      <w:r w:rsidR="00615984" w:rsidRPr="000A1524">
        <w:rPr>
          <w:rFonts w:ascii="Times New Roman" w:hAnsi="Times New Roman"/>
          <w:sz w:val="24"/>
        </w:rPr>
        <w:t xml:space="preserve">s and </w:t>
      </w:r>
      <w:r w:rsidR="007613E7">
        <w:rPr>
          <w:rFonts w:ascii="Times New Roman" w:hAnsi="Times New Roman"/>
          <w:sz w:val="24"/>
        </w:rPr>
        <w:t>webcast</w:t>
      </w:r>
      <w:r w:rsidR="00B771A7" w:rsidRPr="000A1524">
        <w:rPr>
          <w:rFonts w:ascii="Times New Roman" w:hAnsi="Times New Roman"/>
          <w:sz w:val="24"/>
        </w:rPr>
        <w:t>-</w:t>
      </w:r>
      <w:r w:rsidR="00615984" w:rsidRPr="000A1524">
        <w:rPr>
          <w:rFonts w:ascii="Times New Roman" w:hAnsi="Times New Roman"/>
          <w:sz w:val="24"/>
        </w:rPr>
        <w:t>based dialogues</w:t>
      </w:r>
      <w:r w:rsidR="000A1524" w:rsidRPr="000A1524">
        <w:rPr>
          <w:rFonts w:ascii="Times New Roman" w:hAnsi="Times New Roman"/>
          <w:sz w:val="24"/>
        </w:rPr>
        <w:t>.</w:t>
      </w:r>
      <w:r w:rsidR="007A23BD" w:rsidRPr="000A1524">
        <w:rPr>
          <w:rFonts w:ascii="Times New Roman" w:hAnsi="Times New Roman"/>
          <w:sz w:val="24"/>
        </w:rPr>
        <w:t xml:space="preserve"> </w:t>
      </w:r>
      <w:r w:rsidR="000A1524" w:rsidRPr="000A1524">
        <w:rPr>
          <w:rFonts w:ascii="Times New Roman" w:hAnsi="Times New Roman"/>
          <w:sz w:val="24"/>
        </w:rPr>
        <w:t xml:space="preserve"> </w:t>
      </w:r>
      <w:r w:rsidR="00C5747C">
        <w:rPr>
          <w:rFonts w:ascii="Times New Roman" w:hAnsi="Times New Roman"/>
          <w:sz w:val="24"/>
        </w:rPr>
        <w:t>The satisfaction survey</w:t>
      </w:r>
      <w:r w:rsidR="001F0484" w:rsidRPr="000A1524">
        <w:rPr>
          <w:rFonts w:ascii="Times New Roman" w:hAnsi="Times New Roman"/>
          <w:sz w:val="24"/>
        </w:rPr>
        <w:t xml:space="preserve"> </w:t>
      </w:r>
      <w:r w:rsidR="0082611C" w:rsidRPr="000A1524">
        <w:rPr>
          <w:rFonts w:ascii="Times New Roman" w:hAnsi="Times New Roman"/>
          <w:sz w:val="24"/>
        </w:rPr>
        <w:t>will effectively</w:t>
      </w:r>
      <w:r w:rsidR="001F0484" w:rsidRPr="000A1524">
        <w:rPr>
          <w:rFonts w:ascii="Times New Roman" w:hAnsi="Times New Roman"/>
          <w:sz w:val="24"/>
        </w:rPr>
        <w:t xml:space="preserve"> solicit feedback for different </w:t>
      </w:r>
      <w:r w:rsidR="000A1524" w:rsidRPr="000A1524">
        <w:rPr>
          <w:rFonts w:ascii="Times New Roman" w:hAnsi="Times New Roman"/>
          <w:sz w:val="24"/>
        </w:rPr>
        <w:t xml:space="preserve">education and outreach </w:t>
      </w:r>
      <w:r w:rsidR="00C5747C">
        <w:rPr>
          <w:rFonts w:ascii="Times New Roman" w:hAnsi="Times New Roman"/>
          <w:sz w:val="24"/>
        </w:rPr>
        <w:t xml:space="preserve">strategies, and is </w:t>
      </w:r>
      <w:r w:rsidR="001F0484" w:rsidRPr="000A1524">
        <w:rPr>
          <w:rFonts w:ascii="Times New Roman" w:hAnsi="Times New Roman"/>
          <w:sz w:val="24"/>
        </w:rPr>
        <w:t>included in this clearance package.</w:t>
      </w:r>
      <w:r w:rsidR="008D0639" w:rsidRPr="000A1524">
        <w:rPr>
          <w:rFonts w:ascii="Times New Roman" w:hAnsi="Times New Roman"/>
          <w:sz w:val="24"/>
        </w:rPr>
        <w:t xml:space="preserve"> </w:t>
      </w:r>
    </w:p>
    <w:p w14:paraId="3E22E6EB" w14:textId="77777777" w:rsidR="00802A88" w:rsidRPr="000A1524" w:rsidRDefault="00802A88" w:rsidP="00802A88">
      <w:pPr>
        <w:pStyle w:val="NormalSS"/>
        <w:ind w:firstLine="0"/>
        <w:jc w:val="left"/>
        <w:rPr>
          <w:szCs w:val="24"/>
        </w:rPr>
      </w:pPr>
    </w:p>
    <w:p w14:paraId="6E3AF666" w14:textId="0D5B4132" w:rsidR="00096DBD" w:rsidRPr="00170363" w:rsidRDefault="00802A88" w:rsidP="00802A88">
      <w:pPr>
        <w:pStyle w:val="NormalSS"/>
        <w:ind w:firstLine="0"/>
        <w:jc w:val="left"/>
        <w:rPr>
          <w:szCs w:val="24"/>
        </w:rPr>
      </w:pPr>
      <w:r w:rsidRPr="000A1524">
        <w:rPr>
          <w:szCs w:val="24"/>
        </w:rPr>
        <w:t xml:space="preserve">This information collection request contains </w:t>
      </w:r>
      <w:r w:rsidR="000A1524" w:rsidRPr="000A1524">
        <w:rPr>
          <w:szCs w:val="24"/>
        </w:rPr>
        <w:t>the following</w:t>
      </w:r>
      <w:r w:rsidRPr="000A1524">
        <w:rPr>
          <w:szCs w:val="24"/>
        </w:rPr>
        <w:t xml:space="preserve"> customer f</w:t>
      </w:r>
      <w:r w:rsidR="000A1524" w:rsidRPr="000A1524">
        <w:rPr>
          <w:szCs w:val="24"/>
        </w:rPr>
        <w:t xml:space="preserve">eedback and satisfaction </w:t>
      </w:r>
      <w:r w:rsidR="000A1524" w:rsidRPr="00170363">
        <w:rPr>
          <w:szCs w:val="24"/>
        </w:rPr>
        <w:t>survey</w:t>
      </w:r>
      <w:r w:rsidRPr="00170363">
        <w:rPr>
          <w:szCs w:val="24"/>
        </w:rPr>
        <w:t xml:space="preserve">: </w:t>
      </w:r>
    </w:p>
    <w:p w14:paraId="7D1EE1FC" w14:textId="0827B30A" w:rsidR="00096DBD" w:rsidRPr="00170363" w:rsidRDefault="00170363" w:rsidP="00096DBD">
      <w:pPr>
        <w:pStyle w:val="NormalSS"/>
        <w:numPr>
          <w:ilvl w:val="0"/>
          <w:numId w:val="13"/>
        </w:numPr>
        <w:jc w:val="left"/>
      </w:pPr>
      <w:r w:rsidRPr="00170363">
        <w:rPr>
          <w:szCs w:val="24"/>
        </w:rPr>
        <w:t xml:space="preserve">DPDB Generic </w:t>
      </w:r>
      <w:r w:rsidR="007613E7">
        <w:rPr>
          <w:szCs w:val="24"/>
        </w:rPr>
        <w:t>Webcast</w:t>
      </w:r>
      <w:r w:rsidRPr="00170363">
        <w:rPr>
          <w:szCs w:val="24"/>
        </w:rPr>
        <w:t xml:space="preserve"> Survey</w:t>
      </w:r>
    </w:p>
    <w:p w14:paraId="541132C8" w14:textId="1E8407AB" w:rsidR="00802A88" w:rsidRPr="000A1524" w:rsidRDefault="00802A88" w:rsidP="00802A88">
      <w:pPr>
        <w:rPr>
          <w:rFonts w:ascii="Times New Roman" w:hAnsi="Times New Roman"/>
          <w:sz w:val="24"/>
        </w:rPr>
      </w:pPr>
    </w:p>
    <w:p w14:paraId="539BCC02" w14:textId="16ED2179" w:rsidR="001F0484" w:rsidRPr="000A1524" w:rsidRDefault="000A1524" w:rsidP="00802A88">
      <w:pPr>
        <w:rPr>
          <w:rFonts w:ascii="Times New Roman" w:hAnsi="Times New Roman"/>
          <w:sz w:val="24"/>
        </w:rPr>
      </w:pPr>
      <w:r w:rsidRPr="000A1524">
        <w:rPr>
          <w:rFonts w:ascii="Times New Roman" w:hAnsi="Times New Roman"/>
          <w:sz w:val="24"/>
        </w:rPr>
        <w:t>P</w:t>
      </w:r>
      <w:r w:rsidR="008D0639" w:rsidRPr="000A1524">
        <w:rPr>
          <w:rFonts w:ascii="Times New Roman" w:hAnsi="Times New Roman"/>
          <w:sz w:val="24"/>
        </w:rPr>
        <w:t xml:space="preserve">articipants will </w:t>
      </w:r>
      <w:r w:rsidR="00C5747C">
        <w:rPr>
          <w:rFonts w:ascii="Times New Roman" w:hAnsi="Times New Roman"/>
          <w:sz w:val="24"/>
        </w:rPr>
        <w:t xml:space="preserve">have the opportunity to </w:t>
      </w:r>
      <w:r w:rsidR="008D0639" w:rsidRPr="000A1524">
        <w:rPr>
          <w:rFonts w:ascii="Times New Roman" w:hAnsi="Times New Roman"/>
          <w:sz w:val="24"/>
        </w:rPr>
        <w:t xml:space="preserve">complete </w:t>
      </w:r>
      <w:r w:rsidR="00170363">
        <w:rPr>
          <w:rFonts w:ascii="Times New Roman" w:hAnsi="Times New Roman"/>
          <w:sz w:val="24"/>
        </w:rPr>
        <w:t>a</w:t>
      </w:r>
      <w:r w:rsidR="008D0639" w:rsidRPr="000A1524">
        <w:rPr>
          <w:rFonts w:ascii="Times New Roman" w:hAnsi="Times New Roman"/>
          <w:sz w:val="24"/>
        </w:rPr>
        <w:t xml:space="preserve"> survey</w:t>
      </w:r>
      <w:r w:rsidR="0096682A" w:rsidRPr="000A1524">
        <w:rPr>
          <w:rFonts w:ascii="Times New Roman" w:hAnsi="Times New Roman"/>
          <w:sz w:val="24"/>
        </w:rPr>
        <w:t xml:space="preserve"> </w:t>
      </w:r>
      <w:r w:rsidR="00C5747C">
        <w:rPr>
          <w:rFonts w:ascii="Times New Roman" w:hAnsi="Times New Roman"/>
          <w:sz w:val="24"/>
        </w:rPr>
        <w:t>on the webcast topic f</w:t>
      </w:r>
      <w:r w:rsidR="0096682A" w:rsidRPr="000A1524">
        <w:rPr>
          <w:rFonts w:ascii="Times New Roman" w:hAnsi="Times New Roman"/>
          <w:sz w:val="24"/>
        </w:rPr>
        <w:t xml:space="preserve">ollowing the conclusion of </w:t>
      </w:r>
      <w:r w:rsidR="007A23BD" w:rsidRPr="000A1524">
        <w:rPr>
          <w:rFonts w:ascii="Times New Roman" w:hAnsi="Times New Roman"/>
          <w:sz w:val="24"/>
        </w:rPr>
        <w:t xml:space="preserve">each </w:t>
      </w:r>
      <w:r w:rsidR="007613E7">
        <w:rPr>
          <w:rFonts w:ascii="Times New Roman" w:hAnsi="Times New Roman"/>
          <w:sz w:val="24"/>
        </w:rPr>
        <w:t>webcast</w:t>
      </w:r>
      <w:r w:rsidRPr="000A1524">
        <w:rPr>
          <w:rFonts w:ascii="Times New Roman" w:hAnsi="Times New Roman"/>
          <w:sz w:val="24"/>
        </w:rPr>
        <w:t xml:space="preserve"> </w:t>
      </w:r>
      <w:r w:rsidR="007A23BD" w:rsidRPr="000A1524">
        <w:rPr>
          <w:rFonts w:ascii="Times New Roman" w:hAnsi="Times New Roman"/>
          <w:sz w:val="24"/>
        </w:rPr>
        <w:t>activity</w:t>
      </w:r>
      <w:r w:rsidR="0096682A" w:rsidRPr="000A1524">
        <w:rPr>
          <w:rFonts w:ascii="Times New Roman" w:hAnsi="Times New Roman"/>
          <w:sz w:val="24"/>
        </w:rPr>
        <w:t>.</w:t>
      </w:r>
      <w:r w:rsidR="008D0639" w:rsidRPr="000A1524">
        <w:rPr>
          <w:rFonts w:ascii="Times New Roman" w:hAnsi="Times New Roman"/>
          <w:sz w:val="24"/>
        </w:rPr>
        <w:t xml:space="preserve"> Every participant will have the opportunity to provide feedback, though c</w:t>
      </w:r>
      <w:r w:rsidR="0096682A" w:rsidRPr="000A1524">
        <w:rPr>
          <w:rFonts w:ascii="Times New Roman" w:hAnsi="Times New Roman"/>
          <w:sz w:val="24"/>
        </w:rPr>
        <w:t>ompletion of the survey is voluntary.</w:t>
      </w:r>
      <w:r w:rsidR="00615984" w:rsidRPr="000A1524">
        <w:rPr>
          <w:rFonts w:ascii="Times New Roman" w:hAnsi="Times New Roman"/>
          <w:sz w:val="24"/>
        </w:rPr>
        <w:t xml:space="preserve"> </w:t>
      </w:r>
      <w:r w:rsidRPr="000A1524">
        <w:rPr>
          <w:rFonts w:ascii="Times New Roman" w:hAnsi="Times New Roman"/>
          <w:sz w:val="24"/>
        </w:rPr>
        <w:t>P</w:t>
      </w:r>
      <w:r w:rsidR="007A23BD" w:rsidRPr="000A1524">
        <w:rPr>
          <w:rFonts w:ascii="Times New Roman" w:hAnsi="Times New Roman"/>
          <w:sz w:val="24"/>
        </w:rPr>
        <w:t>articipants will complete surveys anonymously</w:t>
      </w:r>
      <w:r w:rsidR="00615984" w:rsidRPr="000A1524">
        <w:rPr>
          <w:rFonts w:ascii="Times New Roman" w:hAnsi="Times New Roman"/>
          <w:sz w:val="24"/>
        </w:rPr>
        <w:t xml:space="preserve">. </w:t>
      </w:r>
    </w:p>
    <w:p w14:paraId="0F60FE2A" w14:textId="77777777" w:rsidR="00802A88" w:rsidRPr="000A1524" w:rsidRDefault="00802A88" w:rsidP="00802A88">
      <w:pPr>
        <w:rPr>
          <w:rFonts w:ascii="Times New Roman" w:hAnsi="Times New Roman"/>
          <w:sz w:val="24"/>
          <w:highlight w:val="yellow"/>
        </w:rPr>
      </w:pPr>
    </w:p>
    <w:p w14:paraId="3BF6C4C5" w14:textId="2388C061" w:rsidR="004F23D2" w:rsidRPr="007613E7" w:rsidRDefault="00885127" w:rsidP="007613E7">
      <w:pPr>
        <w:rPr>
          <w:rFonts w:ascii="Times New Roman" w:hAnsi="Times New Roman"/>
          <w:sz w:val="24"/>
          <w:highlight w:val="yellow"/>
        </w:rPr>
      </w:pPr>
      <w:r w:rsidRPr="002E5350">
        <w:rPr>
          <w:rFonts w:ascii="Times New Roman" w:hAnsi="Times New Roman"/>
          <w:sz w:val="24"/>
        </w:rPr>
        <w:t xml:space="preserve">Feedback contained in the surveys will be summarized and used to identify the strengths and weaknesses of particular events, as well as more broadly to identify </w:t>
      </w:r>
      <w:r w:rsidR="002E5350" w:rsidRPr="002E5350">
        <w:rPr>
          <w:rFonts w:ascii="Times New Roman" w:hAnsi="Times New Roman"/>
          <w:sz w:val="24"/>
        </w:rPr>
        <w:t xml:space="preserve">education and outreach </w:t>
      </w:r>
      <w:r w:rsidRPr="002E5350">
        <w:rPr>
          <w:rFonts w:ascii="Times New Roman" w:hAnsi="Times New Roman"/>
          <w:sz w:val="24"/>
        </w:rPr>
        <w:t xml:space="preserve">strategies, modalities, </w:t>
      </w:r>
      <w:r w:rsidR="009246D7" w:rsidRPr="002E5350">
        <w:rPr>
          <w:rFonts w:ascii="Times New Roman" w:hAnsi="Times New Roman"/>
          <w:sz w:val="24"/>
        </w:rPr>
        <w:t xml:space="preserve">and </w:t>
      </w:r>
      <w:r w:rsidRPr="002E5350">
        <w:rPr>
          <w:rFonts w:ascii="Times New Roman" w:hAnsi="Times New Roman"/>
          <w:sz w:val="24"/>
        </w:rPr>
        <w:t>content</w:t>
      </w:r>
      <w:r w:rsidR="009246D7" w:rsidRPr="002E5350">
        <w:rPr>
          <w:rFonts w:ascii="Times New Roman" w:hAnsi="Times New Roman"/>
          <w:sz w:val="24"/>
        </w:rPr>
        <w:t xml:space="preserve"> that </w:t>
      </w:r>
      <w:r w:rsidR="00910925" w:rsidRPr="002E5350">
        <w:rPr>
          <w:rFonts w:ascii="Times New Roman" w:hAnsi="Times New Roman"/>
          <w:sz w:val="24"/>
        </w:rPr>
        <w:t>participants</w:t>
      </w:r>
      <w:r w:rsidR="009246D7" w:rsidRPr="002E5350">
        <w:rPr>
          <w:rFonts w:ascii="Times New Roman" w:hAnsi="Times New Roman"/>
          <w:sz w:val="24"/>
        </w:rPr>
        <w:t xml:space="preserve"> find most useful.  Feedback and satisfaction data will also be used to inform a continuous quality improvement framework to test and refine </w:t>
      </w:r>
      <w:r w:rsidR="002E5350" w:rsidRPr="002E5350">
        <w:rPr>
          <w:rFonts w:ascii="Times New Roman" w:hAnsi="Times New Roman"/>
          <w:sz w:val="24"/>
        </w:rPr>
        <w:t>education and outreach</w:t>
      </w:r>
      <w:r w:rsidR="009246D7" w:rsidRPr="002E5350">
        <w:rPr>
          <w:rFonts w:ascii="Times New Roman" w:hAnsi="Times New Roman"/>
          <w:sz w:val="24"/>
        </w:rPr>
        <w:t xml:space="preserve"> strategies. </w:t>
      </w:r>
      <w:r w:rsidRPr="002E5350">
        <w:rPr>
          <w:rFonts w:ascii="Times New Roman" w:hAnsi="Times New Roman"/>
          <w:sz w:val="24"/>
        </w:rPr>
        <w:t xml:space="preserve">  </w:t>
      </w:r>
      <w:r w:rsidR="007613E7">
        <w:rPr>
          <w:rFonts w:ascii="Times New Roman" w:hAnsi="Times New Roman"/>
          <w:sz w:val="24"/>
        </w:rPr>
        <w:br/>
      </w:r>
      <w:r w:rsidR="0096682A" w:rsidRPr="002E5350">
        <w:rPr>
          <w:rFonts w:ascii="Times New Roman" w:hAnsi="Times New Roman"/>
          <w:sz w:val="24"/>
        </w:rPr>
        <w:t xml:space="preserve"> </w:t>
      </w:r>
    </w:p>
    <w:p w14:paraId="0D6D0429" w14:textId="0DCB47B8" w:rsidR="001879E5" w:rsidRPr="002E5350" w:rsidRDefault="001879E5" w:rsidP="007613E7">
      <w:pPr>
        <w:widowControl/>
        <w:autoSpaceDE/>
        <w:autoSpaceDN/>
        <w:adjustRightInd/>
        <w:spacing w:after="200" w:line="276" w:lineRule="auto"/>
        <w:rPr>
          <w:rFonts w:ascii="Times New Roman" w:hAnsi="Times New Roman"/>
          <w:sz w:val="24"/>
          <w:szCs w:val="24"/>
          <w:u w:val="single"/>
        </w:rPr>
      </w:pPr>
      <w:r w:rsidRPr="002E5350">
        <w:rPr>
          <w:rFonts w:ascii="Times New Roman" w:hAnsi="Times New Roman"/>
          <w:sz w:val="24"/>
          <w:szCs w:val="24"/>
        </w:rPr>
        <w:t>3.</w:t>
      </w:r>
      <w:r w:rsidRPr="002E5350">
        <w:rPr>
          <w:rFonts w:ascii="Times New Roman" w:hAnsi="Times New Roman"/>
          <w:sz w:val="24"/>
          <w:szCs w:val="24"/>
        </w:rPr>
        <w:tab/>
      </w:r>
      <w:r w:rsidRPr="002E5350">
        <w:rPr>
          <w:rFonts w:ascii="Times New Roman" w:hAnsi="Times New Roman"/>
          <w:sz w:val="24"/>
          <w:szCs w:val="24"/>
          <w:u w:val="single"/>
        </w:rPr>
        <w:t>Use of Improved Information Technology</w:t>
      </w:r>
    </w:p>
    <w:p w14:paraId="0D6D042A" w14:textId="77777777" w:rsidR="001879E5" w:rsidRPr="000A1524" w:rsidRDefault="001879E5">
      <w:pPr>
        <w:tabs>
          <w:tab w:val="left" w:pos="-720"/>
          <w:tab w:val="left" w:pos="720"/>
          <w:tab w:val="right" w:pos="8648"/>
        </w:tabs>
        <w:rPr>
          <w:rFonts w:ascii="Times New Roman" w:hAnsi="Times New Roman"/>
          <w:sz w:val="24"/>
          <w:szCs w:val="24"/>
          <w:highlight w:val="yellow"/>
        </w:rPr>
      </w:pPr>
    </w:p>
    <w:p w14:paraId="5DE285C3" w14:textId="4B63D1ED" w:rsidR="00914F2D" w:rsidRPr="002E5350" w:rsidRDefault="00914F2D">
      <w:pPr>
        <w:tabs>
          <w:tab w:val="left" w:pos="-720"/>
          <w:tab w:val="left" w:pos="720"/>
          <w:tab w:val="right" w:pos="8648"/>
        </w:tabs>
        <w:rPr>
          <w:rFonts w:ascii="Times New Roman" w:hAnsi="Times New Roman"/>
          <w:sz w:val="24"/>
          <w:szCs w:val="24"/>
        </w:rPr>
      </w:pPr>
      <w:r w:rsidRPr="002E5350">
        <w:rPr>
          <w:rFonts w:ascii="Times New Roman" w:hAnsi="Times New Roman"/>
          <w:sz w:val="24"/>
          <w:szCs w:val="24"/>
        </w:rPr>
        <w:t xml:space="preserve">In general, </w:t>
      </w:r>
      <w:r w:rsidR="00910925" w:rsidRPr="002E5350">
        <w:rPr>
          <w:rFonts w:ascii="Times New Roman" w:hAnsi="Times New Roman"/>
          <w:sz w:val="24"/>
          <w:szCs w:val="24"/>
        </w:rPr>
        <w:t>HRSA</w:t>
      </w:r>
      <w:r w:rsidRPr="002E5350">
        <w:rPr>
          <w:rFonts w:ascii="Times New Roman" w:hAnsi="Times New Roman"/>
          <w:sz w:val="24"/>
          <w:szCs w:val="24"/>
        </w:rPr>
        <w:t xml:space="preserve"> plans to use web-based survey delivery software, such as </w:t>
      </w:r>
      <w:r w:rsidR="00163150" w:rsidRPr="002E5350">
        <w:rPr>
          <w:rFonts w:ascii="Times New Roman" w:hAnsi="Times New Roman"/>
          <w:sz w:val="24"/>
          <w:szCs w:val="24"/>
        </w:rPr>
        <w:t>Survey Monkey</w:t>
      </w:r>
      <w:r w:rsidR="002F2742">
        <w:rPr>
          <w:rFonts w:ascii="Times New Roman" w:hAnsi="Times New Roman"/>
          <w:sz w:val="24"/>
          <w:szCs w:val="24"/>
        </w:rPr>
        <w:t>,</w:t>
      </w:r>
      <w:r w:rsidRPr="002E5350">
        <w:rPr>
          <w:rFonts w:ascii="Times New Roman" w:hAnsi="Times New Roman"/>
          <w:sz w:val="24"/>
          <w:szCs w:val="24"/>
        </w:rPr>
        <w:t xml:space="preserve"> to provide the survey instrument</w:t>
      </w:r>
      <w:r w:rsidR="00910925" w:rsidRPr="002E5350">
        <w:rPr>
          <w:rFonts w:ascii="Times New Roman" w:hAnsi="Times New Roman"/>
          <w:sz w:val="24"/>
          <w:szCs w:val="24"/>
        </w:rPr>
        <w:t>s</w:t>
      </w:r>
      <w:r w:rsidRPr="002E5350">
        <w:rPr>
          <w:rFonts w:ascii="Times New Roman" w:hAnsi="Times New Roman"/>
          <w:sz w:val="24"/>
          <w:szCs w:val="24"/>
        </w:rPr>
        <w:t xml:space="preserve"> to </w:t>
      </w:r>
      <w:r w:rsidR="00910925" w:rsidRPr="002E5350">
        <w:rPr>
          <w:rFonts w:ascii="Times New Roman" w:hAnsi="Times New Roman"/>
          <w:sz w:val="24"/>
          <w:szCs w:val="24"/>
        </w:rPr>
        <w:t>participants</w:t>
      </w:r>
      <w:r w:rsidRPr="002E5350">
        <w:rPr>
          <w:rFonts w:ascii="Times New Roman" w:hAnsi="Times New Roman"/>
          <w:sz w:val="24"/>
          <w:szCs w:val="24"/>
        </w:rPr>
        <w:t xml:space="preserve">.  The use of a web-based application will reduce reporting burden and ease data collection and analysis.  </w:t>
      </w:r>
      <w:r w:rsidR="00910925" w:rsidRPr="002E5350">
        <w:rPr>
          <w:rFonts w:ascii="Times New Roman" w:hAnsi="Times New Roman"/>
          <w:sz w:val="24"/>
          <w:szCs w:val="24"/>
        </w:rPr>
        <w:t>HRSA</w:t>
      </w:r>
      <w:r w:rsidRPr="002E5350">
        <w:rPr>
          <w:rFonts w:ascii="Times New Roman" w:hAnsi="Times New Roman"/>
          <w:sz w:val="24"/>
          <w:szCs w:val="24"/>
        </w:rPr>
        <w:t xml:space="preserve"> estimates that </w:t>
      </w:r>
      <w:r w:rsidR="00D16E7D" w:rsidRPr="002E5350">
        <w:rPr>
          <w:rFonts w:ascii="Times New Roman" w:hAnsi="Times New Roman"/>
          <w:sz w:val="24"/>
          <w:szCs w:val="24"/>
        </w:rPr>
        <w:t>100</w:t>
      </w:r>
      <w:r w:rsidRPr="002E5350">
        <w:rPr>
          <w:rFonts w:ascii="Times New Roman" w:hAnsi="Times New Roman"/>
          <w:sz w:val="24"/>
          <w:szCs w:val="24"/>
        </w:rPr>
        <w:t xml:space="preserve">% of survey responses will be collected electronically.  </w:t>
      </w:r>
    </w:p>
    <w:p w14:paraId="0D6D042F" w14:textId="77777777" w:rsidR="00896384" w:rsidRPr="002E5350" w:rsidRDefault="00896384" w:rsidP="00896384">
      <w:pPr>
        <w:tabs>
          <w:tab w:val="left" w:pos="-720"/>
        </w:tabs>
        <w:rPr>
          <w:rFonts w:ascii="Times New Roman" w:hAnsi="Times New Roman"/>
          <w:sz w:val="24"/>
          <w:szCs w:val="24"/>
        </w:rPr>
      </w:pPr>
    </w:p>
    <w:p w14:paraId="0D6D0430" w14:textId="77777777" w:rsidR="001879E5" w:rsidRPr="002E5350" w:rsidRDefault="001879E5">
      <w:pPr>
        <w:tabs>
          <w:tab w:val="left" w:pos="-720"/>
          <w:tab w:val="left" w:pos="720"/>
          <w:tab w:val="right" w:pos="8648"/>
        </w:tabs>
        <w:rPr>
          <w:rFonts w:ascii="Times New Roman" w:hAnsi="Times New Roman"/>
          <w:sz w:val="24"/>
          <w:szCs w:val="24"/>
          <w:u w:val="single"/>
        </w:rPr>
      </w:pPr>
      <w:r w:rsidRPr="002E5350">
        <w:rPr>
          <w:rFonts w:ascii="Times New Roman" w:hAnsi="Times New Roman"/>
          <w:sz w:val="24"/>
          <w:szCs w:val="24"/>
        </w:rPr>
        <w:t>4.</w:t>
      </w:r>
      <w:r w:rsidRPr="002E5350">
        <w:rPr>
          <w:rFonts w:ascii="Times New Roman" w:hAnsi="Times New Roman"/>
          <w:sz w:val="24"/>
          <w:szCs w:val="24"/>
        </w:rPr>
        <w:tab/>
      </w:r>
      <w:r w:rsidRPr="002E5350">
        <w:rPr>
          <w:rFonts w:ascii="Times New Roman" w:hAnsi="Times New Roman"/>
          <w:sz w:val="24"/>
          <w:szCs w:val="24"/>
          <w:u w:val="single"/>
        </w:rPr>
        <w:t>Efforts to Avoid Duplication</w:t>
      </w:r>
    </w:p>
    <w:p w14:paraId="0D6D0431" w14:textId="77777777" w:rsidR="001879E5" w:rsidRPr="002E5350" w:rsidRDefault="001879E5">
      <w:pPr>
        <w:tabs>
          <w:tab w:val="left" w:pos="-720"/>
          <w:tab w:val="left" w:pos="720"/>
          <w:tab w:val="right" w:pos="8648"/>
        </w:tabs>
        <w:rPr>
          <w:rFonts w:ascii="Times New Roman" w:hAnsi="Times New Roman"/>
          <w:sz w:val="24"/>
          <w:szCs w:val="24"/>
        </w:rPr>
      </w:pPr>
    </w:p>
    <w:p w14:paraId="39163F61" w14:textId="53B32FA2" w:rsidR="00192835" w:rsidRDefault="00192835">
      <w:pPr>
        <w:tabs>
          <w:tab w:val="left" w:pos="-720"/>
          <w:tab w:val="left" w:pos="720"/>
          <w:tab w:val="right" w:pos="8648"/>
        </w:tabs>
        <w:rPr>
          <w:rFonts w:ascii="Times New Roman" w:hAnsi="Times New Roman"/>
          <w:sz w:val="24"/>
          <w:szCs w:val="24"/>
        </w:rPr>
      </w:pPr>
      <w:r w:rsidRPr="002E5350">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sidRPr="002E5350">
        <w:rPr>
          <w:rFonts w:ascii="Times New Roman" w:hAnsi="Times New Roman"/>
          <w:sz w:val="24"/>
          <w:szCs w:val="24"/>
        </w:rPr>
        <w:t xml:space="preserve">ongoing </w:t>
      </w:r>
      <w:r w:rsidR="002E5350" w:rsidRPr="002E5350">
        <w:rPr>
          <w:rFonts w:ascii="Times New Roman" w:hAnsi="Times New Roman"/>
          <w:sz w:val="24"/>
          <w:szCs w:val="24"/>
        </w:rPr>
        <w:t>DPDB education and outreach</w:t>
      </w:r>
      <w:r w:rsidRPr="002E5350">
        <w:rPr>
          <w:rFonts w:ascii="Times New Roman" w:hAnsi="Times New Roman"/>
          <w:sz w:val="24"/>
          <w:szCs w:val="24"/>
        </w:rPr>
        <w:t xml:space="preserve"> activities.</w:t>
      </w:r>
    </w:p>
    <w:p w14:paraId="1C3742D4" w14:textId="302E8732" w:rsidR="00B90D5D" w:rsidRDefault="00B90D5D">
      <w:pPr>
        <w:tabs>
          <w:tab w:val="left" w:pos="-720"/>
          <w:tab w:val="left" w:pos="720"/>
          <w:tab w:val="right" w:pos="8648"/>
        </w:tabs>
        <w:rPr>
          <w:rFonts w:ascii="Times New Roman" w:hAnsi="Times New Roman"/>
          <w:sz w:val="24"/>
          <w:szCs w:val="24"/>
        </w:rPr>
      </w:pPr>
    </w:p>
    <w:p w14:paraId="04055346" w14:textId="77777777" w:rsidR="00B90D5D" w:rsidRPr="002E5350" w:rsidRDefault="00B90D5D">
      <w:pPr>
        <w:tabs>
          <w:tab w:val="left" w:pos="-720"/>
          <w:tab w:val="left" w:pos="720"/>
          <w:tab w:val="right" w:pos="8648"/>
        </w:tabs>
        <w:rPr>
          <w:rFonts w:ascii="Times New Roman" w:hAnsi="Times New Roman"/>
          <w:sz w:val="24"/>
          <w:szCs w:val="24"/>
        </w:rPr>
      </w:pPr>
    </w:p>
    <w:p w14:paraId="0D6D0433" w14:textId="77777777" w:rsidR="001879E5" w:rsidRPr="000A1524" w:rsidRDefault="001879E5">
      <w:pPr>
        <w:tabs>
          <w:tab w:val="left" w:pos="-720"/>
        </w:tabs>
        <w:rPr>
          <w:rFonts w:ascii="Times New Roman" w:hAnsi="Times New Roman"/>
          <w:sz w:val="24"/>
          <w:szCs w:val="24"/>
          <w:highlight w:val="yellow"/>
        </w:rPr>
      </w:pPr>
    </w:p>
    <w:p w14:paraId="0D6D0434" w14:textId="77777777" w:rsidR="001879E5" w:rsidRPr="001B274F" w:rsidRDefault="001879E5">
      <w:pPr>
        <w:tabs>
          <w:tab w:val="left" w:pos="-720"/>
          <w:tab w:val="left" w:pos="720"/>
          <w:tab w:val="right" w:pos="8648"/>
        </w:tabs>
        <w:rPr>
          <w:rFonts w:ascii="Times New Roman" w:hAnsi="Times New Roman"/>
          <w:sz w:val="24"/>
          <w:szCs w:val="24"/>
          <w:u w:val="single"/>
        </w:rPr>
      </w:pPr>
      <w:r w:rsidRPr="001B274F">
        <w:rPr>
          <w:rFonts w:ascii="Times New Roman" w:hAnsi="Times New Roman"/>
          <w:sz w:val="24"/>
          <w:szCs w:val="24"/>
        </w:rPr>
        <w:lastRenderedPageBreak/>
        <w:t>5.</w:t>
      </w:r>
      <w:r w:rsidRPr="001B274F">
        <w:rPr>
          <w:rFonts w:ascii="Times New Roman" w:hAnsi="Times New Roman"/>
          <w:sz w:val="24"/>
          <w:szCs w:val="24"/>
        </w:rPr>
        <w:tab/>
      </w:r>
      <w:r w:rsidRPr="001B274F">
        <w:rPr>
          <w:rFonts w:ascii="Times New Roman" w:hAnsi="Times New Roman"/>
          <w:sz w:val="24"/>
          <w:szCs w:val="24"/>
          <w:u w:val="single"/>
        </w:rPr>
        <w:t>Involvement of Small Entities</w:t>
      </w:r>
    </w:p>
    <w:p w14:paraId="0D6D0435" w14:textId="77777777" w:rsidR="001879E5" w:rsidRPr="001B274F" w:rsidRDefault="001879E5">
      <w:pPr>
        <w:tabs>
          <w:tab w:val="left" w:pos="-720"/>
          <w:tab w:val="left" w:pos="720"/>
          <w:tab w:val="right" w:pos="8648"/>
        </w:tabs>
        <w:rPr>
          <w:rFonts w:ascii="Times New Roman" w:hAnsi="Times New Roman"/>
          <w:sz w:val="24"/>
          <w:szCs w:val="24"/>
        </w:rPr>
      </w:pPr>
    </w:p>
    <w:p w14:paraId="461D1A62" w14:textId="521A75D3" w:rsidR="00192835" w:rsidRPr="001B274F" w:rsidRDefault="00192835">
      <w:pPr>
        <w:tabs>
          <w:tab w:val="left" w:pos="-720"/>
          <w:tab w:val="left" w:pos="720"/>
          <w:tab w:val="right" w:pos="8648"/>
        </w:tabs>
        <w:rPr>
          <w:rFonts w:ascii="Times New Roman" w:hAnsi="Times New Roman"/>
          <w:sz w:val="24"/>
          <w:szCs w:val="24"/>
        </w:rPr>
      </w:pPr>
      <w:r w:rsidRPr="001B274F">
        <w:rPr>
          <w:rFonts w:ascii="Times New Roman" w:hAnsi="Times New Roman"/>
          <w:sz w:val="24"/>
          <w:szCs w:val="24"/>
        </w:rPr>
        <w:t xml:space="preserve">Proposed data collection includes participants in </w:t>
      </w:r>
      <w:r w:rsidR="001B274F" w:rsidRPr="001B274F">
        <w:rPr>
          <w:rFonts w:ascii="Times New Roman" w:hAnsi="Times New Roman"/>
          <w:sz w:val="24"/>
          <w:szCs w:val="24"/>
        </w:rPr>
        <w:t>DPDB education and outreach</w:t>
      </w:r>
      <w:r w:rsidRPr="001B274F">
        <w:rPr>
          <w:rFonts w:ascii="Times New Roman" w:hAnsi="Times New Roman"/>
          <w:sz w:val="24"/>
          <w:szCs w:val="24"/>
        </w:rPr>
        <w:t xml:space="preserve"> activities.  Generally, participation in these activities does not involve small entities, as most participants represent </w:t>
      </w:r>
      <w:r w:rsidR="001B274F" w:rsidRPr="001B274F">
        <w:rPr>
          <w:rFonts w:ascii="Times New Roman" w:hAnsi="Times New Roman"/>
          <w:sz w:val="24"/>
          <w:szCs w:val="24"/>
        </w:rPr>
        <w:t>hospitals, health care entities, state licensing boards, and medical malpractice insurance companies.</w:t>
      </w:r>
      <w:r w:rsidRPr="001B274F">
        <w:rPr>
          <w:rFonts w:ascii="Times New Roman" w:hAnsi="Times New Roman"/>
          <w:sz w:val="24"/>
          <w:szCs w:val="24"/>
        </w:rPr>
        <w:t xml:space="preserve">  No small businesses will be involved in this proposed information collection.  Additionally, completion of the data collection forms is purely voluntary.</w:t>
      </w:r>
    </w:p>
    <w:p w14:paraId="0D6D043C" w14:textId="77777777" w:rsidR="001879E5" w:rsidRPr="001B274F" w:rsidRDefault="001879E5">
      <w:pPr>
        <w:tabs>
          <w:tab w:val="left" w:pos="-720"/>
        </w:tabs>
        <w:rPr>
          <w:rFonts w:ascii="Times New Roman" w:hAnsi="Times New Roman"/>
          <w:sz w:val="24"/>
          <w:szCs w:val="24"/>
        </w:rPr>
      </w:pPr>
    </w:p>
    <w:p w14:paraId="0D6D043D" w14:textId="77777777" w:rsidR="001879E5" w:rsidRPr="001B274F" w:rsidRDefault="001879E5">
      <w:pPr>
        <w:tabs>
          <w:tab w:val="left" w:pos="-720"/>
          <w:tab w:val="left" w:pos="720"/>
          <w:tab w:val="right" w:pos="8648"/>
        </w:tabs>
        <w:rPr>
          <w:rFonts w:ascii="Times New Roman" w:hAnsi="Times New Roman"/>
          <w:sz w:val="24"/>
          <w:szCs w:val="24"/>
          <w:u w:val="single"/>
        </w:rPr>
      </w:pPr>
      <w:r w:rsidRPr="001B274F">
        <w:rPr>
          <w:rFonts w:ascii="Times New Roman" w:hAnsi="Times New Roman"/>
          <w:sz w:val="24"/>
          <w:szCs w:val="24"/>
        </w:rPr>
        <w:t>6.</w:t>
      </w:r>
      <w:r w:rsidRPr="001B274F">
        <w:rPr>
          <w:rFonts w:ascii="Times New Roman" w:hAnsi="Times New Roman"/>
          <w:sz w:val="24"/>
          <w:szCs w:val="24"/>
        </w:rPr>
        <w:tab/>
      </w:r>
      <w:r w:rsidRPr="001B274F">
        <w:rPr>
          <w:rFonts w:ascii="Times New Roman" w:hAnsi="Times New Roman"/>
          <w:sz w:val="24"/>
          <w:szCs w:val="24"/>
          <w:u w:val="single"/>
        </w:rPr>
        <w:t>Consequences if Information Collected Less Frequently</w:t>
      </w:r>
    </w:p>
    <w:p w14:paraId="0D6D043E" w14:textId="77777777" w:rsidR="001879E5" w:rsidRPr="001B274F" w:rsidRDefault="001879E5">
      <w:pPr>
        <w:tabs>
          <w:tab w:val="left" w:pos="-720"/>
          <w:tab w:val="left" w:pos="720"/>
          <w:tab w:val="right" w:pos="8648"/>
        </w:tabs>
        <w:rPr>
          <w:rFonts w:ascii="Times New Roman" w:hAnsi="Times New Roman"/>
          <w:sz w:val="24"/>
          <w:szCs w:val="24"/>
        </w:rPr>
      </w:pPr>
    </w:p>
    <w:p w14:paraId="0E487B45" w14:textId="252E759F" w:rsidR="00A11ACD" w:rsidRPr="001B274F" w:rsidRDefault="00192835">
      <w:pPr>
        <w:tabs>
          <w:tab w:val="left" w:pos="-720"/>
          <w:tab w:val="left" w:pos="720"/>
          <w:tab w:val="right" w:pos="8648"/>
        </w:tabs>
        <w:rPr>
          <w:rFonts w:ascii="Times New Roman" w:hAnsi="Times New Roman"/>
          <w:sz w:val="24"/>
          <w:szCs w:val="24"/>
        </w:rPr>
      </w:pPr>
      <w:r w:rsidRPr="001B274F">
        <w:rPr>
          <w:rFonts w:ascii="Times New Roman" w:hAnsi="Times New Roman"/>
          <w:sz w:val="24"/>
          <w:szCs w:val="24"/>
        </w:rPr>
        <w:t>Information will be collected following the conclu</w:t>
      </w:r>
      <w:r w:rsidR="005F2587" w:rsidRPr="001B274F">
        <w:rPr>
          <w:rFonts w:ascii="Times New Roman" w:hAnsi="Times New Roman"/>
          <w:sz w:val="24"/>
          <w:szCs w:val="24"/>
        </w:rPr>
        <w:t xml:space="preserve">sion of </w:t>
      </w:r>
      <w:r w:rsidR="001B274F" w:rsidRPr="001B274F">
        <w:rPr>
          <w:rFonts w:ascii="Times New Roman" w:hAnsi="Times New Roman"/>
          <w:sz w:val="24"/>
          <w:szCs w:val="24"/>
        </w:rPr>
        <w:t>education and outreach</w:t>
      </w:r>
      <w:r w:rsidR="006F1E2A" w:rsidRPr="001B274F">
        <w:rPr>
          <w:rFonts w:ascii="Times New Roman" w:hAnsi="Times New Roman"/>
          <w:sz w:val="24"/>
          <w:szCs w:val="24"/>
        </w:rPr>
        <w:t xml:space="preserve"> activities</w:t>
      </w:r>
      <w:r w:rsidR="001B274F" w:rsidRPr="001B274F">
        <w:rPr>
          <w:rFonts w:ascii="Times New Roman" w:hAnsi="Times New Roman"/>
          <w:sz w:val="24"/>
          <w:szCs w:val="24"/>
        </w:rPr>
        <w:t xml:space="preserve">.  </w:t>
      </w:r>
      <w:r w:rsidR="005F2587" w:rsidRPr="001B274F">
        <w:rPr>
          <w:rFonts w:ascii="Times New Roman" w:hAnsi="Times New Roman"/>
          <w:sz w:val="24"/>
          <w:szCs w:val="24"/>
        </w:rPr>
        <w:t xml:space="preserve">Less frequent collection of this information will impede </w:t>
      </w:r>
      <w:r w:rsidR="00874A63" w:rsidRPr="001B274F">
        <w:rPr>
          <w:rFonts w:ascii="Times New Roman" w:hAnsi="Times New Roman"/>
          <w:sz w:val="24"/>
          <w:szCs w:val="24"/>
        </w:rPr>
        <w:t>HRSA’s</w:t>
      </w:r>
      <w:r w:rsidR="005F2587" w:rsidRPr="001B274F">
        <w:rPr>
          <w:rFonts w:ascii="Times New Roman" w:hAnsi="Times New Roman"/>
          <w:sz w:val="24"/>
          <w:szCs w:val="24"/>
        </w:rPr>
        <w:t xml:space="preserve"> ability to utilize feedback and satisfaction data to tailor </w:t>
      </w:r>
      <w:r w:rsidR="001B274F" w:rsidRPr="001B274F">
        <w:rPr>
          <w:rFonts w:ascii="Times New Roman" w:hAnsi="Times New Roman"/>
          <w:sz w:val="24"/>
          <w:szCs w:val="24"/>
        </w:rPr>
        <w:t>education and outreach</w:t>
      </w:r>
      <w:r w:rsidR="005F2587" w:rsidRPr="001B274F">
        <w:rPr>
          <w:rFonts w:ascii="Times New Roman" w:hAnsi="Times New Roman"/>
          <w:sz w:val="24"/>
          <w:szCs w:val="24"/>
        </w:rPr>
        <w:t xml:space="preserve"> activities to </w:t>
      </w:r>
      <w:r w:rsidR="001B274F" w:rsidRPr="001B274F">
        <w:rPr>
          <w:rFonts w:ascii="Times New Roman" w:hAnsi="Times New Roman"/>
          <w:sz w:val="24"/>
          <w:szCs w:val="24"/>
        </w:rPr>
        <w:t>participant</w:t>
      </w:r>
      <w:r w:rsidR="005F2587" w:rsidRPr="001B274F">
        <w:rPr>
          <w:rFonts w:ascii="Times New Roman" w:hAnsi="Times New Roman"/>
          <w:sz w:val="24"/>
          <w:szCs w:val="24"/>
        </w:rPr>
        <w:t xml:space="preserve"> preferences</w:t>
      </w:r>
      <w:r w:rsidR="00D274AC" w:rsidRPr="001B274F">
        <w:rPr>
          <w:rFonts w:ascii="Times New Roman" w:hAnsi="Times New Roman"/>
          <w:sz w:val="24"/>
          <w:szCs w:val="24"/>
        </w:rPr>
        <w:t xml:space="preserve"> and continually improve the quality of </w:t>
      </w:r>
      <w:r w:rsidR="001B274F" w:rsidRPr="001B274F">
        <w:rPr>
          <w:rFonts w:ascii="Times New Roman" w:hAnsi="Times New Roman"/>
          <w:sz w:val="24"/>
          <w:szCs w:val="24"/>
        </w:rPr>
        <w:t>these</w:t>
      </w:r>
      <w:r w:rsidR="00D274AC" w:rsidRPr="001B274F">
        <w:rPr>
          <w:rFonts w:ascii="Times New Roman" w:hAnsi="Times New Roman"/>
          <w:sz w:val="24"/>
          <w:szCs w:val="24"/>
        </w:rPr>
        <w:t xml:space="preserve"> offerings</w:t>
      </w:r>
      <w:r w:rsidR="005F2587" w:rsidRPr="001B274F">
        <w:rPr>
          <w:rFonts w:ascii="Times New Roman" w:hAnsi="Times New Roman"/>
          <w:sz w:val="24"/>
          <w:szCs w:val="24"/>
        </w:rPr>
        <w:t xml:space="preserve">.  </w:t>
      </w:r>
    </w:p>
    <w:p w14:paraId="5ECD62FC" w14:textId="77777777" w:rsidR="00A11ACD" w:rsidRPr="001B274F" w:rsidRDefault="00A11ACD">
      <w:pPr>
        <w:tabs>
          <w:tab w:val="left" w:pos="-720"/>
          <w:tab w:val="left" w:pos="720"/>
          <w:tab w:val="right" w:pos="8648"/>
        </w:tabs>
        <w:rPr>
          <w:rFonts w:ascii="Times New Roman" w:hAnsi="Times New Roman"/>
          <w:sz w:val="24"/>
          <w:szCs w:val="24"/>
        </w:rPr>
      </w:pPr>
    </w:p>
    <w:p w14:paraId="0786093E" w14:textId="085B3391" w:rsidR="00192835" w:rsidRPr="001B274F" w:rsidRDefault="00A11ACD">
      <w:pPr>
        <w:tabs>
          <w:tab w:val="left" w:pos="-720"/>
          <w:tab w:val="left" w:pos="720"/>
          <w:tab w:val="right" w:pos="8648"/>
        </w:tabs>
        <w:rPr>
          <w:rFonts w:ascii="Times New Roman" w:hAnsi="Times New Roman"/>
          <w:sz w:val="24"/>
          <w:szCs w:val="24"/>
        </w:rPr>
      </w:pPr>
      <w:r w:rsidRPr="001B274F">
        <w:rPr>
          <w:rFonts w:ascii="Times New Roman" w:hAnsi="Times New Roman"/>
          <w:sz w:val="24"/>
          <w:szCs w:val="24"/>
        </w:rPr>
        <w:t>There are no legal obstacles to reduce the burden.</w:t>
      </w:r>
      <w:r w:rsidR="005F2587" w:rsidRPr="001B274F">
        <w:rPr>
          <w:rFonts w:ascii="Times New Roman" w:hAnsi="Times New Roman"/>
          <w:sz w:val="24"/>
          <w:szCs w:val="24"/>
        </w:rPr>
        <w:t xml:space="preserve"> </w:t>
      </w:r>
    </w:p>
    <w:p w14:paraId="0D6D0443" w14:textId="77777777" w:rsidR="001879E5" w:rsidRPr="001B274F" w:rsidRDefault="001879E5">
      <w:pPr>
        <w:tabs>
          <w:tab w:val="left" w:pos="-720"/>
        </w:tabs>
        <w:rPr>
          <w:rFonts w:ascii="Times New Roman" w:hAnsi="Times New Roman"/>
          <w:sz w:val="24"/>
          <w:szCs w:val="24"/>
        </w:rPr>
      </w:pPr>
    </w:p>
    <w:p w14:paraId="0D6D0444" w14:textId="77777777" w:rsidR="001879E5" w:rsidRPr="001B274F" w:rsidRDefault="0061278C">
      <w:pPr>
        <w:tabs>
          <w:tab w:val="left" w:pos="-720"/>
          <w:tab w:val="left" w:pos="720"/>
          <w:tab w:val="right" w:pos="8677"/>
        </w:tabs>
        <w:rPr>
          <w:rFonts w:ascii="Times New Roman" w:hAnsi="Times New Roman"/>
          <w:sz w:val="24"/>
          <w:szCs w:val="24"/>
          <w:u w:val="single"/>
        </w:rPr>
      </w:pPr>
      <w:r w:rsidRPr="001B274F">
        <w:rPr>
          <w:rFonts w:ascii="Times New Roman" w:hAnsi="Times New Roman"/>
          <w:sz w:val="24"/>
          <w:szCs w:val="24"/>
        </w:rPr>
        <w:t>7.</w:t>
      </w:r>
      <w:r w:rsidRPr="001B274F">
        <w:rPr>
          <w:rFonts w:ascii="Times New Roman" w:hAnsi="Times New Roman"/>
          <w:sz w:val="24"/>
          <w:szCs w:val="24"/>
        </w:rPr>
        <w:tab/>
      </w:r>
      <w:r w:rsidRPr="001B274F">
        <w:rPr>
          <w:rFonts w:ascii="Times New Roman" w:hAnsi="Times New Roman"/>
          <w:sz w:val="24"/>
          <w:szCs w:val="24"/>
          <w:u w:val="single"/>
        </w:rPr>
        <w:t>Consistency With the Guidelines in 5 CFR 1320.5(d)(2)</w:t>
      </w:r>
    </w:p>
    <w:p w14:paraId="0D6D0445" w14:textId="77777777" w:rsidR="001879E5" w:rsidRPr="001B274F" w:rsidRDefault="001879E5">
      <w:pPr>
        <w:tabs>
          <w:tab w:val="left" w:pos="-720"/>
          <w:tab w:val="left" w:pos="720"/>
          <w:tab w:val="right" w:pos="8677"/>
        </w:tabs>
        <w:rPr>
          <w:rFonts w:ascii="Times New Roman" w:hAnsi="Times New Roman"/>
          <w:sz w:val="24"/>
          <w:szCs w:val="24"/>
        </w:rPr>
      </w:pPr>
    </w:p>
    <w:p w14:paraId="0D6D0446" w14:textId="77777777" w:rsidR="001879E5" w:rsidRPr="001B274F" w:rsidRDefault="001879E5">
      <w:pPr>
        <w:tabs>
          <w:tab w:val="left" w:pos="-720"/>
        </w:tabs>
        <w:rPr>
          <w:rFonts w:ascii="Times New Roman" w:hAnsi="Times New Roman"/>
          <w:sz w:val="24"/>
          <w:szCs w:val="24"/>
        </w:rPr>
      </w:pPr>
      <w:r w:rsidRPr="001B274F">
        <w:rPr>
          <w:rFonts w:ascii="Times New Roman" w:hAnsi="Times New Roman"/>
          <w:sz w:val="24"/>
          <w:szCs w:val="24"/>
        </w:rPr>
        <w:t>These surveys will be implemented in a manner fully consistent with 5 CFR 1320.5(d)(2).</w:t>
      </w:r>
    </w:p>
    <w:p w14:paraId="0D6D0447" w14:textId="77777777" w:rsidR="001879E5" w:rsidRPr="001B274F" w:rsidRDefault="001879E5">
      <w:pPr>
        <w:tabs>
          <w:tab w:val="left" w:pos="-720"/>
        </w:tabs>
        <w:rPr>
          <w:rFonts w:ascii="Times New Roman" w:hAnsi="Times New Roman"/>
          <w:sz w:val="24"/>
          <w:szCs w:val="24"/>
        </w:rPr>
      </w:pPr>
    </w:p>
    <w:p w14:paraId="0D6D0448" w14:textId="77777777" w:rsidR="001879E5" w:rsidRPr="001B274F" w:rsidRDefault="001879E5">
      <w:pPr>
        <w:tabs>
          <w:tab w:val="left" w:pos="-720"/>
          <w:tab w:val="left" w:pos="720"/>
          <w:tab w:val="right" w:pos="8677"/>
        </w:tabs>
        <w:rPr>
          <w:rFonts w:ascii="Times New Roman" w:hAnsi="Times New Roman"/>
          <w:sz w:val="24"/>
          <w:szCs w:val="24"/>
          <w:u w:val="single"/>
        </w:rPr>
      </w:pPr>
      <w:r w:rsidRPr="001B274F">
        <w:rPr>
          <w:rFonts w:ascii="Times New Roman" w:hAnsi="Times New Roman"/>
          <w:sz w:val="24"/>
          <w:szCs w:val="24"/>
        </w:rPr>
        <w:t>8.</w:t>
      </w:r>
      <w:r w:rsidRPr="001B274F">
        <w:rPr>
          <w:rFonts w:ascii="Times New Roman" w:hAnsi="Times New Roman"/>
          <w:sz w:val="24"/>
          <w:szCs w:val="24"/>
        </w:rPr>
        <w:tab/>
      </w:r>
      <w:r w:rsidRPr="001B274F">
        <w:rPr>
          <w:rFonts w:ascii="Times New Roman" w:hAnsi="Times New Roman"/>
          <w:sz w:val="24"/>
          <w:szCs w:val="24"/>
          <w:u w:val="single"/>
        </w:rPr>
        <w:t>Consultation Outside the Agency</w:t>
      </w:r>
    </w:p>
    <w:p w14:paraId="0D6D0449" w14:textId="77777777" w:rsidR="001879E5" w:rsidRPr="001B274F" w:rsidRDefault="001879E5">
      <w:pPr>
        <w:tabs>
          <w:tab w:val="left" w:pos="-720"/>
          <w:tab w:val="left" w:pos="720"/>
          <w:tab w:val="right" w:pos="8677"/>
        </w:tabs>
        <w:rPr>
          <w:rFonts w:ascii="Times New Roman" w:hAnsi="Times New Roman"/>
          <w:sz w:val="24"/>
          <w:szCs w:val="24"/>
        </w:rPr>
      </w:pPr>
    </w:p>
    <w:p w14:paraId="3E1938AC" w14:textId="254D4EE9" w:rsidR="009B5A14" w:rsidRPr="001B274F" w:rsidRDefault="009B5A14" w:rsidP="009B5A14">
      <w:pPr>
        <w:tabs>
          <w:tab w:val="left" w:pos="-720"/>
        </w:tabs>
        <w:rPr>
          <w:rFonts w:ascii="Times New Roman" w:hAnsi="Times New Roman"/>
          <w:sz w:val="24"/>
          <w:szCs w:val="24"/>
        </w:rPr>
      </w:pPr>
      <w:r w:rsidRPr="00BF423F">
        <w:rPr>
          <w:rFonts w:ascii="Times New Roman" w:hAnsi="Times New Roman"/>
          <w:sz w:val="24"/>
          <w:szCs w:val="24"/>
        </w:rPr>
        <w:t>The notice required in 5 CFR 1320.8(d) was published</w:t>
      </w:r>
      <w:r w:rsidRPr="00BF423F">
        <w:rPr>
          <w:rFonts w:ascii="Times New Roman" w:hAnsi="Times New Roman"/>
          <w:b/>
          <w:bCs/>
          <w:sz w:val="24"/>
          <w:szCs w:val="24"/>
        </w:rPr>
        <w:t xml:space="preserve"> </w:t>
      </w:r>
      <w:r w:rsidRPr="00BF423F">
        <w:rPr>
          <w:rFonts w:ascii="Times New Roman" w:hAnsi="Times New Roman"/>
          <w:sz w:val="24"/>
          <w:szCs w:val="24"/>
        </w:rPr>
        <w:t xml:space="preserve">in the </w:t>
      </w:r>
      <w:r w:rsidRPr="00BF423F">
        <w:rPr>
          <w:rFonts w:ascii="Times New Roman" w:hAnsi="Times New Roman"/>
          <w:i/>
          <w:iCs/>
          <w:sz w:val="24"/>
          <w:szCs w:val="24"/>
        </w:rPr>
        <w:t>Federal Register</w:t>
      </w:r>
      <w:r w:rsidRPr="00BF423F">
        <w:rPr>
          <w:rFonts w:ascii="Times New Roman" w:hAnsi="Times New Roman"/>
          <w:sz w:val="24"/>
          <w:szCs w:val="24"/>
        </w:rPr>
        <w:t xml:space="preserve"> on </w:t>
      </w:r>
      <w:r w:rsidR="00BF423F" w:rsidRPr="00BF423F">
        <w:rPr>
          <w:rFonts w:ascii="Times New Roman" w:hAnsi="Times New Roman"/>
          <w:sz w:val="24"/>
          <w:szCs w:val="24"/>
        </w:rPr>
        <w:t>November 13, 2017, (Vol. 82, No.217, pages 52308-52309</w:t>
      </w:r>
      <w:r w:rsidRPr="00BF423F">
        <w:rPr>
          <w:rFonts w:ascii="Times New Roman" w:hAnsi="Times New Roman"/>
          <w:sz w:val="24"/>
          <w:szCs w:val="24"/>
        </w:rPr>
        <w:t>).</w:t>
      </w:r>
      <w:r w:rsidRPr="001B274F">
        <w:rPr>
          <w:rFonts w:ascii="Times New Roman" w:hAnsi="Times New Roman"/>
          <w:sz w:val="24"/>
          <w:szCs w:val="24"/>
        </w:rPr>
        <w:t xml:space="preserve">  No public comments were received.  </w:t>
      </w:r>
    </w:p>
    <w:p w14:paraId="1AADBA90" w14:textId="77777777" w:rsidR="009B5A14" w:rsidRPr="001B274F" w:rsidRDefault="009B5A14">
      <w:pPr>
        <w:tabs>
          <w:tab w:val="left" w:pos="-720"/>
        </w:tabs>
        <w:rPr>
          <w:rFonts w:ascii="Times New Roman" w:hAnsi="Times New Roman"/>
          <w:sz w:val="24"/>
          <w:szCs w:val="24"/>
        </w:rPr>
      </w:pPr>
    </w:p>
    <w:p w14:paraId="0D6D044C" w14:textId="77777777" w:rsidR="001879E5" w:rsidRPr="001B274F" w:rsidRDefault="001879E5">
      <w:pPr>
        <w:tabs>
          <w:tab w:val="left" w:pos="720"/>
          <w:tab w:val="right" w:pos="8677"/>
        </w:tabs>
        <w:rPr>
          <w:rFonts w:ascii="Times New Roman" w:hAnsi="Times New Roman"/>
          <w:sz w:val="24"/>
          <w:szCs w:val="24"/>
          <w:u w:val="single"/>
        </w:rPr>
      </w:pPr>
      <w:r w:rsidRPr="001B274F">
        <w:rPr>
          <w:rFonts w:ascii="Times New Roman" w:hAnsi="Times New Roman"/>
          <w:sz w:val="24"/>
          <w:szCs w:val="24"/>
        </w:rPr>
        <w:t>9.</w:t>
      </w:r>
      <w:r w:rsidRPr="001B274F">
        <w:rPr>
          <w:rFonts w:ascii="Times New Roman" w:hAnsi="Times New Roman"/>
          <w:sz w:val="24"/>
          <w:szCs w:val="24"/>
        </w:rPr>
        <w:tab/>
        <w:t xml:space="preserve"> </w:t>
      </w:r>
      <w:r w:rsidRPr="001B274F">
        <w:rPr>
          <w:rFonts w:ascii="Times New Roman" w:hAnsi="Times New Roman"/>
          <w:sz w:val="24"/>
          <w:szCs w:val="24"/>
          <w:u w:val="single"/>
        </w:rPr>
        <w:t>Remuneration of Respondents</w:t>
      </w:r>
    </w:p>
    <w:p w14:paraId="0D6D044D" w14:textId="77777777" w:rsidR="001879E5" w:rsidRPr="001B274F" w:rsidRDefault="001879E5">
      <w:pPr>
        <w:tabs>
          <w:tab w:val="left" w:pos="720"/>
          <w:tab w:val="right" w:pos="8677"/>
        </w:tabs>
        <w:rPr>
          <w:rFonts w:ascii="Times New Roman" w:hAnsi="Times New Roman"/>
          <w:sz w:val="24"/>
          <w:szCs w:val="24"/>
        </w:rPr>
      </w:pPr>
    </w:p>
    <w:p w14:paraId="2DD6093C" w14:textId="358595D6" w:rsidR="00A11ACD" w:rsidRPr="001B274F" w:rsidRDefault="00A11ACD">
      <w:pPr>
        <w:tabs>
          <w:tab w:val="left" w:pos="720"/>
          <w:tab w:val="right" w:pos="8677"/>
        </w:tabs>
        <w:rPr>
          <w:rFonts w:ascii="Times New Roman" w:hAnsi="Times New Roman"/>
          <w:sz w:val="24"/>
          <w:szCs w:val="24"/>
        </w:rPr>
      </w:pPr>
      <w:r w:rsidRPr="001B274F">
        <w:rPr>
          <w:rFonts w:ascii="Times New Roman" w:hAnsi="Times New Roman"/>
          <w:sz w:val="24"/>
          <w:szCs w:val="24"/>
        </w:rPr>
        <w:t>No remuneration is sought for this proposed data collection activity.</w:t>
      </w:r>
      <w:r w:rsidR="001B274F" w:rsidRPr="001B274F">
        <w:rPr>
          <w:rFonts w:ascii="Times New Roman" w:hAnsi="Times New Roman"/>
          <w:sz w:val="24"/>
          <w:szCs w:val="24"/>
        </w:rPr>
        <w:br/>
      </w:r>
    </w:p>
    <w:p w14:paraId="0D6D0452" w14:textId="77777777" w:rsidR="001879E5" w:rsidRPr="001B274F" w:rsidRDefault="001879E5">
      <w:pPr>
        <w:tabs>
          <w:tab w:val="left" w:pos="-720"/>
          <w:tab w:val="left" w:pos="720"/>
          <w:tab w:val="right" w:pos="8677"/>
        </w:tabs>
        <w:rPr>
          <w:rFonts w:ascii="Times New Roman" w:hAnsi="Times New Roman"/>
          <w:sz w:val="24"/>
          <w:szCs w:val="24"/>
          <w:u w:val="single"/>
        </w:rPr>
      </w:pPr>
      <w:r w:rsidRPr="001B274F">
        <w:rPr>
          <w:rFonts w:ascii="Times New Roman" w:hAnsi="Times New Roman"/>
          <w:sz w:val="24"/>
          <w:szCs w:val="24"/>
        </w:rPr>
        <w:t>10.</w:t>
      </w:r>
      <w:r w:rsidRPr="001B274F">
        <w:rPr>
          <w:rFonts w:ascii="Times New Roman" w:hAnsi="Times New Roman"/>
          <w:sz w:val="24"/>
          <w:szCs w:val="24"/>
        </w:rPr>
        <w:tab/>
      </w:r>
      <w:r w:rsidRPr="001B274F">
        <w:rPr>
          <w:rFonts w:ascii="Times New Roman" w:hAnsi="Times New Roman"/>
          <w:sz w:val="24"/>
          <w:szCs w:val="24"/>
          <w:u w:val="single"/>
        </w:rPr>
        <w:t>Assurance of Confidentiality</w:t>
      </w:r>
    </w:p>
    <w:p w14:paraId="0D6D0453" w14:textId="77777777" w:rsidR="001879E5" w:rsidRPr="000A1524" w:rsidRDefault="001879E5">
      <w:pPr>
        <w:tabs>
          <w:tab w:val="left" w:pos="-720"/>
          <w:tab w:val="left" w:pos="720"/>
          <w:tab w:val="right" w:pos="8677"/>
        </w:tabs>
        <w:rPr>
          <w:rFonts w:ascii="Times New Roman" w:hAnsi="Times New Roman"/>
          <w:sz w:val="24"/>
          <w:szCs w:val="24"/>
          <w:highlight w:val="yellow"/>
        </w:rPr>
      </w:pPr>
    </w:p>
    <w:p w14:paraId="0D6D0457" w14:textId="72659B6D" w:rsidR="008C13E2" w:rsidRPr="001B274F" w:rsidRDefault="001879E5" w:rsidP="00A11ACD">
      <w:pPr>
        <w:tabs>
          <w:tab w:val="left" w:pos="-720"/>
        </w:tabs>
        <w:rPr>
          <w:rFonts w:ascii="Times New Roman" w:hAnsi="Times New Roman"/>
          <w:sz w:val="24"/>
          <w:szCs w:val="24"/>
        </w:rPr>
      </w:pPr>
      <w:r w:rsidRPr="001B274F">
        <w:rPr>
          <w:rFonts w:ascii="Times New Roman" w:hAnsi="Times New Roman"/>
          <w:sz w:val="24"/>
          <w:szCs w:val="24"/>
        </w:rPr>
        <w:t>To date, the HRS</w:t>
      </w:r>
      <w:r w:rsidR="00BC6B01" w:rsidRPr="001B274F">
        <w:rPr>
          <w:rFonts w:ascii="Times New Roman" w:hAnsi="Times New Roman"/>
          <w:sz w:val="24"/>
          <w:szCs w:val="24"/>
        </w:rPr>
        <w:t xml:space="preserve">A customer satisfaction surveys </w:t>
      </w:r>
      <w:r w:rsidRPr="001B274F">
        <w:rPr>
          <w:rFonts w:ascii="Times New Roman" w:hAnsi="Times New Roman"/>
          <w:sz w:val="24"/>
          <w:szCs w:val="24"/>
        </w:rPr>
        <w:t>have not collected personally identifiable in</w:t>
      </w:r>
      <w:r w:rsidR="00C50E75" w:rsidRPr="001B274F">
        <w:rPr>
          <w:rFonts w:ascii="Times New Roman" w:hAnsi="Times New Roman"/>
          <w:sz w:val="24"/>
          <w:szCs w:val="24"/>
        </w:rPr>
        <w:t xml:space="preserve">formation from respondents.  </w:t>
      </w:r>
      <w:r w:rsidR="00A11ACD" w:rsidRPr="001B274F">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Pr="001B274F" w:rsidRDefault="001879E5">
      <w:pPr>
        <w:tabs>
          <w:tab w:val="left" w:pos="-720"/>
        </w:tabs>
        <w:rPr>
          <w:rFonts w:ascii="Times New Roman" w:hAnsi="Times New Roman"/>
          <w:sz w:val="24"/>
          <w:szCs w:val="24"/>
        </w:rPr>
      </w:pPr>
    </w:p>
    <w:p w14:paraId="0D6D0459" w14:textId="77777777" w:rsidR="001879E5" w:rsidRPr="001B274F" w:rsidRDefault="001879E5">
      <w:pPr>
        <w:tabs>
          <w:tab w:val="left" w:pos="-720"/>
          <w:tab w:val="left" w:pos="720"/>
          <w:tab w:val="right" w:pos="10080"/>
        </w:tabs>
        <w:rPr>
          <w:rFonts w:ascii="Times New Roman" w:hAnsi="Times New Roman"/>
          <w:sz w:val="24"/>
          <w:szCs w:val="24"/>
          <w:u w:val="single"/>
        </w:rPr>
      </w:pPr>
      <w:r w:rsidRPr="001B274F">
        <w:rPr>
          <w:rFonts w:ascii="Times New Roman" w:hAnsi="Times New Roman"/>
          <w:sz w:val="24"/>
          <w:szCs w:val="24"/>
        </w:rPr>
        <w:t>11.</w:t>
      </w:r>
      <w:r w:rsidRPr="001B274F">
        <w:rPr>
          <w:rFonts w:ascii="Times New Roman" w:hAnsi="Times New Roman"/>
          <w:sz w:val="24"/>
          <w:szCs w:val="24"/>
        </w:rPr>
        <w:tab/>
      </w:r>
      <w:r w:rsidRPr="001B274F">
        <w:rPr>
          <w:rFonts w:ascii="Times New Roman" w:hAnsi="Times New Roman"/>
          <w:sz w:val="24"/>
          <w:szCs w:val="24"/>
          <w:u w:val="single"/>
        </w:rPr>
        <w:t>Questions of a Sensitive Nature</w:t>
      </w:r>
    </w:p>
    <w:p w14:paraId="0D6D045A" w14:textId="77777777" w:rsidR="001879E5" w:rsidRPr="001B274F" w:rsidRDefault="001879E5">
      <w:pPr>
        <w:tabs>
          <w:tab w:val="left" w:pos="-720"/>
          <w:tab w:val="left" w:pos="720"/>
          <w:tab w:val="right" w:pos="10080"/>
        </w:tabs>
        <w:rPr>
          <w:rFonts w:ascii="Times New Roman" w:hAnsi="Times New Roman"/>
          <w:sz w:val="24"/>
          <w:szCs w:val="24"/>
        </w:rPr>
      </w:pPr>
    </w:p>
    <w:p w14:paraId="3F089909" w14:textId="47E3D273" w:rsidR="00A11ACD" w:rsidRPr="001B274F" w:rsidRDefault="00A11ACD">
      <w:pPr>
        <w:tabs>
          <w:tab w:val="left" w:pos="-720"/>
          <w:tab w:val="left" w:pos="720"/>
          <w:tab w:val="right" w:pos="10080"/>
        </w:tabs>
        <w:rPr>
          <w:rFonts w:ascii="Times New Roman" w:hAnsi="Times New Roman"/>
          <w:sz w:val="24"/>
          <w:szCs w:val="24"/>
        </w:rPr>
      </w:pPr>
      <w:r w:rsidRPr="001B274F">
        <w:rPr>
          <w:rFonts w:ascii="Times New Roman" w:hAnsi="Times New Roman"/>
          <w:sz w:val="24"/>
          <w:szCs w:val="24"/>
        </w:rPr>
        <w:t>No questions of a sensitive nature will be asked as part of this proposed data collection activity.</w:t>
      </w:r>
    </w:p>
    <w:p w14:paraId="0D6D0461" w14:textId="77777777" w:rsidR="001879E5" w:rsidRPr="001B274F" w:rsidRDefault="00896384" w:rsidP="00896384">
      <w:pPr>
        <w:tabs>
          <w:tab w:val="left" w:pos="-720"/>
          <w:tab w:val="left" w:pos="1575"/>
        </w:tabs>
        <w:rPr>
          <w:rFonts w:ascii="Times New Roman" w:hAnsi="Times New Roman"/>
          <w:sz w:val="24"/>
          <w:szCs w:val="24"/>
        </w:rPr>
      </w:pPr>
      <w:r w:rsidRPr="001B274F">
        <w:rPr>
          <w:rFonts w:ascii="Times New Roman" w:hAnsi="Times New Roman"/>
          <w:sz w:val="24"/>
          <w:szCs w:val="24"/>
        </w:rPr>
        <w:tab/>
      </w:r>
    </w:p>
    <w:p w14:paraId="0D6D0462" w14:textId="77777777" w:rsidR="001879E5" w:rsidRPr="001B274F" w:rsidRDefault="001879E5">
      <w:pPr>
        <w:tabs>
          <w:tab w:val="left" w:pos="-720"/>
          <w:tab w:val="left" w:pos="720"/>
          <w:tab w:val="right" w:pos="10080"/>
        </w:tabs>
        <w:rPr>
          <w:rFonts w:ascii="Times New Roman" w:hAnsi="Times New Roman"/>
          <w:sz w:val="24"/>
          <w:szCs w:val="24"/>
          <w:u w:val="single"/>
        </w:rPr>
      </w:pPr>
      <w:r w:rsidRPr="001B274F">
        <w:rPr>
          <w:rFonts w:ascii="Times New Roman" w:hAnsi="Times New Roman"/>
          <w:sz w:val="24"/>
          <w:szCs w:val="24"/>
        </w:rPr>
        <w:t>12.</w:t>
      </w:r>
      <w:r w:rsidRPr="001B274F">
        <w:rPr>
          <w:rFonts w:ascii="Times New Roman" w:hAnsi="Times New Roman"/>
          <w:sz w:val="24"/>
          <w:szCs w:val="24"/>
        </w:rPr>
        <w:tab/>
      </w:r>
      <w:r w:rsidRPr="001B274F">
        <w:rPr>
          <w:rFonts w:ascii="Times New Roman" w:hAnsi="Times New Roman"/>
          <w:sz w:val="24"/>
          <w:szCs w:val="24"/>
          <w:u w:val="single"/>
        </w:rPr>
        <w:t>Estimates of Annualized Hour Burden</w:t>
      </w:r>
    </w:p>
    <w:p w14:paraId="0D6D0463" w14:textId="77777777" w:rsidR="001879E5" w:rsidRPr="000A1524" w:rsidRDefault="001879E5">
      <w:pPr>
        <w:tabs>
          <w:tab w:val="left" w:pos="-720"/>
          <w:tab w:val="left" w:pos="720"/>
          <w:tab w:val="right" w:pos="10080"/>
        </w:tabs>
        <w:rPr>
          <w:rFonts w:ascii="Times New Roman" w:hAnsi="Times New Roman"/>
          <w:sz w:val="24"/>
          <w:szCs w:val="24"/>
          <w:highlight w:val="yellow"/>
          <w:u w:val="single"/>
        </w:rPr>
      </w:pPr>
    </w:p>
    <w:p w14:paraId="0D6D0464" w14:textId="77777777" w:rsidR="00176576" w:rsidRPr="001B274F" w:rsidRDefault="00176576" w:rsidP="00176576">
      <w:pPr>
        <w:pStyle w:val="NormalSS"/>
        <w:ind w:firstLine="0"/>
        <w:jc w:val="left"/>
        <w:rPr>
          <w:i/>
          <w:iCs/>
          <w:szCs w:val="24"/>
        </w:rPr>
      </w:pPr>
      <w:r w:rsidRPr="001B274F">
        <w:rPr>
          <w:i/>
          <w:iCs/>
          <w:szCs w:val="24"/>
        </w:rPr>
        <w:t>Respondents</w:t>
      </w:r>
      <w:r w:rsidR="0033551D" w:rsidRPr="001B274F">
        <w:rPr>
          <w:i/>
          <w:iCs/>
          <w:szCs w:val="24"/>
        </w:rPr>
        <w:t>:</w:t>
      </w:r>
    </w:p>
    <w:p w14:paraId="59EF06D0" w14:textId="555ABA7E" w:rsidR="00450C56" w:rsidRPr="007F52F7" w:rsidRDefault="00A11ACD" w:rsidP="00176576">
      <w:pPr>
        <w:pStyle w:val="NormalSS"/>
        <w:ind w:firstLine="0"/>
        <w:jc w:val="left"/>
        <w:rPr>
          <w:szCs w:val="24"/>
        </w:rPr>
      </w:pPr>
      <w:r w:rsidRPr="007F52F7">
        <w:rPr>
          <w:szCs w:val="24"/>
        </w:rPr>
        <w:t>Respondents include participants in</w:t>
      </w:r>
      <w:r w:rsidR="00C72C00" w:rsidRPr="007F52F7">
        <w:rPr>
          <w:szCs w:val="24"/>
        </w:rPr>
        <w:t xml:space="preserve"> ongoing</w:t>
      </w:r>
      <w:r w:rsidRPr="007F52F7">
        <w:rPr>
          <w:szCs w:val="24"/>
        </w:rPr>
        <w:t xml:space="preserve"> </w:t>
      </w:r>
      <w:r w:rsidR="001B274F" w:rsidRPr="007F52F7">
        <w:rPr>
          <w:szCs w:val="24"/>
        </w:rPr>
        <w:t xml:space="preserve">DPDB </w:t>
      </w:r>
      <w:r w:rsidR="007613E7" w:rsidRPr="007F52F7">
        <w:rPr>
          <w:szCs w:val="24"/>
        </w:rPr>
        <w:t>webcast</w:t>
      </w:r>
      <w:r w:rsidRPr="007F52F7">
        <w:rPr>
          <w:szCs w:val="24"/>
        </w:rPr>
        <w:t xml:space="preserve"> activities.  </w:t>
      </w:r>
      <w:r w:rsidR="00874A63" w:rsidRPr="007F52F7">
        <w:rPr>
          <w:szCs w:val="24"/>
        </w:rPr>
        <w:t>HRSA</w:t>
      </w:r>
      <w:r w:rsidRPr="007F52F7">
        <w:rPr>
          <w:szCs w:val="24"/>
        </w:rPr>
        <w:t xml:space="preserve"> estimates that approximately </w:t>
      </w:r>
      <w:r w:rsidR="001B274F" w:rsidRPr="007F52F7">
        <w:rPr>
          <w:szCs w:val="24"/>
        </w:rPr>
        <w:t>6</w:t>
      </w:r>
      <w:r w:rsidR="00074988" w:rsidRPr="007F52F7">
        <w:rPr>
          <w:szCs w:val="24"/>
        </w:rPr>
        <w:t xml:space="preserve"> </w:t>
      </w:r>
      <w:r w:rsidR="001B274F" w:rsidRPr="007F52F7">
        <w:rPr>
          <w:szCs w:val="24"/>
        </w:rPr>
        <w:t xml:space="preserve">DPDB </w:t>
      </w:r>
      <w:r w:rsidR="007613E7" w:rsidRPr="007F52F7">
        <w:rPr>
          <w:szCs w:val="24"/>
        </w:rPr>
        <w:t>webcast</w:t>
      </w:r>
      <w:r w:rsidRPr="007F52F7">
        <w:rPr>
          <w:szCs w:val="24"/>
        </w:rPr>
        <w:t xml:space="preserve"> activities will occur annually </w:t>
      </w:r>
      <w:r w:rsidR="00450C56" w:rsidRPr="007F52F7">
        <w:rPr>
          <w:szCs w:val="24"/>
        </w:rPr>
        <w:t xml:space="preserve">with an average participation of </w:t>
      </w:r>
      <w:r w:rsidR="001B274F" w:rsidRPr="007F52F7">
        <w:rPr>
          <w:szCs w:val="24"/>
        </w:rPr>
        <w:t>100</w:t>
      </w:r>
      <w:r w:rsidR="00F87FAD" w:rsidRPr="007F52F7">
        <w:rPr>
          <w:szCs w:val="24"/>
        </w:rPr>
        <w:t xml:space="preserve"> </w:t>
      </w:r>
      <w:r w:rsidR="00450C56" w:rsidRPr="007F52F7">
        <w:rPr>
          <w:szCs w:val="24"/>
        </w:rPr>
        <w:t xml:space="preserve">participants </w:t>
      </w:r>
      <w:r w:rsidR="002F2742" w:rsidRPr="007F52F7">
        <w:rPr>
          <w:szCs w:val="24"/>
        </w:rPr>
        <w:t xml:space="preserve">each </w:t>
      </w:r>
      <w:r w:rsidRPr="007F52F7">
        <w:rPr>
          <w:szCs w:val="24"/>
        </w:rPr>
        <w:t xml:space="preserve">and </w:t>
      </w:r>
      <w:r w:rsidR="00450C56" w:rsidRPr="007F52F7">
        <w:rPr>
          <w:szCs w:val="24"/>
        </w:rPr>
        <w:t>an</w:t>
      </w:r>
      <w:r w:rsidRPr="007F52F7">
        <w:rPr>
          <w:szCs w:val="24"/>
        </w:rPr>
        <w:t xml:space="preserve"> average time to complete the TA feedback and satisfaction survey </w:t>
      </w:r>
      <w:r w:rsidR="00450C56" w:rsidRPr="007F52F7">
        <w:rPr>
          <w:szCs w:val="24"/>
        </w:rPr>
        <w:t>of</w:t>
      </w:r>
      <w:r w:rsidRPr="007F52F7">
        <w:rPr>
          <w:szCs w:val="24"/>
        </w:rPr>
        <w:t xml:space="preserve"> </w:t>
      </w:r>
      <w:r w:rsidR="00450C56" w:rsidRPr="007F52F7">
        <w:rPr>
          <w:szCs w:val="24"/>
        </w:rPr>
        <w:t>0.</w:t>
      </w:r>
      <w:r w:rsidR="001B274F" w:rsidRPr="007F52F7">
        <w:rPr>
          <w:szCs w:val="24"/>
        </w:rPr>
        <w:t>166</w:t>
      </w:r>
      <w:r w:rsidR="00450C56" w:rsidRPr="007F52F7">
        <w:rPr>
          <w:szCs w:val="24"/>
        </w:rPr>
        <w:t xml:space="preserve"> hours.</w:t>
      </w:r>
      <w:r w:rsidR="00F664F3" w:rsidRPr="007F52F7">
        <w:rPr>
          <w:szCs w:val="24"/>
        </w:rPr>
        <w:t xml:space="preserve">  The total annual burden estimate for respondents is </w:t>
      </w:r>
      <w:r w:rsidR="001B274F" w:rsidRPr="007F52F7">
        <w:rPr>
          <w:szCs w:val="24"/>
        </w:rPr>
        <w:t>99.6</w:t>
      </w:r>
      <w:r w:rsidR="00F664F3" w:rsidRPr="007F52F7">
        <w:rPr>
          <w:szCs w:val="24"/>
        </w:rPr>
        <w:t xml:space="preserve"> hours.</w:t>
      </w:r>
    </w:p>
    <w:p w14:paraId="12985515" w14:textId="77777777" w:rsidR="00450C56" w:rsidRPr="00D63D78" w:rsidRDefault="00450C56" w:rsidP="00176576">
      <w:pPr>
        <w:pStyle w:val="NormalSS"/>
        <w:ind w:firstLine="0"/>
        <w:jc w:val="left"/>
        <w:rPr>
          <w:szCs w:val="24"/>
          <w:highlight w:val="yellow"/>
        </w:rPr>
      </w:pPr>
    </w:p>
    <w:p w14:paraId="6CE14689" w14:textId="77777777" w:rsidR="00802A88" w:rsidRPr="000A1524" w:rsidRDefault="00802A88" w:rsidP="00176576">
      <w:pPr>
        <w:pStyle w:val="NormalSS"/>
        <w:ind w:firstLine="0"/>
        <w:jc w:val="left"/>
        <w:rPr>
          <w:i/>
          <w:iCs/>
          <w:szCs w:val="24"/>
          <w:highlight w:val="yellow"/>
        </w:rPr>
      </w:pPr>
    </w:p>
    <w:p w14:paraId="0D6D046B" w14:textId="4883649A" w:rsidR="00176576" w:rsidRPr="00655C6D" w:rsidRDefault="00176576" w:rsidP="00176576">
      <w:pPr>
        <w:pStyle w:val="NormalSS"/>
        <w:ind w:firstLine="0"/>
        <w:jc w:val="left"/>
        <w:rPr>
          <w:i/>
          <w:iCs/>
          <w:szCs w:val="24"/>
        </w:rPr>
      </w:pPr>
      <w:r w:rsidRPr="00655C6D">
        <w:rPr>
          <w:i/>
          <w:iCs/>
          <w:szCs w:val="24"/>
        </w:rPr>
        <w:t>Annual burden estimates</w:t>
      </w:r>
      <w:r w:rsidR="0033551D" w:rsidRPr="00655C6D">
        <w:rPr>
          <w:i/>
          <w:iCs/>
          <w:szCs w:val="24"/>
        </w:rPr>
        <w:t>:</w:t>
      </w:r>
    </w:p>
    <w:tbl>
      <w:tblPr>
        <w:tblW w:w="11520" w:type="dxa"/>
        <w:jc w:val="center"/>
        <w:tblLayout w:type="fixed"/>
        <w:tblLook w:val="04A0" w:firstRow="1" w:lastRow="0" w:firstColumn="1" w:lastColumn="0" w:noHBand="0" w:noVBand="1"/>
      </w:tblPr>
      <w:tblGrid>
        <w:gridCol w:w="1440"/>
        <w:gridCol w:w="1440"/>
        <w:gridCol w:w="1440"/>
        <w:gridCol w:w="1440"/>
        <w:gridCol w:w="1440"/>
        <w:gridCol w:w="1440"/>
        <w:gridCol w:w="1440"/>
        <w:gridCol w:w="1440"/>
      </w:tblGrid>
      <w:tr w:rsidR="00F87FAD" w:rsidRPr="00655C6D" w14:paraId="6881E85A" w14:textId="77777777" w:rsidTr="00016EEE">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4AB68" w14:textId="77777777" w:rsidR="00552384" w:rsidRPr="00655C6D" w:rsidRDefault="00552384" w:rsidP="00552384">
            <w:pPr>
              <w:widowControl/>
              <w:autoSpaceDE/>
              <w:autoSpaceDN/>
              <w:adjustRightInd/>
              <w:rPr>
                <w:rFonts w:ascii="Times New Roman" w:hAnsi="Times New Roman"/>
                <w:color w:val="000000"/>
                <w:sz w:val="22"/>
                <w:szCs w:val="22"/>
              </w:rPr>
            </w:pPr>
            <w:r w:rsidRPr="00655C6D">
              <w:rPr>
                <w:rFonts w:ascii="Times New Roman" w:hAnsi="Times New Roman"/>
                <w:color w:val="000000"/>
                <w:sz w:val="22"/>
                <w:szCs w:val="22"/>
              </w:rPr>
              <w:t>Type of Collection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A0A853" w14:textId="63554ECC"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sz w:val="22"/>
                <w:szCs w:val="22"/>
              </w:rPr>
              <w:t>Number of Respondents</w:t>
            </w:r>
            <w:r w:rsidRPr="00655C6D">
              <w:rPr>
                <w:rStyle w:val="FootnoteReference"/>
                <w:rFonts w:ascii="Times New Roman" w:hAnsi="Times New Roman"/>
                <w:sz w:val="22"/>
                <w:szCs w:val="22"/>
              </w:rPr>
              <w:footnoteReference w:id="1"/>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8662F13" w14:textId="77777777"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Responses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28CB37" w14:textId="77777777"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Total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F08C942" w14:textId="77777777"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Hours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1DBF5E" w14:textId="77777777"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Total Burden Hours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343638C" w14:textId="54784E6B"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sz w:val="22"/>
                <w:szCs w:val="22"/>
              </w:rPr>
              <w:t>Wage Rate</w:t>
            </w:r>
            <w:r w:rsidRPr="00655C6D">
              <w:rPr>
                <w:rStyle w:val="FootnoteReference"/>
                <w:rFonts w:ascii="Times New Roman" w:hAnsi="Times New Roman"/>
                <w:sz w:val="22"/>
                <w:szCs w:val="22"/>
              </w:rPr>
              <w:footnoteReference w:id="2"/>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B4EC901" w14:textId="77777777" w:rsidR="00552384" w:rsidRPr="00655C6D" w:rsidRDefault="00552384"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Total Hour Cost</w:t>
            </w:r>
          </w:p>
        </w:tc>
      </w:tr>
      <w:tr w:rsidR="00F87FAD" w:rsidRPr="00655C6D" w14:paraId="6CA7691B"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ABBBF5A" w14:textId="4A7B207C" w:rsidR="00552384" w:rsidRPr="00655C6D" w:rsidRDefault="007613E7" w:rsidP="00552384">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Webcast</w:t>
            </w:r>
            <w:r w:rsidR="00552384" w:rsidRPr="00655C6D">
              <w:rPr>
                <w:rFonts w:ascii="Times New Roman" w:hAnsi="Times New Roman"/>
                <w:color w:val="000000"/>
                <w:sz w:val="22"/>
                <w:szCs w:val="22"/>
              </w:rPr>
              <w:t xml:space="preserve"> Survey</w:t>
            </w:r>
          </w:p>
        </w:tc>
        <w:tc>
          <w:tcPr>
            <w:tcW w:w="1440" w:type="dxa"/>
            <w:tcBorders>
              <w:top w:val="nil"/>
              <w:left w:val="nil"/>
              <w:bottom w:val="single" w:sz="4" w:space="0" w:color="auto"/>
              <w:right w:val="single" w:sz="4" w:space="0" w:color="auto"/>
            </w:tcBorders>
            <w:shd w:val="clear" w:color="auto" w:fill="auto"/>
            <w:vAlign w:val="center"/>
            <w:hideMark/>
          </w:tcPr>
          <w:p w14:paraId="6FA8C6CB" w14:textId="68E39AD4" w:rsidR="00552384" w:rsidRPr="00655C6D" w:rsidRDefault="005E4248"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600</w:t>
            </w:r>
          </w:p>
        </w:tc>
        <w:tc>
          <w:tcPr>
            <w:tcW w:w="1440" w:type="dxa"/>
            <w:tcBorders>
              <w:top w:val="nil"/>
              <w:left w:val="nil"/>
              <w:bottom w:val="single" w:sz="4" w:space="0" w:color="auto"/>
              <w:right w:val="single" w:sz="4" w:space="0" w:color="auto"/>
            </w:tcBorders>
            <w:shd w:val="clear" w:color="auto" w:fill="auto"/>
            <w:vAlign w:val="center"/>
            <w:hideMark/>
          </w:tcPr>
          <w:p w14:paraId="38DF578D" w14:textId="29CB0BEE" w:rsidR="00552384" w:rsidRPr="00655C6D" w:rsidRDefault="005E4248" w:rsidP="00286D3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6B2E9529" w14:textId="2178682C" w:rsidR="00552384" w:rsidRPr="00655C6D" w:rsidRDefault="007F52F7" w:rsidP="005E424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440" w:type="dxa"/>
            <w:tcBorders>
              <w:top w:val="nil"/>
              <w:left w:val="nil"/>
              <w:bottom w:val="single" w:sz="4" w:space="0" w:color="auto"/>
              <w:right w:val="single" w:sz="4" w:space="0" w:color="auto"/>
            </w:tcBorders>
            <w:shd w:val="clear" w:color="auto" w:fill="auto"/>
            <w:vAlign w:val="center"/>
            <w:hideMark/>
          </w:tcPr>
          <w:p w14:paraId="751D3709" w14:textId="7605E9D4" w:rsidR="00552384" w:rsidRPr="00655C6D" w:rsidRDefault="00552384" w:rsidP="005E4248">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0.</w:t>
            </w:r>
            <w:r w:rsidR="005E4248" w:rsidRPr="00655C6D">
              <w:rPr>
                <w:rFonts w:ascii="Times New Roman" w:hAnsi="Times New Roman"/>
                <w:color w:val="000000"/>
                <w:sz w:val="22"/>
                <w:szCs w:val="22"/>
              </w:rPr>
              <w:t>166</w:t>
            </w:r>
          </w:p>
        </w:tc>
        <w:tc>
          <w:tcPr>
            <w:tcW w:w="1440" w:type="dxa"/>
            <w:tcBorders>
              <w:top w:val="nil"/>
              <w:left w:val="nil"/>
              <w:bottom w:val="single" w:sz="4" w:space="0" w:color="auto"/>
              <w:right w:val="single" w:sz="4" w:space="0" w:color="auto"/>
            </w:tcBorders>
            <w:shd w:val="clear" w:color="auto" w:fill="auto"/>
            <w:vAlign w:val="center"/>
            <w:hideMark/>
          </w:tcPr>
          <w:p w14:paraId="7CD538E5" w14:textId="6DEFCD12" w:rsidR="00552384" w:rsidRPr="00655C6D" w:rsidRDefault="005E4248" w:rsidP="005E4248">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99.6</w:t>
            </w:r>
          </w:p>
        </w:tc>
        <w:tc>
          <w:tcPr>
            <w:tcW w:w="1440" w:type="dxa"/>
            <w:tcBorders>
              <w:top w:val="nil"/>
              <w:left w:val="nil"/>
              <w:bottom w:val="single" w:sz="4" w:space="0" w:color="auto"/>
              <w:right w:val="single" w:sz="4" w:space="0" w:color="auto"/>
            </w:tcBorders>
            <w:shd w:val="clear" w:color="auto" w:fill="auto"/>
            <w:vAlign w:val="center"/>
            <w:hideMark/>
          </w:tcPr>
          <w:p w14:paraId="1AF4A74C" w14:textId="6B4654E7" w:rsidR="00552384" w:rsidRPr="00655C6D" w:rsidRDefault="00655C6D" w:rsidP="00552384">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$28.53</w:t>
            </w:r>
            <w:r w:rsidR="00552384" w:rsidRPr="00655C6D">
              <w:rPr>
                <w:rFonts w:ascii="Times New Roman" w:hAnsi="Times New Roman"/>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36C2DD0F" w14:textId="4FB188D8" w:rsidR="00552384" w:rsidRPr="00655C6D" w:rsidRDefault="00552384" w:rsidP="00655C6D">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w:t>
            </w:r>
            <w:r w:rsidR="00655C6D" w:rsidRPr="00655C6D">
              <w:rPr>
                <w:rFonts w:ascii="Times New Roman" w:hAnsi="Times New Roman"/>
                <w:color w:val="000000"/>
                <w:sz w:val="22"/>
                <w:szCs w:val="22"/>
              </w:rPr>
              <w:t>2,841.59</w:t>
            </w:r>
            <w:r w:rsidRPr="00655C6D">
              <w:rPr>
                <w:rFonts w:ascii="Times New Roman" w:hAnsi="Times New Roman"/>
                <w:color w:val="000000"/>
                <w:sz w:val="22"/>
                <w:szCs w:val="22"/>
              </w:rPr>
              <w:t xml:space="preserve"> </w:t>
            </w:r>
          </w:p>
        </w:tc>
      </w:tr>
      <w:tr w:rsidR="00F87FAD" w:rsidRPr="00655C6D" w14:paraId="2D5A7FED"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tcPr>
          <w:p w14:paraId="062292C5" w14:textId="3719B5F0" w:rsidR="00D273B9" w:rsidRPr="00655C6D" w:rsidRDefault="00D273B9" w:rsidP="00D273B9">
            <w:pPr>
              <w:widowControl/>
              <w:autoSpaceDE/>
              <w:autoSpaceDN/>
              <w:adjustRightInd/>
              <w:rPr>
                <w:rFonts w:ascii="Times New Roman" w:hAnsi="Times New Roman"/>
                <w:color w:val="000000"/>
                <w:sz w:val="22"/>
                <w:szCs w:val="22"/>
              </w:rPr>
            </w:pPr>
            <w:r w:rsidRPr="00655C6D">
              <w:rPr>
                <w:rFonts w:ascii="Times New Roman" w:hAnsi="Times New Roman"/>
                <w:color w:val="000000"/>
                <w:sz w:val="22"/>
                <w:szCs w:val="22"/>
              </w:rPr>
              <w:t> </w:t>
            </w:r>
            <w:r w:rsidR="00F82F9B" w:rsidRPr="00655C6D">
              <w:rPr>
                <w:rFonts w:ascii="Times New Roman" w:hAnsi="Times New Roman"/>
                <w:color w:val="000000"/>
                <w:sz w:val="22"/>
                <w:szCs w:val="22"/>
              </w:rPr>
              <w:t>Total</w:t>
            </w:r>
          </w:p>
        </w:tc>
        <w:tc>
          <w:tcPr>
            <w:tcW w:w="1440" w:type="dxa"/>
            <w:tcBorders>
              <w:top w:val="nil"/>
              <w:left w:val="nil"/>
              <w:bottom w:val="single" w:sz="4" w:space="0" w:color="auto"/>
              <w:right w:val="single" w:sz="4" w:space="0" w:color="auto"/>
            </w:tcBorders>
            <w:shd w:val="clear" w:color="auto" w:fill="auto"/>
            <w:vAlign w:val="center"/>
          </w:tcPr>
          <w:p w14:paraId="77654F2D" w14:textId="72625FD4" w:rsidR="00D273B9" w:rsidRPr="00655C6D" w:rsidRDefault="005E4248" w:rsidP="00D273B9">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600</w:t>
            </w:r>
          </w:p>
        </w:tc>
        <w:tc>
          <w:tcPr>
            <w:tcW w:w="1440" w:type="dxa"/>
            <w:tcBorders>
              <w:top w:val="nil"/>
              <w:left w:val="nil"/>
              <w:bottom w:val="single" w:sz="4" w:space="0" w:color="auto"/>
              <w:right w:val="single" w:sz="4" w:space="0" w:color="auto"/>
            </w:tcBorders>
            <w:shd w:val="clear" w:color="auto" w:fill="auto"/>
            <w:vAlign w:val="center"/>
          </w:tcPr>
          <w:p w14:paraId="049B79B9" w14:textId="0F054DAC" w:rsidR="00D273B9" w:rsidRPr="00655C6D" w:rsidRDefault="00D273B9" w:rsidP="00D273B9">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tcPr>
          <w:p w14:paraId="5B9951CC" w14:textId="768E8D16" w:rsidR="00D273B9" w:rsidRPr="00655C6D" w:rsidRDefault="007F52F7" w:rsidP="0074022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w:t>
            </w:r>
            <w:r w:rsidR="005E4248" w:rsidRPr="00655C6D">
              <w:rPr>
                <w:rFonts w:ascii="Times New Roman" w:hAnsi="Times New Roman"/>
                <w:color w:val="000000"/>
                <w:sz w:val="22"/>
                <w:szCs w:val="22"/>
              </w:rPr>
              <w:t>00</w:t>
            </w:r>
          </w:p>
        </w:tc>
        <w:tc>
          <w:tcPr>
            <w:tcW w:w="1440" w:type="dxa"/>
            <w:tcBorders>
              <w:top w:val="nil"/>
              <w:left w:val="nil"/>
              <w:bottom w:val="single" w:sz="4" w:space="0" w:color="auto"/>
              <w:right w:val="single" w:sz="4" w:space="0" w:color="auto"/>
            </w:tcBorders>
            <w:shd w:val="clear" w:color="auto" w:fill="auto"/>
            <w:vAlign w:val="center"/>
          </w:tcPr>
          <w:p w14:paraId="23E3E3AA" w14:textId="50B80D9A" w:rsidR="00D273B9" w:rsidRPr="00655C6D" w:rsidRDefault="00D273B9" w:rsidP="00D273B9">
            <w:pPr>
              <w:widowControl/>
              <w:autoSpaceDE/>
              <w:autoSpaceDN/>
              <w:adjustRightInd/>
              <w:jc w:val="center"/>
              <w:rPr>
                <w:rFonts w:ascii="Times New Roman" w:hAnsi="Times New Roman"/>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8A1C174" w14:textId="1A7F85C4" w:rsidR="00D273B9" w:rsidRPr="00655C6D" w:rsidRDefault="005E4248" w:rsidP="00D273B9">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99.6</w:t>
            </w:r>
          </w:p>
        </w:tc>
        <w:tc>
          <w:tcPr>
            <w:tcW w:w="1440" w:type="dxa"/>
            <w:tcBorders>
              <w:top w:val="nil"/>
              <w:left w:val="nil"/>
              <w:bottom w:val="single" w:sz="4" w:space="0" w:color="auto"/>
              <w:right w:val="single" w:sz="4" w:space="0" w:color="auto"/>
            </w:tcBorders>
            <w:shd w:val="clear" w:color="auto" w:fill="auto"/>
            <w:vAlign w:val="center"/>
          </w:tcPr>
          <w:p w14:paraId="70877107" w14:textId="54C65FDC" w:rsidR="00D273B9" w:rsidRPr="00655C6D" w:rsidRDefault="00D273B9" w:rsidP="00D273B9">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tcPr>
          <w:p w14:paraId="17081D58" w14:textId="57606A90" w:rsidR="00D273B9" w:rsidRPr="00655C6D" w:rsidRDefault="00D273B9" w:rsidP="005E4248">
            <w:pPr>
              <w:widowControl/>
              <w:autoSpaceDE/>
              <w:autoSpaceDN/>
              <w:adjustRightInd/>
              <w:jc w:val="center"/>
              <w:rPr>
                <w:rFonts w:ascii="Times New Roman" w:hAnsi="Times New Roman"/>
                <w:color w:val="000000"/>
                <w:sz w:val="22"/>
                <w:szCs w:val="22"/>
              </w:rPr>
            </w:pPr>
            <w:r w:rsidRPr="00655C6D">
              <w:rPr>
                <w:rFonts w:ascii="Times New Roman" w:hAnsi="Times New Roman"/>
                <w:color w:val="000000"/>
                <w:sz w:val="22"/>
                <w:szCs w:val="22"/>
              </w:rPr>
              <w:t xml:space="preserve">$ </w:t>
            </w:r>
            <w:r w:rsidR="00655C6D" w:rsidRPr="00655C6D">
              <w:rPr>
                <w:rFonts w:ascii="Times New Roman" w:hAnsi="Times New Roman"/>
                <w:color w:val="000000"/>
                <w:sz w:val="22"/>
                <w:szCs w:val="22"/>
              </w:rPr>
              <w:t>2,841.59</w:t>
            </w:r>
          </w:p>
        </w:tc>
      </w:tr>
    </w:tbl>
    <w:p w14:paraId="73B743BB" w14:textId="77777777" w:rsidR="00552384" w:rsidRPr="00655C6D" w:rsidRDefault="00552384" w:rsidP="00176576">
      <w:pPr>
        <w:pStyle w:val="NormalSS"/>
        <w:ind w:firstLine="0"/>
        <w:jc w:val="left"/>
        <w:rPr>
          <w:szCs w:val="24"/>
        </w:rPr>
      </w:pPr>
    </w:p>
    <w:p w14:paraId="0D6D046C" w14:textId="77777777" w:rsidR="00176576" w:rsidRPr="00655C6D" w:rsidRDefault="00176576" w:rsidP="00176576">
      <w:pPr>
        <w:pStyle w:val="NormalSS"/>
        <w:ind w:firstLine="0"/>
        <w:jc w:val="left"/>
        <w:rPr>
          <w:szCs w:val="24"/>
        </w:rPr>
      </w:pPr>
    </w:p>
    <w:p w14:paraId="0D6D048A" w14:textId="1F8368CD" w:rsidR="00FA4FEE" w:rsidRPr="00655C6D" w:rsidRDefault="00802A88" w:rsidP="00176576">
      <w:pPr>
        <w:pStyle w:val="NormalSS"/>
        <w:ind w:firstLine="0"/>
        <w:jc w:val="left"/>
        <w:rPr>
          <w:szCs w:val="24"/>
        </w:rPr>
      </w:pPr>
      <w:r w:rsidRPr="00655C6D">
        <w:rPr>
          <w:szCs w:val="24"/>
        </w:rPr>
        <w:t xml:space="preserve">The annual burden estimate table summarizes the number of respondents per year per form (note that respondents do not represent an unduplicated count as the same respondent may participate in multiple </w:t>
      </w:r>
      <w:r w:rsidR="005E4248" w:rsidRPr="00655C6D">
        <w:rPr>
          <w:szCs w:val="24"/>
        </w:rPr>
        <w:t>education and outreach</w:t>
      </w:r>
      <w:r w:rsidRPr="00655C6D">
        <w:rPr>
          <w:szCs w:val="24"/>
        </w:rPr>
        <w:t xml:space="preserve"> activities per year).</w:t>
      </w:r>
    </w:p>
    <w:p w14:paraId="6A45EC56" w14:textId="77777777" w:rsidR="00802A88" w:rsidRPr="00655C6D" w:rsidRDefault="00802A88" w:rsidP="00176576">
      <w:pPr>
        <w:pStyle w:val="NormalSS"/>
        <w:ind w:firstLine="0"/>
        <w:jc w:val="left"/>
        <w:rPr>
          <w:szCs w:val="24"/>
        </w:rPr>
      </w:pPr>
    </w:p>
    <w:p w14:paraId="0D6D048B" w14:textId="77777777" w:rsidR="00176576" w:rsidRPr="00655C6D" w:rsidRDefault="00176576" w:rsidP="00176576">
      <w:pPr>
        <w:pStyle w:val="NormalSS"/>
        <w:ind w:firstLine="0"/>
        <w:jc w:val="left"/>
        <w:rPr>
          <w:i/>
          <w:szCs w:val="24"/>
        </w:rPr>
      </w:pPr>
      <w:r w:rsidRPr="00655C6D">
        <w:rPr>
          <w:i/>
          <w:szCs w:val="24"/>
        </w:rPr>
        <w:t>Planned frequency of information collection</w:t>
      </w:r>
      <w:r w:rsidR="0033551D" w:rsidRPr="00655C6D">
        <w:rPr>
          <w:i/>
          <w:szCs w:val="24"/>
        </w:rPr>
        <w:t>:</w:t>
      </w:r>
    </w:p>
    <w:p w14:paraId="0601F2AF" w14:textId="77777777" w:rsidR="00802A88" w:rsidRPr="00655C6D" w:rsidRDefault="00802A88" w:rsidP="00176576">
      <w:pPr>
        <w:pStyle w:val="NormalSS"/>
        <w:ind w:firstLine="0"/>
        <w:jc w:val="left"/>
        <w:rPr>
          <w:i/>
          <w:szCs w:val="24"/>
        </w:rPr>
      </w:pPr>
    </w:p>
    <w:p w14:paraId="13C7E8F6" w14:textId="36DD1010" w:rsidR="00802A88" w:rsidRPr="00655C6D" w:rsidRDefault="00802A88" w:rsidP="00176576">
      <w:pPr>
        <w:pStyle w:val="NormalSS"/>
        <w:ind w:firstLine="0"/>
        <w:jc w:val="left"/>
        <w:rPr>
          <w:szCs w:val="24"/>
        </w:rPr>
      </w:pPr>
      <w:r w:rsidRPr="00655C6D">
        <w:rPr>
          <w:szCs w:val="24"/>
        </w:rPr>
        <w:t xml:space="preserve">Information will be collected at the conclusion of each </w:t>
      </w:r>
      <w:r w:rsidR="005E4248" w:rsidRPr="00655C6D">
        <w:rPr>
          <w:szCs w:val="24"/>
        </w:rPr>
        <w:t>education and outreach</w:t>
      </w:r>
      <w:r w:rsidRPr="00655C6D">
        <w:rPr>
          <w:szCs w:val="24"/>
        </w:rPr>
        <w:t xml:space="preserve"> activity.</w:t>
      </w:r>
    </w:p>
    <w:p w14:paraId="0D6D0490" w14:textId="77777777" w:rsidR="007A25D0" w:rsidRPr="00655C6D" w:rsidRDefault="007A25D0">
      <w:pPr>
        <w:tabs>
          <w:tab w:val="left" w:pos="-720"/>
          <w:tab w:val="left" w:pos="720"/>
          <w:tab w:val="right" w:pos="10080"/>
        </w:tabs>
        <w:rPr>
          <w:rFonts w:ascii="Times New Roman" w:hAnsi="Times New Roman"/>
          <w:sz w:val="24"/>
          <w:szCs w:val="24"/>
        </w:rPr>
      </w:pPr>
    </w:p>
    <w:p w14:paraId="0D6D0491" w14:textId="77777777" w:rsidR="001879E5" w:rsidRPr="00655C6D" w:rsidRDefault="001879E5">
      <w:pPr>
        <w:tabs>
          <w:tab w:val="left" w:pos="720"/>
          <w:tab w:val="right" w:pos="8732"/>
        </w:tabs>
        <w:rPr>
          <w:rFonts w:ascii="Times New Roman" w:hAnsi="Times New Roman"/>
          <w:sz w:val="24"/>
          <w:szCs w:val="24"/>
          <w:u w:val="single"/>
        </w:rPr>
      </w:pPr>
      <w:r w:rsidRPr="00655C6D">
        <w:rPr>
          <w:rFonts w:ascii="Times New Roman" w:hAnsi="Times New Roman"/>
          <w:sz w:val="24"/>
          <w:szCs w:val="24"/>
        </w:rPr>
        <w:t>13.</w:t>
      </w:r>
      <w:r w:rsidRPr="00655C6D">
        <w:rPr>
          <w:rFonts w:ascii="Times New Roman" w:hAnsi="Times New Roman"/>
          <w:sz w:val="24"/>
          <w:szCs w:val="24"/>
        </w:rPr>
        <w:tab/>
      </w:r>
      <w:r w:rsidRPr="00655C6D">
        <w:rPr>
          <w:rFonts w:ascii="Times New Roman" w:hAnsi="Times New Roman"/>
          <w:sz w:val="24"/>
          <w:szCs w:val="24"/>
          <w:u w:val="single"/>
        </w:rPr>
        <w:t>Estimates of Annualized Cost Burden to Respondents</w:t>
      </w:r>
    </w:p>
    <w:p w14:paraId="6188A562" w14:textId="77777777" w:rsidR="0070166F" w:rsidRPr="00655C6D" w:rsidRDefault="0070166F" w:rsidP="0070166F">
      <w:pPr>
        <w:pStyle w:val="BodyTextIndent"/>
        <w:ind w:left="360"/>
        <w:rPr>
          <w:rFonts w:ascii="Times New Roman" w:hAnsi="Times New Roman"/>
          <w:u w:val="single"/>
        </w:rPr>
      </w:pPr>
    </w:p>
    <w:p w14:paraId="0D6D0494" w14:textId="2B297CA8" w:rsidR="008C13E2" w:rsidRPr="00655C6D" w:rsidRDefault="0070166F" w:rsidP="0070166F">
      <w:pPr>
        <w:pStyle w:val="BodyTextIndent"/>
        <w:ind w:left="360"/>
        <w:rPr>
          <w:rFonts w:ascii="Times New Roman" w:hAnsi="Times New Roman"/>
        </w:rPr>
      </w:pPr>
      <w:r w:rsidRPr="00655C6D">
        <w:rPr>
          <w:rFonts w:ascii="Times New Roman" w:hAnsi="Times New Roman"/>
        </w:rPr>
        <w:t xml:space="preserve">HRSA anticipates the total annualized cost to respondents to be </w:t>
      </w:r>
      <w:r w:rsidR="00D60D98" w:rsidRPr="00655C6D">
        <w:rPr>
          <w:rFonts w:ascii="Times New Roman" w:hAnsi="Times New Roman"/>
          <w:sz w:val="22"/>
          <w:szCs w:val="22"/>
        </w:rPr>
        <w:t>$</w:t>
      </w:r>
      <w:r w:rsidR="00655C6D" w:rsidRPr="00655C6D">
        <w:rPr>
          <w:rFonts w:ascii="Times New Roman" w:hAnsi="Times New Roman"/>
          <w:color w:val="000000"/>
          <w:sz w:val="22"/>
          <w:szCs w:val="22"/>
        </w:rPr>
        <w:t>2,841.59</w:t>
      </w:r>
      <w:r w:rsidRPr="00655C6D">
        <w:rPr>
          <w:rFonts w:ascii="Times New Roman" w:hAnsi="Times New Roman"/>
        </w:rPr>
        <w:t>.  No capital or start-up costs are associated with this information collection request.  The total annualized cost estimate is related to the time for respondents to complete and submit satisfaction surveys.</w:t>
      </w:r>
    </w:p>
    <w:p w14:paraId="0D6D0495" w14:textId="77777777" w:rsidR="001879E5" w:rsidRPr="00655C6D" w:rsidRDefault="001879E5">
      <w:pPr>
        <w:tabs>
          <w:tab w:val="left" w:pos="-720"/>
        </w:tabs>
        <w:rPr>
          <w:rFonts w:ascii="Times New Roman" w:hAnsi="Times New Roman"/>
          <w:sz w:val="24"/>
          <w:szCs w:val="24"/>
        </w:rPr>
      </w:pPr>
    </w:p>
    <w:p w14:paraId="0D6D0496" w14:textId="77777777" w:rsidR="001879E5" w:rsidRPr="00655C6D" w:rsidRDefault="001879E5">
      <w:pPr>
        <w:tabs>
          <w:tab w:val="left" w:pos="720"/>
          <w:tab w:val="right" w:pos="8732"/>
        </w:tabs>
        <w:rPr>
          <w:rFonts w:ascii="Times New Roman" w:hAnsi="Times New Roman"/>
          <w:sz w:val="24"/>
          <w:szCs w:val="24"/>
          <w:u w:val="single"/>
        </w:rPr>
      </w:pPr>
      <w:r w:rsidRPr="00655C6D">
        <w:rPr>
          <w:rFonts w:ascii="Times New Roman" w:hAnsi="Times New Roman"/>
          <w:sz w:val="24"/>
          <w:szCs w:val="24"/>
        </w:rPr>
        <w:t>14.</w:t>
      </w:r>
      <w:r w:rsidRPr="00655C6D">
        <w:rPr>
          <w:rFonts w:ascii="Times New Roman" w:hAnsi="Times New Roman"/>
          <w:sz w:val="24"/>
          <w:szCs w:val="24"/>
        </w:rPr>
        <w:tab/>
      </w:r>
      <w:r w:rsidRPr="00655C6D">
        <w:rPr>
          <w:rFonts w:ascii="Times New Roman" w:hAnsi="Times New Roman"/>
          <w:sz w:val="24"/>
          <w:szCs w:val="24"/>
          <w:u w:val="single"/>
        </w:rPr>
        <w:t>Estimates of Annualized Cost to the Government</w:t>
      </w:r>
    </w:p>
    <w:p w14:paraId="10522087" w14:textId="77777777" w:rsidR="001C39A6" w:rsidRPr="00655C6D" w:rsidRDefault="001C39A6">
      <w:pPr>
        <w:tabs>
          <w:tab w:val="left" w:pos="720"/>
          <w:tab w:val="right" w:pos="8732"/>
        </w:tabs>
        <w:rPr>
          <w:rFonts w:ascii="Times New Roman" w:hAnsi="Times New Roman"/>
          <w:sz w:val="24"/>
          <w:szCs w:val="24"/>
        </w:rPr>
      </w:pPr>
    </w:p>
    <w:p w14:paraId="0D6D0497" w14:textId="0F6F9D52" w:rsidR="001879E5" w:rsidRPr="005E02E1" w:rsidRDefault="0070166F">
      <w:pPr>
        <w:tabs>
          <w:tab w:val="left" w:pos="720"/>
          <w:tab w:val="right" w:pos="8732"/>
        </w:tabs>
        <w:rPr>
          <w:rFonts w:ascii="Times New Roman" w:hAnsi="Times New Roman"/>
          <w:sz w:val="24"/>
          <w:szCs w:val="24"/>
        </w:rPr>
      </w:pPr>
      <w:r w:rsidRPr="005E02E1">
        <w:rPr>
          <w:rFonts w:ascii="Times New Roman" w:hAnsi="Times New Roman"/>
          <w:sz w:val="24"/>
          <w:szCs w:val="24"/>
        </w:rPr>
        <w:t xml:space="preserve">Costs to the federal government fall into the following </w:t>
      </w:r>
      <w:r w:rsidR="005E02E1" w:rsidRPr="005E02E1">
        <w:rPr>
          <w:rFonts w:ascii="Times New Roman" w:hAnsi="Times New Roman"/>
          <w:sz w:val="24"/>
          <w:szCs w:val="24"/>
        </w:rPr>
        <w:t>category</w:t>
      </w:r>
      <w:r w:rsidRPr="005E02E1">
        <w:rPr>
          <w:rFonts w:ascii="Times New Roman" w:hAnsi="Times New Roman"/>
          <w:sz w:val="24"/>
          <w:szCs w:val="24"/>
        </w:rPr>
        <w:t>:</w:t>
      </w:r>
    </w:p>
    <w:p w14:paraId="233A74C9" w14:textId="1A102E4E" w:rsidR="0070166F" w:rsidRPr="005E02E1" w:rsidRDefault="0070166F" w:rsidP="0070166F">
      <w:pPr>
        <w:pStyle w:val="ListParagraph"/>
        <w:numPr>
          <w:ilvl w:val="0"/>
          <w:numId w:val="12"/>
        </w:numPr>
        <w:tabs>
          <w:tab w:val="left" w:pos="720"/>
          <w:tab w:val="right" w:pos="8732"/>
        </w:tabs>
        <w:rPr>
          <w:rFonts w:ascii="Times New Roman" w:hAnsi="Times New Roman"/>
          <w:sz w:val="24"/>
          <w:szCs w:val="24"/>
        </w:rPr>
      </w:pPr>
      <w:r w:rsidRPr="005E02E1">
        <w:rPr>
          <w:rFonts w:ascii="Times New Roman" w:hAnsi="Times New Roman"/>
          <w:sz w:val="24"/>
          <w:szCs w:val="24"/>
        </w:rPr>
        <w:t>Costs for administering and analyzing government-furnished satisfaction surveys</w:t>
      </w:r>
    </w:p>
    <w:p w14:paraId="6142A122" w14:textId="77777777" w:rsidR="0070166F" w:rsidRPr="005E02E1" w:rsidRDefault="0070166F" w:rsidP="0070166F">
      <w:pPr>
        <w:pStyle w:val="ListParagraph"/>
        <w:tabs>
          <w:tab w:val="left" w:pos="720"/>
          <w:tab w:val="right" w:pos="8732"/>
        </w:tabs>
        <w:ind w:left="0"/>
        <w:rPr>
          <w:rFonts w:ascii="Times New Roman" w:hAnsi="Times New Roman"/>
          <w:sz w:val="24"/>
          <w:szCs w:val="24"/>
        </w:rPr>
      </w:pPr>
    </w:p>
    <w:tbl>
      <w:tblPr>
        <w:tblStyle w:val="TableGrid"/>
        <w:tblW w:w="0" w:type="auto"/>
        <w:tblLook w:val="04A0" w:firstRow="1" w:lastRow="0" w:firstColumn="1" w:lastColumn="0" w:noHBand="0" w:noVBand="1"/>
      </w:tblPr>
      <w:tblGrid>
        <w:gridCol w:w="3122"/>
        <w:gridCol w:w="3111"/>
        <w:gridCol w:w="3117"/>
      </w:tblGrid>
      <w:tr w:rsidR="0070166F" w:rsidRPr="005E02E1" w14:paraId="29A73B16" w14:textId="77777777" w:rsidTr="00303BCF">
        <w:trPr>
          <w:trHeight w:val="458"/>
        </w:trPr>
        <w:tc>
          <w:tcPr>
            <w:tcW w:w="3122" w:type="dxa"/>
          </w:tcPr>
          <w:p w14:paraId="5F0BA44B" w14:textId="2FB63E3F" w:rsidR="0070166F" w:rsidRPr="005E02E1" w:rsidRDefault="0070166F"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Type of Cost</w:t>
            </w:r>
          </w:p>
        </w:tc>
        <w:tc>
          <w:tcPr>
            <w:tcW w:w="3111" w:type="dxa"/>
          </w:tcPr>
          <w:p w14:paraId="5CAAA863" w14:textId="7D7EB78C" w:rsidR="0070166F" w:rsidRPr="005E02E1" w:rsidRDefault="0070166F"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Description of Services</w:t>
            </w:r>
          </w:p>
        </w:tc>
        <w:tc>
          <w:tcPr>
            <w:tcW w:w="3117" w:type="dxa"/>
          </w:tcPr>
          <w:p w14:paraId="1A0AC153" w14:textId="01546CB3" w:rsidR="0070166F" w:rsidRPr="005E02E1" w:rsidRDefault="0070166F"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Annual Cost</w:t>
            </w:r>
          </w:p>
        </w:tc>
      </w:tr>
      <w:tr w:rsidR="0070166F" w:rsidRPr="000A1524" w14:paraId="7F0297D5" w14:textId="77777777" w:rsidTr="00303BCF">
        <w:tc>
          <w:tcPr>
            <w:tcW w:w="3122" w:type="dxa"/>
          </w:tcPr>
          <w:p w14:paraId="0F927BBC" w14:textId="618BE0CF" w:rsidR="0070166F" w:rsidRPr="005E02E1" w:rsidRDefault="0050495B"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GS-13 Step 1 Public Health Analyst</w:t>
            </w:r>
            <w:r w:rsidR="005E02E1" w:rsidRPr="005E02E1">
              <w:rPr>
                <w:rFonts w:ascii="Times New Roman" w:hAnsi="Times New Roman"/>
                <w:sz w:val="24"/>
                <w:szCs w:val="24"/>
              </w:rPr>
              <w:t xml:space="preserve"> (Hourly Rate $47.68)</w:t>
            </w:r>
          </w:p>
        </w:tc>
        <w:tc>
          <w:tcPr>
            <w:tcW w:w="3111" w:type="dxa"/>
          </w:tcPr>
          <w:p w14:paraId="3C562299" w14:textId="77777777" w:rsidR="0070166F" w:rsidRPr="005E02E1" w:rsidRDefault="0050495B"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DPDB Staff administering and analyzing government-furnished satisfaction surveys</w:t>
            </w:r>
          </w:p>
          <w:p w14:paraId="01A18C61" w14:textId="2FFE9E30" w:rsidR="005E02E1" w:rsidRPr="005E02E1" w:rsidRDefault="005E02E1"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(40 hours)</w:t>
            </w:r>
          </w:p>
        </w:tc>
        <w:tc>
          <w:tcPr>
            <w:tcW w:w="3117" w:type="dxa"/>
          </w:tcPr>
          <w:p w14:paraId="2D9317BE" w14:textId="39E3B73B" w:rsidR="0070166F" w:rsidRPr="005E02E1" w:rsidRDefault="005E02E1" w:rsidP="00015EE2">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$1,907.20</w:t>
            </w:r>
          </w:p>
        </w:tc>
      </w:tr>
    </w:tbl>
    <w:p w14:paraId="542C7F87" w14:textId="77777777" w:rsidR="0070166F" w:rsidRPr="000A1524" w:rsidRDefault="0070166F" w:rsidP="0070166F">
      <w:pPr>
        <w:pStyle w:val="ListParagraph"/>
        <w:tabs>
          <w:tab w:val="left" w:pos="720"/>
          <w:tab w:val="right" w:pos="8732"/>
        </w:tabs>
        <w:ind w:left="0"/>
        <w:rPr>
          <w:rFonts w:ascii="Times New Roman" w:hAnsi="Times New Roman"/>
          <w:sz w:val="24"/>
          <w:szCs w:val="24"/>
          <w:highlight w:val="yellow"/>
        </w:rPr>
      </w:pPr>
    </w:p>
    <w:p w14:paraId="144E282A" w14:textId="2B78B0A4" w:rsidR="004152C9" w:rsidRPr="005E02E1" w:rsidRDefault="00E37D4D"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HRSA anticipates the average annual cost for the federal government will include</w:t>
      </w:r>
      <w:r w:rsidR="005E02E1" w:rsidRPr="005E02E1">
        <w:rPr>
          <w:rFonts w:ascii="Times New Roman" w:hAnsi="Times New Roman"/>
          <w:sz w:val="24"/>
          <w:szCs w:val="24"/>
        </w:rPr>
        <w:t xml:space="preserve"> personnel costs to administer and analyze the satisfaction surveys.  This will include a public health analyst at Grade 13 Step 1 ($47.68</w:t>
      </w:r>
      <w:r w:rsidR="00A51424" w:rsidRPr="005E02E1">
        <w:rPr>
          <w:rFonts w:ascii="Times New Roman" w:hAnsi="Times New Roman"/>
          <w:sz w:val="24"/>
          <w:szCs w:val="24"/>
        </w:rPr>
        <w:t xml:space="preserve"> </w:t>
      </w:r>
      <w:r w:rsidRPr="005E02E1">
        <w:rPr>
          <w:rFonts w:ascii="Times New Roman" w:hAnsi="Times New Roman"/>
          <w:sz w:val="24"/>
          <w:szCs w:val="24"/>
        </w:rPr>
        <w:t xml:space="preserve">hourly rate) for </w:t>
      </w:r>
      <w:r w:rsidR="005E02E1" w:rsidRPr="005E02E1">
        <w:rPr>
          <w:rFonts w:ascii="Times New Roman" w:hAnsi="Times New Roman"/>
          <w:sz w:val="24"/>
          <w:szCs w:val="24"/>
        </w:rPr>
        <w:t>40</w:t>
      </w:r>
      <w:r w:rsidRPr="005E02E1">
        <w:rPr>
          <w:rFonts w:ascii="Times New Roman" w:hAnsi="Times New Roman"/>
          <w:sz w:val="24"/>
          <w:szCs w:val="24"/>
        </w:rPr>
        <w:t xml:space="preserve"> hours</w:t>
      </w:r>
      <w:r w:rsidR="00303BCF" w:rsidRPr="005E02E1">
        <w:rPr>
          <w:rFonts w:ascii="Times New Roman" w:hAnsi="Times New Roman"/>
          <w:sz w:val="24"/>
          <w:szCs w:val="24"/>
        </w:rPr>
        <w:t>.</w:t>
      </w:r>
      <w:r w:rsidRPr="005E02E1">
        <w:rPr>
          <w:rFonts w:ascii="Times New Roman" w:hAnsi="Times New Roman"/>
          <w:sz w:val="24"/>
          <w:szCs w:val="24"/>
        </w:rPr>
        <w:t xml:space="preserve"> </w:t>
      </w:r>
    </w:p>
    <w:p w14:paraId="58CFFA69" w14:textId="77777777" w:rsidR="004152C9" w:rsidRPr="005E02E1" w:rsidRDefault="004152C9" w:rsidP="0070166F">
      <w:pPr>
        <w:pStyle w:val="ListParagraph"/>
        <w:tabs>
          <w:tab w:val="left" w:pos="720"/>
          <w:tab w:val="right" w:pos="8732"/>
        </w:tabs>
        <w:ind w:left="0"/>
        <w:rPr>
          <w:rFonts w:ascii="Times New Roman" w:hAnsi="Times New Roman"/>
          <w:sz w:val="24"/>
          <w:szCs w:val="24"/>
        </w:rPr>
      </w:pPr>
    </w:p>
    <w:p w14:paraId="3DC68475" w14:textId="2AFF5DE1" w:rsidR="004152C9" w:rsidRPr="005E02E1" w:rsidRDefault="004152C9" w:rsidP="0070166F">
      <w:pPr>
        <w:pStyle w:val="ListParagraph"/>
        <w:tabs>
          <w:tab w:val="left" w:pos="720"/>
          <w:tab w:val="right" w:pos="8732"/>
        </w:tabs>
        <w:ind w:left="0"/>
        <w:rPr>
          <w:rFonts w:ascii="Times New Roman" w:hAnsi="Times New Roman"/>
          <w:sz w:val="24"/>
          <w:szCs w:val="24"/>
        </w:rPr>
      </w:pPr>
      <w:r w:rsidRPr="005E02E1">
        <w:rPr>
          <w:rFonts w:ascii="Times New Roman" w:hAnsi="Times New Roman"/>
          <w:sz w:val="24"/>
          <w:szCs w:val="24"/>
        </w:rPr>
        <w:t>The total cost to the federal government for these activities is $</w:t>
      </w:r>
      <w:r w:rsidR="005E02E1" w:rsidRPr="005E02E1">
        <w:rPr>
          <w:rFonts w:ascii="Times New Roman" w:hAnsi="Times New Roman"/>
          <w:sz w:val="24"/>
          <w:szCs w:val="24"/>
        </w:rPr>
        <w:t>1</w:t>
      </w:r>
      <w:r w:rsidR="00303BCF" w:rsidRPr="005E02E1">
        <w:rPr>
          <w:rFonts w:ascii="Times New Roman" w:hAnsi="Times New Roman"/>
          <w:sz w:val="24"/>
          <w:szCs w:val="24"/>
        </w:rPr>
        <w:t>,</w:t>
      </w:r>
      <w:r w:rsidR="005E02E1" w:rsidRPr="005E02E1">
        <w:rPr>
          <w:rFonts w:ascii="Times New Roman" w:hAnsi="Times New Roman"/>
          <w:sz w:val="24"/>
          <w:szCs w:val="24"/>
        </w:rPr>
        <w:t>907.20</w:t>
      </w:r>
      <w:r w:rsidRPr="005E02E1">
        <w:rPr>
          <w:rFonts w:ascii="Times New Roman" w:hAnsi="Times New Roman"/>
          <w:sz w:val="24"/>
          <w:szCs w:val="24"/>
        </w:rPr>
        <w:t xml:space="preserve"> per year.</w:t>
      </w:r>
    </w:p>
    <w:p w14:paraId="0D6D049B" w14:textId="77777777" w:rsidR="001879E5" w:rsidRPr="005E02E1" w:rsidRDefault="001879E5">
      <w:pPr>
        <w:tabs>
          <w:tab w:val="left" w:pos="-720"/>
        </w:tabs>
        <w:rPr>
          <w:rFonts w:ascii="Times New Roman" w:hAnsi="Times New Roman"/>
          <w:sz w:val="24"/>
          <w:szCs w:val="24"/>
        </w:rPr>
      </w:pPr>
    </w:p>
    <w:p w14:paraId="0D6D049C" w14:textId="77777777" w:rsidR="001879E5" w:rsidRPr="005E02E1" w:rsidRDefault="001879E5">
      <w:pPr>
        <w:tabs>
          <w:tab w:val="left" w:pos="-720"/>
          <w:tab w:val="left" w:pos="44"/>
          <w:tab w:val="left" w:pos="720"/>
          <w:tab w:val="right" w:pos="8732"/>
        </w:tabs>
        <w:rPr>
          <w:rFonts w:ascii="Times New Roman" w:hAnsi="Times New Roman"/>
          <w:sz w:val="24"/>
          <w:szCs w:val="24"/>
          <w:u w:val="single"/>
        </w:rPr>
      </w:pPr>
      <w:r w:rsidRPr="005E02E1">
        <w:rPr>
          <w:rFonts w:ascii="Times New Roman" w:hAnsi="Times New Roman"/>
          <w:sz w:val="24"/>
          <w:szCs w:val="24"/>
        </w:rPr>
        <w:t>15.</w:t>
      </w:r>
      <w:r w:rsidRPr="005E02E1">
        <w:rPr>
          <w:rFonts w:ascii="Times New Roman" w:hAnsi="Times New Roman"/>
          <w:sz w:val="24"/>
          <w:szCs w:val="24"/>
        </w:rPr>
        <w:tab/>
      </w:r>
      <w:r w:rsidRPr="005E02E1">
        <w:rPr>
          <w:rFonts w:ascii="Times New Roman" w:hAnsi="Times New Roman"/>
          <w:sz w:val="24"/>
          <w:szCs w:val="24"/>
          <w:u w:val="single"/>
        </w:rPr>
        <w:t>Change in Burden</w:t>
      </w:r>
    </w:p>
    <w:p w14:paraId="0D6D049E" w14:textId="77777777" w:rsidR="001879E5" w:rsidRPr="005E02E1" w:rsidRDefault="000038EB">
      <w:pPr>
        <w:tabs>
          <w:tab w:val="left" w:pos="-720"/>
        </w:tabs>
        <w:rPr>
          <w:rFonts w:ascii="Times New Roman" w:hAnsi="Times New Roman"/>
          <w:sz w:val="24"/>
          <w:szCs w:val="24"/>
        </w:rPr>
      </w:pPr>
      <w:r w:rsidRPr="005E02E1">
        <w:rPr>
          <w:rFonts w:ascii="Times New Roman" w:hAnsi="Times New Roman"/>
          <w:sz w:val="24"/>
          <w:szCs w:val="24"/>
        </w:rPr>
        <w:t xml:space="preserve">Not Applicable.  </w:t>
      </w:r>
      <w:r w:rsidR="00B906CD" w:rsidRPr="005E02E1">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Pr="005E02E1" w:rsidRDefault="001879E5">
      <w:pPr>
        <w:tabs>
          <w:tab w:val="left" w:pos="-720"/>
        </w:tabs>
        <w:rPr>
          <w:rFonts w:ascii="Times New Roman" w:hAnsi="Times New Roman"/>
          <w:sz w:val="24"/>
          <w:szCs w:val="24"/>
        </w:rPr>
      </w:pPr>
    </w:p>
    <w:p w14:paraId="0D6D04A0" w14:textId="77777777" w:rsidR="001879E5" w:rsidRPr="005E02E1" w:rsidRDefault="001879E5">
      <w:pPr>
        <w:tabs>
          <w:tab w:val="left" w:pos="-720"/>
          <w:tab w:val="left" w:pos="720"/>
          <w:tab w:val="right" w:pos="8732"/>
        </w:tabs>
        <w:rPr>
          <w:rFonts w:ascii="Times New Roman" w:hAnsi="Times New Roman"/>
          <w:sz w:val="24"/>
          <w:szCs w:val="24"/>
          <w:u w:val="single"/>
        </w:rPr>
      </w:pPr>
      <w:r w:rsidRPr="005E02E1">
        <w:rPr>
          <w:rFonts w:ascii="Times New Roman" w:hAnsi="Times New Roman"/>
          <w:sz w:val="24"/>
          <w:szCs w:val="24"/>
        </w:rPr>
        <w:t>16.</w:t>
      </w:r>
      <w:r w:rsidRPr="005E02E1">
        <w:rPr>
          <w:rFonts w:ascii="Times New Roman" w:hAnsi="Times New Roman"/>
          <w:sz w:val="24"/>
          <w:szCs w:val="24"/>
        </w:rPr>
        <w:tab/>
      </w:r>
      <w:r w:rsidRPr="005E02E1">
        <w:rPr>
          <w:rFonts w:ascii="Times New Roman" w:hAnsi="Times New Roman"/>
          <w:sz w:val="24"/>
          <w:szCs w:val="24"/>
          <w:u w:val="single"/>
        </w:rPr>
        <w:t>Plans for Analysis and Timetable of Key Activities</w:t>
      </w:r>
    </w:p>
    <w:p w14:paraId="0D6D04A1" w14:textId="77777777" w:rsidR="00176576" w:rsidRPr="005E02E1" w:rsidRDefault="00176576" w:rsidP="00176576">
      <w:pPr>
        <w:pStyle w:val="NormalSS"/>
        <w:ind w:firstLine="0"/>
        <w:jc w:val="left"/>
        <w:rPr>
          <w:szCs w:val="24"/>
        </w:rPr>
      </w:pPr>
    </w:p>
    <w:p w14:paraId="0D6D04A3" w14:textId="545566B6" w:rsidR="006E3B33" w:rsidRPr="005E02E1" w:rsidRDefault="00A51424" w:rsidP="00A51424">
      <w:pPr>
        <w:tabs>
          <w:tab w:val="left" w:pos="-720"/>
          <w:tab w:val="right" w:pos="8692"/>
        </w:tabs>
        <w:rPr>
          <w:rFonts w:ascii="Times New Roman" w:hAnsi="Times New Roman"/>
          <w:sz w:val="24"/>
          <w:szCs w:val="24"/>
        </w:rPr>
      </w:pPr>
      <w:r w:rsidRPr="005E02E1">
        <w:rPr>
          <w:rFonts w:ascii="Times New Roman" w:hAnsi="Times New Roman"/>
          <w:sz w:val="24"/>
          <w:szCs w:val="24"/>
        </w:rPr>
        <w:t xml:space="preserve">Data analysis plans for </w:t>
      </w:r>
      <w:r w:rsidR="00063BC4">
        <w:rPr>
          <w:rFonts w:ascii="Times New Roman" w:hAnsi="Times New Roman"/>
          <w:sz w:val="24"/>
          <w:szCs w:val="24"/>
        </w:rPr>
        <w:t xml:space="preserve">the webcast survey </w:t>
      </w:r>
      <w:r w:rsidRPr="005E02E1">
        <w:rPr>
          <w:rFonts w:ascii="Times New Roman" w:hAnsi="Times New Roman"/>
          <w:sz w:val="24"/>
          <w:szCs w:val="24"/>
        </w:rPr>
        <w:t>will include providing basic descriptive statistics</w:t>
      </w:r>
      <w:r w:rsidR="00063BC4">
        <w:rPr>
          <w:rFonts w:ascii="Times New Roman" w:hAnsi="Times New Roman"/>
          <w:sz w:val="24"/>
          <w:szCs w:val="24"/>
        </w:rPr>
        <w:t xml:space="preserve">.  </w:t>
      </w:r>
      <w:r w:rsidRPr="005E02E1">
        <w:rPr>
          <w:rFonts w:ascii="Times New Roman" w:hAnsi="Times New Roman"/>
          <w:sz w:val="24"/>
          <w:szCs w:val="24"/>
        </w:rPr>
        <w:t xml:space="preserve"> </w:t>
      </w:r>
      <w:r w:rsidR="00B90D5D">
        <w:rPr>
          <w:rFonts w:ascii="Times New Roman" w:hAnsi="Times New Roman"/>
          <w:sz w:val="24"/>
          <w:szCs w:val="24"/>
        </w:rPr>
        <w:t>The w</w:t>
      </w:r>
      <w:r w:rsidR="007613E7">
        <w:rPr>
          <w:rFonts w:ascii="Times New Roman" w:hAnsi="Times New Roman"/>
          <w:sz w:val="24"/>
          <w:szCs w:val="24"/>
        </w:rPr>
        <w:t>ebcast</w:t>
      </w:r>
      <w:r w:rsidR="005E02E1" w:rsidRPr="005E02E1">
        <w:rPr>
          <w:rFonts w:ascii="Times New Roman" w:hAnsi="Times New Roman"/>
          <w:sz w:val="24"/>
          <w:szCs w:val="24"/>
        </w:rPr>
        <w:t xml:space="preserve"> s</w:t>
      </w:r>
      <w:r w:rsidR="00B90D5D">
        <w:rPr>
          <w:rFonts w:ascii="Times New Roman" w:hAnsi="Times New Roman"/>
          <w:sz w:val="24"/>
          <w:szCs w:val="24"/>
        </w:rPr>
        <w:t>atisfaction survey</w:t>
      </w:r>
      <w:r w:rsidR="004152C9" w:rsidRPr="005E02E1">
        <w:rPr>
          <w:rFonts w:ascii="Times New Roman" w:hAnsi="Times New Roman"/>
          <w:sz w:val="24"/>
          <w:szCs w:val="24"/>
        </w:rPr>
        <w:t xml:space="preserve"> will be administered throughout the year following the conclusion of each </w:t>
      </w:r>
      <w:r w:rsidR="007613E7">
        <w:rPr>
          <w:rFonts w:ascii="Times New Roman" w:hAnsi="Times New Roman"/>
          <w:sz w:val="24"/>
          <w:szCs w:val="24"/>
        </w:rPr>
        <w:t>webcast</w:t>
      </w:r>
      <w:r w:rsidR="004152C9" w:rsidRPr="005E02E1">
        <w:rPr>
          <w:rFonts w:ascii="Times New Roman" w:hAnsi="Times New Roman"/>
          <w:sz w:val="24"/>
          <w:szCs w:val="24"/>
        </w:rPr>
        <w:t xml:space="preserve"> activity.  </w:t>
      </w:r>
    </w:p>
    <w:p w14:paraId="78941368" w14:textId="77777777" w:rsidR="004152C9" w:rsidRPr="005E02E1" w:rsidRDefault="004152C9">
      <w:pPr>
        <w:tabs>
          <w:tab w:val="left" w:pos="-720"/>
          <w:tab w:val="right" w:pos="8692"/>
        </w:tabs>
        <w:rPr>
          <w:rFonts w:ascii="Times New Roman" w:hAnsi="Times New Roman"/>
          <w:sz w:val="24"/>
          <w:szCs w:val="24"/>
        </w:rPr>
      </w:pPr>
    </w:p>
    <w:p w14:paraId="0D6D04A4" w14:textId="77777777" w:rsidR="001879E5" w:rsidRPr="005E02E1" w:rsidRDefault="001879E5">
      <w:pPr>
        <w:tabs>
          <w:tab w:val="left" w:pos="720"/>
          <w:tab w:val="right" w:pos="8692"/>
        </w:tabs>
        <w:rPr>
          <w:rFonts w:ascii="Times New Roman" w:hAnsi="Times New Roman"/>
          <w:sz w:val="24"/>
          <w:szCs w:val="24"/>
          <w:u w:val="single"/>
        </w:rPr>
      </w:pPr>
      <w:r w:rsidRPr="005E02E1">
        <w:rPr>
          <w:rFonts w:ascii="Times New Roman" w:hAnsi="Times New Roman"/>
          <w:sz w:val="24"/>
          <w:szCs w:val="24"/>
        </w:rPr>
        <w:t>17.</w:t>
      </w:r>
      <w:r w:rsidRPr="005E02E1">
        <w:rPr>
          <w:rFonts w:ascii="Times New Roman" w:hAnsi="Times New Roman"/>
          <w:sz w:val="24"/>
          <w:szCs w:val="24"/>
        </w:rPr>
        <w:tab/>
      </w:r>
      <w:r w:rsidRPr="005E02E1">
        <w:rPr>
          <w:rFonts w:ascii="Times New Roman" w:hAnsi="Times New Roman"/>
          <w:sz w:val="24"/>
          <w:szCs w:val="24"/>
          <w:u w:val="single"/>
        </w:rPr>
        <w:t>Exemption for Display of Expiration Date</w:t>
      </w:r>
    </w:p>
    <w:p w14:paraId="0D6D04A5" w14:textId="77777777" w:rsidR="001879E5" w:rsidRPr="005E02E1" w:rsidRDefault="001879E5">
      <w:pPr>
        <w:tabs>
          <w:tab w:val="left" w:pos="720"/>
          <w:tab w:val="right" w:pos="8692"/>
        </w:tabs>
        <w:rPr>
          <w:rFonts w:ascii="Times New Roman" w:hAnsi="Times New Roman"/>
          <w:sz w:val="24"/>
          <w:szCs w:val="24"/>
        </w:rPr>
      </w:pPr>
    </w:p>
    <w:p w14:paraId="0D6D04A6" w14:textId="77777777" w:rsidR="001879E5" w:rsidRPr="005E02E1" w:rsidRDefault="001879E5">
      <w:pPr>
        <w:tabs>
          <w:tab w:val="left" w:pos="-720"/>
        </w:tabs>
        <w:rPr>
          <w:rFonts w:ascii="Times New Roman" w:hAnsi="Times New Roman"/>
          <w:sz w:val="24"/>
          <w:szCs w:val="24"/>
        </w:rPr>
      </w:pPr>
      <w:r w:rsidRPr="005E02E1">
        <w:rPr>
          <w:rFonts w:ascii="Times New Roman" w:hAnsi="Times New Roman"/>
          <w:sz w:val="24"/>
          <w:szCs w:val="24"/>
        </w:rPr>
        <w:t>No exemption is being requested.  The expiration date will be displayed.</w:t>
      </w:r>
    </w:p>
    <w:p w14:paraId="0D6D04A7" w14:textId="77777777" w:rsidR="001879E5" w:rsidRPr="005E02E1" w:rsidRDefault="001879E5">
      <w:pPr>
        <w:tabs>
          <w:tab w:val="left" w:pos="-720"/>
        </w:tabs>
        <w:rPr>
          <w:rFonts w:ascii="Times New Roman" w:hAnsi="Times New Roman"/>
          <w:sz w:val="24"/>
          <w:szCs w:val="24"/>
        </w:rPr>
      </w:pPr>
    </w:p>
    <w:p w14:paraId="0D6D04A8" w14:textId="77777777" w:rsidR="001879E5" w:rsidRPr="005E02E1" w:rsidRDefault="001879E5">
      <w:pPr>
        <w:tabs>
          <w:tab w:val="left" w:pos="-720"/>
          <w:tab w:val="left" w:pos="720"/>
          <w:tab w:val="right" w:pos="8692"/>
        </w:tabs>
        <w:rPr>
          <w:rFonts w:ascii="Times New Roman" w:hAnsi="Times New Roman"/>
          <w:sz w:val="24"/>
          <w:szCs w:val="24"/>
          <w:u w:val="single"/>
        </w:rPr>
      </w:pPr>
      <w:r w:rsidRPr="005E02E1">
        <w:rPr>
          <w:rFonts w:ascii="Times New Roman" w:hAnsi="Times New Roman"/>
          <w:sz w:val="24"/>
          <w:szCs w:val="24"/>
        </w:rPr>
        <w:t>18.</w:t>
      </w:r>
      <w:r w:rsidRPr="005E02E1">
        <w:rPr>
          <w:rFonts w:ascii="Times New Roman" w:hAnsi="Times New Roman"/>
          <w:sz w:val="24"/>
          <w:szCs w:val="24"/>
        </w:rPr>
        <w:tab/>
      </w:r>
      <w:r w:rsidRPr="005E02E1">
        <w:rPr>
          <w:rFonts w:ascii="Times New Roman" w:hAnsi="Times New Roman"/>
          <w:sz w:val="24"/>
          <w:szCs w:val="24"/>
          <w:u w:val="single"/>
        </w:rPr>
        <w:t>Certifications</w:t>
      </w:r>
    </w:p>
    <w:p w14:paraId="0D6D04A9" w14:textId="77777777" w:rsidR="001879E5" w:rsidRPr="005E02E1" w:rsidRDefault="001879E5">
      <w:pPr>
        <w:tabs>
          <w:tab w:val="left" w:pos="-720"/>
          <w:tab w:val="left" w:pos="720"/>
          <w:tab w:val="right" w:pos="8692"/>
        </w:tabs>
        <w:rPr>
          <w:rFonts w:ascii="Times New Roman" w:hAnsi="Times New Roman"/>
          <w:sz w:val="24"/>
          <w:szCs w:val="24"/>
        </w:rPr>
      </w:pPr>
    </w:p>
    <w:p w14:paraId="0D6D04AA" w14:textId="26837B97" w:rsidR="001879E5" w:rsidRDefault="00B906CD" w:rsidP="00176576">
      <w:pPr>
        <w:tabs>
          <w:tab w:val="left" w:pos="-720"/>
        </w:tabs>
        <w:rPr>
          <w:rFonts w:ascii="Times New Roman" w:hAnsi="Times New Roman"/>
          <w:sz w:val="24"/>
          <w:szCs w:val="24"/>
        </w:rPr>
      </w:pPr>
      <w:r w:rsidRPr="005E02E1">
        <w:rPr>
          <w:rFonts w:ascii="Times New Roman" w:hAnsi="Times New Roman"/>
          <w:sz w:val="24"/>
          <w:szCs w:val="24"/>
        </w:rPr>
        <w:t>This information collection activity</w:t>
      </w:r>
      <w:r w:rsidR="001879E5" w:rsidRPr="005E02E1">
        <w:rPr>
          <w:rFonts w:ascii="Times New Roman" w:hAnsi="Times New Roman"/>
          <w:sz w:val="24"/>
          <w:szCs w:val="24"/>
        </w:rPr>
        <w:t xml:space="preserve"> will comply with the</w:t>
      </w:r>
      <w:r w:rsidR="00176576" w:rsidRPr="005E02E1">
        <w:rPr>
          <w:rFonts w:ascii="Times New Roman" w:hAnsi="Times New Roman"/>
          <w:sz w:val="24"/>
          <w:szCs w:val="24"/>
        </w:rPr>
        <w:t xml:space="preserve"> requirements in 5 CFR 1320.9.</w:t>
      </w:r>
      <w:r w:rsidR="00176576">
        <w:rPr>
          <w:rFonts w:ascii="Times New Roman" w:hAnsi="Times New Roman"/>
          <w:sz w:val="24"/>
          <w:szCs w:val="24"/>
        </w:rPr>
        <w:t xml:space="preserve"> </w:t>
      </w:r>
    </w:p>
    <w:p w14:paraId="1D291085" w14:textId="43922D8D" w:rsidR="000941DE" w:rsidRDefault="000941DE">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59EA64EB" w14:textId="14D40D56" w:rsidR="000941DE" w:rsidRDefault="000941DE" w:rsidP="00176576">
      <w:pPr>
        <w:tabs>
          <w:tab w:val="left" w:pos="-720"/>
        </w:tabs>
        <w:rPr>
          <w:rFonts w:ascii="Times New Roman" w:hAnsi="Times New Roman"/>
          <w:sz w:val="24"/>
          <w:szCs w:val="24"/>
        </w:rPr>
      </w:pPr>
      <w:r>
        <w:rPr>
          <w:rFonts w:ascii="Times New Roman" w:hAnsi="Times New Roman"/>
          <w:sz w:val="24"/>
          <w:szCs w:val="24"/>
        </w:rPr>
        <w:t xml:space="preserve"> </w:t>
      </w:r>
      <w:r w:rsidR="000E4EC3">
        <w:rPr>
          <w:rFonts w:ascii="Times New Roman" w:hAnsi="Times New Roman"/>
          <w:sz w:val="24"/>
          <w:szCs w:val="24"/>
        </w:rPr>
        <w:t xml:space="preserve">DPDB Generic </w:t>
      </w:r>
      <w:r w:rsidR="007613E7">
        <w:rPr>
          <w:rFonts w:ascii="Times New Roman" w:hAnsi="Times New Roman"/>
          <w:sz w:val="24"/>
          <w:szCs w:val="24"/>
        </w:rPr>
        <w:t>Webcast</w:t>
      </w:r>
      <w:r w:rsidR="000E4EC3">
        <w:rPr>
          <w:rFonts w:ascii="Times New Roman" w:hAnsi="Times New Roman"/>
          <w:sz w:val="24"/>
          <w:szCs w:val="24"/>
        </w:rPr>
        <w:t xml:space="preserve"> Survey</w:t>
      </w:r>
    </w:p>
    <w:p w14:paraId="48284B9A" w14:textId="0D06256C" w:rsidR="000E4EC3" w:rsidRDefault="000E4EC3" w:rsidP="00176576">
      <w:pPr>
        <w:tabs>
          <w:tab w:val="left" w:pos="-720"/>
        </w:tabs>
        <w:rPr>
          <w:rFonts w:ascii="Times New Roman" w:hAnsi="Times New Roman"/>
          <w:sz w:val="24"/>
          <w:szCs w:val="24"/>
        </w:rPr>
      </w:pPr>
    </w:p>
    <w:p w14:paraId="2BB9C14C" w14:textId="35D849CE" w:rsidR="000E4EC3" w:rsidRPr="000E4EC3" w:rsidRDefault="000E4EC3" w:rsidP="000E4EC3">
      <w:pPr>
        <w:widowControl/>
        <w:shd w:val="clear" w:color="auto" w:fill="FFFFFF"/>
        <w:autoSpaceDE/>
        <w:autoSpaceDN/>
        <w:adjustRightInd/>
        <w:jc w:val="center"/>
        <w:rPr>
          <w:rFonts w:ascii="Calibri" w:hAnsi="Calibri"/>
          <w:b/>
          <w:color w:val="404040"/>
          <w:sz w:val="28"/>
          <w:szCs w:val="22"/>
        </w:rPr>
      </w:pPr>
      <w:r w:rsidRPr="000E4EC3">
        <w:rPr>
          <w:rFonts w:ascii="Calibri" w:hAnsi="Calibri"/>
          <w:b/>
          <w:color w:val="404040"/>
          <w:sz w:val="28"/>
          <w:szCs w:val="22"/>
        </w:rPr>
        <w:t xml:space="preserve">National Practitioner Data Bank (NPDB) </w:t>
      </w:r>
      <w:r w:rsidR="007613E7">
        <w:rPr>
          <w:rFonts w:ascii="Calibri" w:hAnsi="Calibri"/>
          <w:b/>
          <w:color w:val="404040"/>
          <w:sz w:val="28"/>
          <w:szCs w:val="22"/>
        </w:rPr>
        <w:t>Webcast</w:t>
      </w:r>
      <w:r w:rsidRPr="000E4EC3">
        <w:rPr>
          <w:rFonts w:ascii="Calibri" w:hAnsi="Calibri"/>
          <w:b/>
          <w:color w:val="404040"/>
          <w:sz w:val="28"/>
          <w:szCs w:val="22"/>
        </w:rPr>
        <w:t xml:space="preserve"> Survey</w:t>
      </w:r>
    </w:p>
    <w:p w14:paraId="103947CB" w14:textId="459444B8" w:rsidR="000E4EC3" w:rsidRPr="000E4EC3" w:rsidRDefault="000E4EC3" w:rsidP="000E4EC3">
      <w:pPr>
        <w:widowControl/>
        <w:shd w:val="clear" w:color="auto" w:fill="FFFFFF"/>
        <w:autoSpaceDE/>
        <w:autoSpaceDN/>
        <w:adjustRightInd/>
        <w:jc w:val="center"/>
        <w:rPr>
          <w:rFonts w:ascii="Calibri" w:hAnsi="Calibri"/>
          <w:b/>
          <w:i/>
          <w:color w:val="FF0000"/>
          <w:sz w:val="28"/>
          <w:szCs w:val="22"/>
        </w:rPr>
      </w:pPr>
      <w:r w:rsidRPr="000E4EC3">
        <w:rPr>
          <w:rFonts w:ascii="Calibri" w:hAnsi="Calibri"/>
          <w:b/>
          <w:i/>
          <w:color w:val="FF0000"/>
          <w:sz w:val="28"/>
          <w:szCs w:val="22"/>
        </w:rPr>
        <w:t>[</w:t>
      </w:r>
      <w:r w:rsidR="007613E7">
        <w:rPr>
          <w:rFonts w:ascii="Calibri" w:hAnsi="Calibri"/>
          <w:b/>
          <w:i/>
          <w:color w:val="FF0000"/>
          <w:sz w:val="28"/>
          <w:szCs w:val="22"/>
        </w:rPr>
        <w:t>Webcast</w:t>
      </w:r>
      <w:r w:rsidRPr="000E4EC3">
        <w:rPr>
          <w:rFonts w:ascii="Calibri" w:hAnsi="Calibri"/>
          <w:b/>
          <w:i/>
          <w:color w:val="FF0000"/>
          <w:sz w:val="28"/>
          <w:szCs w:val="22"/>
        </w:rPr>
        <w:t xml:space="preserve"> Title]</w:t>
      </w:r>
    </w:p>
    <w:p w14:paraId="0083FFA8" w14:textId="77777777" w:rsidR="000E4EC3" w:rsidRPr="000E4EC3" w:rsidRDefault="000E4EC3" w:rsidP="000E4EC3">
      <w:pPr>
        <w:widowControl/>
        <w:shd w:val="clear" w:color="auto" w:fill="FFFFFF"/>
        <w:autoSpaceDE/>
        <w:autoSpaceDN/>
        <w:adjustRightInd/>
        <w:jc w:val="center"/>
        <w:rPr>
          <w:rFonts w:ascii="Calibri" w:hAnsi="Calibri"/>
          <w:b/>
          <w:color w:val="404040"/>
          <w:sz w:val="22"/>
          <w:szCs w:val="22"/>
        </w:rPr>
      </w:pPr>
    </w:p>
    <w:p w14:paraId="62F37964" w14:textId="77777777" w:rsidR="000E4EC3" w:rsidRPr="000E4EC3" w:rsidRDefault="000E4EC3" w:rsidP="000E4EC3">
      <w:pPr>
        <w:widowControl/>
        <w:shd w:val="clear" w:color="auto" w:fill="FFFFFF"/>
        <w:autoSpaceDE/>
        <w:autoSpaceDN/>
        <w:adjustRightInd/>
        <w:jc w:val="center"/>
        <w:rPr>
          <w:rFonts w:ascii="Calibri" w:hAnsi="Calibri"/>
          <w:b/>
          <w:color w:val="404040"/>
          <w:sz w:val="22"/>
          <w:szCs w:val="22"/>
        </w:rPr>
      </w:pPr>
    </w:p>
    <w:p w14:paraId="3184D55C" w14:textId="77777777" w:rsidR="000E4EC3" w:rsidRPr="000E4EC3" w:rsidRDefault="000E4EC3" w:rsidP="000E4EC3">
      <w:pPr>
        <w:widowControl/>
        <w:numPr>
          <w:ilvl w:val="0"/>
          <w:numId w:val="14"/>
        </w:numPr>
        <w:autoSpaceDE/>
        <w:autoSpaceDN/>
        <w:adjustRightInd/>
        <w:contextualSpacing/>
        <w:rPr>
          <w:rFonts w:ascii="Calibri" w:eastAsia="Calibri" w:hAnsi="Calibri"/>
          <w:sz w:val="22"/>
          <w:szCs w:val="22"/>
        </w:rPr>
      </w:pPr>
      <w:r w:rsidRPr="000E4EC3">
        <w:rPr>
          <w:rFonts w:ascii="Calibri" w:eastAsia="Calibri" w:hAnsi="Calibri"/>
          <w:sz w:val="22"/>
          <w:szCs w:val="22"/>
        </w:rPr>
        <w:t>Overall, how satisfied were you with the webcast?</w:t>
      </w:r>
    </w:p>
    <w:p w14:paraId="4FF9FC2B" w14:textId="77777777" w:rsidR="000E4EC3" w:rsidRPr="000E4EC3" w:rsidRDefault="000E4EC3" w:rsidP="000E4EC3">
      <w:pPr>
        <w:widowControl/>
        <w:numPr>
          <w:ilvl w:val="1"/>
          <w:numId w:val="15"/>
        </w:numPr>
        <w:autoSpaceDE/>
        <w:autoSpaceDN/>
        <w:adjustRightInd/>
        <w:contextualSpacing/>
        <w:rPr>
          <w:rFonts w:ascii="Calibri" w:eastAsia="Calibri" w:hAnsi="Calibri"/>
          <w:sz w:val="22"/>
          <w:szCs w:val="22"/>
        </w:rPr>
      </w:pPr>
      <w:r w:rsidRPr="000E4EC3">
        <w:rPr>
          <w:rFonts w:ascii="Calibri" w:eastAsia="Calibri" w:hAnsi="Calibri"/>
          <w:sz w:val="22"/>
          <w:szCs w:val="22"/>
        </w:rPr>
        <w:t>Extremely satisfied</w:t>
      </w:r>
    </w:p>
    <w:p w14:paraId="444BDDFB" w14:textId="77777777" w:rsidR="000E4EC3" w:rsidRPr="000E4EC3" w:rsidRDefault="000E4EC3" w:rsidP="000E4EC3">
      <w:pPr>
        <w:widowControl/>
        <w:numPr>
          <w:ilvl w:val="1"/>
          <w:numId w:val="15"/>
        </w:numPr>
        <w:autoSpaceDE/>
        <w:autoSpaceDN/>
        <w:adjustRightInd/>
        <w:contextualSpacing/>
        <w:rPr>
          <w:rFonts w:ascii="Calibri" w:eastAsia="Calibri" w:hAnsi="Calibri"/>
          <w:sz w:val="22"/>
          <w:szCs w:val="22"/>
        </w:rPr>
      </w:pPr>
      <w:r w:rsidRPr="000E4EC3">
        <w:rPr>
          <w:rFonts w:ascii="Calibri" w:eastAsia="Calibri" w:hAnsi="Calibri"/>
          <w:sz w:val="22"/>
          <w:szCs w:val="22"/>
        </w:rPr>
        <w:t>Satisfied</w:t>
      </w:r>
    </w:p>
    <w:p w14:paraId="2D8FB04A" w14:textId="77777777" w:rsidR="000E4EC3" w:rsidRPr="000E4EC3" w:rsidRDefault="000E4EC3" w:rsidP="000E4EC3">
      <w:pPr>
        <w:widowControl/>
        <w:numPr>
          <w:ilvl w:val="1"/>
          <w:numId w:val="15"/>
        </w:numPr>
        <w:autoSpaceDE/>
        <w:autoSpaceDN/>
        <w:adjustRightInd/>
        <w:contextualSpacing/>
        <w:rPr>
          <w:rFonts w:ascii="Calibri" w:eastAsia="Calibri" w:hAnsi="Calibri"/>
          <w:sz w:val="22"/>
          <w:szCs w:val="22"/>
        </w:rPr>
      </w:pPr>
      <w:r w:rsidRPr="000E4EC3">
        <w:rPr>
          <w:rFonts w:ascii="Calibri" w:eastAsia="Calibri" w:hAnsi="Calibri"/>
          <w:sz w:val="22"/>
          <w:szCs w:val="22"/>
        </w:rPr>
        <w:t>Neutral</w:t>
      </w:r>
    </w:p>
    <w:p w14:paraId="7C6AD302" w14:textId="77777777" w:rsidR="000E4EC3" w:rsidRPr="000E4EC3" w:rsidRDefault="000E4EC3" w:rsidP="000E4EC3">
      <w:pPr>
        <w:widowControl/>
        <w:numPr>
          <w:ilvl w:val="1"/>
          <w:numId w:val="15"/>
        </w:numPr>
        <w:autoSpaceDE/>
        <w:autoSpaceDN/>
        <w:adjustRightInd/>
        <w:contextualSpacing/>
        <w:rPr>
          <w:rFonts w:ascii="Calibri" w:eastAsia="Calibri" w:hAnsi="Calibri"/>
          <w:sz w:val="22"/>
          <w:szCs w:val="22"/>
        </w:rPr>
      </w:pPr>
      <w:r w:rsidRPr="000E4EC3">
        <w:rPr>
          <w:rFonts w:ascii="Calibri" w:eastAsia="Calibri" w:hAnsi="Calibri"/>
          <w:sz w:val="22"/>
          <w:szCs w:val="22"/>
        </w:rPr>
        <w:t>Dissatisfied</w:t>
      </w:r>
    </w:p>
    <w:p w14:paraId="292DE28C" w14:textId="77777777" w:rsidR="000E4EC3" w:rsidRPr="000E4EC3" w:rsidRDefault="000E4EC3" w:rsidP="000E4EC3">
      <w:pPr>
        <w:widowControl/>
        <w:numPr>
          <w:ilvl w:val="1"/>
          <w:numId w:val="15"/>
        </w:numPr>
        <w:autoSpaceDE/>
        <w:autoSpaceDN/>
        <w:adjustRightInd/>
        <w:contextualSpacing/>
        <w:rPr>
          <w:rFonts w:ascii="Calibri" w:eastAsia="Calibri" w:hAnsi="Calibri"/>
          <w:sz w:val="22"/>
          <w:szCs w:val="22"/>
        </w:rPr>
      </w:pPr>
      <w:r w:rsidRPr="000E4EC3">
        <w:rPr>
          <w:rFonts w:ascii="Calibri" w:eastAsia="Calibri" w:hAnsi="Calibri"/>
          <w:sz w:val="22"/>
          <w:szCs w:val="22"/>
        </w:rPr>
        <w:t>Extremely dissatisfied</w:t>
      </w:r>
    </w:p>
    <w:p w14:paraId="6058E136" w14:textId="77777777" w:rsidR="000E4EC3" w:rsidRPr="000E4EC3" w:rsidRDefault="000E4EC3" w:rsidP="000E4EC3">
      <w:pPr>
        <w:widowControl/>
        <w:autoSpaceDE/>
        <w:autoSpaceDN/>
        <w:adjustRightInd/>
        <w:ind w:left="1440"/>
        <w:contextualSpacing/>
        <w:rPr>
          <w:rFonts w:ascii="Calibri" w:eastAsia="Calibri" w:hAnsi="Calibri"/>
          <w:sz w:val="22"/>
          <w:szCs w:val="22"/>
        </w:rPr>
      </w:pPr>
      <w:r w:rsidRPr="000E4EC3">
        <w:rPr>
          <w:rFonts w:ascii="Calibri" w:eastAsia="Calibri" w:hAnsi="Calibri"/>
          <w:sz w:val="22"/>
          <w:szCs w:val="22"/>
        </w:rPr>
        <w:t xml:space="preserve"> </w:t>
      </w:r>
    </w:p>
    <w:p w14:paraId="4CC4B1FA" w14:textId="7B1DF6CB" w:rsidR="000E4EC3" w:rsidRPr="000E4EC3" w:rsidRDefault="00747900" w:rsidP="000E4EC3">
      <w:pPr>
        <w:widowControl/>
        <w:numPr>
          <w:ilvl w:val="0"/>
          <w:numId w:val="14"/>
        </w:numPr>
        <w:autoSpaceDE/>
        <w:autoSpaceDN/>
        <w:adjustRightInd/>
        <w:contextualSpacing/>
        <w:rPr>
          <w:rFonts w:ascii="Calibri" w:eastAsia="Calibri" w:hAnsi="Calibri"/>
          <w:sz w:val="22"/>
          <w:szCs w:val="22"/>
        </w:rPr>
      </w:pPr>
      <w:r>
        <w:rPr>
          <w:rFonts w:ascii="Calibri" w:eastAsia="Calibri" w:hAnsi="Calibri"/>
          <w:sz w:val="22"/>
          <w:szCs w:val="22"/>
        </w:rPr>
        <w:t>Please comment on your response to the previous question.</w:t>
      </w:r>
      <w:r w:rsidR="000E4EC3" w:rsidRPr="000E4EC3">
        <w:rPr>
          <w:rFonts w:ascii="Calibri" w:hAnsi="Calibri"/>
          <w:b/>
          <w:i/>
          <w:color w:val="404040"/>
          <w:sz w:val="22"/>
          <w:szCs w:val="22"/>
        </w:rPr>
        <w:t xml:space="preserve">  Open-ended text response</w:t>
      </w:r>
    </w:p>
    <w:p w14:paraId="30ECAA19" w14:textId="77777777" w:rsidR="000E4EC3" w:rsidRPr="000E4EC3" w:rsidRDefault="000E4EC3" w:rsidP="000E4EC3">
      <w:pPr>
        <w:widowControl/>
        <w:autoSpaceDE/>
        <w:autoSpaceDN/>
        <w:adjustRightInd/>
        <w:ind w:left="1440"/>
        <w:contextualSpacing/>
        <w:rPr>
          <w:rFonts w:ascii="Calibri" w:eastAsia="Calibri" w:hAnsi="Calibri"/>
          <w:sz w:val="22"/>
          <w:szCs w:val="22"/>
        </w:rPr>
      </w:pPr>
    </w:p>
    <w:p w14:paraId="0246589A" w14:textId="09E75B66" w:rsidR="000E4EC3" w:rsidRPr="006A17E8" w:rsidRDefault="000E4EC3" w:rsidP="000E4EC3">
      <w:pPr>
        <w:widowControl/>
        <w:numPr>
          <w:ilvl w:val="0"/>
          <w:numId w:val="14"/>
        </w:numPr>
        <w:autoSpaceDE/>
        <w:autoSpaceDN/>
        <w:adjustRightInd/>
        <w:contextualSpacing/>
        <w:rPr>
          <w:rFonts w:ascii="Calibri" w:eastAsia="Calibri" w:hAnsi="Calibri"/>
          <w:sz w:val="22"/>
          <w:szCs w:val="22"/>
        </w:rPr>
      </w:pPr>
      <w:r w:rsidRPr="006A17E8">
        <w:rPr>
          <w:rFonts w:ascii="Calibri" w:eastAsia="Calibri" w:hAnsi="Calibri"/>
          <w:sz w:val="22"/>
          <w:szCs w:val="22"/>
        </w:rPr>
        <w:t xml:space="preserve">To what extent did this webcast improve your knowledge of </w:t>
      </w:r>
      <w:r w:rsidRPr="006A17E8">
        <w:rPr>
          <w:rFonts w:ascii="Calibri" w:eastAsia="Calibri" w:hAnsi="Calibri"/>
          <w:b/>
          <w:i/>
          <w:color w:val="FF0000"/>
          <w:sz w:val="22"/>
          <w:szCs w:val="22"/>
        </w:rPr>
        <w:t>[</w:t>
      </w:r>
      <w:r w:rsidR="007613E7" w:rsidRPr="006A17E8">
        <w:rPr>
          <w:rFonts w:ascii="Calibri" w:eastAsia="Calibri" w:hAnsi="Calibri"/>
          <w:b/>
          <w:i/>
          <w:color w:val="FF0000"/>
          <w:sz w:val="22"/>
          <w:szCs w:val="22"/>
        </w:rPr>
        <w:t>Webcast</w:t>
      </w:r>
      <w:r w:rsidRPr="006A17E8">
        <w:rPr>
          <w:rFonts w:ascii="Calibri" w:eastAsia="Calibri" w:hAnsi="Calibri"/>
          <w:b/>
          <w:i/>
          <w:color w:val="FF0000"/>
          <w:sz w:val="22"/>
          <w:szCs w:val="22"/>
        </w:rPr>
        <w:t xml:space="preserve"> Title]</w:t>
      </w:r>
      <w:r w:rsidRPr="006A17E8">
        <w:rPr>
          <w:rFonts w:ascii="Calibri" w:eastAsia="Calibri" w:hAnsi="Calibri"/>
          <w:sz w:val="22"/>
          <w:szCs w:val="22"/>
        </w:rPr>
        <w:t>?</w:t>
      </w:r>
    </w:p>
    <w:p w14:paraId="5FC1C56A" w14:textId="77777777" w:rsidR="000E4EC3" w:rsidRPr="006A17E8" w:rsidRDefault="000E4EC3" w:rsidP="000E4EC3">
      <w:pPr>
        <w:widowControl/>
        <w:numPr>
          <w:ilvl w:val="1"/>
          <w:numId w:val="14"/>
        </w:numPr>
        <w:autoSpaceDE/>
        <w:autoSpaceDN/>
        <w:adjustRightInd/>
        <w:contextualSpacing/>
        <w:rPr>
          <w:rFonts w:ascii="Calibri" w:eastAsia="Calibri" w:hAnsi="Calibri"/>
          <w:sz w:val="22"/>
          <w:szCs w:val="22"/>
        </w:rPr>
      </w:pPr>
      <w:r w:rsidRPr="006A17E8">
        <w:rPr>
          <w:rFonts w:ascii="Calibri" w:eastAsia="Calibri" w:hAnsi="Calibri"/>
          <w:sz w:val="22"/>
          <w:szCs w:val="22"/>
        </w:rPr>
        <w:t>Greatly improved knowledge</w:t>
      </w:r>
    </w:p>
    <w:p w14:paraId="27BF5990" w14:textId="77777777" w:rsidR="000E4EC3" w:rsidRPr="006A17E8" w:rsidRDefault="000E4EC3" w:rsidP="000E4EC3">
      <w:pPr>
        <w:widowControl/>
        <w:numPr>
          <w:ilvl w:val="1"/>
          <w:numId w:val="14"/>
        </w:numPr>
        <w:autoSpaceDE/>
        <w:autoSpaceDN/>
        <w:adjustRightInd/>
        <w:contextualSpacing/>
        <w:rPr>
          <w:rFonts w:ascii="Calibri" w:eastAsia="Calibri" w:hAnsi="Calibri"/>
          <w:sz w:val="22"/>
          <w:szCs w:val="22"/>
        </w:rPr>
      </w:pPr>
      <w:r w:rsidRPr="006A17E8">
        <w:rPr>
          <w:rFonts w:ascii="Calibri" w:eastAsia="Calibri" w:hAnsi="Calibri"/>
          <w:sz w:val="22"/>
          <w:szCs w:val="22"/>
        </w:rPr>
        <w:t>Moderately improved knowledge</w:t>
      </w:r>
    </w:p>
    <w:p w14:paraId="72DBC2ED" w14:textId="77777777" w:rsidR="000E4EC3" w:rsidRPr="006A17E8" w:rsidRDefault="000E4EC3" w:rsidP="000E4EC3">
      <w:pPr>
        <w:widowControl/>
        <w:numPr>
          <w:ilvl w:val="1"/>
          <w:numId w:val="14"/>
        </w:numPr>
        <w:autoSpaceDE/>
        <w:autoSpaceDN/>
        <w:adjustRightInd/>
        <w:contextualSpacing/>
        <w:rPr>
          <w:rFonts w:ascii="Calibri" w:eastAsia="Calibri" w:hAnsi="Calibri"/>
          <w:sz w:val="22"/>
          <w:szCs w:val="22"/>
        </w:rPr>
      </w:pPr>
      <w:r w:rsidRPr="006A17E8">
        <w:rPr>
          <w:rFonts w:ascii="Calibri" w:eastAsia="Calibri" w:hAnsi="Calibri"/>
          <w:sz w:val="22"/>
          <w:szCs w:val="22"/>
        </w:rPr>
        <w:t>Slightly improved knowledge</w:t>
      </w:r>
    </w:p>
    <w:p w14:paraId="73D1E13A" w14:textId="77777777" w:rsidR="000E4EC3" w:rsidRPr="006A17E8" w:rsidRDefault="000E4EC3" w:rsidP="000E4EC3">
      <w:pPr>
        <w:widowControl/>
        <w:numPr>
          <w:ilvl w:val="1"/>
          <w:numId w:val="14"/>
        </w:numPr>
        <w:autoSpaceDE/>
        <w:autoSpaceDN/>
        <w:adjustRightInd/>
        <w:contextualSpacing/>
        <w:rPr>
          <w:rFonts w:ascii="Calibri" w:eastAsia="Calibri" w:hAnsi="Calibri"/>
          <w:sz w:val="22"/>
          <w:szCs w:val="22"/>
        </w:rPr>
      </w:pPr>
      <w:r w:rsidRPr="006A17E8">
        <w:rPr>
          <w:rFonts w:ascii="Calibri" w:eastAsia="Calibri" w:hAnsi="Calibri"/>
          <w:sz w:val="22"/>
          <w:szCs w:val="22"/>
        </w:rPr>
        <w:t>Did not improve knowledge</w:t>
      </w:r>
    </w:p>
    <w:p w14:paraId="55BA53E6" w14:textId="77777777" w:rsidR="000E4EC3" w:rsidRPr="000E4EC3" w:rsidRDefault="000E4EC3" w:rsidP="000E4EC3">
      <w:pPr>
        <w:widowControl/>
        <w:autoSpaceDE/>
        <w:autoSpaceDN/>
        <w:adjustRightInd/>
        <w:ind w:left="1440"/>
        <w:contextualSpacing/>
        <w:rPr>
          <w:rFonts w:ascii="Calibri" w:eastAsia="Calibri" w:hAnsi="Calibri"/>
          <w:sz w:val="22"/>
          <w:szCs w:val="22"/>
        </w:rPr>
      </w:pPr>
    </w:p>
    <w:p w14:paraId="683172B2" w14:textId="78CBF6F1" w:rsidR="000E4EC3" w:rsidRPr="000E4EC3" w:rsidRDefault="00814095" w:rsidP="000E4EC3">
      <w:pPr>
        <w:widowControl/>
        <w:numPr>
          <w:ilvl w:val="0"/>
          <w:numId w:val="14"/>
        </w:numPr>
        <w:autoSpaceDE/>
        <w:autoSpaceDN/>
        <w:adjustRightInd/>
        <w:contextualSpacing/>
        <w:rPr>
          <w:rFonts w:ascii="Calibri" w:eastAsia="Calibri" w:hAnsi="Calibri"/>
          <w:sz w:val="22"/>
          <w:szCs w:val="22"/>
        </w:rPr>
      </w:pPr>
      <w:r>
        <w:rPr>
          <w:rFonts w:ascii="Calibri" w:eastAsia="Calibri" w:hAnsi="Calibri"/>
          <w:sz w:val="22"/>
          <w:szCs w:val="22"/>
        </w:rPr>
        <w:t xml:space="preserve">Please comment on your </w:t>
      </w:r>
      <w:r w:rsidR="000E4EC3" w:rsidRPr="000E4EC3">
        <w:rPr>
          <w:rFonts w:ascii="Calibri" w:eastAsia="Calibri" w:hAnsi="Calibri"/>
          <w:sz w:val="22"/>
          <w:szCs w:val="22"/>
        </w:rPr>
        <w:t>r</w:t>
      </w:r>
      <w:r>
        <w:rPr>
          <w:rFonts w:ascii="Calibri" w:eastAsia="Calibri" w:hAnsi="Calibri"/>
          <w:sz w:val="22"/>
          <w:szCs w:val="22"/>
        </w:rPr>
        <w:t>esponse to the previous question</w:t>
      </w:r>
      <w:r w:rsidR="0020667B">
        <w:rPr>
          <w:rFonts w:ascii="Calibri" w:eastAsia="Calibri" w:hAnsi="Calibri"/>
          <w:sz w:val="22"/>
          <w:szCs w:val="22"/>
        </w:rPr>
        <w:t xml:space="preserve">. </w:t>
      </w:r>
      <w:r w:rsidR="000E4EC3" w:rsidRPr="000E4EC3">
        <w:rPr>
          <w:rFonts w:ascii="Calibri" w:hAnsi="Calibri"/>
          <w:b/>
          <w:i/>
          <w:color w:val="404040"/>
          <w:sz w:val="22"/>
          <w:szCs w:val="22"/>
        </w:rPr>
        <w:t xml:space="preserve"> Open-ended text response</w:t>
      </w:r>
    </w:p>
    <w:p w14:paraId="4C0A1631" w14:textId="77777777" w:rsidR="000E4EC3" w:rsidRPr="000E4EC3" w:rsidRDefault="000E4EC3" w:rsidP="000E4EC3">
      <w:pPr>
        <w:widowControl/>
        <w:autoSpaceDE/>
        <w:autoSpaceDN/>
        <w:adjustRightInd/>
        <w:rPr>
          <w:rFonts w:ascii="Calibri" w:eastAsia="Calibri" w:hAnsi="Calibri"/>
          <w:sz w:val="22"/>
          <w:szCs w:val="22"/>
        </w:rPr>
      </w:pPr>
    </w:p>
    <w:p w14:paraId="3A02357C" w14:textId="60F3DC66" w:rsidR="000E4EC3" w:rsidRPr="000E4EC3" w:rsidRDefault="000E4EC3" w:rsidP="000E4EC3">
      <w:pPr>
        <w:widowControl/>
        <w:numPr>
          <w:ilvl w:val="0"/>
          <w:numId w:val="14"/>
        </w:numPr>
        <w:autoSpaceDE/>
        <w:autoSpaceDN/>
        <w:adjustRightInd/>
        <w:contextualSpacing/>
        <w:rPr>
          <w:rFonts w:ascii="Calibri" w:eastAsia="Calibri" w:hAnsi="Calibri"/>
          <w:sz w:val="22"/>
          <w:szCs w:val="22"/>
        </w:rPr>
      </w:pPr>
      <w:r w:rsidRPr="000E4EC3">
        <w:rPr>
          <w:rFonts w:ascii="Calibri" w:eastAsia="Calibri" w:hAnsi="Calibri"/>
          <w:sz w:val="22"/>
          <w:szCs w:val="22"/>
        </w:rPr>
        <w:t>What were the most helpful parts of the webcast?</w:t>
      </w:r>
      <w:r w:rsidR="0020667B">
        <w:rPr>
          <w:rFonts w:ascii="Calibri" w:hAnsi="Calibri"/>
          <w:b/>
          <w:i/>
          <w:color w:val="404040"/>
          <w:sz w:val="22"/>
          <w:szCs w:val="22"/>
        </w:rPr>
        <w:t xml:space="preserve"> Open-ended text response</w:t>
      </w:r>
      <w:r w:rsidRPr="000E4EC3">
        <w:rPr>
          <w:rFonts w:ascii="Calibri" w:hAnsi="Calibri"/>
          <w:b/>
          <w:i/>
          <w:color w:val="404040"/>
          <w:sz w:val="22"/>
          <w:szCs w:val="22"/>
        </w:rPr>
        <w:br/>
      </w:r>
    </w:p>
    <w:p w14:paraId="01CAAE2B" w14:textId="58BE544F" w:rsidR="000E4EC3" w:rsidRPr="000E4EC3" w:rsidRDefault="0020667B" w:rsidP="000E4EC3">
      <w:pPr>
        <w:widowControl/>
        <w:numPr>
          <w:ilvl w:val="0"/>
          <w:numId w:val="14"/>
        </w:numPr>
        <w:autoSpaceDE/>
        <w:autoSpaceDN/>
        <w:adjustRightInd/>
        <w:contextualSpacing/>
        <w:rPr>
          <w:rFonts w:ascii="Calibri" w:eastAsia="Calibri" w:hAnsi="Calibri"/>
          <w:sz w:val="22"/>
          <w:szCs w:val="22"/>
        </w:rPr>
      </w:pPr>
      <w:r>
        <w:rPr>
          <w:rFonts w:ascii="Calibri" w:eastAsia="Calibri" w:hAnsi="Calibri"/>
          <w:sz w:val="22"/>
          <w:szCs w:val="22"/>
        </w:rPr>
        <w:t xml:space="preserve">Were any items of </w:t>
      </w:r>
      <w:r w:rsidR="000E4EC3" w:rsidRPr="000E4EC3">
        <w:rPr>
          <w:rFonts w:ascii="Calibri" w:eastAsia="Calibri" w:hAnsi="Calibri"/>
          <w:sz w:val="22"/>
          <w:szCs w:val="22"/>
        </w:rPr>
        <w:t xml:space="preserve">the webcast confusing? </w:t>
      </w:r>
      <w:r w:rsidR="000E4EC3" w:rsidRPr="0020667B">
        <w:rPr>
          <w:rFonts w:ascii="Calibri" w:eastAsia="Calibri" w:hAnsi="Calibri"/>
          <w:color w:val="595959" w:themeColor="text1" w:themeTint="A6"/>
          <w:sz w:val="22"/>
          <w:szCs w:val="22"/>
        </w:rPr>
        <w:t xml:space="preserve"> </w:t>
      </w:r>
      <w:r w:rsidRPr="0020667B">
        <w:rPr>
          <w:rFonts w:ascii="Calibri" w:eastAsia="Calibri" w:hAnsi="Calibri"/>
          <w:b/>
          <w:i/>
          <w:color w:val="595959" w:themeColor="text1" w:themeTint="A6"/>
          <w:sz w:val="22"/>
          <w:szCs w:val="22"/>
        </w:rPr>
        <w:t>If so, please explain.</w:t>
      </w:r>
      <w:r w:rsidRPr="0020667B">
        <w:rPr>
          <w:rFonts w:ascii="Calibri" w:eastAsia="Calibri" w:hAnsi="Calibri"/>
          <w:i/>
          <w:color w:val="595959" w:themeColor="text1" w:themeTint="A6"/>
          <w:sz w:val="22"/>
          <w:szCs w:val="22"/>
        </w:rPr>
        <w:t xml:space="preserve">  </w:t>
      </w:r>
      <w:r w:rsidR="000E4EC3" w:rsidRPr="000E4EC3">
        <w:rPr>
          <w:rFonts w:ascii="Calibri" w:hAnsi="Calibri"/>
          <w:b/>
          <w:i/>
          <w:color w:val="404040"/>
          <w:sz w:val="22"/>
          <w:szCs w:val="22"/>
        </w:rPr>
        <w:t>Open-ended text response</w:t>
      </w:r>
    </w:p>
    <w:p w14:paraId="57884C1C" w14:textId="77777777" w:rsidR="000E4EC3" w:rsidRPr="000E4EC3" w:rsidRDefault="000E4EC3" w:rsidP="000E4EC3">
      <w:pPr>
        <w:widowControl/>
        <w:autoSpaceDE/>
        <w:autoSpaceDN/>
        <w:adjustRightInd/>
        <w:rPr>
          <w:rFonts w:ascii="Calibri" w:eastAsia="Calibri" w:hAnsi="Calibri"/>
          <w:sz w:val="22"/>
          <w:szCs w:val="22"/>
        </w:rPr>
      </w:pPr>
    </w:p>
    <w:p w14:paraId="22DCB9A0" w14:textId="2E745C8B" w:rsidR="000E4EC3" w:rsidRPr="000E4EC3" w:rsidRDefault="000E4EC3" w:rsidP="000E4EC3">
      <w:pPr>
        <w:widowControl/>
        <w:numPr>
          <w:ilvl w:val="0"/>
          <w:numId w:val="14"/>
        </w:numPr>
        <w:autoSpaceDE/>
        <w:autoSpaceDN/>
        <w:adjustRightInd/>
        <w:contextualSpacing/>
        <w:rPr>
          <w:rFonts w:ascii="Calibri" w:eastAsia="Calibri" w:hAnsi="Calibri"/>
          <w:sz w:val="22"/>
          <w:szCs w:val="22"/>
        </w:rPr>
      </w:pPr>
      <w:r w:rsidRPr="000E4EC3">
        <w:rPr>
          <w:rFonts w:ascii="Calibri" w:eastAsia="Calibri" w:hAnsi="Calibri"/>
          <w:sz w:val="22"/>
          <w:szCs w:val="22"/>
        </w:rPr>
        <w:t>Was content missing from the webcast that would have</w:t>
      </w:r>
      <w:r w:rsidR="00747900">
        <w:rPr>
          <w:rFonts w:ascii="Calibri" w:eastAsia="Calibri" w:hAnsi="Calibri"/>
          <w:sz w:val="22"/>
          <w:szCs w:val="22"/>
        </w:rPr>
        <w:t xml:space="preserve"> been helpful to you</w:t>
      </w:r>
      <w:r w:rsidRPr="000E4EC3">
        <w:rPr>
          <w:rFonts w:ascii="Calibri" w:eastAsia="Calibri" w:hAnsi="Calibri"/>
          <w:sz w:val="22"/>
          <w:szCs w:val="22"/>
        </w:rPr>
        <w:t>?</w:t>
      </w:r>
      <w:r w:rsidRPr="000E4EC3">
        <w:rPr>
          <w:rFonts w:ascii="Calibri" w:hAnsi="Calibri"/>
          <w:b/>
          <w:i/>
          <w:color w:val="404040"/>
          <w:sz w:val="22"/>
          <w:szCs w:val="22"/>
        </w:rPr>
        <w:t xml:space="preserve">  If so, please explain.  Open-ended text response</w:t>
      </w:r>
      <w:r w:rsidRPr="000E4EC3">
        <w:rPr>
          <w:rFonts w:ascii="Calibri" w:hAnsi="Calibri"/>
          <w:b/>
          <w:i/>
          <w:color w:val="404040"/>
          <w:sz w:val="22"/>
          <w:szCs w:val="22"/>
        </w:rPr>
        <w:br/>
      </w:r>
    </w:p>
    <w:p w14:paraId="08C9E560" w14:textId="0C309352" w:rsidR="000E4EC3" w:rsidRPr="000E4EC3" w:rsidRDefault="000E4EC3" w:rsidP="000E4EC3">
      <w:pPr>
        <w:widowControl/>
        <w:numPr>
          <w:ilvl w:val="0"/>
          <w:numId w:val="14"/>
        </w:numPr>
        <w:autoSpaceDE/>
        <w:autoSpaceDN/>
        <w:adjustRightInd/>
        <w:contextualSpacing/>
        <w:rPr>
          <w:rFonts w:ascii="Calibri" w:eastAsia="Calibri" w:hAnsi="Calibri"/>
          <w:sz w:val="22"/>
          <w:szCs w:val="22"/>
        </w:rPr>
      </w:pPr>
      <w:r w:rsidRPr="000E4EC3">
        <w:rPr>
          <w:rFonts w:ascii="Calibri" w:eastAsia="Calibri" w:hAnsi="Calibri"/>
          <w:sz w:val="22"/>
          <w:szCs w:val="22"/>
        </w:rPr>
        <w:t>Was a webcast the best way to learn</w:t>
      </w:r>
      <w:r w:rsidR="001A0E67">
        <w:rPr>
          <w:rFonts w:ascii="Calibri" w:eastAsia="Calibri" w:hAnsi="Calibri"/>
          <w:sz w:val="22"/>
          <w:szCs w:val="22"/>
        </w:rPr>
        <w:t xml:space="preserve"> about</w:t>
      </w:r>
      <w:r w:rsidRPr="000E4EC3">
        <w:rPr>
          <w:rFonts w:ascii="Calibri" w:eastAsia="Calibri" w:hAnsi="Calibri"/>
          <w:sz w:val="22"/>
          <w:szCs w:val="22"/>
        </w:rPr>
        <w:t xml:space="preserve"> this subject matter, or would you have preferred another format (if so, please specify</w:t>
      </w:r>
      <w:r w:rsidR="00747900">
        <w:rPr>
          <w:rFonts w:ascii="Calibri" w:eastAsia="Calibri" w:hAnsi="Calibri"/>
          <w:sz w:val="22"/>
          <w:szCs w:val="22"/>
        </w:rPr>
        <w:t xml:space="preserve"> format</w:t>
      </w:r>
      <w:r w:rsidRPr="000E4EC3">
        <w:rPr>
          <w:rFonts w:ascii="Calibri" w:eastAsia="Calibri" w:hAnsi="Calibri"/>
          <w:sz w:val="22"/>
          <w:szCs w:val="22"/>
        </w:rPr>
        <w:t>)?</w:t>
      </w:r>
      <w:r w:rsidRPr="000E4EC3">
        <w:rPr>
          <w:rFonts w:ascii="Calibri" w:hAnsi="Calibri"/>
          <w:b/>
          <w:i/>
          <w:color w:val="404040"/>
          <w:sz w:val="22"/>
          <w:szCs w:val="22"/>
        </w:rPr>
        <w:t xml:space="preserve"> Open-ended text response</w:t>
      </w:r>
      <w:r w:rsidRPr="000E4EC3">
        <w:rPr>
          <w:rFonts w:ascii="Calibri" w:hAnsi="Calibri"/>
          <w:b/>
          <w:i/>
          <w:color w:val="404040"/>
          <w:sz w:val="22"/>
          <w:szCs w:val="22"/>
        </w:rPr>
        <w:br/>
      </w:r>
    </w:p>
    <w:p w14:paraId="44715AD5" w14:textId="77777777" w:rsidR="000E4EC3" w:rsidRPr="000E4EC3" w:rsidRDefault="000E4EC3" w:rsidP="000E4EC3">
      <w:pPr>
        <w:widowControl/>
        <w:numPr>
          <w:ilvl w:val="0"/>
          <w:numId w:val="14"/>
        </w:numPr>
        <w:autoSpaceDE/>
        <w:autoSpaceDN/>
        <w:adjustRightInd/>
        <w:contextualSpacing/>
        <w:rPr>
          <w:rFonts w:ascii="Calibri" w:eastAsia="Calibri" w:hAnsi="Calibri"/>
          <w:sz w:val="22"/>
          <w:szCs w:val="22"/>
        </w:rPr>
      </w:pPr>
      <w:r w:rsidRPr="000E4EC3">
        <w:rPr>
          <w:rFonts w:ascii="Calibri" w:eastAsia="Calibri" w:hAnsi="Calibri"/>
          <w:sz w:val="22"/>
          <w:szCs w:val="22"/>
        </w:rPr>
        <w:t>How can the NPDB improve future webcasts?</w:t>
      </w:r>
      <w:r w:rsidRPr="000E4EC3">
        <w:rPr>
          <w:rFonts w:ascii="Calibri" w:hAnsi="Calibri"/>
          <w:b/>
          <w:i/>
          <w:color w:val="404040"/>
          <w:sz w:val="22"/>
          <w:szCs w:val="22"/>
        </w:rPr>
        <w:t xml:space="preserve"> Open-ended text response</w:t>
      </w:r>
    </w:p>
    <w:p w14:paraId="4BB677BE" w14:textId="77777777" w:rsidR="000E4EC3" w:rsidRPr="000E4EC3" w:rsidRDefault="000E4EC3" w:rsidP="000E4EC3">
      <w:pPr>
        <w:widowControl/>
        <w:autoSpaceDE/>
        <w:autoSpaceDN/>
        <w:adjustRightInd/>
        <w:rPr>
          <w:rFonts w:ascii="Calibri" w:eastAsia="Calibri" w:hAnsi="Calibri"/>
          <w:sz w:val="22"/>
          <w:szCs w:val="22"/>
        </w:rPr>
      </w:pPr>
    </w:p>
    <w:p w14:paraId="321C901D" w14:textId="12978A8B" w:rsidR="000E4EC3" w:rsidRPr="000E4EC3" w:rsidRDefault="000E4EC3" w:rsidP="000E4EC3">
      <w:pPr>
        <w:widowControl/>
        <w:numPr>
          <w:ilvl w:val="0"/>
          <w:numId w:val="14"/>
        </w:numPr>
        <w:autoSpaceDE/>
        <w:autoSpaceDN/>
        <w:adjustRightInd/>
        <w:contextualSpacing/>
        <w:rPr>
          <w:rFonts w:ascii="Calibri" w:eastAsia="Calibri" w:hAnsi="Calibri"/>
          <w:sz w:val="22"/>
          <w:szCs w:val="22"/>
        </w:rPr>
      </w:pPr>
      <w:r w:rsidRPr="000E4EC3">
        <w:rPr>
          <w:rFonts w:ascii="Calibri" w:eastAsia="Calibri" w:hAnsi="Calibri"/>
          <w:sz w:val="22"/>
          <w:szCs w:val="22"/>
        </w:rPr>
        <w:t xml:space="preserve">What topics </w:t>
      </w:r>
      <w:r w:rsidR="001A0E67">
        <w:rPr>
          <w:rFonts w:ascii="Calibri" w:eastAsia="Calibri" w:hAnsi="Calibri"/>
          <w:sz w:val="22"/>
          <w:szCs w:val="22"/>
        </w:rPr>
        <w:t xml:space="preserve">should be the focus of </w:t>
      </w:r>
      <w:r w:rsidRPr="000E4EC3">
        <w:rPr>
          <w:rFonts w:ascii="Calibri" w:eastAsia="Calibri" w:hAnsi="Calibri"/>
          <w:sz w:val="22"/>
          <w:szCs w:val="22"/>
        </w:rPr>
        <w:t xml:space="preserve">future </w:t>
      </w:r>
      <w:r w:rsidR="007613E7">
        <w:rPr>
          <w:rFonts w:ascii="Calibri" w:eastAsia="Calibri" w:hAnsi="Calibri"/>
          <w:sz w:val="22"/>
          <w:szCs w:val="22"/>
        </w:rPr>
        <w:t>webcast</w:t>
      </w:r>
      <w:r w:rsidRPr="000E4EC3">
        <w:rPr>
          <w:rFonts w:ascii="Calibri" w:eastAsia="Calibri" w:hAnsi="Calibri"/>
          <w:sz w:val="22"/>
          <w:szCs w:val="22"/>
        </w:rPr>
        <w:t xml:space="preserve">s? </w:t>
      </w:r>
      <w:r w:rsidRPr="000E4EC3">
        <w:rPr>
          <w:rFonts w:ascii="Calibri" w:hAnsi="Calibri"/>
          <w:b/>
          <w:i/>
          <w:color w:val="404040"/>
          <w:sz w:val="22"/>
          <w:szCs w:val="22"/>
        </w:rPr>
        <w:t>Open-ended text response</w:t>
      </w:r>
    </w:p>
    <w:p w14:paraId="0CD16515" w14:textId="77777777" w:rsidR="000E4EC3" w:rsidRPr="000E4EC3" w:rsidRDefault="000E4EC3" w:rsidP="000E4EC3">
      <w:pPr>
        <w:widowControl/>
        <w:autoSpaceDE/>
        <w:autoSpaceDN/>
        <w:adjustRightInd/>
        <w:rPr>
          <w:rFonts w:ascii="Calibri" w:eastAsia="Calibri" w:hAnsi="Calibri"/>
          <w:sz w:val="22"/>
          <w:szCs w:val="22"/>
        </w:rPr>
      </w:pPr>
    </w:p>
    <w:p w14:paraId="3FD6506A" w14:textId="77777777" w:rsidR="000E4EC3" w:rsidRPr="00176576" w:rsidRDefault="000E4EC3" w:rsidP="00176576">
      <w:pPr>
        <w:tabs>
          <w:tab w:val="left" w:pos="-720"/>
        </w:tabs>
        <w:rPr>
          <w:rFonts w:ascii="Times New Roman" w:hAnsi="Times New Roman"/>
          <w:sz w:val="24"/>
          <w:szCs w:val="24"/>
        </w:rPr>
      </w:pPr>
    </w:p>
    <w:sectPr w:rsidR="000E4EC3"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33BC2" w14:textId="77777777" w:rsidR="008E2346" w:rsidRDefault="008E2346">
      <w:r>
        <w:separator/>
      </w:r>
    </w:p>
  </w:endnote>
  <w:endnote w:type="continuationSeparator" w:id="0">
    <w:p w14:paraId="2ACED771" w14:textId="77777777" w:rsidR="008E2346" w:rsidRDefault="008E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03349BA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9032C3">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27D7B" w14:textId="77777777" w:rsidR="008E2346" w:rsidRDefault="008E2346">
      <w:r>
        <w:separator/>
      </w:r>
    </w:p>
  </w:footnote>
  <w:footnote w:type="continuationSeparator" w:id="0">
    <w:p w14:paraId="7F9D652E" w14:textId="77777777" w:rsidR="008E2346" w:rsidRDefault="008E2346">
      <w:r>
        <w:continuationSeparator/>
      </w:r>
    </w:p>
  </w:footnote>
  <w:footnote w:id="1">
    <w:p w14:paraId="5ABCD607" w14:textId="2DC6CD71" w:rsidR="00552384" w:rsidRPr="005E02E1" w:rsidRDefault="00552384" w:rsidP="00552384">
      <w:pPr>
        <w:pStyle w:val="FootnoteText"/>
        <w:rPr>
          <w:rFonts w:ascii="Times New Roman" w:hAnsi="Times New Roman"/>
        </w:rPr>
      </w:pPr>
      <w:r w:rsidRPr="005E02E1">
        <w:rPr>
          <w:rStyle w:val="FootnoteReference"/>
        </w:rPr>
        <w:footnoteRef/>
      </w:r>
      <w:r w:rsidRPr="005E02E1">
        <w:t xml:space="preserve"> </w:t>
      </w:r>
      <w:r w:rsidRPr="005E02E1">
        <w:rPr>
          <w:rFonts w:ascii="Times New Roman" w:hAnsi="Times New Roman"/>
        </w:rPr>
        <w:t>The number of responde</w:t>
      </w:r>
      <w:r w:rsidR="00D63D78">
        <w:rPr>
          <w:rFonts w:ascii="Times New Roman" w:hAnsi="Times New Roman"/>
        </w:rPr>
        <w:t>nts is not an unduplicated count.</w:t>
      </w:r>
    </w:p>
  </w:footnote>
  <w:footnote w:id="2">
    <w:p w14:paraId="2665521D" w14:textId="1DCF70BA" w:rsidR="00552384" w:rsidRPr="00927461" w:rsidRDefault="00552384" w:rsidP="00552384">
      <w:pPr>
        <w:pStyle w:val="FootnoteText"/>
        <w:rPr>
          <w:rFonts w:ascii="Times New Roman" w:hAnsi="Times New Roman"/>
        </w:rPr>
      </w:pPr>
      <w:r w:rsidRPr="005E02E1">
        <w:rPr>
          <w:rStyle w:val="FootnoteReference"/>
        </w:rPr>
        <w:footnoteRef/>
      </w:r>
      <w:r w:rsidRPr="005E02E1">
        <w:t xml:space="preserve"> </w:t>
      </w:r>
      <w:r w:rsidRPr="005E02E1">
        <w:rPr>
          <w:rFonts w:ascii="Times New Roman" w:hAnsi="Times New Roman"/>
        </w:rPr>
        <w:t xml:space="preserve">Wages for </w:t>
      </w:r>
      <w:r w:rsidR="005E4248" w:rsidRPr="005E02E1">
        <w:rPr>
          <w:rFonts w:ascii="Times New Roman" w:hAnsi="Times New Roman"/>
        </w:rPr>
        <w:t xml:space="preserve">DPDB </w:t>
      </w:r>
      <w:r w:rsidR="007613E7">
        <w:rPr>
          <w:rFonts w:ascii="Times New Roman" w:hAnsi="Times New Roman"/>
        </w:rPr>
        <w:t>webcast</w:t>
      </w:r>
      <w:r w:rsidR="005E4248" w:rsidRPr="005E02E1">
        <w:rPr>
          <w:rFonts w:ascii="Times New Roman" w:hAnsi="Times New Roman"/>
        </w:rPr>
        <w:t xml:space="preserve"> participant</w:t>
      </w:r>
      <w:r w:rsidRPr="005E02E1">
        <w:rPr>
          <w:rFonts w:ascii="Times New Roman" w:hAnsi="Times New Roman"/>
        </w:rPr>
        <w:t xml:space="preserve"> staff is based on the </w:t>
      </w:r>
      <w:r w:rsidR="005E02E1" w:rsidRPr="005E02E1">
        <w:rPr>
          <w:rFonts w:ascii="Times New Roman" w:hAnsi="Times New Roman"/>
        </w:rPr>
        <w:t>2018</w:t>
      </w:r>
      <w:r w:rsidRPr="005E02E1">
        <w:rPr>
          <w:rFonts w:ascii="Times New Roman" w:hAnsi="Times New Roman"/>
        </w:rPr>
        <w:t xml:space="preserve"> Bureau of Labor Statistics data for the median hourly wage for </w:t>
      </w:r>
      <w:r w:rsidR="00655C6D" w:rsidRPr="005E02E1">
        <w:rPr>
          <w:rFonts w:ascii="Times New Roman" w:hAnsi="Times New Roman"/>
        </w:rPr>
        <w:t>Executive Administrative Assistants</w:t>
      </w:r>
      <w:r w:rsidR="00D63D78">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6172E03"/>
    <w:multiLevelType w:val="hybridMultilevel"/>
    <w:tmpl w:val="F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0E27880"/>
    <w:multiLevelType w:val="hybridMultilevel"/>
    <w:tmpl w:val="1AFED6EC"/>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4565BA"/>
    <w:multiLevelType w:val="hybridMultilevel"/>
    <w:tmpl w:val="C312007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3"/>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6"/>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5EE2"/>
    <w:rsid w:val="00016EEE"/>
    <w:rsid w:val="00024BC2"/>
    <w:rsid w:val="00063BC4"/>
    <w:rsid w:val="0007192E"/>
    <w:rsid w:val="00072B9E"/>
    <w:rsid w:val="00074988"/>
    <w:rsid w:val="00076D9F"/>
    <w:rsid w:val="00077808"/>
    <w:rsid w:val="000941DE"/>
    <w:rsid w:val="00096237"/>
    <w:rsid w:val="00096DBD"/>
    <w:rsid w:val="000A0FA9"/>
    <w:rsid w:val="000A1524"/>
    <w:rsid w:val="000C342B"/>
    <w:rsid w:val="000C49CF"/>
    <w:rsid w:val="000E26C2"/>
    <w:rsid w:val="000E4EC3"/>
    <w:rsid w:val="000F2D27"/>
    <w:rsid w:val="000F4A39"/>
    <w:rsid w:val="001017B2"/>
    <w:rsid w:val="00116F07"/>
    <w:rsid w:val="00144B81"/>
    <w:rsid w:val="00161B1D"/>
    <w:rsid w:val="00163150"/>
    <w:rsid w:val="00170363"/>
    <w:rsid w:val="00170F93"/>
    <w:rsid w:val="00176576"/>
    <w:rsid w:val="001879E5"/>
    <w:rsid w:val="0019133F"/>
    <w:rsid w:val="00192835"/>
    <w:rsid w:val="001A0E67"/>
    <w:rsid w:val="001B274F"/>
    <w:rsid w:val="001C39A6"/>
    <w:rsid w:val="001E58D1"/>
    <w:rsid w:val="001F0484"/>
    <w:rsid w:val="001F05FA"/>
    <w:rsid w:val="001F78C0"/>
    <w:rsid w:val="0020667B"/>
    <w:rsid w:val="00213C9A"/>
    <w:rsid w:val="002279BC"/>
    <w:rsid w:val="00230405"/>
    <w:rsid w:val="00233B3F"/>
    <w:rsid w:val="00246222"/>
    <w:rsid w:val="00286D34"/>
    <w:rsid w:val="002D2BBC"/>
    <w:rsid w:val="002E5350"/>
    <w:rsid w:val="002E5C9D"/>
    <w:rsid w:val="002F2742"/>
    <w:rsid w:val="002F402D"/>
    <w:rsid w:val="00301BCD"/>
    <w:rsid w:val="00303BCF"/>
    <w:rsid w:val="00330C42"/>
    <w:rsid w:val="0033551D"/>
    <w:rsid w:val="003365F2"/>
    <w:rsid w:val="00344701"/>
    <w:rsid w:val="003475FE"/>
    <w:rsid w:val="00383533"/>
    <w:rsid w:val="003A29E5"/>
    <w:rsid w:val="003A5DE4"/>
    <w:rsid w:val="003F7687"/>
    <w:rsid w:val="00404E64"/>
    <w:rsid w:val="004152C9"/>
    <w:rsid w:val="004239BD"/>
    <w:rsid w:val="00441456"/>
    <w:rsid w:val="00450C56"/>
    <w:rsid w:val="00461E5B"/>
    <w:rsid w:val="0046323A"/>
    <w:rsid w:val="00472378"/>
    <w:rsid w:val="004A27A5"/>
    <w:rsid w:val="004E3605"/>
    <w:rsid w:val="004E3A1F"/>
    <w:rsid w:val="004F0D22"/>
    <w:rsid w:val="004F1264"/>
    <w:rsid w:val="004F23D2"/>
    <w:rsid w:val="004F33ED"/>
    <w:rsid w:val="004F467A"/>
    <w:rsid w:val="0050495B"/>
    <w:rsid w:val="005162B3"/>
    <w:rsid w:val="00522C38"/>
    <w:rsid w:val="00531A2A"/>
    <w:rsid w:val="00537117"/>
    <w:rsid w:val="00537E53"/>
    <w:rsid w:val="0055034A"/>
    <w:rsid w:val="00552384"/>
    <w:rsid w:val="00557C4D"/>
    <w:rsid w:val="0056262D"/>
    <w:rsid w:val="0056606F"/>
    <w:rsid w:val="00584B9C"/>
    <w:rsid w:val="00587151"/>
    <w:rsid w:val="005B4A77"/>
    <w:rsid w:val="005D0D7C"/>
    <w:rsid w:val="005E02E1"/>
    <w:rsid w:val="005E4248"/>
    <w:rsid w:val="005E79EC"/>
    <w:rsid w:val="005F2587"/>
    <w:rsid w:val="005F7618"/>
    <w:rsid w:val="0061278C"/>
    <w:rsid w:val="00612972"/>
    <w:rsid w:val="00615984"/>
    <w:rsid w:val="0062267B"/>
    <w:rsid w:val="00623295"/>
    <w:rsid w:val="0063434A"/>
    <w:rsid w:val="00642A5E"/>
    <w:rsid w:val="00655C6D"/>
    <w:rsid w:val="0068570C"/>
    <w:rsid w:val="006A17E8"/>
    <w:rsid w:val="006A5915"/>
    <w:rsid w:val="006C2432"/>
    <w:rsid w:val="006E3B33"/>
    <w:rsid w:val="006F1E2A"/>
    <w:rsid w:val="0070166F"/>
    <w:rsid w:val="007102D2"/>
    <w:rsid w:val="00721134"/>
    <w:rsid w:val="007214F6"/>
    <w:rsid w:val="007312BE"/>
    <w:rsid w:val="00740228"/>
    <w:rsid w:val="00747900"/>
    <w:rsid w:val="0075457F"/>
    <w:rsid w:val="007613E7"/>
    <w:rsid w:val="00782F66"/>
    <w:rsid w:val="00784263"/>
    <w:rsid w:val="00790DB0"/>
    <w:rsid w:val="00796F36"/>
    <w:rsid w:val="007A23BD"/>
    <w:rsid w:val="007A25D0"/>
    <w:rsid w:val="007A3D7F"/>
    <w:rsid w:val="007B2471"/>
    <w:rsid w:val="007B747D"/>
    <w:rsid w:val="007C52B1"/>
    <w:rsid w:val="007C591D"/>
    <w:rsid w:val="007D1E4C"/>
    <w:rsid w:val="007D2413"/>
    <w:rsid w:val="007F2365"/>
    <w:rsid w:val="007F52F7"/>
    <w:rsid w:val="00802A88"/>
    <w:rsid w:val="00814095"/>
    <w:rsid w:val="008163BB"/>
    <w:rsid w:val="008165B2"/>
    <w:rsid w:val="0082611C"/>
    <w:rsid w:val="00850760"/>
    <w:rsid w:val="00874A63"/>
    <w:rsid w:val="00885127"/>
    <w:rsid w:val="00896384"/>
    <w:rsid w:val="008C13E2"/>
    <w:rsid w:val="008D0639"/>
    <w:rsid w:val="008D1D94"/>
    <w:rsid w:val="008E2346"/>
    <w:rsid w:val="009032C3"/>
    <w:rsid w:val="00910925"/>
    <w:rsid w:val="00914F2D"/>
    <w:rsid w:val="009246D7"/>
    <w:rsid w:val="00927461"/>
    <w:rsid w:val="0096682A"/>
    <w:rsid w:val="00990233"/>
    <w:rsid w:val="009910A4"/>
    <w:rsid w:val="00991180"/>
    <w:rsid w:val="009A0645"/>
    <w:rsid w:val="009B5A14"/>
    <w:rsid w:val="009B68A7"/>
    <w:rsid w:val="009C02B9"/>
    <w:rsid w:val="009C3614"/>
    <w:rsid w:val="009D2EC6"/>
    <w:rsid w:val="009D6C07"/>
    <w:rsid w:val="009D73F6"/>
    <w:rsid w:val="009E701D"/>
    <w:rsid w:val="00A11ACD"/>
    <w:rsid w:val="00A342EB"/>
    <w:rsid w:val="00A4213C"/>
    <w:rsid w:val="00A4633A"/>
    <w:rsid w:val="00A51424"/>
    <w:rsid w:val="00A60207"/>
    <w:rsid w:val="00A91DCD"/>
    <w:rsid w:val="00AA3B0B"/>
    <w:rsid w:val="00AE120A"/>
    <w:rsid w:val="00AE1A75"/>
    <w:rsid w:val="00B106FD"/>
    <w:rsid w:val="00B21125"/>
    <w:rsid w:val="00B237EB"/>
    <w:rsid w:val="00B25CCB"/>
    <w:rsid w:val="00B3410A"/>
    <w:rsid w:val="00B37D64"/>
    <w:rsid w:val="00B40D39"/>
    <w:rsid w:val="00B425DD"/>
    <w:rsid w:val="00B53DFA"/>
    <w:rsid w:val="00B54521"/>
    <w:rsid w:val="00B670B2"/>
    <w:rsid w:val="00B771A7"/>
    <w:rsid w:val="00B906CD"/>
    <w:rsid w:val="00B90D5D"/>
    <w:rsid w:val="00BA092C"/>
    <w:rsid w:val="00BA1E23"/>
    <w:rsid w:val="00BC6B01"/>
    <w:rsid w:val="00BC761A"/>
    <w:rsid w:val="00BD3ABF"/>
    <w:rsid w:val="00BF3FA7"/>
    <w:rsid w:val="00BF423F"/>
    <w:rsid w:val="00C22F5A"/>
    <w:rsid w:val="00C45E47"/>
    <w:rsid w:val="00C50E75"/>
    <w:rsid w:val="00C572E5"/>
    <w:rsid w:val="00C5747C"/>
    <w:rsid w:val="00C710C1"/>
    <w:rsid w:val="00C72C00"/>
    <w:rsid w:val="00C91888"/>
    <w:rsid w:val="00C91E67"/>
    <w:rsid w:val="00CA1201"/>
    <w:rsid w:val="00CA1D43"/>
    <w:rsid w:val="00CA3548"/>
    <w:rsid w:val="00CB2B80"/>
    <w:rsid w:val="00CB2E46"/>
    <w:rsid w:val="00CD4592"/>
    <w:rsid w:val="00CE4102"/>
    <w:rsid w:val="00D0349B"/>
    <w:rsid w:val="00D16E7D"/>
    <w:rsid w:val="00D2299E"/>
    <w:rsid w:val="00D273B9"/>
    <w:rsid w:val="00D274AC"/>
    <w:rsid w:val="00D279B3"/>
    <w:rsid w:val="00D32AA8"/>
    <w:rsid w:val="00D60D98"/>
    <w:rsid w:val="00D63D78"/>
    <w:rsid w:val="00D67A56"/>
    <w:rsid w:val="00D71126"/>
    <w:rsid w:val="00D90485"/>
    <w:rsid w:val="00D90E19"/>
    <w:rsid w:val="00E14F94"/>
    <w:rsid w:val="00E228E8"/>
    <w:rsid w:val="00E37A63"/>
    <w:rsid w:val="00E37D4D"/>
    <w:rsid w:val="00E46F9F"/>
    <w:rsid w:val="00E636A2"/>
    <w:rsid w:val="00E82E48"/>
    <w:rsid w:val="00EC1EFF"/>
    <w:rsid w:val="00EC2EAD"/>
    <w:rsid w:val="00EF7803"/>
    <w:rsid w:val="00F007C3"/>
    <w:rsid w:val="00F0115D"/>
    <w:rsid w:val="00F1420F"/>
    <w:rsid w:val="00F40F0F"/>
    <w:rsid w:val="00F46FFB"/>
    <w:rsid w:val="00F66291"/>
    <w:rsid w:val="00F664F3"/>
    <w:rsid w:val="00F80C75"/>
    <w:rsid w:val="00F82F9B"/>
    <w:rsid w:val="00F87FAD"/>
    <w:rsid w:val="00F9298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2708">
      <w:bodyDiv w:val="1"/>
      <w:marLeft w:val="0"/>
      <w:marRight w:val="0"/>
      <w:marTop w:val="0"/>
      <w:marBottom w:val="0"/>
      <w:divBdr>
        <w:top w:val="none" w:sz="0" w:space="0" w:color="auto"/>
        <w:left w:val="none" w:sz="0" w:space="0" w:color="auto"/>
        <w:bottom w:val="none" w:sz="0" w:space="0" w:color="auto"/>
        <w:right w:val="none" w:sz="0" w:space="0" w:color="auto"/>
      </w:divBdr>
    </w:div>
    <w:div w:id="854273479">
      <w:bodyDiv w:val="1"/>
      <w:marLeft w:val="0"/>
      <w:marRight w:val="0"/>
      <w:marTop w:val="0"/>
      <w:marBottom w:val="0"/>
      <w:divBdr>
        <w:top w:val="none" w:sz="0" w:space="0" w:color="auto"/>
        <w:left w:val="none" w:sz="0" w:space="0" w:color="auto"/>
        <w:bottom w:val="none" w:sz="0" w:space="0" w:color="auto"/>
        <w:right w:val="none" w:sz="0" w:space="0" w:color="auto"/>
      </w:divBdr>
    </w:div>
    <w:div w:id="1726368332">
      <w:bodyDiv w:val="1"/>
      <w:marLeft w:val="0"/>
      <w:marRight w:val="0"/>
      <w:marTop w:val="0"/>
      <w:marBottom w:val="0"/>
      <w:divBdr>
        <w:top w:val="none" w:sz="0" w:space="0" w:color="auto"/>
        <w:left w:val="none" w:sz="0" w:space="0" w:color="auto"/>
        <w:bottom w:val="none" w:sz="0" w:space="0" w:color="auto"/>
        <w:right w:val="none" w:sz="0" w:space="0" w:color="auto"/>
      </w:divBdr>
    </w:div>
    <w:div w:id="21330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967143e-3350-4318-8b8c-f9b56d178eaa"/>
    <ds:schemaRef ds:uri="http://www.w3.org/XML/1998/namespace"/>
  </ds:schemaRefs>
</ds:datastoreItem>
</file>

<file path=customXml/itemProps4.xml><?xml version="1.0" encoding="utf-8"?>
<ds:datastoreItem xmlns:ds="http://schemas.openxmlformats.org/officeDocument/2006/customXml" ds:itemID="{D93405FE-C092-410D-972B-10DA17B0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cp:lastPrinted>2017-01-25T21:26:00Z</cp:lastPrinted>
  <dcterms:created xsi:type="dcterms:W3CDTF">2019-09-23T16:20:00Z</dcterms:created>
  <dcterms:modified xsi:type="dcterms:W3CDTF">2019-09-23T16:20:00Z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