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26A99" w14:textId="7FFF736D" w:rsidR="00787427" w:rsidRPr="00030F11" w:rsidRDefault="00787427" w:rsidP="00787427">
      <w:pPr>
        <w:widowControl w:val="0"/>
        <w:spacing w:after="0" w:line="480" w:lineRule="auto"/>
        <w:rPr>
          <w:snapToGrid w:val="0"/>
          <w:szCs w:val="20"/>
        </w:rPr>
      </w:pPr>
      <w:bookmarkStart w:id="0" w:name="_GoBack"/>
      <w:bookmarkEnd w:id="0"/>
      <w:r w:rsidRPr="00030F11">
        <w:rPr>
          <w:snapToGrid w:val="0"/>
          <w:szCs w:val="20"/>
          <w:u w:val="single"/>
        </w:rPr>
        <w:t xml:space="preserve">B. </w:t>
      </w:r>
      <w:r w:rsidR="00F23F79">
        <w:rPr>
          <w:snapToGrid w:val="0"/>
          <w:szCs w:val="20"/>
          <w:u w:val="single"/>
        </w:rPr>
        <w:t>Statistical Methods</w:t>
      </w:r>
      <w:r w:rsidRPr="00030F11">
        <w:rPr>
          <w:snapToGrid w:val="0"/>
          <w:szCs w:val="20"/>
          <w:u w:val="single"/>
        </w:rPr>
        <w:t xml:space="preserve"> </w:t>
      </w:r>
    </w:p>
    <w:p w14:paraId="69802920" w14:textId="77777777" w:rsidR="00787427" w:rsidRPr="00F23F79" w:rsidRDefault="00787427" w:rsidP="00787427">
      <w:pPr>
        <w:widowControl w:val="0"/>
        <w:numPr>
          <w:ilvl w:val="0"/>
          <w:numId w:val="1"/>
        </w:numPr>
        <w:spacing w:after="0" w:line="480" w:lineRule="auto"/>
        <w:rPr>
          <w:snapToGrid w:val="0"/>
          <w:szCs w:val="20"/>
        </w:rPr>
      </w:pPr>
      <w:r w:rsidRPr="00F23F79">
        <w:rPr>
          <w:snapToGrid w:val="0"/>
          <w:szCs w:val="20"/>
          <w:u w:val="single"/>
        </w:rPr>
        <w:t>Respondent Universe and Sampling Methods</w:t>
      </w:r>
    </w:p>
    <w:p w14:paraId="5A20ECAD" w14:textId="0A81CC55" w:rsidR="00815C80" w:rsidRDefault="008D744E" w:rsidP="00714FBB">
      <w:pPr>
        <w:widowControl w:val="0"/>
        <w:autoSpaceDE w:val="0"/>
        <w:autoSpaceDN w:val="0"/>
        <w:adjustRightInd w:val="0"/>
        <w:spacing w:line="480" w:lineRule="auto"/>
        <w:ind w:firstLine="360"/>
        <w:contextualSpacing/>
        <w:rPr>
          <w:rFonts w:eastAsia="MS Mincho"/>
          <w:lang w:eastAsia="ja-JP"/>
        </w:rPr>
      </w:pPr>
      <w:r w:rsidRPr="008D744E">
        <w:rPr>
          <w:rFonts w:eastAsia="MS Mincho"/>
          <w:lang w:eastAsia="ja-JP"/>
        </w:rPr>
        <w:t>The eligible study population is U.S., non-institutionalized adults age 18 and older</w:t>
      </w:r>
      <w:r w:rsidR="009C0B2E">
        <w:rPr>
          <w:rFonts w:eastAsia="MS Mincho"/>
          <w:lang w:eastAsia="ja-JP"/>
        </w:rPr>
        <w:t xml:space="preserve"> who have a seasonal allergies diagnosis</w:t>
      </w:r>
      <w:r w:rsidRPr="008D744E">
        <w:rPr>
          <w:rFonts w:eastAsia="MS Mincho"/>
          <w:lang w:eastAsia="ja-JP"/>
        </w:rPr>
        <w:t xml:space="preserve">.  The </w:t>
      </w:r>
      <w:r w:rsidR="001728FB" w:rsidRPr="008D744E">
        <w:rPr>
          <w:rFonts w:eastAsia="MS Mincho"/>
          <w:lang w:eastAsia="ja-JP"/>
        </w:rPr>
        <w:t>s</w:t>
      </w:r>
      <w:r w:rsidR="001728FB">
        <w:rPr>
          <w:rFonts w:eastAsia="MS Mincho"/>
          <w:lang w:eastAsia="ja-JP"/>
        </w:rPr>
        <w:t>urvey</w:t>
      </w:r>
      <w:r w:rsidR="001728FB" w:rsidRPr="008D744E">
        <w:rPr>
          <w:rFonts w:eastAsia="MS Mincho"/>
          <w:lang w:eastAsia="ja-JP"/>
        </w:rPr>
        <w:t xml:space="preserve"> </w:t>
      </w:r>
      <w:r w:rsidRPr="008D744E">
        <w:rPr>
          <w:rFonts w:eastAsia="MS Mincho"/>
          <w:lang w:eastAsia="ja-JP"/>
        </w:rPr>
        <w:t>sample will be drawn from</w:t>
      </w:r>
      <w:r w:rsidR="009C0B2E">
        <w:rPr>
          <w:rFonts w:eastAsia="MS Mincho"/>
          <w:lang w:eastAsia="ja-JP"/>
        </w:rPr>
        <w:t xml:space="preserve"> </w:t>
      </w:r>
      <w:r w:rsidR="001728FB">
        <w:rPr>
          <w:rFonts w:eastAsia="MS Mincho"/>
          <w:lang w:eastAsia="ja-JP"/>
        </w:rPr>
        <w:t xml:space="preserve">the </w:t>
      </w:r>
      <w:r w:rsidR="00DD0383">
        <w:rPr>
          <w:rFonts w:eastAsia="MS Mincho"/>
          <w:lang w:eastAsia="ja-JP"/>
        </w:rPr>
        <w:t xml:space="preserve">databases of two recruitment firms, </w:t>
      </w:r>
      <w:r w:rsidR="009C0B2E">
        <w:rPr>
          <w:rFonts w:eastAsia="MS Mincho"/>
          <w:lang w:eastAsia="ja-JP"/>
        </w:rPr>
        <w:t xml:space="preserve">Shugoll </w:t>
      </w:r>
      <w:r w:rsidR="00DD0383">
        <w:rPr>
          <w:rFonts w:eastAsia="MS Mincho"/>
          <w:lang w:eastAsia="ja-JP"/>
        </w:rPr>
        <w:t>Research (Bethesda, MD</w:t>
      </w:r>
      <w:r w:rsidR="009C0B2E">
        <w:rPr>
          <w:rFonts w:eastAsia="MS Mincho"/>
          <w:lang w:eastAsia="ja-JP"/>
        </w:rPr>
        <w:t>)</w:t>
      </w:r>
      <w:r w:rsidR="00DD0383">
        <w:rPr>
          <w:rFonts w:eastAsia="MS Mincho"/>
          <w:lang w:eastAsia="ja-JP"/>
        </w:rPr>
        <w:t xml:space="preserve"> and</w:t>
      </w:r>
      <w:r w:rsidR="009C0B2E">
        <w:rPr>
          <w:rFonts w:eastAsia="MS Mincho"/>
          <w:lang w:eastAsia="ja-JP"/>
        </w:rPr>
        <w:t xml:space="preserve"> L&amp;E </w:t>
      </w:r>
      <w:r w:rsidR="00DD0383">
        <w:rPr>
          <w:rFonts w:eastAsia="MS Mincho"/>
          <w:lang w:eastAsia="ja-JP"/>
        </w:rPr>
        <w:t xml:space="preserve">Research </w:t>
      </w:r>
      <w:r w:rsidR="009C0B2E">
        <w:rPr>
          <w:rFonts w:eastAsia="MS Mincho"/>
          <w:lang w:eastAsia="ja-JP"/>
        </w:rPr>
        <w:t>(Raleigh, NC)</w:t>
      </w:r>
      <w:r w:rsidR="00DD0383">
        <w:rPr>
          <w:rFonts w:eastAsia="MS Mincho"/>
          <w:lang w:eastAsia="ja-JP"/>
        </w:rPr>
        <w:t xml:space="preserve">.  Shugoll Research </w:t>
      </w:r>
      <w:r w:rsidR="00B83F33">
        <w:rPr>
          <w:rFonts w:eastAsia="MS Mincho"/>
          <w:lang w:eastAsia="ja-JP"/>
        </w:rPr>
        <w:t xml:space="preserve">maintains a database </w:t>
      </w:r>
      <w:r w:rsidR="009C0B2E">
        <w:rPr>
          <w:rFonts w:eastAsia="MS Mincho"/>
          <w:lang w:eastAsia="ja-JP"/>
        </w:rPr>
        <w:t>consist</w:t>
      </w:r>
      <w:r w:rsidR="00B83F33">
        <w:rPr>
          <w:rFonts w:eastAsia="MS Mincho"/>
          <w:lang w:eastAsia="ja-JP"/>
        </w:rPr>
        <w:t>ing</w:t>
      </w:r>
      <w:r w:rsidR="009C0B2E">
        <w:rPr>
          <w:rFonts w:eastAsia="MS Mincho"/>
          <w:lang w:eastAsia="ja-JP"/>
        </w:rPr>
        <w:t xml:space="preserve"> of over </w:t>
      </w:r>
      <w:r w:rsidR="00DD0383">
        <w:rPr>
          <w:rFonts w:eastAsia="MS Mincho"/>
          <w:lang w:eastAsia="ja-JP"/>
        </w:rPr>
        <w:t xml:space="preserve">100,000 residents in the Washington, D.C. area, including suburban Maryland and northern Virginia.  </w:t>
      </w:r>
      <w:r w:rsidR="001728FB">
        <w:rPr>
          <w:rFonts w:eastAsia="MS Mincho"/>
          <w:lang w:eastAsia="ja-JP"/>
        </w:rPr>
        <w:t>L&amp;E Research maintains a database of approximately 5</w:t>
      </w:r>
      <w:r w:rsidR="00815C80">
        <w:rPr>
          <w:rFonts w:eastAsia="MS Mincho"/>
          <w:lang w:eastAsia="ja-JP"/>
        </w:rPr>
        <w:t xml:space="preserve">7,602 residents in the Raleigh, North Carolina area.  The sample will be drawn from members who report having seasonal allergies and will be approximately evenly divided between men and women.  </w:t>
      </w:r>
      <w:r w:rsidR="00815C80">
        <w:t xml:space="preserve">It will not be nationally representative of the entire population. This is due to the study design, not a limitation of the sampling frame.  </w:t>
      </w:r>
    </w:p>
    <w:p w14:paraId="7B0BE962" w14:textId="593E7B3C" w:rsidR="00DD0383" w:rsidRDefault="00815C80" w:rsidP="005D39AA">
      <w:pPr>
        <w:autoSpaceDE w:val="0"/>
        <w:autoSpaceDN w:val="0"/>
        <w:adjustRightInd w:val="0"/>
        <w:spacing w:line="480" w:lineRule="auto"/>
        <w:ind w:firstLine="360"/>
        <w:contextualSpacing/>
        <w:rPr>
          <w:rFonts w:eastAsia="MS Mincho"/>
          <w:lang w:eastAsia="ja-JP"/>
        </w:rPr>
      </w:pPr>
      <w:r>
        <w:rPr>
          <w:rFonts w:eastAsia="MS Mincho"/>
          <w:lang w:eastAsia="ja-JP"/>
        </w:rPr>
        <w:t>Shugoll Research and L&amp;E Research</w:t>
      </w:r>
      <w:r w:rsidRPr="00050705">
        <w:rPr>
          <w:rFonts w:eastAsia="MS Mincho"/>
          <w:lang w:eastAsia="ja-JP"/>
        </w:rPr>
        <w:t xml:space="preserve"> will generate a list of potential participants</w:t>
      </w:r>
      <w:r>
        <w:rPr>
          <w:rFonts w:eastAsia="MS Mincho"/>
          <w:lang w:eastAsia="ja-JP"/>
        </w:rPr>
        <w:t xml:space="preserve"> based on the study inclusion and exclusion criteria</w:t>
      </w:r>
      <w:r w:rsidRPr="00050705">
        <w:rPr>
          <w:rFonts w:eastAsia="MS Mincho"/>
          <w:lang w:eastAsia="ja-JP"/>
        </w:rPr>
        <w:t xml:space="preserve"> and screen these individuals over the phone.  </w:t>
      </w:r>
      <w:r>
        <w:rPr>
          <w:rFonts w:eastAsia="MS Mincho"/>
          <w:lang w:eastAsia="ja-JP"/>
        </w:rPr>
        <w:t>Should insufficient members be available to create a sample of adequate size</w:t>
      </w:r>
      <w:r w:rsidR="00FC65A1">
        <w:rPr>
          <w:rFonts w:eastAsia="MS Mincho"/>
          <w:lang w:eastAsia="ja-JP"/>
        </w:rPr>
        <w:t>,</w:t>
      </w:r>
      <w:r>
        <w:rPr>
          <w:rFonts w:eastAsia="MS Mincho"/>
          <w:lang w:eastAsia="ja-JP"/>
        </w:rPr>
        <w:t xml:space="preserve"> </w:t>
      </w:r>
      <w:r w:rsidR="001728FB">
        <w:rPr>
          <w:rFonts w:eastAsia="MS Mincho"/>
          <w:lang w:eastAsia="ja-JP"/>
        </w:rPr>
        <w:t>the recruitment firms</w:t>
      </w:r>
      <w:r w:rsidR="00DD0383" w:rsidRPr="005D39AA">
        <w:rPr>
          <w:rFonts w:eastAsia="MS Mincho"/>
          <w:lang w:eastAsia="ja-JP"/>
        </w:rPr>
        <w:t xml:space="preserve"> will </w:t>
      </w:r>
      <w:r>
        <w:rPr>
          <w:rFonts w:eastAsia="MS Mincho"/>
          <w:lang w:eastAsia="ja-JP"/>
        </w:rPr>
        <w:t xml:space="preserve">obtain additional samples by </w:t>
      </w:r>
      <w:r w:rsidR="00DD0383" w:rsidRPr="005D39AA">
        <w:rPr>
          <w:rFonts w:eastAsia="MS Mincho"/>
          <w:lang w:eastAsia="ja-JP"/>
        </w:rPr>
        <w:t>expand</w:t>
      </w:r>
      <w:r>
        <w:rPr>
          <w:rFonts w:eastAsia="MS Mincho"/>
          <w:lang w:eastAsia="ja-JP"/>
        </w:rPr>
        <w:t>ing</w:t>
      </w:r>
      <w:r w:rsidR="00DD0383" w:rsidRPr="005D39AA">
        <w:rPr>
          <w:rFonts w:eastAsia="MS Mincho"/>
          <w:lang w:eastAsia="ja-JP"/>
        </w:rPr>
        <w:t xml:space="preserve"> recruitment efforts to include cold calling, networking, referrals, and a variety of social media outlets that include Facebook, Twitter, and LinkedIn</w:t>
      </w:r>
      <w:r w:rsidR="00DD0383">
        <w:rPr>
          <w:rFonts w:eastAsia="MS Mincho"/>
          <w:lang w:eastAsia="ja-JP"/>
        </w:rPr>
        <w:t xml:space="preserve">. </w:t>
      </w:r>
    </w:p>
    <w:p w14:paraId="5EE2D223" w14:textId="77777777" w:rsidR="008D744E" w:rsidRPr="008D744E" w:rsidRDefault="008D744E" w:rsidP="008D744E">
      <w:pPr>
        <w:autoSpaceDE w:val="0"/>
        <w:autoSpaceDN w:val="0"/>
        <w:adjustRightInd w:val="0"/>
        <w:spacing w:line="480" w:lineRule="auto"/>
        <w:rPr>
          <w:rFonts w:eastAsia="MS Mincho"/>
          <w:lang w:eastAsia="ja-JP"/>
        </w:rPr>
      </w:pPr>
      <w:r w:rsidRPr="008D744E">
        <w:rPr>
          <w:rFonts w:eastAsia="MS Mincho"/>
          <w:lang w:eastAsia="ja-JP"/>
        </w:rPr>
        <w:t>The current sample design and sample sizes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8D744E" w14:paraId="6F93380F" w14:textId="77777777" w:rsidTr="00D82C86">
        <w:tc>
          <w:tcPr>
            <w:tcW w:w="4788" w:type="dxa"/>
          </w:tcPr>
          <w:p w14:paraId="47CF606F" w14:textId="77777777" w:rsidR="008D744E" w:rsidRPr="008D744E" w:rsidRDefault="008D744E" w:rsidP="008D744E">
            <w:pPr>
              <w:autoSpaceDE w:val="0"/>
              <w:autoSpaceDN w:val="0"/>
              <w:adjustRightInd w:val="0"/>
              <w:rPr>
                <w:rFonts w:eastAsia="MS Mincho"/>
                <w:b/>
                <w:bCs/>
                <w:lang w:eastAsia="ja-JP"/>
              </w:rPr>
            </w:pPr>
            <w:r w:rsidRPr="008D744E">
              <w:rPr>
                <w:rFonts w:eastAsia="MS Mincho"/>
                <w:b/>
                <w:bCs/>
                <w:lang w:eastAsia="ja-JP"/>
              </w:rPr>
              <w:t>Category</w:t>
            </w:r>
          </w:p>
        </w:tc>
        <w:tc>
          <w:tcPr>
            <w:tcW w:w="4788" w:type="dxa"/>
          </w:tcPr>
          <w:p w14:paraId="79B35365" w14:textId="77777777" w:rsidR="008D744E" w:rsidRPr="008D744E" w:rsidRDefault="008D744E" w:rsidP="008D744E">
            <w:pPr>
              <w:autoSpaceDE w:val="0"/>
              <w:autoSpaceDN w:val="0"/>
              <w:adjustRightInd w:val="0"/>
              <w:rPr>
                <w:rFonts w:eastAsia="MS Mincho"/>
                <w:b/>
                <w:bCs/>
                <w:lang w:eastAsia="ja-JP"/>
              </w:rPr>
            </w:pPr>
            <w:r w:rsidRPr="008D744E">
              <w:rPr>
                <w:rFonts w:eastAsia="MS Mincho"/>
                <w:b/>
                <w:bCs/>
                <w:lang w:eastAsia="ja-JP"/>
              </w:rPr>
              <w:t>Number of participants</w:t>
            </w:r>
          </w:p>
        </w:tc>
      </w:tr>
      <w:tr w:rsidR="008D744E" w14:paraId="16DE4EA7" w14:textId="77777777" w:rsidTr="00D82C86">
        <w:tc>
          <w:tcPr>
            <w:tcW w:w="4788" w:type="dxa"/>
          </w:tcPr>
          <w:p w14:paraId="7DDA86B7" w14:textId="4941383C" w:rsidR="008D744E" w:rsidRPr="008D744E" w:rsidRDefault="008D744E" w:rsidP="008D744E">
            <w:pPr>
              <w:autoSpaceDE w:val="0"/>
              <w:autoSpaceDN w:val="0"/>
              <w:adjustRightInd w:val="0"/>
              <w:rPr>
                <w:rFonts w:eastAsia="MS Mincho"/>
                <w:lang w:eastAsia="ja-JP"/>
              </w:rPr>
            </w:pPr>
            <w:r w:rsidRPr="008D744E">
              <w:rPr>
                <w:rFonts w:eastAsia="MS Mincho"/>
                <w:lang w:eastAsia="ja-JP"/>
              </w:rPr>
              <w:t>Pre-test</w:t>
            </w:r>
            <w:r w:rsidR="00ED3B06">
              <w:rPr>
                <w:rFonts w:eastAsia="MS Mincho"/>
                <w:lang w:eastAsia="ja-JP"/>
              </w:rPr>
              <w:t xml:space="preserve"> (2 waves)</w:t>
            </w:r>
          </w:p>
        </w:tc>
        <w:tc>
          <w:tcPr>
            <w:tcW w:w="4788" w:type="dxa"/>
          </w:tcPr>
          <w:p w14:paraId="436F10A4" w14:textId="59E85164" w:rsidR="008D744E" w:rsidRPr="008D744E" w:rsidRDefault="00B74B93" w:rsidP="008D744E">
            <w:pPr>
              <w:autoSpaceDE w:val="0"/>
              <w:autoSpaceDN w:val="0"/>
              <w:adjustRightInd w:val="0"/>
              <w:rPr>
                <w:rFonts w:eastAsia="MS Mincho"/>
                <w:lang w:eastAsia="ja-JP"/>
              </w:rPr>
            </w:pPr>
            <w:r>
              <w:rPr>
                <w:rFonts w:eastAsia="MS Mincho"/>
                <w:lang w:eastAsia="ja-JP"/>
              </w:rPr>
              <w:t>210</w:t>
            </w:r>
          </w:p>
        </w:tc>
      </w:tr>
      <w:tr w:rsidR="008D744E" w14:paraId="02411555" w14:textId="77777777" w:rsidTr="00D82C86">
        <w:tc>
          <w:tcPr>
            <w:tcW w:w="4788" w:type="dxa"/>
          </w:tcPr>
          <w:p w14:paraId="697C25CC" w14:textId="69BBEBBB" w:rsidR="008D744E" w:rsidRPr="008D744E" w:rsidRDefault="008D744E">
            <w:pPr>
              <w:autoSpaceDE w:val="0"/>
              <w:autoSpaceDN w:val="0"/>
              <w:adjustRightInd w:val="0"/>
              <w:rPr>
                <w:rFonts w:eastAsia="MS Mincho"/>
                <w:lang w:eastAsia="ja-JP"/>
              </w:rPr>
            </w:pPr>
            <w:r w:rsidRPr="008D744E">
              <w:rPr>
                <w:rFonts w:eastAsia="MS Mincho"/>
                <w:lang w:eastAsia="ja-JP"/>
              </w:rPr>
              <w:t xml:space="preserve">Main Study </w:t>
            </w:r>
          </w:p>
        </w:tc>
        <w:tc>
          <w:tcPr>
            <w:tcW w:w="4788" w:type="dxa"/>
          </w:tcPr>
          <w:p w14:paraId="5AC2E7BD" w14:textId="694F50D4" w:rsidR="008D744E" w:rsidRPr="008D744E" w:rsidRDefault="00815C80" w:rsidP="008D744E">
            <w:pPr>
              <w:autoSpaceDE w:val="0"/>
              <w:autoSpaceDN w:val="0"/>
              <w:adjustRightInd w:val="0"/>
              <w:rPr>
                <w:rFonts w:eastAsia="MS Mincho"/>
                <w:lang w:eastAsia="ja-JP"/>
              </w:rPr>
            </w:pPr>
            <w:r>
              <w:rPr>
                <w:rFonts w:eastAsia="MS Mincho"/>
                <w:lang w:eastAsia="ja-JP"/>
              </w:rPr>
              <w:t>600</w:t>
            </w:r>
          </w:p>
        </w:tc>
      </w:tr>
    </w:tbl>
    <w:p w14:paraId="37FD40E1" w14:textId="77777777" w:rsidR="00815C80" w:rsidRDefault="00815C80" w:rsidP="008D744E">
      <w:pPr>
        <w:widowControl w:val="0"/>
        <w:autoSpaceDE w:val="0"/>
        <w:autoSpaceDN w:val="0"/>
        <w:adjustRightInd w:val="0"/>
        <w:spacing w:line="480" w:lineRule="auto"/>
        <w:rPr>
          <w:rFonts w:eastAsia="MS Mincho"/>
          <w:lang w:eastAsia="ja-JP"/>
        </w:rPr>
      </w:pPr>
    </w:p>
    <w:p w14:paraId="1B2710CC" w14:textId="6EF62573" w:rsidR="008D744E" w:rsidRDefault="008D744E" w:rsidP="00FC65A1">
      <w:pPr>
        <w:widowControl w:val="0"/>
        <w:autoSpaceDE w:val="0"/>
        <w:autoSpaceDN w:val="0"/>
        <w:adjustRightInd w:val="0"/>
        <w:spacing w:line="480" w:lineRule="auto"/>
      </w:pPr>
    </w:p>
    <w:p w14:paraId="74B69DA5" w14:textId="77777777" w:rsidR="00922C07" w:rsidRPr="002D7C36" w:rsidRDefault="00922C07" w:rsidP="00922C07">
      <w:pPr>
        <w:widowControl w:val="0"/>
        <w:spacing w:after="0" w:line="480" w:lineRule="auto"/>
        <w:ind w:left="720"/>
        <w:rPr>
          <w:snapToGrid w:val="0"/>
          <w:szCs w:val="20"/>
        </w:rPr>
      </w:pPr>
    </w:p>
    <w:p w14:paraId="1CCAA7CC" w14:textId="77777777" w:rsidR="00787427" w:rsidRPr="00F23F79" w:rsidRDefault="00787427" w:rsidP="00787427">
      <w:pPr>
        <w:widowControl w:val="0"/>
        <w:numPr>
          <w:ilvl w:val="0"/>
          <w:numId w:val="1"/>
        </w:numPr>
        <w:spacing w:after="0" w:line="480" w:lineRule="auto"/>
        <w:contextualSpacing/>
        <w:rPr>
          <w:snapToGrid w:val="0"/>
          <w:szCs w:val="20"/>
        </w:rPr>
      </w:pPr>
      <w:r w:rsidRPr="00F23F79">
        <w:rPr>
          <w:snapToGrid w:val="0"/>
          <w:szCs w:val="20"/>
          <w:u w:val="single"/>
        </w:rPr>
        <w:lastRenderedPageBreak/>
        <w:t>Procedures for Collection of Information</w:t>
      </w:r>
    </w:p>
    <w:p w14:paraId="25940378" w14:textId="62BDEACC" w:rsidR="00D57BF4" w:rsidRDefault="00D57BF4" w:rsidP="00714FBB">
      <w:pPr>
        <w:pStyle w:val="ListParagraph"/>
        <w:spacing w:line="480" w:lineRule="auto"/>
        <w:ind w:left="0" w:firstLine="360"/>
      </w:pPr>
      <w:r>
        <w:t>The main study will be preceded by up to two pretests designed to delineate the procedures and measures used in the main study.  Across pretests and the main study, p</w:t>
      </w:r>
      <w:r w:rsidRPr="00EA72F8">
        <w:t xml:space="preserve">articipants will be </w:t>
      </w:r>
      <w:r>
        <w:t xml:space="preserve">individuals who have been diagnosed with seasonal allergies. </w:t>
      </w:r>
      <w:r w:rsidRPr="00EA72F8">
        <w:t xml:space="preserve"> All participants will be 18 years of age or older. </w:t>
      </w:r>
      <w:r>
        <w:t xml:space="preserve"> </w:t>
      </w:r>
      <w:r w:rsidRPr="00EA72F8">
        <w:t xml:space="preserve">We will exclude individuals who work in healthcare or marketing settings because their knowledge and experiences may not reflect those of the </w:t>
      </w:r>
      <w:r w:rsidRPr="00771DEE">
        <w:t xml:space="preserve">average consumer.  </w:t>
      </w:r>
      <w:r w:rsidRPr="00D57BF4">
        <w:rPr>
          <w:rFonts w:eastAsia="Calibri"/>
        </w:rPr>
        <w:t xml:space="preserve">Participants will be recruited in one of two geographic locations (Washington, D.C. and Raleigh, North Carolina) for in-person administration of protocols. </w:t>
      </w:r>
      <w:r w:rsidR="00CE2E5E" w:rsidRPr="00CE2E5E">
        <w:t xml:space="preserve">Participants will be invited to come to a </w:t>
      </w:r>
      <w:r w:rsidR="008F1B96" w:rsidRPr="001E3AF1">
        <w:t>90-minute</w:t>
      </w:r>
      <w:r w:rsidR="00CE2E5E" w:rsidRPr="001E3AF1">
        <w:t xml:space="preserve"> data collection session.</w:t>
      </w:r>
      <w:r w:rsidR="00CE2E5E" w:rsidRPr="00CE2E5E">
        <w:t xml:space="preserve"> </w:t>
      </w:r>
    </w:p>
    <w:p w14:paraId="3A55DB93" w14:textId="2E2784EE" w:rsidR="00922C07" w:rsidRDefault="00D57BF4" w:rsidP="00714FBB">
      <w:pPr>
        <w:pStyle w:val="ListParagraph"/>
        <w:spacing w:line="480" w:lineRule="auto"/>
        <w:ind w:left="0" w:firstLine="450"/>
      </w:pPr>
      <w:r>
        <w:rPr>
          <w:rFonts w:eastAsia="Calibri"/>
        </w:rPr>
        <w:t xml:space="preserve">The experimental design is summarized in </w:t>
      </w:r>
      <w:r w:rsidRPr="00DC574A">
        <w:rPr>
          <w:rFonts w:eastAsia="Calibri"/>
        </w:rPr>
        <w:t>Table 1</w:t>
      </w:r>
      <w:r>
        <w:rPr>
          <w:rFonts w:eastAsia="Calibri"/>
        </w:rPr>
        <w:t>.  Participants</w:t>
      </w:r>
      <w:r w:rsidRPr="00771DEE">
        <w:rPr>
          <w:rFonts w:eastAsia="Calibri"/>
        </w:rPr>
        <w:t xml:space="preserve"> will be random</w:t>
      </w:r>
      <w:r>
        <w:rPr>
          <w:rFonts w:eastAsia="Calibri"/>
        </w:rPr>
        <w:t>ly assigned</w:t>
      </w:r>
      <w:r w:rsidRPr="00771DEE">
        <w:rPr>
          <w:rFonts w:eastAsia="Calibri"/>
        </w:rPr>
        <w:t xml:space="preserve"> to </w:t>
      </w:r>
      <w:r>
        <w:rPr>
          <w:rFonts w:eastAsia="Calibri"/>
        </w:rPr>
        <w:t xml:space="preserve">view a prescription drug ad </w:t>
      </w:r>
      <w:r w:rsidRPr="003C5259">
        <w:rPr>
          <w:rFonts w:eastAsia="Calibri"/>
        </w:rPr>
        <w:t xml:space="preserve">one, </w:t>
      </w:r>
      <w:r w:rsidR="003C5259" w:rsidRPr="003C5259">
        <w:rPr>
          <w:rFonts w:eastAsia="Calibri"/>
        </w:rPr>
        <w:t>two</w:t>
      </w:r>
      <w:r w:rsidRPr="003C5259">
        <w:rPr>
          <w:rFonts w:eastAsia="Calibri"/>
        </w:rPr>
        <w:t xml:space="preserve">, or </w:t>
      </w:r>
      <w:r w:rsidR="003C5259" w:rsidRPr="003C5259">
        <w:rPr>
          <w:rFonts w:eastAsia="Calibri"/>
        </w:rPr>
        <w:t>four</w:t>
      </w:r>
      <w:r w:rsidRPr="003C5259">
        <w:rPr>
          <w:rFonts w:eastAsia="Calibri"/>
        </w:rPr>
        <w:t xml:space="preserve"> times</w:t>
      </w:r>
      <w:r>
        <w:rPr>
          <w:rFonts w:eastAsia="Calibri"/>
        </w:rPr>
        <w:t xml:space="preserve"> as part of clutter reels embedded in </w:t>
      </w:r>
      <w:r w:rsidR="00714FBB">
        <w:rPr>
          <w:rFonts w:eastAsia="Calibri"/>
        </w:rPr>
        <w:t xml:space="preserve">42 </w:t>
      </w:r>
      <w:r w:rsidRPr="00832EA9">
        <w:rPr>
          <w:rFonts w:eastAsia="Calibri"/>
        </w:rPr>
        <w:t>minute</w:t>
      </w:r>
      <w:r w:rsidR="00714FBB">
        <w:rPr>
          <w:rFonts w:eastAsia="Calibri"/>
        </w:rPr>
        <w:t xml:space="preserve">s of TV </w:t>
      </w:r>
      <w:r w:rsidRPr="00832EA9">
        <w:rPr>
          <w:rFonts w:eastAsia="Calibri"/>
        </w:rPr>
        <w:t>program</w:t>
      </w:r>
      <w:r w:rsidR="00714FBB">
        <w:rPr>
          <w:rFonts w:eastAsia="Calibri"/>
        </w:rPr>
        <w:t>ming</w:t>
      </w:r>
      <w:r w:rsidR="008F1B96">
        <w:rPr>
          <w:rFonts w:eastAsia="Calibri"/>
        </w:rPr>
        <w:t>, for a total of one hour of TV viewing</w:t>
      </w:r>
      <w:r w:rsidR="00FC65A1">
        <w:rPr>
          <w:rFonts w:eastAsia="Calibri"/>
        </w:rPr>
        <w:t xml:space="preserve">. </w:t>
      </w:r>
      <w:r w:rsidR="00CE2E5E" w:rsidRPr="00CE2E5E">
        <w:t>Clutter reels will not include any other ads for medications, DTC or OTC. In order to ensure sufficient time for potential forgetting of the ad, the final airing of the stimulus ad will occur within the last clutter reel with 1-2 ads following it. We will then show the final few minutes of the t</w:t>
      </w:r>
      <w:r>
        <w:t xml:space="preserve">elevision </w:t>
      </w:r>
      <w:r w:rsidR="00CE2E5E" w:rsidRPr="00CE2E5E">
        <w:t xml:space="preserve">program before the survey questions begin. </w:t>
      </w:r>
    </w:p>
    <w:p w14:paraId="0AD56D19" w14:textId="77777777" w:rsidR="00922C07" w:rsidRPr="00922C07" w:rsidRDefault="00922C07" w:rsidP="009D40A1">
      <w:pPr>
        <w:pStyle w:val="CommentText"/>
        <w:spacing w:line="480" w:lineRule="auto"/>
        <w:contextualSpacing/>
        <w:rPr>
          <w:sz w:val="24"/>
          <w:szCs w:val="24"/>
        </w:rPr>
      </w:pPr>
    </w:p>
    <w:tbl>
      <w:tblPr>
        <w:tblStyle w:val="TableGrid"/>
        <w:tblW w:w="4492" w:type="pct"/>
        <w:tblInd w:w="767" w:type="dxa"/>
        <w:tblLook w:val="05E0" w:firstRow="1" w:lastRow="1" w:firstColumn="1" w:lastColumn="1" w:noHBand="0" w:noVBand="1"/>
        <w:tblCaption w:val="Table 1: Study Design"/>
      </w:tblPr>
      <w:tblGrid>
        <w:gridCol w:w="1616"/>
        <w:gridCol w:w="1161"/>
        <w:gridCol w:w="1161"/>
        <w:gridCol w:w="1170"/>
        <w:gridCol w:w="1167"/>
        <w:gridCol w:w="1165"/>
        <w:gridCol w:w="1163"/>
      </w:tblGrid>
      <w:tr w:rsidR="00922C07" w:rsidRPr="00CE2E5E" w14:paraId="47FC1425" w14:textId="77777777" w:rsidTr="00922C07">
        <w:trPr>
          <w:trHeight w:val="307"/>
        </w:trPr>
        <w:tc>
          <w:tcPr>
            <w:tcW w:w="5000" w:type="pct"/>
            <w:gridSpan w:val="7"/>
          </w:tcPr>
          <w:p w14:paraId="38C711A1" w14:textId="77777777" w:rsidR="00922C07" w:rsidRPr="00DC574A" w:rsidRDefault="00922C07" w:rsidP="00CE2E5E">
            <w:pPr>
              <w:keepNext/>
              <w:spacing w:before="40" w:after="40" w:line="240" w:lineRule="auto"/>
              <w:jc w:val="center"/>
              <w:rPr>
                <w:b/>
                <w:snapToGrid w:val="0"/>
              </w:rPr>
            </w:pPr>
            <w:r w:rsidRPr="00DC574A">
              <w:t>Table 1: Study Design</w:t>
            </w:r>
          </w:p>
        </w:tc>
      </w:tr>
      <w:tr w:rsidR="004721F1" w:rsidRPr="00CE2E5E" w14:paraId="4ABF6C55" w14:textId="77777777" w:rsidTr="004721F1">
        <w:trPr>
          <w:trHeight w:val="307"/>
        </w:trPr>
        <w:tc>
          <w:tcPr>
            <w:tcW w:w="939" w:type="pct"/>
            <w:vMerge w:val="restart"/>
          </w:tcPr>
          <w:p w14:paraId="2C9DB44C" w14:textId="77777777" w:rsidR="004721F1" w:rsidRPr="00DC574A" w:rsidRDefault="004721F1" w:rsidP="00CE2E5E">
            <w:pPr>
              <w:keepNext/>
              <w:spacing w:before="40" w:after="40" w:line="240" w:lineRule="auto"/>
              <w:jc w:val="center"/>
              <w:rPr>
                <w:b/>
                <w:snapToGrid w:val="0"/>
                <w:color w:val="FFFFFF"/>
              </w:rPr>
            </w:pPr>
            <w:r w:rsidRPr="00DC574A">
              <w:rPr>
                <w:b/>
                <w:snapToGrid w:val="0"/>
              </w:rPr>
              <w:t>Experimental Arm No.</w:t>
            </w:r>
          </w:p>
        </w:tc>
        <w:tc>
          <w:tcPr>
            <w:tcW w:w="2030" w:type="pct"/>
            <w:gridSpan w:val="3"/>
          </w:tcPr>
          <w:p w14:paraId="43FBE312" w14:textId="5092CA06" w:rsidR="004721F1" w:rsidRPr="00DC574A" w:rsidRDefault="004721F1" w:rsidP="00CE2E5E">
            <w:pPr>
              <w:keepNext/>
              <w:spacing w:before="40" w:after="40" w:line="240" w:lineRule="auto"/>
              <w:jc w:val="center"/>
              <w:rPr>
                <w:b/>
                <w:snapToGrid w:val="0"/>
                <w:color w:val="FFFFFF"/>
              </w:rPr>
            </w:pPr>
            <w:r>
              <w:rPr>
                <w:b/>
                <w:snapToGrid w:val="0"/>
              </w:rPr>
              <w:t>Episode #1</w:t>
            </w:r>
          </w:p>
        </w:tc>
        <w:tc>
          <w:tcPr>
            <w:tcW w:w="2031" w:type="pct"/>
            <w:gridSpan w:val="3"/>
          </w:tcPr>
          <w:p w14:paraId="391A8DD1" w14:textId="6BB75AC2" w:rsidR="004721F1" w:rsidRPr="00DC574A" w:rsidRDefault="004721F1" w:rsidP="00CE2E5E">
            <w:pPr>
              <w:keepNext/>
              <w:spacing w:before="40" w:after="40" w:line="240" w:lineRule="auto"/>
              <w:jc w:val="center"/>
              <w:rPr>
                <w:b/>
                <w:snapToGrid w:val="0"/>
                <w:color w:val="FFFFFF"/>
              </w:rPr>
            </w:pPr>
            <w:r>
              <w:rPr>
                <w:b/>
                <w:snapToGrid w:val="0"/>
              </w:rPr>
              <w:t>Episode #2</w:t>
            </w:r>
          </w:p>
        </w:tc>
      </w:tr>
      <w:tr w:rsidR="00CE2E5E" w:rsidRPr="00CE2E5E" w14:paraId="4E3EED03" w14:textId="77777777" w:rsidTr="004721F1">
        <w:trPr>
          <w:trHeight w:val="142"/>
        </w:trPr>
        <w:tc>
          <w:tcPr>
            <w:tcW w:w="939" w:type="pct"/>
            <w:vMerge/>
          </w:tcPr>
          <w:p w14:paraId="2CABD7D1" w14:textId="77777777" w:rsidR="00CE2E5E" w:rsidRPr="00DC574A" w:rsidRDefault="00CE2E5E" w:rsidP="00CE2E5E">
            <w:pPr>
              <w:keepNext/>
              <w:spacing w:before="40" w:after="40" w:line="240" w:lineRule="auto"/>
              <w:jc w:val="center"/>
              <w:rPr>
                <w:b/>
                <w:snapToGrid w:val="0"/>
                <w:color w:val="FFFFFF"/>
              </w:rPr>
            </w:pPr>
          </w:p>
        </w:tc>
        <w:tc>
          <w:tcPr>
            <w:tcW w:w="675" w:type="pct"/>
          </w:tcPr>
          <w:p w14:paraId="578325B8" w14:textId="7421C49A" w:rsidR="00CE2E5E" w:rsidRPr="00DC574A" w:rsidRDefault="004721F1" w:rsidP="00CE2E5E">
            <w:pPr>
              <w:keepNext/>
              <w:spacing w:before="40" w:after="40" w:line="240" w:lineRule="auto"/>
              <w:jc w:val="center"/>
              <w:rPr>
                <w:b/>
                <w:snapToGrid w:val="0"/>
              </w:rPr>
            </w:pPr>
            <w:r>
              <w:rPr>
                <w:b/>
                <w:snapToGrid w:val="0"/>
              </w:rPr>
              <w:t xml:space="preserve">Clutter Reel </w:t>
            </w:r>
            <w:r w:rsidR="00CE2E5E" w:rsidRPr="00DC574A">
              <w:rPr>
                <w:b/>
                <w:snapToGrid w:val="0"/>
              </w:rPr>
              <w:t>1</w:t>
            </w:r>
          </w:p>
        </w:tc>
        <w:tc>
          <w:tcPr>
            <w:tcW w:w="675" w:type="pct"/>
          </w:tcPr>
          <w:p w14:paraId="5D4AF7E8" w14:textId="2A6D7547" w:rsidR="00CE2E5E" w:rsidRPr="00DC574A" w:rsidRDefault="004721F1" w:rsidP="00CE2E5E">
            <w:pPr>
              <w:keepNext/>
              <w:spacing w:before="40" w:after="40" w:line="240" w:lineRule="auto"/>
              <w:jc w:val="center"/>
              <w:rPr>
                <w:b/>
                <w:snapToGrid w:val="0"/>
              </w:rPr>
            </w:pPr>
            <w:r>
              <w:rPr>
                <w:b/>
                <w:snapToGrid w:val="0"/>
              </w:rPr>
              <w:t>Clutter Reel</w:t>
            </w:r>
            <w:r w:rsidRPr="00DC574A">
              <w:rPr>
                <w:b/>
                <w:snapToGrid w:val="0"/>
              </w:rPr>
              <w:t xml:space="preserve"> </w:t>
            </w:r>
            <w:r w:rsidR="00CE2E5E" w:rsidRPr="00DC574A">
              <w:rPr>
                <w:b/>
                <w:snapToGrid w:val="0"/>
              </w:rPr>
              <w:t>2</w:t>
            </w:r>
          </w:p>
        </w:tc>
        <w:tc>
          <w:tcPr>
            <w:tcW w:w="677" w:type="pct"/>
          </w:tcPr>
          <w:p w14:paraId="201566FC" w14:textId="54DEB474" w:rsidR="00CE2E5E" w:rsidRPr="00DC574A" w:rsidRDefault="004721F1" w:rsidP="00CE2E5E">
            <w:pPr>
              <w:keepNext/>
              <w:spacing w:before="40" w:after="40" w:line="240" w:lineRule="auto"/>
              <w:jc w:val="center"/>
              <w:rPr>
                <w:b/>
                <w:snapToGrid w:val="0"/>
              </w:rPr>
            </w:pPr>
            <w:r>
              <w:rPr>
                <w:b/>
                <w:snapToGrid w:val="0"/>
              </w:rPr>
              <w:t>Clutter Reel</w:t>
            </w:r>
            <w:r w:rsidRPr="00DC574A">
              <w:rPr>
                <w:b/>
                <w:snapToGrid w:val="0"/>
              </w:rPr>
              <w:t xml:space="preserve"> </w:t>
            </w:r>
            <w:r w:rsidR="00CE2E5E" w:rsidRPr="00DC574A">
              <w:rPr>
                <w:b/>
                <w:snapToGrid w:val="0"/>
              </w:rPr>
              <w:t>3</w:t>
            </w:r>
          </w:p>
        </w:tc>
        <w:tc>
          <w:tcPr>
            <w:tcW w:w="678" w:type="pct"/>
          </w:tcPr>
          <w:p w14:paraId="701C9401" w14:textId="4A702036" w:rsidR="00CE2E5E" w:rsidRPr="00DC574A" w:rsidRDefault="004721F1" w:rsidP="00CE2E5E">
            <w:pPr>
              <w:keepNext/>
              <w:spacing w:before="40" w:after="40" w:line="240" w:lineRule="auto"/>
              <w:jc w:val="center"/>
              <w:rPr>
                <w:b/>
                <w:snapToGrid w:val="0"/>
              </w:rPr>
            </w:pPr>
            <w:r>
              <w:rPr>
                <w:b/>
                <w:snapToGrid w:val="0"/>
              </w:rPr>
              <w:t>Clutter Reel</w:t>
            </w:r>
            <w:r w:rsidRPr="00DC574A">
              <w:rPr>
                <w:b/>
                <w:snapToGrid w:val="0"/>
              </w:rPr>
              <w:t xml:space="preserve"> </w:t>
            </w:r>
            <w:r w:rsidR="00CE2E5E" w:rsidRPr="00DC574A">
              <w:rPr>
                <w:b/>
                <w:snapToGrid w:val="0"/>
              </w:rPr>
              <w:t>4</w:t>
            </w:r>
          </w:p>
        </w:tc>
        <w:tc>
          <w:tcPr>
            <w:tcW w:w="677" w:type="pct"/>
          </w:tcPr>
          <w:p w14:paraId="1366EEFD" w14:textId="26AA8CDE" w:rsidR="00CE2E5E" w:rsidRPr="00DC574A" w:rsidRDefault="004721F1" w:rsidP="00CE2E5E">
            <w:pPr>
              <w:keepNext/>
              <w:spacing w:before="40" w:after="40" w:line="240" w:lineRule="auto"/>
              <w:jc w:val="center"/>
              <w:rPr>
                <w:b/>
                <w:snapToGrid w:val="0"/>
              </w:rPr>
            </w:pPr>
            <w:r>
              <w:rPr>
                <w:b/>
                <w:snapToGrid w:val="0"/>
              </w:rPr>
              <w:t>Clutter Reel</w:t>
            </w:r>
            <w:r w:rsidRPr="00DC574A">
              <w:rPr>
                <w:b/>
                <w:snapToGrid w:val="0"/>
              </w:rPr>
              <w:t xml:space="preserve"> </w:t>
            </w:r>
            <w:r w:rsidR="00CE2E5E" w:rsidRPr="00DC574A">
              <w:rPr>
                <w:b/>
                <w:snapToGrid w:val="0"/>
              </w:rPr>
              <w:t>5</w:t>
            </w:r>
          </w:p>
        </w:tc>
        <w:tc>
          <w:tcPr>
            <w:tcW w:w="679" w:type="pct"/>
          </w:tcPr>
          <w:p w14:paraId="6EEB26DD" w14:textId="0AF4B1F8" w:rsidR="00CE2E5E" w:rsidRPr="00DC574A" w:rsidRDefault="004721F1" w:rsidP="00CE2E5E">
            <w:pPr>
              <w:keepNext/>
              <w:spacing w:before="40" w:after="40" w:line="240" w:lineRule="auto"/>
              <w:jc w:val="center"/>
              <w:rPr>
                <w:b/>
                <w:snapToGrid w:val="0"/>
              </w:rPr>
            </w:pPr>
            <w:r>
              <w:rPr>
                <w:b/>
                <w:snapToGrid w:val="0"/>
              </w:rPr>
              <w:t>Clutter Reel</w:t>
            </w:r>
            <w:r w:rsidRPr="00DC574A">
              <w:rPr>
                <w:b/>
                <w:snapToGrid w:val="0"/>
              </w:rPr>
              <w:t xml:space="preserve"> </w:t>
            </w:r>
            <w:r w:rsidR="00CE2E5E" w:rsidRPr="00DC574A">
              <w:rPr>
                <w:b/>
                <w:snapToGrid w:val="0"/>
              </w:rPr>
              <w:t>6</w:t>
            </w:r>
          </w:p>
        </w:tc>
      </w:tr>
      <w:tr w:rsidR="00CE2E5E" w:rsidRPr="00CE2E5E" w14:paraId="56459978" w14:textId="77777777" w:rsidTr="004721F1">
        <w:trPr>
          <w:trHeight w:val="472"/>
        </w:trPr>
        <w:tc>
          <w:tcPr>
            <w:tcW w:w="939" w:type="pct"/>
          </w:tcPr>
          <w:p w14:paraId="5F176853" w14:textId="77777777" w:rsidR="00CE2E5E" w:rsidRPr="00DC574A" w:rsidRDefault="00CE2E5E" w:rsidP="00CE2E5E">
            <w:pPr>
              <w:spacing w:before="40" w:after="40" w:line="200" w:lineRule="exact"/>
              <w:jc w:val="center"/>
            </w:pPr>
            <w:r w:rsidRPr="00DC574A">
              <w:t>1 (views ad 1 time)</w:t>
            </w:r>
          </w:p>
        </w:tc>
        <w:tc>
          <w:tcPr>
            <w:tcW w:w="675" w:type="pct"/>
          </w:tcPr>
          <w:p w14:paraId="200A28FF" w14:textId="77777777" w:rsidR="00CE2E5E" w:rsidRPr="00DC574A" w:rsidRDefault="00CE2E5E" w:rsidP="00CE2E5E">
            <w:pPr>
              <w:spacing w:before="40" w:after="40" w:line="200" w:lineRule="exact"/>
            </w:pPr>
          </w:p>
        </w:tc>
        <w:tc>
          <w:tcPr>
            <w:tcW w:w="675" w:type="pct"/>
          </w:tcPr>
          <w:p w14:paraId="40D3873E" w14:textId="77777777" w:rsidR="00CE2E5E" w:rsidRPr="00DC574A" w:rsidRDefault="00CE2E5E" w:rsidP="00CE2E5E">
            <w:pPr>
              <w:spacing w:before="40" w:after="40" w:line="200" w:lineRule="exact"/>
            </w:pPr>
          </w:p>
        </w:tc>
        <w:tc>
          <w:tcPr>
            <w:tcW w:w="677" w:type="pct"/>
          </w:tcPr>
          <w:p w14:paraId="0DF82FBE" w14:textId="77777777" w:rsidR="00CE2E5E" w:rsidRPr="00DC574A" w:rsidRDefault="00CE2E5E" w:rsidP="00CE2E5E">
            <w:pPr>
              <w:spacing w:before="40" w:after="40" w:line="200" w:lineRule="exact"/>
            </w:pPr>
          </w:p>
        </w:tc>
        <w:tc>
          <w:tcPr>
            <w:tcW w:w="678" w:type="pct"/>
          </w:tcPr>
          <w:p w14:paraId="054C33D0" w14:textId="77777777" w:rsidR="00CE2E5E" w:rsidRPr="00DC574A" w:rsidRDefault="00CE2E5E" w:rsidP="00CE2E5E">
            <w:pPr>
              <w:spacing w:before="40" w:after="40" w:line="200" w:lineRule="exact"/>
            </w:pPr>
          </w:p>
        </w:tc>
        <w:tc>
          <w:tcPr>
            <w:tcW w:w="677" w:type="pct"/>
          </w:tcPr>
          <w:p w14:paraId="576C7758" w14:textId="77777777" w:rsidR="00CE2E5E" w:rsidRPr="00DC574A" w:rsidRDefault="00CE2E5E" w:rsidP="00CE2E5E">
            <w:pPr>
              <w:spacing w:before="40" w:after="40" w:line="200" w:lineRule="exact"/>
            </w:pPr>
          </w:p>
        </w:tc>
        <w:tc>
          <w:tcPr>
            <w:tcW w:w="679" w:type="pct"/>
          </w:tcPr>
          <w:p w14:paraId="772B616D" w14:textId="77777777" w:rsidR="00CE2E5E" w:rsidRPr="00DC574A" w:rsidRDefault="00CE2E5E" w:rsidP="00CE2E5E">
            <w:pPr>
              <w:spacing w:before="40" w:after="40" w:line="200" w:lineRule="exact"/>
            </w:pPr>
            <w:r w:rsidRPr="00DC574A">
              <w:t>Mock DTC ad</w:t>
            </w:r>
          </w:p>
        </w:tc>
      </w:tr>
      <w:tr w:rsidR="00CE2E5E" w:rsidRPr="00CE2E5E" w14:paraId="3839F35C" w14:textId="77777777" w:rsidTr="004721F1">
        <w:trPr>
          <w:trHeight w:val="472"/>
        </w:trPr>
        <w:tc>
          <w:tcPr>
            <w:tcW w:w="939" w:type="pct"/>
          </w:tcPr>
          <w:p w14:paraId="471D68A2" w14:textId="3BBC9C7B" w:rsidR="00CE2E5E" w:rsidRPr="00DC574A" w:rsidRDefault="00CE2E5E" w:rsidP="004721F1">
            <w:pPr>
              <w:spacing w:before="40" w:after="40" w:line="200" w:lineRule="exact"/>
              <w:jc w:val="center"/>
            </w:pPr>
            <w:r w:rsidRPr="00DC574A">
              <w:t xml:space="preserve">2 (views ad </w:t>
            </w:r>
            <w:r w:rsidR="004721F1">
              <w:t>2</w:t>
            </w:r>
            <w:r w:rsidRPr="00DC574A">
              <w:t xml:space="preserve"> times)</w:t>
            </w:r>
          </w:p>
        </w:tc>
        <w:tc>
          <w:tcPr>
            <w:tcW w:w="675" w:type="pct"/>
          </w:tcPr>
          <w:p w14:paraId="4E43F919" w14:textId="03F896C3" w:rsidR="00CE2E5E" w:rsidRPr="00DC574A" w:rsidRDefault="00CE2E5E" w:rsidP="00CE2E5E">
            <w:pPr>
              <w:spacing w:before="40" w:after="40" w:line="200" w:lineRule="exact"/>
            </w:pPr>
          </w:p>
        </w:tc>
        <w:tc>
          <w:tcPr>
            <w:tcW w:w="675" w:type="pct"/>
          </w:tcPr>
          <w:p w14:paraId="20B823A7" w14:textId="77777777" w:rsidR="00CE2E5E" w:rsidRPr="00DC574A" w:rsidRDefault="00CE2E5E" w:rsidP="00CE2E5E">
            <w:pPr>
              <w:spacing w:before="40" w:after="40" w:line="200" w:lineRule="exact"/>
            </w:pPr>
          </w:p>
        </w:tc>
        <w:tc>
          <w:tcPr>
            <w:tcW w:w="677" w:type="pct"/>
          </w:tcPr>
          <w:p w14:paraId="533C82E7" w14:textId="407CF8B8" w:rsidR="00CE2E5E" w:rsidRPr="00DC574A" w:rsidRDefault="004721F1" w:rsidP="00CE2E5E">
            <w:pPr>
              <w:spacing w:before="40" w:after="40" w:line="200" w:lineRule="exact"/>
            </w:pPr>
            <w:r w:rsidRPr="00DC574A">
              <w:t>Mock DTC ad</w:t>
            </w:r>
          </w:p>
        </w:tc>
        <w:tc>
          <w:tcPr>
            <w:tcW w:w="678" w:type="pct"/>
          </w:tcPr>
          <w:p w14:paraId="5376AB76" w14:textId="3BCC4B85" w:rsidR="00CE2E5E" w:rsidRPr="00DC574A" w:rsidRDefault="00CE2E5E" w:rsidP="00CE2E5E">
            <w:pPr>
              <w:spacing w:before="40" w:after="40" w:line="200" w:lineRule="exact"/>
            </w:pPr>
          </w:p>
        </w:tc>
        <w:tc>
          <w:tcPr>
            <w:tcW w:w="677" w:type="pct"/>
          </w:tcPr>
          <w:p w14:paraId="0A9CBC04" w14:textId="77777777" w:rsidR="00CE2E5E" w:rsidRPr="00DC574A" w:rsidRDefault="00CE2E5E" w:rsidP="00CE2E5E">
            <w:pPr>
              <w:spacing w:before="40" w:after="40" w:line="200" w:lineRule="exact"/>
            </w:pPr>
          </w:p>
        </w:tc>
        <w:tc>
          <w:tcPr>
            <w:tcW w:w="679" w:type="pct"/>
          </w:tcPr>
          <w:p w14:paraId="39E59961" w14:textId="77777777" w:rsidR="00CE2E5E" w:rsidRPr="00DC574A" w:rsidRDefault="00CE2E5E" w:rsidP="00CE2E5E">
            <w:pPr>
              <w:spacing w:before="40" w:after="40" w:line="200" w:lineRule="exact"/>
            </w:pPr>
            <w:r w:rsidRPr="00DC574A">
              <w:t>Mock DTC ad</w:t>
            </w:r>
          </w:p>
        </w:tc>
      </w:tr>
      <w:tr w:rsidR="00CE2E5E" w:rsidRPr="00CE2E5E" w14:paraId="5FE81BBD" w14:textId="77777777" w:rsidTr="004721F1">
        <w:trPr>
          <w:trHeight w:val="484"/>
        </w:trPr>
        <w:tc>
          <w:tcPr>
            <w:tcW w:w="939" w:type="pct"/>
          </w:tcPr>
          <w:p w14:paraId="2239D116" w14:textId="236AF61F" w:rsidR="00CE2E5E" w:rsidRPr="00DC574A" w:rsidRDefault="00CE2E5E" w:rsidP="004721F1">
            <w:pPr>
              <w:spacing w:before="40" w:after="40" w:line="200" w:lineRule="exact"/>
              <w:jc w:val="center"/>
            </w:pPr>
            <w:r w:rsidRPr="00DC574A">
              <w:t xml:space="preserve">3 (views ad </w:t>
            </w:r>
            <w:r w:rsidR="004721F1">
              <w:t>4</w:t>
            </w:r>
            <w:r w:rsidRPr="00DC574A">
              <w:t xml:space="preserve"> times)</w:t>
            </w:r>
          </w:p>
        </w:tc>
        <w:tc>
          <w:tcPr>
            <w:tcW w:w="675" w:type="pct"/>
          </w:tcPr>
          <w:p w14:paraId="1F170978" w14:textId="77777777" w:rsidR="00CE2E5E" w:rsidRPr="00DC574A" w:rsidRDefault="00CE2E5E" w:rsidP="00CE2E5E">
            <w:pPr>
              <w:spacing w:before="40" w:after="40" w:line="200" w:lineRule="exact"/>
            </w:pPr>
            <w:r w:rsidRPr="00DC574A">
              <w:t>Mock DTC ad</w:t>
            </w:r>
          </w:p>
        </w:tc>
        <w:tc>
          <w:tcPr>
            <w:tcW w:w="675" w:type="pct"/>
          </w:tcPr>
          <w:p w14:paraId="51D2F737" w14:textId="5970D408" w:rsidR="00CE2E5E" w:rsidRPr="00DC574A" w:rsidRDefault="00CE2E5E" w:rsidP="00CE2E5E">
            <w:pPr>
              <w:spacing w:before="40" w:after="40" w:line="200" w:lineRule="exact"/>
            </w:pPr>
          </w:p>
        </w:tc>
        <w:tc>
          <w:tcPr>
            <w:tcW w:w="677" w:type="pct"/>
          </w:tcPr>
          <w:p w14:paraId="2562E2C8" w14:textId="77777777" w:rsidR="00CE2E5E" w:rsidRPr="00DC574A" w:rsidRDefault="00CE2E5E" w:rsidP="00CE2E5E">
            <w:pPr>
              <w:spacing w:before="40" w:after="40" w:line="200" w:lineRule="exact"/>
            </w:pPr>
            <w:r w:rsidRPr="00DC574A">
              <w:t>Mock DTC ad</w:t>
            </w:r>
          </w:p>
        </w:tc>
        <w:tc>
          <w:tcPr>
            <w:tcW w:w="678" w:type="pct"/>
          </w:tcPr>
          <w:p w14:paraId="5DA2D86A" w14:textId="77777777" w:rsidR="00CE2E5E" w:rsidRPr="00DC574A" w:rsidRDefault="00CE2E5E" w:rsidP="00CE2E5E">
            <w:pPr>
              <w:spacing w:before="40" w:after="40" w:line="200" w:lineRule="exact"/>
            </w:pPr>
            <w:r w:rsidRPr="00DC574A">
              <w:t>Mock DTC ad</w:t>
            </w:r>
          </w:p>
        </w:tc>
        <w:tc>
          <w:tcPr>
            <w:tcW w:w="677" w:type="pct"/>
          </w:tcPr>
          <w:p w14:paraId="4B553878" w14:textId="58832FC4" w:rsidR="00CE2E5E" w:rsidRPr="00DC574A" w:rsidRDefault="00CE2E5E" w:rsidP="00CE2E5E">
            <w:pPr>
              <w:spacing w:before="40" w:after="40" w:line="200" w:lineRule="exact"/>
            </w:pPr>
          </w:p>
        </w:tc>
        <w:tc>
          <w:tcPr>
            <w:tcW w:w="679" w:type="pct"/>
          </w:tcPr>
          <w:p w14:paraId="1F6424E5" w14:textId="77777777" w:rsidR="00CE2E5E" w:rsidRPr="00DC574A" w:rsidRDefault="00CE2E5E" w:rsidP="00922C07">
            <w:pPr>
              <w:keepNext/>
              <w:spacing w:before="40" w:after="40" w:line="200" w:lineRule="exact"/>
            </w:pPr>
            <w:r w:rsidRPr="00DC574A">
              <w:t>Mock DTC ad</w:t>
            </w:r>
          </w:p>
        </w:tc>
      </w:tr>
    </w:tbl>
    <w:p w14:paraId="667D047D" w14:textId="77777777" w:rsidR="00CE2E5E" w:rsidRDefault="00CE2E5E" w:rsidP="00922C07">
      <w:pPr>
        <w:spacing w:line="480" w:lineRule="auto"/>
        <w:contextualSpacing/>
        <w:rPr>
          <w:highlight w:val="yellow"/>
        </w:rPr>
      </w:pPr>
    </w:p>
    <w:p w14:paraId="65221FA7" w14:textId="2AC8C53C" w:rsidR="006E202A" w:rsidRDefault="00787427" w:rsidP="00922C07">
      <w:pPr>
        <w:spacing w:line="480" w:lineRule="auto"/>
        <w:ind w:firstLine="720"/>
        <w:contextualSpacing/>
      </w:pPr>
      <w:r w:rsidRPr="00922C07">
        <w:lastRenderedPageBreak/>
        <w:t xml:space="preserve">After viewing the ad, participants will respond to questions about information in the ad.  </w:t>
      </w:r>
      <w:r w:rsidR="006E202A" w:rsidRPr="00922C07">
        <w:t>M</w:t>
      </w:r>
      <w:r w:rsidRPr="00922C07">
        <w:t xml:space="preserve">easures are designed to </w:t>
      </w:r>
      <w:r w:rsidR="00DC574A">
        <w:t xml:space="preserve">assess </w:t>
      </w:r>
      <w:r w:rsidR="00DC574A">
        <w:rPr>
          <w:rFonts w:eastAsia="Calibri"/>
        </w:rPr>
        <w:t>perception, memory</w:t>
      </w:r>
      <w:r w:rsidR="00922C07" w:rsidRPr="00922C07">
        <w:rPr>
          <w:rFonts w:eastAsia="Calibri"/>
        </w:rPr>
        <w:t>, judgments about the ad, intentions to use the medication advertised, and possible moderators of effects, such as need for cognition and demographics.</w:t>
      </w:r>
      <w:r w:rsidR="00922C07" w:rsidRPr="00922C07">
        <w:t xml:space="preserve"> </w:t>
      </w:r>
      <w:r w:rsidRPr="00922C07">
        <w:t xml:space="preserve">The questionnaire is </w:t>
      </w:r>
      <w:r w:rsidR="00BC303D">
        <w:t>available upon request.</w:t>
      </w:r>
      <w:r w:rsidRPr="00922C07">
        <w:t xml:space="preserve"> </w:t>
      </w:r>
    </w:p>
    <w:p w14:paraId="69252740" w14:textId="77777777" w:rsidR="00787427" w:rsidRPr="00FC65A1" w:rsidRDefault="00787427" w:rsidP="00B22267">
      <w:pPr>
        <w:spacing w:line="480" w:lineRule="auto"/>
        <w:contextualSpacing/>
        <w:jc w:val="center"/>
        <w:rPr>
          <w:b/>
        </w:rPr>
      </w:pPr>
      <w:r w:rsidRPr="00FC65A1">
        <w:rPr>
          <w:b/>
        </w:rPr>
        <w:t>Analysis Plan</w:t>
      </w:r>
    </w:p>
    <w:p w14:paraId="515FBD6E" w14:textId="65214DF9" w:rsidR="002F0CFF" w:rsidRPr="005D39AA" w:rsidRDefault="002F0CFF" w:rsidP="002F0CFF">
      <w:pPr>
        <w:spacing w:after="120" w:line="480" w:lineRule="auto"/>
        <w:ind w:firstLine="720"/>
        <w:contextualSpacing/>
      </w:pPr>
      <w:r w:rsidRPr="005D39AA">
        <w:rPr>
          <w:szCs w:val="20"/>
        </w:rPr>
        <w:t xml:space="preserve">Our primary </w:t>
      </w:r>
      <w:r w:rsidR="00FC65A1">
        <w:rPr>
          <w:szCs w:val="20"/>
        </w:rPr>
        <w:t>research question for the study is whether increasing ad exposure frequency will result in different risk or benefit perceptions than less exposure to the ad</w:t>
      </w:r>
      <w:r w:rsidRPr="005D39AA">
        <w:rPr>
          <w:szCs w:val="20"/>
        </w:rPr>
        <w:t xml:space="preserve">.  We will also investigate other questions such as whether </w:t>
      </w:r>
      <w:r w:rsidR="00FC65A1">
        <w:rPr>
          <w:szCs w:val="20"/>
        </w:rPr>
        <w:t>behavioral intentions, recall or attitudes toward the drug are affected by increased ad exposure</w:t>
      </w:r>
      <w:r w:rsidRPr="005D39AA">
        <w:rPr>
          <w:szCs w:val="20"/>
        </w:rPr>
        <w:t xml:space="preserve">. </w:t>
      </w:r>
      <w:r w:rsidRPr="005D39AA">
        <w:t xml:space="preserve">Other exploratory analyses will be conducted as well.  </w:t>
      </w:r>
    </w:p>
    <w:p w14:paraId="60F3167A" w14:textId="62885E5E" w:rsidR="00922C07" w:rsidRPr="002A6AB0" w:rsidRDefault="002F0CFF" w:rsidP="00D91B11">
      <w:pPr>
        <w:spacing w:line="480" w:lineRule="auto"/>
        <w:ind w:firstLine="720"/>
        <w:contextualSpacing/>
        <w:rPr>
          <w:b/>
        </w:rPr>
      </w:pPr>
      <w:r w:rsidRPr="005D39AA">
        <w:t xml:space="preserve">We will conduct ANOVAs (for continuous variables) and chi-squares and logistic regressions (for categorical variables) to examine the impact of </w:t>
      </w:r>
      <w:r w:rsidR="00FC65A1">
        <w:t>increased ad exposure on the outcomes</w:t>
      </w:r>
      <w:r w:rsidRPr="005D39AA">
        <w:t>.  Before conducting analyses, we will assess whether the inclusion of covariates is justified. If they are, we will conduct the analyses both with and without covariates (e.g., sex, age, race/ethnicity, education) included in the model.  If the interaction effect (</w:t>
      </w:r>
      <w:r w:rsidR="00FC65A1">
        <w:t>age x ad exposure frequency</w:t>
      </w:r>
      <w:r w:rsidRPr="005D39AA">
        <w:t xml:space="preserve">) is significant, we will conduct pairwise-comparisons to determine which conditions are significantly different from one another. The primary planned comparison will use a p-value of .05, and the exploratory post-hoc comparison will use Bonferroni-adjusted </w:t>
      </w:r>
      <w:r w:rsidRPr="005D39AA">
        <w:rPr>
          <w:i/>
        </w:rPr>
        <w:t>p</w:t>
      </w:r>
      <w:r w:rsidRPr="005D39AA">
        <w:t xml:space="preserve">-values.  </w:t>
      </w:r>
    </w:p>
    <w:p w14:paraId="68B22746" w14:textId="77777777" w:rsidR="00787427" w:rsidRDefault="00787427" w:rsidP="00787427">
      <w:pPr>
        <w:spacing w:after="0" w:line="480" w:lineRule="auto"/>
        <w:contextualSpacing/>
        <w:jc w:val="center"/>
        <w:rPr>
          <w:b/>
        </w:rPr>
      </w:pPr>
      <w:r w:rsidRPr="00821AA1">
        <w:rPr>
          <w:b/>
        </w:rPr>
        <w:t>Power</w:t>
      </w:r>
    </w:p>
    <w:p w14:paraId="32780445" w14:textId="6D016292" w:rsidR="00714FBB" w:rsidRPr="00714FBB" w:rsidRDefault="00FC65A1" w:rsidP="00714FBB">
      <w:pPr>
        <w:pStyle w:val="BodyText"/>
        <w:spacing w:line="480" w:lineRule="auto"/>
        <w:ind w:firstLine="720"/>
        <w:contextualSpacing/>
        <w:rPr>
          <w:rFonts w:ascii="Times New Roman" w:eastAsia="Times New Roman" w:hAnsi="Times New Roman"/>
          <w:snapToGrid/>
          <w:sz w:val="24"/>
          <w:szCs w:val="24"/>
        </w:rPr>
      </w:pPr>
      <w:r w:rsidRPr="005D39AA">
        <w:rPr>
          <w:rFonts w:ascii="Times New Roman" w:eastAsia="Times New Roman" w:hAnsi="Times New Roman"/>
          <w:snapToGrid/>
          <w:sz w:val="24"/>
          <w:szCs w:val="24"/>
        </w:rPr>
        <w:t>For the pretest, power analysis suggests that to have 90% power to detect medium size effects between the three exp</w:t>
      </w:r>
      <w:r w:rsidR="00B74B93">
        <w:rPr>
          <w:rFonts w:ascii="Times New Roman" w:eastAsia="Times New Roman" w:hAnsi="Times New Roman"/>
          <w:snapToGrid/>
          <w:sz w:val="24"/>
          <w:szCs w:val="24"/>
        </w:rPr>
        <w:t>erimental conditions (alpha=0.017; set to adjust for multiple comparisons</w:t>
      </w:r>
      <w:r w:rsidRPr="005D39AA">
        <w:rPr>
          <w:rFonts w:ascii="Times New Roman" w:eastAsia="Times New Roman" w:hAnsi="Times New Roman"/>
          <w:snapToGrid/>
          <w:sz w:val="24"/>
          <w:szCs w:val="24"/>
        </w:rPr>
        <w:t>), w</w:t>
      </w:r>
      <w:r w:rsidR="00B74B93">
        <w:rPr>
          <w:rFonts w:ascii="Times New Roman" w:eastAsia="Times New Roman" w:hAnsi="Times New Roman"/>
          <w:snapToGrid/>
          <w:sz w:val="24"/>
          <w:szCs w:val="24"/>
        </w:rPr>
        <w:t>e will need to include 105</w:t>
      </w:r>
      <w:r w:rsidRPr="005D39AA">
        <w:rPr>
          <w:rFonts w:ascii="Times New Roman" w:eastAsia="Times New Roman" w:hAnsi="Times New Roman"/>
          <w:snapToGrid/>
          <w:sz w:val="24"/>
          <w:szCs w:val="24"/>
        </w:rPr>
        <w:t xml:space="preserve"> participants in each of the two pretests. For the same reason stated above, we will need to overestimate, for the purpose of estimating burden for IRB </w:t>
      </w:r>
      <w:r w:rsidRPr="005D39AA">
        <w:rPr>
          <w:rFonts w:ascii="Times New Roman" w:eastAsia="Times New Roman" w:hAnsi="Times New Roman"/>
          <w:snapToGrid/>
          <w:sz w:val="24"/>
          <w:szCs w:val="24"/>
        </w:rPr>
        <w:lastRenderedPageBreak/>
        <w:t>and OMB packages. For tho</w:t>
      </w:r>
      <w:r w:rsidR="00C60193">
        <w:rPr>
          <w:rFonts w:ascii="Times New Roman" w:eastAsia="Times New Roman" w:hAnsi="Times New Roman"/>
          <w:snapToGrid/>
          <w:sz w:val="24"/>
          <w:szCs w:val="24"/>
        </w:rPr>
        <w:t>se purposes we estimate 125</w:t>
      </w:r>
      <w:r w:rsidRPr="005D39AA">
        <w:rPr>
          <w:rFonts w:ascii="Times New Roman" w:eastAsia="Times New Roman" w:hAnsi="Times New Roman"/>
          <w:snapToGrid/>
          <w:sz w:val="24"/>
          <w:szCs w:val="24"/>
        </w:rPr>
        <w:t xml:space="preserve"> total participants in each pretest. We propose conducting the pretests with a smaller sample size than the main study, as we will not plan to test for interaction effects during this phase. The objective is not hypothesis testing but rather to confirm that the entire survey process runs smoothly and that </w:t>
      </w:r>
      <w:r w:rsidRPr="00714FBB">
        <w:rPr>
          <w:rFonts w:ascii="Times New Roman" w:eastAsia="Times New Roman" w:hAnsi="Times New Roman"/>
          <w:snapToGrid/>
          <w:sz w:val="24"/>
          <w:szCs w:val="24"/>
        </w:rPr>
        <w:t xml:space="preserve">the stimulus will be effective for the study design. The sample size </w:t>
      </w:r>
      <w:r w:rsidR="008D47A9">
        <w:rPr>
          <w:rFonts w:ascii="Times New Roman" w:eastAsia="Times New Roman" w:hAnsi="Times New Roman"/>
          <w:snapToGrid/>
          <w:sz w:val="24"/>
          <w:szCs w:val="24"/>
        </w:rPr>
        <w:t>is</w:t>
      </w:r>
      <w:r w:rsidRPr="00714FBB">
        <w:rPr>
          <w:rFonts w:ascii="Times New Roman" w:eastAsia="Times New Roman" w:hAnsi="Times New Roman"/>
          <w:snapToGrid/>
          <w:sz w:val="24"/>
          <w:szCs w:val="24"/>
        </w:rPr>
        <w:t xml:space="preserve"> large enough to thoroughly pretest the stimuli and data collection process.</w:t>
      </w:r>
    </w:p>
    <w:p w14:paraId="1599AA49" w14:textId="692F630A" w:rsidR="00302728" w:rsidRPr="00714FBB" w:rsidRDefault="00FC65A1" w:rsidP="00714FBB">
      <w:pPr>
        <w:pStyle w:val="BodyText"/>
        <w:spacing w:line="480" w:lineRule="auto"/>
        <w:ind w:firstLine="720"/>
        <w:contextualSpacing/>
        <w:rPr>
          <w:rFonts w:ascii="Times New Roman" w:hAnsi="Times New Roman"/>
          <w:sz w:val="24"/>
          <w:szCs w:val="24"/>
        </w:rPr>
      </w:pPr>
      <w:r w:rsidRPr="00714FBB">
        <w:rPr>
          <w:rFonts w:ascii="Times New Roman" w:hAnsi="Times New Roman"/>
          <w:sz w:val="24"/>
          <w:szCs w:val="24"/>
        </w:rPr>
        <w:t xml:space="preserve">For the main study, </w:t>
      </w:r>
      <w:r w:rsidR="008D47A9">
        <w:rPr>
          <w:rFonts w:ascii="Times New Roman" w:hAnsi="Times New Roman"/>
          <w:sz w:val="24"/>
          <w:szCs w:val="24"/>
        </w:rPr>
        <w:t>o</w:t>
      </w:r>
      <w:r w:rsidR="00302728" w:rsidRPr="00714FBB">
        <w:rPr>
          <w:rFonts w:ascii="Times New Roman" w:hAnsi="Times New Roman"/>
          <w:sz w:val="24"/>
          <w:szCs w:val="24"/>
        </w:rPr>
        <w:t>ur power analysis suggests a sample size of 200 in each experimental group will allow for the required 90% power (alpha=.017) to test the main effect of exposure on a single dependent variable as well as the joint effect of at least one moderator, such as need for cognition. More specifically, we could detect an effect size of about 0.45 (assuming means across experimental groups ranged from 3.3 to 3.9 with SDs around 1.5 on a 5-point interval scale item) at 90% power. (We assume the use of an interval dependent measure and a single main effect in this study to reduce the total sample needed in light of the need to collect data</w:t>
      </w:r>
      <w:r w:rsidRPr="00714FBB">
        <w:rPr>
          <w:rFonts w:ascii="Times New Roman" w:hAnsi="Times New Roman"/>
          <w:sz w:val="24"/>
          <w:szCs w:val="24"/>
        </w:rPr>
        <w:t xml:space="preserve"> in person</w:t>
      </w:r>
      <w:r w:rsidR="00302728" w:rsidRPr="00714FBB">
        <w:rPr>
          <w:rFonts w:ascii="Times New Roman" w:hAnsi="Times New Roman"/>
          <w:sz w:val="24"/>
          <w:szCs w:val="24"/>
        </w:rPr>
        <w:t xml:space="preserve">. </w:t>
      </w:r>
    </w:p>
    <w:p w14:paraId="43265DAE" w14:textId="77777777" w:rsidR="00787427" w:rsidRPr="00714FBB" w:rsidRDefault="00787427" w:rsidP="002267F4">
      <w:pPr>
        <w:pStyle w:val="ListParagraph"/>
        <w:numPr>
          <w:ilvl w:val="0"/>
          <w:numId w:val="1"/>
        </w:numPr>
        <w:spacing w:after="0" w:line="480" w:lineRule="auto"/>
      </w:pPr>
      <w:r w:rsidRPr="00714FBB">
        <w:rPr>
          <w:u w:val="single"/>
        </w:rPr>
        <w:t>Methods to Maximize Response Rates and Deal with Non-response</w:t>
      </w:r>
    </w:p>
    <w:p w14:paraId="31E4A7AA" w14:textId="3D8A3D8E" w:rsidR="00787427" w:rsidRPr="00302728" w:rsidRDefault="00787427">
      <w:pPr>
        <w:autoSpaceDE w:val="0"/>
        <w:autoSpaceDN w:val="0"/>
        <w:adjustRightInd w:val="0"/>
        <w:spacing w:after="0" w:line="480" w:lineRule="auto"/>
        <w:ind w:firstLine="360"/>
        <w:contextualSpacing/>
      </w:pPr>
      <w:r w:rsidRPr="00714FBB">
        <w:t>Response rates can vary greatly depending on many factors including the sample composition, invitation content, time of day and incentive offering.  We will</w:t>
      </w:r>
      <w:r w:rsidRPr="00302728">
        <w:t xml:space="preserve"> calculate response rate </w:t>
      </w:r>
      <w:r w:rsidR="008F1B96" w:rsidRPr="00302728">
        <w:t>as</w:t>
      </w:r>
      <w:r w:rsidR="008F1B96">
        <w:t xml:space="preserve"> the </w:t>
      </w:r>
      <w:r w:rsidRPr="00302728">
        <w:t>ratio of the number of surveys completed to the number of </w:t>
      </w:r>
      <w:r w:rsidR="008F1B96">
        <w:t xml:space="preserve">screened and eligible </w:t>
      </w:r>
      <w:r w:rsidR="00FC65A1">
        <w:t>participants</w:t>
      </w:r>
      <w:r w:rsidR="00FC65A1" w:rsidRPr="00302728">
        <w:t xml:space="preserve"> </w:t>
      </w:r>
      <w:r w:rsidRPr="00302728">
        <w:t>contacted by invitation.  To help ensure that the participation rate is as high as possible, FDA and the contractor will:</w:t>
      </w:r>
    </w:p>
    <w:p w14:paraId="06EB56C3" w14:textId="63193F2E" w:rsidR="00F8123D" w:rsidRDefault="00F8123D">
      <w:pPr>
        <w:numPr>
          <w:ilvl w:val="0"/>
          <w:numId w:val="2"/>
        </w:numPr>
        <w:tabs>
          <w:tab w:val="left" w:pos="1080"/>
        </w:tabs>
        <w:autoSpaceDE w:val="0"/>
        <w:autoSpaceDN w:val="0"/>
        <w:adjustRightInd w:val="0"/>
        <w:spacing w:after="0" w:line="480" w:lineRule="auto"/>
        <w:ind w:left="720"/>
      </w:pPr>
      <w:r>
        <w:t xml:space="preserve">Offer multiple dates and times for data collection so participants can select one </w:t>
      </w:r>
      <w:r w:rsidR="009D0D58">
        <w:t>based on their availability;</w:t>
      </w:r>
      <w:r>
        <w:t xml:space="preserve"> </w:t>
      </w:r>
    </w:p>
    <w:p w14:paraId="1C78B9F0" w14:textId="5E81EA00" w:rsidR="00FC65A1" w:rsidRPr="00302728" w:rsidRDefault="00FC65A1" w:rsidP="00787427">
      <w:pPr>
        <w:numPr>
          <w:ilvl w:val="0"/>
          <w:numId w:val="2"/>
        </w:numPr>
        <w:tabs>
          <w:tab w:val="left" w:pos="1080"/>
        </w:tabs>
        <w:autoSpaceDE w:val="0"/>
        <w:autoSpaceDN w:val="0"/>
        <w:adjustRightInd w:val="0"/>
        <w:spacing w:after="0" w:line="480" w:lineRule="auto"/>
        <w:ind w:left="720"/>
      </w:pPr>
      <w:r>
        <w:lastRenderedPageBreak/>
        <w:t>Provide an incentive of $100 for the 90 minute data collection period, to compensate participants for their time.</w:t>
      </w:r>
    </w:p>
    <w:p w14:paraId="66A7D1AA" w14:textId="77777777" w:rsidR="00714FBB" w:rsidRDefault="008F1B96" w:rsidP="00714FBB">
      <w:pPr>
        <w:numPr>
          <w:ilvl w:val="0"/>
          <w:numId w:val="2"/>
        </w:numPr>
        <w:tabs>
          <w:tab w:val="left" w:pos="1080"/>
        </w:tabs>
        <w:autoSpaceDE w:val="0"/>
        <w:autoSpaceDN w:val="0"/>
        <w:adjustRightInd w:val="0"/>
        <w:spacing w:after="0" w:line="480" w:lineRule="auto"/>
        <w:ind w:left="720"/>
        <w:contextualSpacing/>
      </w:pPr>
      <w:r>
        <w:t xml:space="preserve">Provide laptops for participants to view the stimulus and complete the questionnaire, </w:t>
      </w:r>
      <w:r w:rsidR="00787427" w:rsidRPr="00302728">
        <w:t xml:space="preserve">allowing respondents to answer questions </w:t>
      </w:r>
      <w:r w:rsidR="00F8123D">
        <w:t xml:space="preserve">at </w:t>
      </w:r>
      <w:r>
        <w:t>their own pac</w:t>
      </w:r>
      <w:r w:rsidR="00F8123D">
        <w:t>e</w:t>
      </w:r>
      <w:r w:rsidR="00FC65A1">
        <w:t>.</w:t>
      </w:r>
    </w:p>
    <w:p w14:paraId="29B84614" w14:textId="77777777" w:rsidR="00714FBB" w:rsidRPr="00714FBB" w:rsidRDefault="00787427" w:rsidP="00714FBB">
      <w:pPr>
        <w:pStyle w:val="ListParagraph"/>
        <w:numPr>
          <w:ilvl w:val="0"/>
          <w:numId w:val="1"/>
        </w:numPr>
        <w:tabs>
          <w:tab w:val="left" w:pos="1080"/>
        </w:tabs>
        <w:autoSpaceDE w:val="0"/>
        <w:autoSpaceDN w:val="0"/>
        <w:adjustRightInd w:val="0"/>
        <w:spacing w:after="0" w:line="480" w:lineRule="auto"/>
      </w:pPr>
      <w:r w:rsidRPr="00714FBB">
        <w:rPr>
          <w:u w:val="single"/>
        </w:rPr>
        <w:t>Test of Procedures or Methods to be Undertaken</w:t>
      </w:r>
    </w:p>
    <w:p w14:paraId="559F6E3C" w14:textId="464F5805" w:rsidR="00787427" w:rsidRPr="00F76C2E" w:rsidRDefault="00787427" w:rsidP="00714FBB">
      <w:pPr>
        <w:pStyle w:val="ListParagraph"/>
        <w:tabs>
          <w:tab w:val="left" w:pos="1080"/>
        </w:tabs>
        <w:autoSpaceDE w:val="0"/>
        <w:autoSpaceDN w:val="0"/>
        <w:adjustRightInd w:val="0"/>
        <w:spacing w:after="0" w:line="480" w:lineRule="auto"/>
        <w:ind w:left="0" w:firstLine="360"/>
      </w:pPr>
      <w:r w:rsidRPr="00714FBB">
        <w:rPr>
          <w:szCs w:val="20"/>
        </w:rPr>
        <w:t xml:space="preserve">Two types of pretesting (qualitative and quantitative) </w:t>
      </w:r>
      <w:r w:rsidR="0004647B">
        <w:rPr>
          <w:szCs w:val="20"/>
        </w:rPr>
        <w:t>are</w:t>
      </w:r>
      <w:r w:rsidRPr="00714FBB">
        <w:rPr>
          <w:szCs w:val="20"/>
        </w:rPr>
        <w:t xml:space="preserve"> employed as a test of procedures and methods.</w:t>
      </w:r>
      <w:r w:rsidRPr="00302728">
        <w:rPr>
          <w:vertAlign w:val="superscript"/>
        </w:rPr>
        <w:footnoteReference w:id="1"/>
      </w:r>
      <w:r w:rsidRPr="00714FBB">
        <w:rPr>
          <w:szCs w:val="20"/>
        </w:rPr>
        <w:t xml:space="preserve">  The first type of pretesting </w:t>
      </w:r>
      <w:r w:rsidR="0004647B">
        <w:rPr>
          <w:szCs w:val="20"/>
        </w:rPr>
        <w:t>is</w:t>
      </w:r>
      <w:r w:rsidRPr="00714FBB">
        <w:rPr>
          <w:szCs w:val="20"/>
        </w:rPr>
        <w:t xml:space="preserve"> qualitative.  Cognitive testing </w:t>
      </w:r>
      <w:r w:rsidR="0004647B">
        <w:rPr>
          <w:szCs w:val="20"/>
        </w:rPr>
        <w:t>has been conducted with a small sample of</w:t>
      </w:r>
      <w:r w:rsidR="0004647B" w:rsidRPr="00714FBB">
        <w:rPr>
          <w:szCs w:val="20"/>
        </w:rPr>
        <w:t xml:space="preserve"> </w:t>
      </w:r>
      <w:r w:rsidRPr="00714FBB">
        <w:rPr>
          <w:szCs w:val="20"/>
        </w:rPr>
        <w:t xml:space="preserve">individuals to refine study questions.  </w:t>
      </w:r>
      <w:r w:rsidR="0004647B">
        <w:rPr>
          <w:szCs w:val="20"/>
        </w:rPr>
        <w:t>Additionally</w:t>
      </w:r>
      <w:r w:rsidRPr="00714FBB">
        <w:rPr>
          <w:szCs w:val="20"/>
        </w:rPr>
        <w:t xml:space="preserve">, </w:t>
      </w:r>
      <w:r w:rsidR="0004647B">
        <w:rPr>
          <w:szCs w:val="20"/>
        </w:rPr>
        <w:t xml:space="preserve">we intend to conduct </w:t>
      </w:r>
      <w:r w:rsidR="00FC65A1" w:rsidRPr="00714FBB">
        <w:rPr>
          <w:szCs w:val="20"/>
        </w:rPr>
        <w:t xml:space="preserve">up to </w:t>
      </w:r>
      <w:r w:rsidR="00302728" w:rsidRPr="00714FBB">
        <w:rPr>
          <w:szCs w:val="20"/>
        </w:rPr>
        <w:t>two</w:t>
      </w:r>
      <w:r w:rsidRPr="00714FBB">
        <w:rPr>
          <w:szCs w:val="20"/>
        </w:rPr>
        <w:t xml:space="preserve"> round</w:t>
      </w:r>
      <w:r w:rsidR="00302728" w:rsidRPr="00714FBB">
        <w:rPr>
          <w:szCs w:val="20"/>
        </w:rPr>
        <w:t>s</w:t>
      </w:r>
      <w:r w:rsidRPr="00714FBB">
        <w:rPr>
          <w:szCs w:val="20"/>
        </w:rPr>
        <w:t xml:space="preserve"> of quantitative pretesting.  Pretests will be used to refine the design of the experimental stimuli to ensure the validity of the manipulations.  These pretests will explore </w:t>
      </w:r>
      <w:r w:rsidR="00FC65A1" w:rsidRPr="00714FBB">
        <w:rPr>
          <w:szCs w:val="20"/>
        </w:rPr>
        <w:t xml:space="preserve">logistical plans for the main study, such as the use of </w:t>
      </w:r>
      <w:r w:rsidR="00B74B93">
        <w:rPr>
          <w:szCs w:val="20"/>
        </w:rPr>
        <w:t>10 or 15-</w:t>
      </w:r>
      <w:r w:rsidR="00FC65A1" w:rsidRPr="00714FBB">
        <w:rPr>
          <w:szCs w:val="20"/>
        </w:rPr>
        <w:t>person data collection sessions</w:t>
      </w:r>
      <w:r w:rsidRPr="00714FBB">
        <w:rPr>
          <w:szCs w:val="20"/>
        </w:rPr>
        <w:t xml:space="preserve">.  </w:t>
      </w:r>
      <w:r w:rsidRPr="00302728">
        <w:t>The main study design will not change as a result of the pretests, nor will the results of the pretests increase the burden on respondents in the main study.  The pretests are designed to ensure the particulars of the main study are implemented in the best way possible.</w:t>
      </w:r>
      <w:r w:rsidRPr="00F76C2E">
        <w:t xml:space="preserve">  </w:t>
      </w:r>
    </w:p>
    <w:p w14:paraId="6054E16B" w14:textId="77777777" w:rsidR="00787427" w:rsidRPr="00F23F79" w:rsidRDefault="00787427" w:rsidP="00787427">
      <w:pPr>
        <w:spacing w:after="0" w:line="240" w:lineRule="auto"/>
      </w:pPr>
      <w:r w:rsidRPr="00F23F79">
        <w:t xml:space="preserve">5. </w:t>
      </w:r>
      <w:r w:rsidRPr="00F23F79">
        <w:tab/>
      </w:r>
      <w:r w:rsidRPr="00F23F79">
        <w:rPr>
          <w:u w:val="single"/>
        </w:rPr>
        <w:t>Individuals Consulted on Statistical Aspects and Individuals Collecting and/or Analyzing Data</w:t>
      </w:r>
    </w:p>
    <w:p w14:paraId="3358A422" w14:textId="77777777" w:rsidR="00787427" w:rsidRPr="00F76C2E" w:rsidRDefault="00787427" w:rsidP="00787427">
      <w:pPr>
        <w:spacing w:after="0" w:line="240" w:lineRule="auto"/>
      </w:pPr>
    </w:p>
    <w:p w14:paraId="1CC28F0F" w14:textId="45BA2549" w:rsidR="00787427" w:rsidRPr="00714FBB" w:rsidRDefault="00787427" w:rsidP="00714FBB">
      <w:pPr>
        <w:spacing w:after="0" w:line="480" w:lineRule="auto"/>
        <w:ind w:firstLine="720"/>
      </w:pPr>
      <w:r w:rsidRPr="00F76C2E">
        <w:t xml:space="preserve">The contractor, </w:t>
      </w:r>
      <w:r>
        <w:t>RTI International</w:t>
      </w:r>
      <w:r w:rsidRPr="00F76C2E">
        <w:t xml:space="preserve">, will collect </w:t>
      </w:r>
      <w:r>
        <w:t>and analyze data</w:t>
      </w:r>
      <w:r w:rsidRPr="00F76C2E">
        <w:t xml:space="preserve"> on behalf of FDA as a task order under Contract </w:t>
      </w:r>
      <w:r w:rsidRPr="001D55DB">
        <w:t>HHSF223201</w:t>
      </w:r>
      <w:r w:rsidR="000C2CF8">
        <w:t>310558G</w:t>
      </w:r>
      <w:r w:rsidRPr="00F76C2E">
        <w:t xml:space="preserve">.  </w:t>
      </w:r>
      <w:r w:rsidR="000C2CF8">
        <w:t>Bridget Kelly</w:t>
      </w:r>
      <w:r w:rsidRPr="001D55DB">
        <w:t xml:space="preserve">, Ph.D., </w:t>
      </w:r>
      <w:r w:rsidR="000C2CF8">
        <w:t xml:space="preserve">MPH, </w:t>
      </w:r>
      <w:r w:rsidRPr="001D55DB">
        <w:t xml:space="preserve">is the Project Director, </w:t>
      </w:r>
      <w:r w:rsidR="000C2CF8">
        <w:t>202-728-2098</w:t>
      </w:r>
      <w:r w:rsidRPr="00F76C2E">
        <w:rPr>
          <w:noProof/>
        </w:rPr>
        <w:t xml:space="preserve">.  </w:t>
      </w:r>
      <w:r>
        <w:rPr>
          <w:noProof/>
        </w:rPr>
        <w:t>Review of contractor deliverables and supplemental analyses will be provided</w:t>
      </w:r>
      <w:r w:rsidRPr="00F76C2E">
        <w:t xml:space="preserve"> by the Research Team, Office of Prescription Drug Promotion (OPDP), Office of Medical Policy, CDER, FDA, and coordinated by </w:t>
      </w:r>
      <w:r>
        <w:t>Kevin R. Betts</w:t>
      </w:r>
      <w:r w:rsidRPr="00F76C2E">
        <w:t>, Ph.D., WO BLDG 51, RM 32</w:t>
      </w:r>
      <w:r>
        <w:t>20, (240) 402-5090, and Kathryn J. Aikin, Ph.D.</w:t>
      </w:r>
      <w:r w:rsidRPr="00F76C2E">
        <w:t>, WO BLDG 51, RM 3240, (301) 796-1200</w:t>
      </w:r>
      <w:r>
        <w:t>.</w:t>
      </w:r>
      <w:r w:rsidRPr="00F76C2E">
        <w:t xml:space="preserve"> </w:t>
      </w:r>
    </w:p>
    <w:sectPr w:rsidR="00787427" w:rsidRPr="00714FBB">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94D5A3" w15:done="0"/>
  <w15:commentEx w15:paraId="5A032FD2" w15:done="0"/>
  <w15:commentEx w15:paraId="38D487FC" w15:done="0"/>
  <w15:commentEx w15:paraId="4C71AA1C" w15:done="0"/>
  <w15:commentEx w15:paraId="3F97CCAA" w15:done="0"/>
  <w15:commentEx w15:paraId="3D935D17" w15:done="0"/>
  <w15:commentEx w15:paraId="596712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9BE4E" w14:textId="77777777" w:rsidR="005F644C" w:rsidRDefault="005F644C" w:rsidP="00787427">
      <w:pPr>
        <w:spacing w:after="0" w:line="240" w:lineRule="auto"/>
      </w:pPr>
      <w:r>
        <w:separator/>
      </w:r>
    </w:p>
  </w:endnote>
  <w:endnote w:type="continuationSeparator" w:id="0">
    <w:p w14:paraId="78101A20" w14:textId="77777777" w:rsidR="005F644C" w:rsidRDefault="005F644C" w:rsidP="0078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998102"/>
      <w:docPartObj>
        <w:docPartGallery w:val="Page Numbers (Bottom of Page)"/>
        <w:docPartUnique/>
      </w:docPartObj>
    </w:sdtPr>
    <w:sdtEndPr>
      <w:rPr>
        <w:noProof/>
      </w:rPr>
    </w:sdtEndPr>
    <w:sdtContent>
      <w:p w14:paraId="21F538D7" w14:textId="77777777" w:rsidR="00EE646A" w:rsidRDefault="00787427">
        <w:pPr>
          <w:pStyle w:val="Footer"/>
          <w:jc w:val="right"/>
        </w:pPr>
        <w:r>
          <w:fldChar w:fldCharType="begin"/>
        </w:r>
        <w:r>
          <w:instrText xml:space="preserve"> PAGE   \* MERGEFORMAT </w:instrText>
        </w:r>
        <w:r>
          <w:fldChar w:fldCharType="separate"/>
        </w:r>
        <w:r w:rsidR="00BA5705">
          <w:rPr>
            <w:noProof/>
          </w:rPr>
          <w:t>1</w:t>
        </w:r>
        <w:r>
          <w:rPr>
            <w:noProof/>
          </w:rPr>
          <w:fldChar w:fldCharType="end"/>
        </w:r>
      </w:p>
    </w:sdtContent>
  </w:sdt>
  <w:p w14:paraId="57924AB3" w14:textId="77777777" w:rsidR="00EE646A" w:rsidRDefault="00BA5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D8077" w14:textId="77777777" w:rsidR="005F644C" w:rsidRDefault="005F644C" w:rsidP="00787427">
      <w:pPr>
        <w:spacing w:after="0" w:line="240" w:lineRule="auto"/>
      </w:pPr>
      <w:r>
        <w:separator/>
      </w:r>
    </w:p>
  </w:footnote>
  <w:footnote w:type="continuationSeparator" w:id="0">
    <w:p w14:paraId="667953E7" w14:textId="77777777" w:rsidR="005F644C" w:rsidRDefault="005F644C" w:rsidP="00787427">
      <w:pPr>
        <w:spacing w:after="0" w:line="240" w:lineRule="auto"/>
      </w:pPr>
      <w:r>
        <w:continuationSeparator/>
      </w:r>
    </w:p>
  </w:footnote>
  <w:footnote w:id="1">
    <w:p w14:paraId="39F5B8C6" w14:textId="77777777" w:rsidR="00787427" w:rsidRPr="001F5A15" w:rsidRDefault="00787427" w:rsidP="00787427">
      <w:pPr>
        <w:pStyle w:val="FootnoteText"/>
      </w:pPr>
      <w:r>
        <w:rPr>
          <w:rStyle w:val="FootnoteReference"/>
        </w:rPr>
        <w:footnoteRef/>
      </w:r>
      <w:r>
        <w:t xml:space="preserve"> Pretesting is suggested by OMB as a method to test procedures.  See Office of Management and Budget </w:t>
      </w:r>
      <w:r w:rsidRPr="001F5A15">
        <w:rPr>
          <w:i/>
        </w:rPr>
        <w:t>Standards and Guidelines for Statistical Surveys</w:t>
      </w:r>
      <w:r>
        <w:t xml:space="preserve"> (September, 2006).  Available at </w:t>
      </w:r>
      <w:hyperlink r:id="rId1" w:history="1">
        <w:r w:rsidRPr="00545A17">
          <w:rPr>
            <w:rStyle w:val="Hyperlink"/>
          </w:rPr>
          <w:t>http://www.whitehouse.gov/sites/default/files/omb/assets/omb/inforeg/statpolicy/standards_stat_surveys.pdf</w:t>
        </w:r>
      </w:hyperlink>
      <w:r>
        <w:t>.  Last accessed January 12,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E18E3D8"/>
    <w:lvl w:ilvl="0">
      <w:numFmt w:val="bullet"/>
      <w:lvlText w:val="*"/>
      <w:lvlJc w:val="left"/>
    </w:lvl>
  </w:abstractNum>
  <w:abstractNum w:abstractNumId="1">
    <w:nsid w:val="005F6B05"/>
    <w:multiLevelType w:val="hybridMultilevel"/>
    <w:tmpl w:val="2CEE0256"/>
    <w:lvl w:ilvl="0" w:tplc="ED161DE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A614E"/>
    <w:multiLevelType w:val="hybridMultilevel"/>
    <w:tmpl w:val="8BB4DB4A"/>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F30949"/>
    <w:multiLevelType w:val="hybridMultilevel"/>
    <w:tmpl w:val="B6FC8EFA"/>
    <w:lvl w:ilvl="0" w:tplc="04090003">
      <w:start w:val="1"/>
      <w:numFmt w:val="bullet"/>
      <w:lvlText w:val="o"/>
      <w:lvlJc w:val="left"/>
      <w:pPr>
        <w:ind w:left="1080" w:hanging="360"/>
      </w:pPr>
      <w:rPr>
        <w:rFonts w:ascii="Courier New" w:hAnsi="Courier New" w:cs="Courier New"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8E53F1"/>
    <w:multiLevelType w:val="hybridMultilevel"/>
    <w:tmpl w:val="304AD6E2"/>
    <w:lvl w:ilvl="0" w:tplc="0409000F">
      <w:start w:val="24"/>
      <w:numFmt w:val="decimal"/>
      <w:lvlText w:val="%1."/>
      <w:lvlJc w:val="left"/>
      <w:pPr>
        <w:ind w:left="99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1F689D"/>
    <w:multiLevelType w:val="hybridMultilevel"/>
    <w:tmpl w:val="39747470"/>
    <w:lvl w:ilvl="0" w:tplc="0409000F">
      <w:start w:val="24"/>
      <w:numFmt w:val="decimal"/>
      <w:lvlText w:val="%1."/>
      <w:lvlJc w:val="left"/>
      <w:pPr>
        <w:ind w:left="99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20738A"/>
    <w:multiLevelType w:val="hybridMultilevel"/>
    <w:tmpl w:val="FFC23964"/>
    <w:lvl w:ilvl="0" w:tplc="04090001">
      <w:start w:val="1"/>
      <w:numFmt w:val="bullet"/>
      <w:lvlText w:val=""/>
      <w:lvlJc w:val="left"/>
      <w:pPr>
        <w:tabs>
          <w:tab w:val="num" w:pos="720"/>
        </w:tabs>
        <w:ind w:left="720" w:hanging="360"/>
      </w:pPr>
      <w:rPr>
        <w:rFonts w:ascii="Symbol" w:hAnsi="Symbol" w:hint="default"/>
      </w:rPr>
    </w:lvl>
    <w:lvl w:ilvl="1" w:tplc="A63CE18C">
      <w:numFmt w:val="bullet"/>
      <w:pStyle w:val="ListBullet2"/>
      <w:lvlText w:val="–"/>
      <w:lvlJc w:val="left"/>
      <w:pPr>
        <w:tabs>
          <w:tab w:val="num" w:pos="900"/>
        </w:tabs>
        <w:ind w:left="900" w:hanging="360"/>
      </w:pPr>
      <w:rPr>
        <w:rFonts w:ascii="Arial" w:eastAsia="Times New Roman" w:hAnsi="Arial" w:hint="default"/>
        <w:b w:val="0"/>
        <w:i w:val="0"/>
        <w:color w:val="auto"/>
        <w:sz w:val="18"/>
      </w:rPr>
    </w:lvl>
    <w:lvl w:ilvl="2" w:tplc="40902C88">
      <w:start w:val="8"/>
      <w:numFmt w:val="bullet"/>
      <w:lvlText w:val="-"/>
      <w:lvlJc w:val="left"/>
      <w:pPr>
        <w:ind w:left="2160" w:hanging="360"/>
      </w:pPr>
      <w:rPr>
        <w:rFonts w:ascii="Calibri" w:eastAsia="Times New Roman"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984C6D"/>
    <w:multiLevelType w:val="hybridMultilevel"/>
    <w:tmpl w:val="5140981A"/>
    <w:lvl w:ilvl="0" w:tplc="BC60231E">
      <w:start w:val="13"/>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CC100E4"/>
    <w:multiLevelType w:val="hybridMultilevel"/>
    <w:tmpl w:val="D688AA62"/>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975721"/>
    <w:multiLevelType w:val="hybridMultilevel"/>
    <w:tmpl w:val="9C144A10"/>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310539"/>
    <w:multiLevelType w:val="hybridMultilevel"/>
    <w:tmpl w:val="1ECCFFCC"/>
    <w:lvl w:ilvl="0" w:tplc="0409000F">
      <w:start w:val="4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AD39B0"/>
    <w:multiLevelType w:val="hybridMultilevel"/>
    <w:tmpl w:val="AB78B6A6"/>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0A1B0E"/>
    <w:multiLevelType w:val="hybridMultilevel"/>
    <w:tmpl w:val="49D6F50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9A20B0"/>
    <w:multiLevelType w:val="hybridMultilevel"/>
    <w:tmpl w:val="7660CC4E"/>
    <w:lvl w:ilvl="0" w:tplc="BC60231E">
      <w:start w:val="13"/>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B61749"/>
    <w:multiLevelType w:val="hybridMultilevel"/>
    <w:tmpl w:val="0290BD40"/>
    <w:lvl w:ilvl="0" w:tplc="0409000F">
      <w:start w:val="24"/>
      <w:numFmt w:val="decimal"/>
      <w:lvlText w:val="%1."/>
      <w:lvlJc w:val="left"/>
      <w:pPr>
        <w:ind w:left="99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FE3E4C"/>
    <w:multiLevelType w:val="hybridMultilevel"/>
    <w:tmpl w:val="3DC89140"/>
    <w:lvl w:ilvl="0" w:tplc="0409000F">
      <w:start w:val="4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DA457D"/>
    <w:multiLevelType w:val="hybridMultilevel"/>
    <w:tmpl w:val="87BA9010"/>
    <w:lvl w:ilvl="0" w:tplc="0409000F">
      <w:start w:val="3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9531C8"/>
    <w:multiLevelType w:val="hybridMultilevel"/>
    <w:tmpl w:val="F5DCA930"/>
    <w:lvl w:ilvl="0" w:tplc="601A4AA4">
      <w:start w:val="1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3B18578C"/>
    <w:multiLevelType w:val="hybridMultilevel"/>
    <w:tmpl w:val="7766F554"/>
    <w:lvl w:ilvl="0" w:tplc="D4241972">
      <w:start w:val="65"/>
      <w:numFmt w:val="decimal"/>
      <w:lvlText w:val="%1"/>
      <w:lvlJc w:val="left"/>
      <w:pPr>
        <w:ind w:left="576" w:hanging="360"/>
      </w:pPr>
      <w:rPr>
        <w:rFonts w:hint="default"/>
        <w:sz w:val="24"/>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9">
    <w:nsid w:val="3C542B92"/>
    <w:multiLevelType w:val="hybridMultilevel"/>
    <w:tmpl w:val="DF541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C34141"/>
    <w:multiLevelType w:val="hybridMultilevel"/>
    <w:tmpl w:val="54386D40"/>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3DC03F9F"/>
    <w:multiLevelType w:val="hybridMultilevel"/>
    <w:tmpl w:val="76C84176"/>
    <w:lvl w:ilvl="0" w:tplc="C4BE29C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964694"/>
    <w:multiLevelType w:val="hybridMultilevel"/>
    <w:tmpl w:val="CF2081C4"/>
    <w:lvl w:ilvl="0" w:tplc="0409000F">
      <w:start w:val="4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EF4187"/>
    <w:multiLevelType w:val="hybridMultilevel"/>
    <w:tmpl w:val="51A6B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0FC3C16"/>
    <w:multiLevelType w:val="hybridMultilevel"/>
    <w:tmpl w:val="A60EE922"/>
    <w:lvl w:ilvl="0" w:tplc="BC60231E">
      <w:start w:val="1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3E1576E"/>
    <w:multiLevelType w:val="hybridMultilevel"/>
    <w:tmpl w:val="B756DDF0"/>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690AB6"/>
    <w:multiLevelType w:val="hybridMultilevel"/>
    <w:tmpl w:val="524214D0"/>
    <w:lvl w:ilvl="0" w:tplc="BE1A7FE6">
      <w:start w:val="46"/>
      <w:numFmt w:val="decimal"/>
      <w:lvlText w:val="%1."/>
      <w:lvlJc w:val="left"/>
      <w:pPr>
        <w:ind w:left="990" w:hanging="360"/>
      </w:pPr>
      <w:rPr>
        <w:rFonts w:hint="default"/>
      </w:rPr>
    </w:lvl>
    <w:lvl w:ilvl="1" w:tplc="04090003">
      <w:start w:val="1"/>
      <w:numFmt w:val="bullet"/>
      <w:lvlText w:val="o"/>
      <w:lvlJc w:val="left"/>
      <w:pPr>
        <w:ind w:left="1710" w:hanging="360"/>
      </w:pPr>
      <w:rPr>
        <w:rFonts w:ascii="Courier New" w:hAnsi="Courier New" w:cs="Courier New"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46A432FE"/>
    <w:multiLevelType w:val="hybridMultilevel"/>
    <w:tmpl w:val="F1921FF4"/>
    <w:lvl w:ilvl="0" w:tplc="0409000F">
      <w:start w:val="19"/>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1B2342"/>
    <w:multiLevelType w:val="hybridMultilevel"/>
    <w:tmpl w:val="DF541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BB407B"/>
    <w:multiLevelType w:val="hybridMultilevel"/>
    <w:tmpl w:val="5A226232"/>
    <w:lvl w:ilvl="0" w:tplc="0409000F">
      <w:start w:val="1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4C3B26C6"/>
    <w:multiLevelType w:val="hybridMultilevel"/>
    <w:tmpl w:val="67A82CF4"/>
    <w:lvl w:ilvl="0" w:tplc="04090003">
      <w:start w:val="1"/>
      <w:numFmt w:val="bullet"/>
      <w:lvlText w:val="o"/>
      <w:lvlJc w:val="left"/>
      <w:pPr>
        <w:ind w:left="99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3F5606"/>
    <w:multiLevelType w:val="hybridMultilevel"/>
    <w:tmpl w:val="F2DA6072"/>
    <w:lvl w:ilvl="0" w:tplc="0409000F">
      <w:start w:val="4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B50654"/>
    <w:multiLevelType w:val="hybridMultilevel"/>
    <w:tmpl w:val="62585CFA"/>
    <w:lvl w:ilvl="0" w:tplc="55C01170">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7E732E"/>
    <w:multiLevelType w:val="hybridMultilevel"/>
    <w:tmpl w:val="BEE25E3A"/>
    <w:lvl w:ilvl="0" w:tplc="0409000F">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6F1ECF"/>
    <w:multiLevelType w:val="hybridMultilevel"/>
    <w:tmpl w:val="0B38C21C"/>
    <w:lvl w:ilvl="0" w:tplc="8C5052EE">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25571A"/>
    <w:multiLevelType w:val="hybridMultilevel"/>
    <w:tmpl w:val="8568569C"/>
    <w:lvl w:ilvl="0" w:tplc="04090003">
      <w:start w:val="1"/>
      <w:numFmt w:val="bullet"/>
      <w:lvlText w:val="o"/>
      <w:lvlJc w:val="left"/>
      <w:pPr>
        <w:ind w:left="1080" w:hanging="360"/>
      </w:pPr>
      <w:rPr>
        <w:rFonts w:ascii="Courier New" w:hAnsi="Courier New" w:cs="Courier New"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1670103"/>
    <w:multiLevelType w:val="hybridMultilevel"/>
    <w:tmpl w:val="EDC8B6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2122924"/>
    <w:multiLevelType w:val="hybridMultilevel"/>
    <w:tmpl w:val="22E04360"/>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4F4C68"/>
    <w:multiLevelType w:val="hybridMultilevel"/>
    <w:tmpl w:val="F3129D1E"/>
    <w:lvl w:ilvl="0" w:tplc="0409000F">
      <w:start w:val="19"/>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EE0265"/>
    <w:multiLevelType w:val="hybridMultilevel"/>
    <w:tmpl w:val="024EE25E"/>
    <w:lvl w:ilvl="0" w:tplc="0409000F">
      <w:start w:val="4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161B80"/>
    <w:multiLevelType w:val="hybridMultilevel"/>
    <w:tmpl w:val="5816B860"/>
    <w:lvl w:ilvl="0" w:tplc="0409000F">
      <w:start w:val="4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07486A"/>
    <w:multiLevelType w:val="hybridMultilevel"/>
    <w:tmpl w:val="84D422FC"/>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921F72"/>
    <w:multiLevelType w:val="hybridMultilevel"/>
    <w:tmpl w:val="45EAB3C2"/>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281BAC"/>
    <w:multiLevelType w:val="hybridMultilevel"/>
    <w:tmpl w:val="90C09232"/>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8C37E2"/>
    <w:multiLevelType w:val="hybridMultilevel"/>
    <w:tmpl w:val="26E2F26A"/>
    <w:lvl w:ilvl="0" w:tplc="0409000F">
      <w:start w:val="24"/>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50003D"/>
    <w:multiLevelType w:val="hybridMultilevel"/>
    <w:tmpl w:val="2CEE0256"/>
    <w:lvl w:ilvl="0" w:tplc="ED161DE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3A7610"/>
    <w:multiLevelType w:val="hybridMultilevel"/>
    <w:tmpl w:val="1AA6A34E"/>
    <w:lvl w:ilvl="0" w:tplc="BE1A7FE6">
      <w:start w:val="46"/>
      <w:numFmt w:val="decimal"/>
      <w:lvlText w:val="%1."/>
      <w:lvlJc w:val="left"/>
      <w:pPr>
        <w:ind w:left="990" w:hanging="360"/>
      </w:pPr>
      <w:rPr>
        <w:rFonts w:hint="default"/>
      </w:rPr>
    </w:lvl>
    <w:lvl w:ilvl="1" w:tplc="04090003">
      <w:start w:val="1"/>
      <w:numFmt w:val="bullet"/>
      <w:lvlText w:val="o"/>
      <w:lvlJc w:val="left"/>
      <w:pPr>
        <w:ind w:left="1710" w:hanging="360"/>
      </w:pPr>
      <w:rPr>
        <w:rFonts w:ascii="Courier New" w:hAnsi="Courier New" w:cs="Courier New"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nsid w:val="7E194EBE"/>
    <w:multiLevelType w:val="hybridMultilevel"/>
    <w:tmpl w:val="36747128"/>
    <w:lvl w:ilvl="0" w:tplc="87E25320">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357EBA"/>
    <w:multiLevelType w:val="hybridMultilevel"/>
    <w:tmpl w:val="1170717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nsid w:val="7FD86659"/>
    <w:multiLevelType w:val="hybridMultilevel"/>
    <w:tmpl w:val="83A49566"/>
    <w:lvl w:ilvl="0" w:tplc="BC60231E">
      <w:start w:val="13"/>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9"/>
  </w:num>
  <w:num w:numId="2">
    <w:abstractNumId w:val="0"/>
    <w:lvlOverride w:ilvl="0">
      <w:lvl w:ilvl="0">
        <w:numFmt w:val="bullet"/>
        <w:lvlText w:val=""/>
        <w:legacy w:legacy="1" w:legacySpace="0" w:legacyIndent="0"/>
        <w:lvlJc w:val="left"/>
        <w:rPr>
          <w:rFonts w:ascii="Symbol" w:hAnsi="Symbol" w:hint="default"/>
        </w:rPr>
      </w:lvl>
    </w:lvlOverride>
  </w:num>
  <w:num w:numId="3">
    <w:abstractNumId w:val="33"/>
  </w:num>
  <w:num w:numId="4">
    <w:abstractNumId w:val="18"/>
  </w:num>
  <w:num w:numId="5">
    <w:abstractNumId w:val="35"/>
  </w:num>
  <w:num w:numId="6">
    <w:abstractNumId w:val="21"/>
  </w:num>
  <w:num w:numId="7">
    <w:abstractNumId w:val="6"/>
  </w:num>
  <w:num w:numId="8">
    <w:abstractNumId w:val="24"/>
  </w:num>
  <w:num w:numId="9">
    <w:abstractNumId w:val="48"/>
  </w:num>
  <w:num w:numId="10">
    <w:abstractNumId w:val="32"/>
  </w:num>
  <w:num w:numId="11">
    <w:abstractNumId w:val="2"/>
  </w:num>
  <w:num w:numId="12">
    <w:abstractNumId w:val="7"/>
  </w:num>
  <w:num w:numId="13">
    <w:abstractNumId w:val="36"/>
  </w:num>
  <w:num w:numId="14">
    <w:abstractNumId w:val="3"/>
  </w:num>
  <w:num w:numId="15">
    <w:abstractNumId w:val="13"/>
  </w:num>
  <w:num w:numId="16">
    <w:abstractNumId w:val="9"/>
  </w:num>
  <w:num w:numId="17">
    <w:abstractNumId w:val="50"/>
  </w:num>
  <w:num w:numId="18">
    <w:abstractNumId w:val="29"/>
  </w:num>
  <w:num w:numId="19">
    <w:abstractNumId w:val="17"/>
  </w:num>
  <w:num w:numId="20">
    <w:abstractNumId w:val="45"/>
  </w:num>
  <w:num w:numId="21">
    <w:abstractNumId w:val="30"/>
  </w:num>
  <w:num w:numId="22">
    <w:abstractNumId w:val="26"/>
  </w:num>
  <w:num w:numId="23">
    <w:abstractNumId w:val="20"/>
  </w:num>
  <w:num w:numId="24">
    <w:abstractNumId w:val="47"/>
  </w:num>
  <w:num w:numId="25">
    <w:abstractNumId w:val="12"/>
  </w:num>
  <w:num w:numId="26">
    <w:abstractNumId w:val="14"/>
  </w:num>
  <w:num w:numId="27">
    <w:abstractNumId w:val="5"/>
  </w:num>
  <w:num w:numId="28">
    <w:abstractNumId w:val="4"/>
  </w:num>
  <w:num w:numId="29">
    <w:abstractNumId w:val="16"/>
  </w:num>
  <w:num w:numId="30">
    <w:abstractNumId w:val="40"/>
  </w:num>
  <w:num w:numId="31">
    <w:abstractNumId w:val="34"/>
  </w:num>
  <w:num w:numId="32">
    <w:abstractNumId w:val="39"/>
  </w:num>
  <w:num w:numId="33">
    <w:abstractNumId w:val="27"/>
  </w:num>
  <w:num w:numId="34">
    <w:abstractNumId w:val="11"/>
  </w:num>
  <w:num w:numId="35">
    <w:abstractNumId w:val="8"/>
  </w:num>
  <w:num w:numId="36">
    <w:abstractNumId w:val="37"/>
  </w:num>
  <w:num w:numId="37">
    <w:abstractNumId w:val="25"/>
  </w:num>
  <w:num w:numId="38">
    <w:abstractNumId w:val="42"/>
  </w:num>
  <w:num w:numId="39">
    <w:abstractNumId w:val="44"/>
  </w:num>
  <w:num w:numId="40">
    <w:abstractNumId w:val="38"/>
  </w:num>
  <w:num w:numId="41">
    <w:abstractNumId w:val="43"/>
  </w:num>
  <w:num w:numId="42">
    <w:abstractNumId w:val="15"/>
  </w:num>
  <w:num w:numId="43">
    <w:abstractNumId w:val="10"/>
  </w:num>
  <w:num w:numId="44">
    <w:abstractNumId w:val="31"/>
  </w:num>
  <w:num w:numId="45">
    <w:abstractNumId w:val="22"/>
  </w:num>
  <w:num w:numId="46">
    <w:abstractNumId w:val="41"/>
  </w:num>
  <w:num w:numId="47">
    <w:abstractNumId w:val="19"/>
  </w:num>
  <w:num w:numId="48">
    <w:abstractNumId w:val="1"/>
  </w:num>
  <w:num w:numId="49">
    <w:abstractNumId w:val="28"/>
  </w:num>
  <w:num w:numId="50">
    <w:abstractNumId w:val="46"/>
  </w:num>
  <w:num w:numId="51">
    <w:abstractNumId w:val="23"/>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zeng, Janice">
    <w15:presenceInfo w15:providerId="AD" w15:userId="S-1-5-21-2101533902-423532799-1776743176-3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DD"/>
    <w:rsid w:val="00034BDD"/>
    <w:rsid w:val="0004647B"/>
    <w:rsid w:val="000C2CF8"/>
    <w:rsid w:val="00104870"/>
    <w:rsid w:val="001728FB"/>
    <w:rsid w:val="001A00D9"/>
    <w:rsid w:val="001E3AF1"/>
    <w:rsid w:val="001F43F7"/>
    <w:rsid w:val="002267F4"/>
    <w:rsid w:val="002F0CFF"/>
    <w:rsid w:val="00302728"/>
    <w:rsid w:val="00340E7F"/>
    <w:rsid w:val="00346F0F"/>
    <w:rsid w:val="00354D2E"/>
    <w:rsid w:val="003C5259"/>
    <w:rsid w:val="004721F1"/>
    <w:rsid w:val="0049467B"/>
    <w:rsid w:val="00542BC2"/>
    <w:rsid w:val="005D39AA"/>
    <w:rsid w:val="005F644C"/>
    <w:rsid w:val="006E202A"/>
    <w:rsid w:val="00704A44"/>
    <w:rsid w:val="00714FBB"/>
    <w:rsid w:val="00753E0A"/>
    <w:rsid w:val="0077450C"/>
    <w:rsid w:val="00787427"/>
    <w:rsid w:val="00815C80"/>
    <w:rsid w:val="0082709E"/>
    <w:rsid w:val="00851020"/>
    <w:rsid w:val="008D47A9"/>
    <w:rsid w:val="008D744E"/>
    <w:rsid w:val="008F1B96"/>
    <w:rsid w:val="00922C07"/>
    <w:rsid w:val="009612E3"/>
    <w:rsid w:val="009C0B2E"/>
    <w:rsid w:val="009D0D58"/>
    <w:rsid w:val="009D40A1"/>
    <w:rsid w:val="00A7233B"/>
    <w:rsid w:val="00B22267"/>
    <w:rsid w:val="00B74B93"/>
    <w:rsid w:val="00B83F33"/>
    <w:rsid w:val="00BA5705"/>
    <w:rsid w:val="00BA6F8F"/>
    <w:rsid w:val="00BC303D"/>
    <w:rsid w:val="00C236BA"/>
    <w:rsid w:val="00C46903"/>
    <w:rsid w:val="00C60193"/>
    <w:rsid w:val="00C81B44"/>
    <w:rsid w:val="00CA7AB4"/>
    <w:rsid w:val="00CE2E5E"/>
    <w:rsid w:val="00D57BF4"/>
    <w:rsid w:val="00D62ED7"/>
    <w:rsid w:val="00D65CF2"/>
    <w:rsid w:val="00D91B11"/>
    <w:rsid w:val="00DA306E"/>
    <w:rsid w:val="00DC574A"/>
    <w:rsid w:val="00DD0383"/>
    <w:rsid w:val="00ED3B06"/>
    <w:rsid w:val="00F12C11"/>
    <w:rsid w:val="00F23F79"/>
    <w:rsid w:val="00F8123D"/>
    <w:rsid w:val="00FC65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427"/>
    <w:pPr>
      <w:spacing w:after="200" w:line="276" w:lineRule="auto"/>
    </w:pPr>
    <w:rPr>
      <w:sz w:val="24"/>
      <w:szCs w:val="24"/>
    </w:rPr>
  </w:style>
  <w:style w:type="paragraph" w:styleId="Heading1">
    <w:name w:val="heading 1"/>
    <w:basedOn w:val="Normal"/>
    <w:next w:val="Normal"/>
    <w:link w:val="Heading1Char"/>
    <w:uiPriority w:val="9"/>
    <w:qFormat/>
    <w:rsid w:val="00ED3B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427"/>
    <w:pPr>
      <w:ind w:left="720"/>
      <w:contextualSpacing/>
    </w:pPr>
  </w:style>
  <w:style w:type="character" w:styleId="Hyperlink">
    <w:name w:val="Hyperlink"/>
    <w:basedOn w:val="DefaultParagraphFont"/>
    <w:uiPriority w:val="99"/>
    <w:unhideWhenUsed/>
    <w:rsid w:val="00787427"/>
    <w:rPr>
      <w:color w:val="0000FF" w:themeColor="hyperlink"/>
      <w:u w:val="single"/>
    </w:rPr>
  </w:style>
  <w:style w:type="character" w:styleId="FootnoteReference">
    <w:name w:val="footnote reference"/>
    <w:semiHidden/>
    <w:rsid w:val="00787427"/>
  </w:style>
  <w:style w:type="paragraph" w:styleId="FootnoteText">
    <w:name w:val="footnote text"/>
    <w:basedOn w:val="Normal"/>
    <w:link w:val="FootnoteTextChar"/>
    <w:semiHidden/>
    <w:rsid w:val="00787427"/>
    <w:pPr>
      <w:spacing w:after="0" w:line="240" w:lineRule="auto"/>
    </w:pPr>
    <w:rPr>
      <w:sz w:val="20"/>
      <w:szCs w:val="20"/>
    </w:rPr>
  </w:style>
  <w:style w:type="character" w:customStyle="1" w:styleId="FootnoteTextChar">
    <w:name w:val="Footnote Text Char"/>
    <w:basedOn w:val="DefaultParagraphFont"/>
    <w:link w:val="FootnoteText"/>
    <w:semiHidden/>
    <w:rsid w:val="00787427"/>
  </w:style>
  <w:style w:type="character" w:styleId="CommentReference">
    <w:name w:val="annotation reference"/>
    <w:basedOn w:val="DefaultParagraphFont"/>
    <w:uiPriority w:val="99"/>
    <w:unhideWhenUsed/>
    <w:rsid w:val="00787427"/>
    <w:rPr>
      <w:sz w:val="16"/>
      <w:szCs w:val="16"/>
    </w:rPr>
  </w:style>
  <w:style w:type="paragraph" w:styleId="CommentText">
    <w:name w:val="annotation text"/>
    <w:basedOn w:val="Normal"/>
    <w:link w:val="CommentTextChar"/>
    <w:uiPriority w:val="99"/>
    <w:unhideWhenUsed/>
    <w:rsid w:val="00787427"/>
    <w:pPr>
      <w:spacing w:line="240" w:lineRule="auto"/>
    </w:pPr>
    <w:rPr>
      <w:sz w:val="20"/>
      <w:szCs w:val="20"/>
    </w:rPr>
  </w:style>
  <w:style w:type="character" w:customStyle="1" w:styleId="CommentTextChar">
    <w:name w:val="Comment Text Char"/>
    <w:basedOn w:val="DefaultParagraphFont"/>
    <w:link w:val="CommentText"/>
    <w:uiPriority w:val="99"/>
    <w:rsid w:val="00787427"/>
  </w:style>
  <w:style w:type="paragraph" w:styleId="Footer">
    <w:name w:val="footer"/>
    <w:basedOn w:val="Normal"/>
    <w:link w:val="FooterChar"/>
    <w:uiPriority w:val="99"/>
    <w:unhideWhenUsed/>
    <w:rsid w:val="0078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427"/>
    <w:rPr>
      <w:sz w:val="24"/>
      <w:szCs w:val="24"/>
    </w:rPr>
  </w:style>
  <w:style w:type="paragraph" w:styleId="NormalWeb">
    <w:name w:val="Normal (Web)"/>
    <w:basedOn w:val="Normal"/>
    <w:rsid w:val="00787427"/>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787427"/>
    <w:pPr>
      <w:spacing w:after="240" w:line="320" w:lineRule="exact"/>
      <w:ind w:firstLine="720"/>
    </w:pPr>
    <w:rPr>
      <w:sz w:val="22"/>
      <w:szCs w:val="20"/>
    </w:rPr>
  </w:style>
  <w:style w:type="character" w:customStyle="1" w:styleId="bodytextpsgChar">
    <w:name w:val="body text_psg Char"/>
    <w:link w:val="bodytextpsg"/>
    <w:rsid w:val="00787427"/>
    <w:rPr>
      <w:sz w:val="22"/>
    </w:rPr>
  </w:style>
  <w:style w:type="paragraph" w:customStyle="1" w:styleId="BodyText2">
    <w:name w:val="Body Text2"/>
    <w:basedOn w:val="Normal"/>
    <w:rsid w:val="00787427"/>
    <w:pPr>
      <w:spacing w:after="240" w:line="320" w:lineRule="exact"/>
      <w:ind w:firstLine="720"/>
    </w:pPr>
    <w:rPr>
      <w:sz w:val="22"/>
      <w:szCs w:val="20"/>
    </w:rPr>
  </w:style>
  <w:style w:type="table" w:customStyle="1" w:styleId="Graytablecomplex">
    <w:name w:val="Gray_table_complex"/>
    <w:basedOn w:val="TableNormal"/>
    <w:rsid w:val="00787427"/>
    <w:pPr>
      <w:spacing w:before="40" w:after="40"/>
    </w:pPr>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alloonText">
    <w:name w:val="Balloon Text"/>
    <w:basedOn w:val="Normal"/>
    <w:link w:val="BalloonTextChar"/>
    <w:uiPriority w:val="99"/>
    <w:semiHidden/>
    <w:unhideWhenUsed/>
    <w:rsid w:val="00787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42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ED7"/>
    <w:rPr>
      <w:b/>
      <w:bCs/>
    </w:rPr>
  </w:style>
  <w:style w:type="character" w:customStyle="1" w:styleId="CommentSubjectChar">
    <w:name w:val="Comment Subject Char"/>
    <w:basedOn w:val="CommentTextChar"/>
    <w:link w:val="CommentSubject"/>
    <w:uiPriority w:val="99"/>
    <w:semiHidden/>
    <w:rsid w:val="00D62ED7"/>
    <w:rPr>
      <w:b/>
      <w:bCs/>
    </w:rPr>
  </w:style>
  <w:style w:type="paragraph" w:styleId="BodyText">
    <w:name w:val="Body Text"/>
    <w:basedOn w:val="Normal"/>
    <w:link w:val="BodyTextChar"/>
    <w:rsid w:val="00CE2E5E"/>
    <w:pPr>
      <w:spacing w:after="240" w:line="320" w:lineRule="exact"/>
    </w:pPr>
    <w:rPr>
      <w:rFonts w:ascii="Verdana" w:eastAsia="MS Mincho" w:hAnsi="Verdana"/>
      <w:snapToGrid w:val="0"/>
      <w:sz w:val="20"/>
      <w:szCs w:val="20"/>
    </w:rPr>
  </w:style>
  <w:style w:type="character" w:customStyle="1" w:styleId="BodyTextChar">
    <w:name w:val="Body Text Char"/>
    <w:basedOn w:val="DefaultParagraphFont"/>
    <w:link w:val="BodyText"/>
    <w:rsid w:val="00CE2E5E"/>
    <w:rPr>
      <w:rFonts w:ascii="Verdana" w:eastAsia="MS Mincho" w:hAnsi="Verdana"/>
      <w:snapToGrid w:val="0"/>
    </w:rPr>
  </w:style>
  <w:style w:type="table" w:customStyle="1" w:styleId="Graytablecomplex1">
    <w:name w:val="Gray_table_complex1"/>
    <w:basedOn w:val="TableNormal"/>
    <w:rsid w:val="00CE2E5E"/>
    <w:rPr>
      <w:rFonts w:ascii="Arial" w:hAnsi="Arial"/>
      <w:sz w:val="18"/>
    </w:rPr>
    <w:tblPr>
      <w:tblBorders>
        <w:top w:val="single" w:sz="6" w:space="0" w:color="auto"/>
        <w:bottom w:val="single" w:sz="6" w:space="0" w:color="auto"/>
        <w:insideH w:val="single" w:sz="6" w:space="0" w:color="auto"/>
        <w:insideV w:val="single" w:sz="6" w:space="0" w:color="auto"/>
      </w:tblBorders>
      <w:tblCellMar>
        <w:left w:w="72"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table" w:styleId="TableGrid">
    <w:name w:val="Table Grid"/>
    <w:basedOn w:val="TableNormal"/>
    <w:uiPriority w:val="59"/>
    <w:rsid w:val="00CE2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22C07"/>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ED3B06"/>
    <w:rPr>
      <w:rFonts w:asciiTheme="majorHAnsi" w:eastAsiaTheme="majorEastAsia" w:hAnsiTheme="majorHAnsi" w:cstheme="majorBidi"/>
      <w:b/>
      <w:bCs/>
      <w:color w:val="365F91" w:themeColor="accent1" w:themeShade="BF"/>
      <w:sz w:val="28"/>
      <w:szCs w:val="28"/>
    </w:rPr>
  </w:style>
  <w:style w:type="paragraph" w:customStyle="1" w:styleId="TableHead">
    <w:name w:val="Table Head"/>
    <w:basedOn w:val="Normal"/>
    <w:uiPriority w:val="99"/>
    <w:rsid w:val="00ED3B06"/>
    <w:pPr>
      <w:spacing w:before="60" w:after="60" w:line="240" w:lineRule="auto"/>
      <w:jc w:val="center"/>
    </w:pPr>
    <w:rPr>
      <w:rFonts w:ascii="Arial" w:eastAsia="Calibri" w:hAnsi="Arial" w:cs="Arial"/>
      <w:b/>
      <w:bCs/>
      <w:color w:val="000000"/>
      <w:sz w:val="18"/>
      <w:szCs w:val="20"/>
    </w:rPr>
  </w:style>
  <w:style w:type="paragraph" w:customStyle="1" w:styleId="Tabletext">
    <w:name w:val="Table text"/>
    <w:basedOn w:val="Normal"/>
    <w:uiPriority w:val="99"/>
    <w:rsid w:val="00ED3B06"/>
    <w:pPr>
      <w:spacing w:before="40" w:after="40" w:line="240" w:lineRule="auto"/>
    </w:pPr>
    <w:rPr>
      <w:rFonts w:ascii="Arial" w:eastAsia="Calibri" w:hAnsi="Arial" w:cs="Arial"/>
      <w:color w:val="000000"/>
      <w:sz w:val="18"/>
      <w:szCs w:val="18"/>
    </w:rPr>
  </w:style>
  <w:style w:type="paragraph" w:customStyle="1" w:styleId="Question">
    <w:name w:val="Question"/>
    <w:basedOn w:val="Normal"/>
    <w:uiPriority w:val="99"/>
    <w:rsid w:val="00ED3B06"/>
    <w:pPr>
      <w:keepNext/>
      <w:spacing w:before="240" w:after="120" w:line="240" w:lineRule="auto"/>
      <w:ind w:left="547" w:hanging="547"/>
    </w:pPr>
    <w:rPr>
      <w:rFonts w:eastAsia="Calibri" w:cs="Arial"/>
      <w:sz w:val="22"/>
    </w:rPr>
  </w:style>
  <w:style w:type="paragraph" w:customStyle="1" w:styleId="bullet">
    <w:name w:val="bullet"/>
    <w:basedOn w:val="Normal"/>
    <w:uiPriority w:val="99"/>
    <w:rsid w:val="00ED3B06"/>
    <w:pPr>
      <w:numPr>
        <w:numId w:val="6"/>
      </w:numPr>
      <w:autoSpaceDE w:val="0"/>
      <w:autoSpaceDN w:val="0"/>
      <w:adjustRightInd w:val="0"/>
      <w:spacing w:before="5" w:after="0" w:line="240" w:lineRule="exact"/>
      <w:ind w:left="360"/>
    </w:pPr>
    <w:rPr>
      <w:sz w:val="22"/>
      <w:szCs w:val="22"/>
    </w:rPr>
  </w:style>
  <w:style w:type="paragraph" w:customStyle="1" w:styleId="indentedtext">
    <w:name w:val="indented text"/>
    <w:basedOn w:val="Normal"/>
    <w:uiPriority w:val="99"/>
    <w:rsid w:val="00ED3B06"/>
    <w:pPr>
      <w:autoSpaceDE w:val="0"/>
      <w:autoSpaceDN w:val="0"/>
      <w:adjustRightInd w:val="0"/>
      <w:spacing w:after="0" w:line="240" w:lineRule="auto"/>
      <w:ind w:left="720"/>
    </w:pPr>
    <w:rPr>
      <w:sz w:val="22"/>
      <w:szCs w:val="22"/>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ED3B06"/>
    <w:pPr>
      <w:spacing w:after="240" w:line="300" w:lineRule="exact"/>
      <w:ind w:firstLine="720"/>
    </w:pPr>
    <w:rPr>
      <w:rFonts w:eastAsia="Calibri"/>
      <w:sz w:val="22"/>
      <w:szCs w:val="20"/>
    </w:rPr>
  </w:style>
  <w:style w:type="paragraph" w:styleId="ListBullet">
    <w:name w:val="List Bullet"/>
    <w:basedOn w:val="ListBullet2"/>
    <w:uiPriority w:val="99"/>
    <w:rsid w:val="00ED3B06"/>
    <w:pPr>
      <w:tabs>
        <w:tab w:val="clear" w:pos="1440"/>
        <w:tab w:val="num" w:pos="900"/>
      </w:tabs>
      <w:ind w:left="900"/>
    </w:pPr>
    <w:rPr>
      <w:rFonts w:eastAsia="MS Mincho"/>
    </w:rPr>
  </w:style>
  <w:style w:type="paragraph" w:styleId="ListBullet2">
    <w:name w:val="List Bullet 2"/>
    <w:basedOn w:val="Normal"/>
    <w:uiPriority w:val="99"/>
    <w:rsid w:val="00ED3B06"/>
    <w:pPr>
      <w:numPr>
        <w:ilvl w:val="1"/>
        <w:numId w:val="7"/>
      </w:numPr>
      <w:tabs>
        <w:tab w:val="clear" w:pos="900"/>
        <w:tab w:val="num" w:pos="1440"/>
      </w:tabs>
      <w:spacing w:after="60" w:line="240" w:lineRule="auto"/>
      <w:ind w:left="1440"/>
    </w:pPr>
    <w:rPr>
      <w:rFonts w:eastAsia="Calibri" w:cs="Arial"/>
      <w:sz w:val="22"/>
    </w:rPr>
  </w:style>
  <w:style w:type="paragraph" w:styleId="PlainText">
    <w:name w:val="Plain Text"/>
    <w:basedOn w:val="Normal"/>
    <w:link w:val="PlainTextChar"/>
    <w:uiPriority w:val="99"/>
    <w:rsid w:val="00ED3B06"/>
    <w:pPr>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ED3B06"/>
    <w:rPr>
      <w:rFonts w:ascii="Courier New" w:eastAsia="Calibri" w:hAnsi="Courier New" w:cs="Courier New"/>
    </w:rPr>
  </w:style>
  <w:style w:type="character" w:styleId="Strong">
    <w:name w:val="Strong"/>
    <w:basedOn w:val="DefaultParagraphFont"/>
    <w:uiPriority w:val="22"/>
    <w:qFormat/>
    <w:rsid w:val="00ED3B06"/>
    <w:rPr>
      <w:b/>
      <w:bCs/>
    </w:rPr>
  </w:style>
  <w:style w:type="paragraph" w:customStyle="1" w:styleId="basicbulletindent">
    <w:name w:val="basic bullet indent"/>
    <w:basedOn w:val="Normal"/>
    <w:rsid w:val="00ED3B06"/>
    <w:pPr>
      <w:spacing w:after="0" w:line="240" w:lineRule="auto"/>
      <w:ind w:left="714" w:hanging="350"/>
    </w:pPr>
    <w:rPr>
      <w:rFonts w:ascii="Arial" w:hAnsi="Arial"/>
      <w:sz w:val="22"/>
      <w:szCs w:val="20"/>
    </w:rPr>
  </w:style>
  <w:style w:type="paragraph" w:customStyle="1" w:styleId="basicinstruction">
    <w:name w:val="basic instruction"/>
    <w:basedOn w:val="Normal"/>
    <w:link w:val="basicinstructionChar"/>
    <w:qFormat/>
    <w:rsid w:val="00ED3B06"/>
    <w:pPr>
      <w:spacing w:after="0" w:line="240" w:lineRule="auto"/>
    </w:pPr>
    <w:rPr>
      <w:rFonts w:ascii="Arial" w:hAnsi="Arial"/>
      <w:b/>
      <w:bCs/>
      <w:smallCaps/>
      <w:sz w:val="22"/>
    </w:rPr>
  </w:style>
  <w:style w:type="paragraph" w:customStyle="1" w:styleId="SurveyParagraph">
    <w:name w:val="Survey Paragraph"/>
    <w:basedOn w:val="Normal"/>
    <w:link w:val="SurveyParagraphChar"/>
    <w:rsid w:val="00ED3B06"/>
    <w:pPr>
      <w:spacing w:before="120" w:after="360" w:line="360" w:lineRule="auto"/>
    </w:pPr>
    <w:rPr>
      <w:rFonts w:ascii="Arial" w:hAnsi="Arial"/>
      <w:sz w:val="22"/>
      <w:szCs w:val="22"/>
    </w:rPr>
  </w:style>
  <w:style w:type="paragraph" w:customStyle="1" w:styleId="SurveyCheckboxList">
    <w:name w:val="Survey Checkbox List"/>
    <w:basedOn w:val="SurveyParagraph"/>
    <w:autoRedefine/>
    <w:rsid w:val="00ED3B06"/>
    <w:pPr>
      <w:keepLines/>
      <w:numPr>
        <w:numId w:val="10"/>
      </w:numPr>
      <w:tabs>
        <w:tab w:val="clear" w:pos="1460"/>
        <w:tab w:val="left" w:pos="1440"/>
        <w:tab w:val="left" w:pos="1800"/>
        <w:tab w:val="left" w:pos="2880"/>
      </w:tabs>
      <w:spacing w:after="60"/>
      <w:ind w:left="2059" w:hanging="965"/>
    </w:pPr>
    <w:rPr>
      <w:bCs/>
      <w:color w:val="231F20"/>
      <w:lang w:val="fr-FR"/>
    </w:rPr>
  </w:style>
  <w:style w:type="character" w:customStyle="1" w:styleId="SurveyParagraphChar">
    <w:name w:val="Survey Paragraph Char"/>
    <w:link w:val="SurveyParagraph"/>
    <w:rsid w:val="00ED3B06"/>
    <w:rPr>
      <w:rFonts w:ascii="Arial" w:hAnsi="Arial"/>
      <w:sz w:val="22"/>
      <w:szCs w:val="22"/>
    </w:rPr>
  </w:style>
  <w:style w:type="character" w:customStyle="1" w:styleId="basicinstructionChar">
    <w:name w:val="basic instruction Char"/>
    <w:link w:val="basicinstruction"/>
    <w:rsid w:val="00ED3B06"/>
    <w:rPr>
      <w:rFonts w:ascii="Arial" w:hAnsi="Arial"/>
      <w:b/>
      <w:bCs/>
      <w:smallCaps/>
      <w:sz w:val="22"/>
      <w:szCs w:val="24"/>
    </w:rPr>
  </w:style>
  <w:style w:type="character" w:customStyle="1" w:styleId="apple-converted-space">
    <w:name w:val="apple-converted-space"/>
    <w:basedOn w:val="DefaultParagraphFont"/>
    <w:rsid w:val="00ED3B06"/>
  </w:style>
  <w:style w:type="paragraph" w:styleId="Revision">
    <w:name w:val="Revision"/>
    <w:hidden/>
    <w:uiPriority w:val="99"/>
    <w:semiHidden/>
    <w:rsid w:val="00ED3B06"/>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B06"/>
    <w:rPr>
      <w:color w:val="800080" w:themeColor="followedHyperlink"/>
      <w:u w:val="single"/>
    </w:rPr>
  </w:style>
  <w:style w:type="paragraph" w:customStyle="1" w:styleId="ProgrammerBlueText">
    <w:name w:val="Programmer Blue Text"/>
    <w:basedOn w:val="Normal"/>
    <w:uiPriority w:val="99"/>
    <w:rsid w:val="00ED3B06"/>
    <w:pPr>
      <w:spacing w:after="240" w:line="280" w:lineRule="exact"/>
    </w:pPr>
    <w:rPr>
      <w:rFonts w:ascii="Arial" w:hAnsi="Arial"/>
      <w:color w:val="0000FF"/>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427"/>
    <w:pPr>
      <w:spacing w:after="200" w:line="276" w:lineRule="auto"/>
    </w:pPr>
    <w:rPr>
      <w:sz w:val="24"/>
      <w:szCs w:val="24"/>
    </w:rPr>
  </w:style>
  <w:style w:type="paragraph" w:styleId="Heading1">
    <w:name w:val="heading 1"/>
    <w:basedOn w:val="Normal"/>
    <w:next w:val="Normal"/>
    <w:link w:val="Heading1Char"/>
    <w:uiPriority w:val="9"/>
    <w:qFormat/>
    <w:rsid w:val="00ED3B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427"/>
    <w:pPr>
      <w:ind w:left="720"/>
      <w:contextualSpacing/>
    </w:pPr>
  </w:style>
  <w:style w:type="character" w:styleId="Hyperlink">
    <w:name w:val="Hyperlink"/>
    <w:basedOn w:val="DefaultParagraphFont"/>
    <w:uiPriority w:val="99"/>
    <w:unhideWhenUsed/>
    <w:rsid w:val="00787427"/>
    <w:rPr>
      <w:color w:val="0000FF" w:themeColor="hyperlink"/>
      <w:u w:val="single"/>
    </w:rPr>
  </w:style>
  <w:style w:type="character" w:styleId="FootnoteReference">
    <w:name w:val="footnote reference"/>
    <w:semiHidden/>
    <w:rsid w:val="00787427"/>
  </w:style>
  <w:style w:type="paragraph" w:styleId="FootnoteText">
    <w:name w:val="footnote text"/>
    <w:basedOn w:val="Normal"/>
    <w:link w:val="FootnoteTextChar"/>
    <w:semiHidden/>
    <w:rsid w:val="00787427"/>
    <w:pPr>
      <w:spacing w:after="0" w:line="240" w:lineRule="auto"/>
    </w:pPr>
    <w:rPr>
      <w:sz w:val="20"/>
      <w:szCs w:val="20"/>
    </w:rPr>
  </w:style>
  <w:style w:type="character" w:customStyle="1" w:styleId="FootnoteTextChar">
    <w:name w:val="Footnote Text Char"/>
    <w:basedOn w:val="DefaultParagraphFont"/>
    <w:link w:val="FootnoteText"/>
    <w:semiHidden/>
    <w:rsid w:val="00787427"/>
  </w:style>
  <w:style w:type="character" w:styleId="CommentReference">
    <w:name w:val="annotation reference"/>
    <w:basedOn w:val="DefaultParagraphFont"/>
    <w:uiPriority w:val="99"/>
    <w:unhideWhenUsed/>
    <w:rsid w:val="00787427"/>
    <w:rPr>
      <w:sz w:val="16"/>
      <w:szCs w:val="16"/>
    </w:rPr>
  </w:style>
  <w:style w:type="paragraph" w:styleId="CommentText">
    <w:name w:val="annotation text"/>
    <w:basedOn w:val="Normal"/>
    <w:link w:val="CommentTextChar"/>
    <w:uiPriority w:val="99"/>
    <w:unhideWhenUsed/>
    <w:rsid w:val="00787427"/>
    <w:pPr>
      <w:spacing w:line="240" w:lineRule="auto"/>
    </w:pPr>
    <w:rPr>
      <w:sz w:val="20"/>
      <w:szCs w:val="20"/>
    </w:rPr>
  </w:style>
  <w:style w:type="character" w:customStyle="1" w:styleId="CommentTextChar">
    <w:name w:val="Comment Text Char"/>
    <w:basedOn w:val="DefaultParagraphFont"/>
    <w:link w:val="CommentText"/>
    <w:uiPriority w:val="99"/>
    <w:rsid w:val="00787427"/>
  </w:style>
  <w:style w:type="paragraph" w:styleId="Footer">
    <w:name w:val="footer"/>
    <w:basedOn w:val="Normal"/>
    <w:link w:val="FooterChar"/>
    <w:uiPriority w:val="99"/>
    <w:unhideWhenUsed/>
    <w:rsid w:val="0078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427"/>
    <w:rPr>
      <w:sz w:val="24"/>
      <w:szCs w:val="24"/>
    </w:rPr>
  </w:style>
  <w:style w:type="paragraph" w:styleId="NormalWeb">
    <w:name w:val="Normal (Web)"/>
    <w:basedOn w:val="Normal"/>
    <w:rsid w:val="00787427"/>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787427"/>
    <w:pPr>
      <w:spacing w:after="240" w:line="320" w:lineRule="exact"/>
      <w:ind w:firstLine="720"/>
    </w:pPr>
    <w:rPr>
      <w:sz w:val="22"/>
      <w:szCs w:val="20"/>
    </w:rPr>
  </w:style>
  <w:style w:type="character" w:customStyle="1" w:styleId="bodytextpsgChar">
    <w:name w:val="body text_psg Char"/>
    <w:link w:val="bodytextpsg"/>
    <w:rsid w:val="00787427"/>
    <w:rPr>
      <w:sz w:val="22"/>
    </w:rPr>
  </w:style>
  <w:style w:type="paragraph" w:customStyle="1" w:styleId="BodyText2">
    <w:name w:val="Body Text2"/>
    <w:basedOn w:val="Normal"/>
    <w:rsid w:val="00787427"/>
    <w:pPr>
      <w:spacing w:after="240" w:line="320" w:lineRule="exact"/>
      <w:ind w:firstLine="720"/>
    </w:pPr>
    <w:rPr>
      <w:sz w:val="22"/>
      <w:szCs w:val="20"/>
    </w:rPr>
  </w:style>
  <w:style w:type="table" w:customStyle="1" w:styleId="Graytablecomplex">
    <w:name w:val="Gray_table_complex"/>
    <w:basedOn w:val="TableNormal"/>
    <w:rsid w:val="00787427"/>
    <w:pPr>
      <w:spacing w:before="40" w:after="40"/>
    </w:pPr>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alloonText">
    <w:name w:val="Balloon Text"/>
    <w:basedOn w:val="Normal"/>
    <w:link w:val="BalloonTextChar"/>
    <w:uiPriority w:val="99"/>
    <w:semiHidden/>
    <w:unhideWhenUsed/>
    <w:rsid w:val="00787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42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ED7"/>
    <w:rPr>
      <w:b/>
      <w:bCs/>
    </w:rPr>
  </w:style>
  <w:style w:type="character" w:customStyle="1" w:styleId="CommentSubjectChar">
    <w:name w:val="Comment Subject Char"/>
    <w:basedOn w:val="CommentTextChar"/>
    <w:link w:val="CommentSubject"/>
    <w:uiPriority w:val="99"/>
    <w:semiHidden/>
    <w:rsid w:val="00D62ED7"/>
    <w:rPr>
      <w:b/>
      <w:bCs/>
    </w:rPr>
  </w:style>
  <w:style w:type="paragraph" w:styleId="BodyText">
    <w:name w:val="Body Text"/>
    <w:basedOn w:val="Normal"/>
    <w:link w:val="BodyTextChar"/>
    <w:rsid w:val="00CE2E5E"/>
    <w:pPr>
      <w:spacing w:after="240" w:line="320" w:lineRule="exact"/>
    </w:pPr>
    <w:rPr>
      <w:rFonts w:ascii="Verdana" w:eastAsia="MS Mincho" w:hAnsi="Verdana"/>
      <w:snapToGrid w:val="0"/>
      <w:sz w:val="20"/>
      <w:szCs w:val="20"/>
    </w:rPr>
  </w:style>
  <w:style w:type="character" w:customStyle="1" w:styleId="BodyTextChar">
    <w:name w:val="Body Text Char"/>
    <w:basedOn w:val="DefaultParagraphFont"/>
    <w:link w:val="BodyText"/>
    <w:rsid w:val="00CE2E5E"/>
    <w:rPr>
      <w:rFonts w:ascii="Verdana" w:eastAsia="MS Mincho" w:hAnsi="Verdana"/>
      <w:snapToGrid w:val="0"/>
    </w:rPr>
  </w:style>
  <w:style w:type="table" w:customStyle="1" w:styleId="Graytablecomplex1">
    <w:name w:val="Gray_table_complex1"/>
    <w:basedOn w:val="TableNormal"/>
    <w:rsid w:val="00CE2E5E"/>
    <w:rPr>
      <w:rFonts w:ascii="Arial" w:hAnsi="Arial"/>
      <w:sz w:val="18"/>
    </w:rPr>
    <w:tblPr>
      <w:tblBorders>
        <w:top w:val="single" w:sz="6" w:space="0" w:color="auto"/>
        <w:bottom w:val="single" w:sz="6" w:space="0" w:color="auto"/>
        <w:insideH w:val="single" w:sz="6" w:space="0" w:color="auto"/>
        <w:insideV w:val="single" w:sz="6" w:space="0" w:color="auto"/>
      </w:tblBorders>
      <w:tblCellMar>
        <w:left w:w="72"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table" w:styleId="TableGrid">
    <w:name w:val="Table Grid"/>
    <w:basedOn w:val="TableNormal"/>
    <w:uiPriority w:val="59"/>
    <w:rsid w:val="00CE2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22C07"/>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ED3B06"/>
    <w:rPr>
      <w:rFonts w:asciiTheme="majorHAnsi" w:eastAsiaTheme="majorEastAsia" w:hAnsiTheme="majorHAnsi" w:cstheme="majorBidi"/>
      <w:b/>
      <w:bCs/>
      <w:color w:val="365F91" w:themeColor="accent1" w:themeShade="BF"/>
      <w:sz w:val="28"/>
      <w:szCs w:val="28"/>
    </w:rPr>
  </w:style>
  <w:style w:type="paragraph" w:customStyle="1" w:styleId="TableHead">
    <w:name w:val="Table Head"/>
    <w:basedOn w:val="Normal"/>
    <w:uiPriority w:val="99"/>
    <w:rsid w:val="00ED3B06"/>
    <w:pPr>
      <w:spacing w:before="60" w:after="60" w:line="240" w:lineRule="auto"/>
      <w:jc w:val="center"/>
    </w:pPr>
    <w:rPr>
      <w:rFonts w:ascii="Arial" w:eastAsia="Calibri" w:hAnsi="Arial" w:cs="Arial"/>
      <w:b/>
      <w:bCs/>
      <w:color w:val="000000"/>
      <w:sz w:val="18"/>
      <w:szCs w:val="20"/>
    </w:rPr>
  </w:style>
  <w:style w:type="paragraph" w:customStyle="1" w:styleId="Tabletext">
    <w:name w:val="Table text"/>
    <w:basedOn w:val="Normal"/>
    <w:uiPriority w:val="99"/>
    <w:rsid w:val="00ED3B06"/>
    <w:pPr>
      <w:spacing w:before="40" w:after="40" w:line="240" w:lineRule="auto"/>
    </w:pPr>
    <w:rPr>
      <w:rFonts w:ascii="Arial" w:eastAsia="Calibri" w:hAnsi="Arial" w:cs="Arial"/>
      <w:color w:val="000000"/>
      <w:sz w:val="18"/>
      <w:szCs w:val="18"/>
    </w:rPr>
  </w:style>
  <w:style w:type="paragraph" w:customStyle="1" w:styleId="Question">
    <w:name w:val="Question"/>
    <w:basedOn w:val="Normal"/>
    <w:uiPriority w:val="99"/>
    <w:rsid w:val="00ED3B06"/>
    <w:pPr>
      <w:keepNext/>
      <w:spacing w:before="240" w:after="120" w:line="240" w:lineRule="auto"/>
      <w:ind w:left="547" w:hanging="547"/>
    </w:pPr>
    <w:rPr>
      <w:rFonts w:eastAsia="Calibri" w:cs="Arial"/>
      <w:sz w:val="22"/>
    </w:rPr>
  </w:style>
  <w:style w:type="paragraph" w:customStyle="1" w:styleId="bullet">
    <w:name w:val="bullet"/>
    <w:basedOn w:val="Normal"/>
    <w:uiPriority w:val="99"/>
    <w:rsid w:val="00ED3B06"/>
    <w:pPr>
      <w:numPr>
        <w:numId w:val="6"/>
      </w:numPr>
      <w:autoSpaceDE w:val="0"/>
      <w:autoSpaceDN w:val="0"/>
      <w:adjustRightInd w:val="0"/>
      <w:spacing w:before="5" w:after="0" w:line="240" w:lineRule="exact"/>
      <w:ind w:left="360"/>
    </w:pPr>
    <w:rPr>
      <w:sz w:val="22"/>
      <w:szCs w:val="22"/>
    </w:rPr>
  </w:style>
  <w:style w:type="paragraph" w:customStyle="1" w:styleId="indentedtext">
    <w:name w:val="indented text"/>
    <w:basedOn w:val="Normal"/>
    <w:uiPriority w:val="99"/>
    <w:rsid w:val="00ED3B06"/>
    <w:pPr>
      <w:autoSpaceDE w:val="0"/>
      <w:autoSpaceDN w:val="0"/>
      <w:adjustRightInd w:val="0"/>
      <w:spacing w:after="0" w:line="240" w:lineRule="auto"/>
      <w:ind w:left="720"/>
    </w:pPr>
    <w:rPr>
      <w:sz w:val="22"/>
      <w:szCs w:val="22"/>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ED3B06"/>
    <w:pPr>
      <w:spacing w:after="240" w:line="300" w:lineRule="exact"/>
      <w:ind w:firstLine="720"/>
    </w:pPr>
    <w:rPr>
      <w:rFonts w:eastAsia="Calibri"/>
      <w:sz w:val="22"/>
      <w:szCs w:val="20"/>
    </w:rPr>
  </w:style>
  <w:style w:type="paragraph" w:styleId="ListBullet">
    <w:name w:val="List Bullet"/>
    <w:basedOn w:val="ListBullet2"/>
    <w:uiPriority w:val="99"/>
    <w:rsid w:val="00ED3B06"/>
    <w:pPr>
      <w:tabs>
        <w:tab w:val="clear" w:pos="1440"/>
        <w:tab w:val="num" w:pos="900"/>
      </w:tabs>
      <w:ind w:left="900"/>
    </w:pPr>
    <w:rPr>
      <w:rFonts w:eastAsia="MS Mincho"/>
    </w:rPr>
  </w:style>
  <w:style w:type="paragraph" w:styleId="ListBullet2">
    <w:name w:val="List Bullet 2"/>
    <w:basedOn w:val="Normal"/>
    <w:uiPriority w:val="99"/>
    <w:rsid w:val="00ED3B06"/>
    <w:pPr>
      <w:numPr>
        <w:ilvl w:val="1"/>
        <w:numId w:val="7"/>
      </w:numPr>
      <w:tabs>
        <w:tab w:val="clear" w:pos="900"/>
        <w:tab w:val="num" w:pos="1440"/>
      </w:tabs>
      <w:spacing w:after="60" w:line="240" w:lineRule="auto"/>
      <w:ind w:left="1440"/>
    </w:pPr>
    <w:rPr>
      <w:rFonts w:eastAsia="Calibri" w:cs="Arial"/>
      <w:sz w:val="22"/>
    </w:rPr>
  </w:style>
  <w:style w:type="paragraph" w:styleId="PlainText">
    <w:name w:val="Plain Text"/>
    <w:basedOn w:val="Normal"/>
    <w:link w:val="PlainTextChar"/>
    <w:uiPriority w:val="99"/>
    <w:rsid w:val="00ED3B06"/>
    <w:pPr>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ED3B06"/>
    <w:rPr>
      <w:rFonts w:ascii="Courier New" w:eastAsia="Calibri" w:hAnsi="Courier New" w:cs="Courier New"/>
    </w:rPr>
  </w:style>
  <w:style w:type="character" w:styleId="Strong">
    <w:name w:val="Strong"/>
    <w:basedOn w:val="DefaultParagraphFont"/>
    <w:uiPriority w:val="22"/>
    <w:qFormat/>
    <w:rsid w:val="00ED3B06"/>
    <w:rPr>
      <w:b/>
      <w:bCs/>
    </w:rPr>
  </w:style>
  <w:style w:type="paragraph" w:customStyle="1" w:styleId="basicbulletindent">
    <w:name w:val="basic bullet indent"/>
    <w:basedOn w:val="Normal"/>
    <w:rsid w:val="00ED3B06"/>
    <w:pPr>
      <w:spacing w:after="0" w:line="240" w:lineRule="auto"/>
      <w:ind w:left="714" w:hanging="350"/>
    </w:pPr>
    <w:rPr>
      <w:rFonts w:ascii="Arial" w:hAnsi="Arial"/>
      <w:sz w:val="22"/>
      <w:szCs w:val="20"/>
    </w:rPr>
  </w:style>
  <w:style w:type="paragraph" w:customStyle="1" w:styleId="basicinstruction">
    <w:name w:val="basic instruction"/>
    <w:basedOn w:val="Normal"/>
    <w:link w:val="basicinstructionChar"/>
    <w:qFormat/>
    <w:rsid w:val="00ED3B06"/>
    <w:pPr>
      <w:spacing w:after="0" w:line="240" w:lineRule="auto"/>
    </w:pPr>
    <w:rPr>
      <w:rFonts w:ascii="Arial" w:hAnsi="Arial"/>
      <w:b/>
      <w:bCs/>
      <w:smallCaps/>
      <w:sz w:val="22"/>
    </w:rPr>
  </w:style>
  <w:style w:type="paragraph" w:customStyle="1" w:styleId="SurveyParagraph">
    <w:name w:val="Survey Paragraph"/>
    <w:basedOn w:val="Normal"/>
    <w:link w:val="SurveyParagraphChar"/>
    <w:rsid w:val="00ED3B06"/>
    <w:pPr>
      <w:spacing w:before="120" w:after="360" w:line="360" w:lineRule="auto"/>
    </w:pPr>
    <w:rPr>
      <w:rFonts w:ascii="Arial" w:hAnsi="Arial"/>
      <w:sz w:val="22"/>
      <w:szCs w:val="22"/>
    </w:rPr>
  </w:style>
  <w:style w:type="paragraph" w:customStyle="1" w:styleId="SurveyCheckboxList">
    <w:name w:val="Survey Checkbox List"/>
    <w:basedOn w:val="SurveyParagraph"/>
    <w:autoRedefine/>
    <w:rsid w:val="00ED3B06"/>
    <w:pPr>
      <w:keepLines/>
      <w:numPr>
        <w:numId w:val="10"/>
      </w:numPr>
      <w:tabs>
        <w:tab w:val="clear" w:pos="1460"/>
        <w:tab w:val="left" w:pos="1440"/>
        <w:tab w:val="left" w:pos="1800"/>
        <w:tab w:val="left" w:pos="2880"/>
      </w:tabs>
      <w:spacing w:after="60"/>
      <w:ind w:left="2059" w:hanging="965"/>
    </w:pPr>
    <w:rPr>
      <w:bCs/>
      <w:color w:val="231F20"/>
      <w:lang w:val="fr-FR"/>
    </w:rPr>
  </w:style>
  <w:style w:type="character" w:customStyle="1" w:styleId="SurveyParagraphChar">
    <w:name w:val="Survey Paragraph Char"/>
    <w:link w:val="SurveyParagraph"/>
    <w:rsid w:val="00ED3B06"/>
    <w:rPr>
      <w:rFonts w:ascii="Arial" w:hAnsi="Arial"/>
      <w:sz w:val="22"/>
      <w:szCs w:val="22"/>
    </w:rPr>
  </w:style>
  <w:style w:type="character" w:customStyle="1" w:styleId="basicinstructionChar">
    <w:name w:val="basic instruction Char"/>
    <w:link w:val="basicinstruction"/>
    <w:rsid w:val="00ED3B06"/>
    <w:rPr>
      <w:rFonts w:ascii="Arial" w:hAnsi="Arial"/>
      <w:b/>
      <w:bCs/>
      <w:smallCaps/>
      <w:sz w:val="22"/>
      <w:szCs w:val="24"/>
    </w:rPr>
  </w:style>
  <w:style w:type="character" w:customStyle="1" w:styleId="apple-converted-space">
    <w:name w:val="apple-converted-space"/>
    <w:basedOn w:val="DefaultParagraphFont"/>
    <w:rsid w:val="00ED3B06"/>
  </w:style>
  <w:style w:type="paragraph" w:styleId="Revision">
    <w:name w:val="Revision"/>
    <w:hidden/>
    <w:uiPriority w:val="99"/>
    <w:semiHidden/>
    <w:rsid w:val="00ED3B06"/>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B06"/>
    <w:rPr>
      <w:color w:val="800080" w:themeColor="followedHyperlink"/>
      <w:u w:val="single"/>
    </w:rPr>
  </w:style>
  <w:style w:type="paragraph" w:customStyle="1" w:styleId="ProgrammerBlueText">
    <w:name w:val="Programmer Blue Text"/>
    <w:basedOn w:val="Normal"/>
    <w:uiPriority w:val="99"/>
    <w:rsid w:val="00ED3B06"/>
    <w:pPr>
      <w:spacing w:after="240" w:line="280" w:lineRule="exact"/>
    </w:pPr>
    <w:rPr>
      <w:rFonts w:ascii="Arial" w:hAnsi="Arial"/>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assets/omb/inforeg/statpolicy/standards_stat_survey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Kevin</dc:creator>
  <cp:lastModifiedBy>Mizrachi, Ila</cp:lastModifiedBy>
  <cp:revision>2</cp:revision>
  <dcterms:created xsi:type="dcterms:W3CDTF">2015-06-05T16:02:00Z</dcterms:created>
  <dcterms:modified xsi:type="dcterms:W3CDTF">2015-06-05T16:02:00Z</dcterms:modified>
</cp:coreProperties>
</file>