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F8" w:rsidRPr="00732A6E" w:rsidRDefault="00B516F8" w:rsidP="00B516F8">
      <w:pPr>
        <w:pStyle w:val="CM10"/>
        <w:spacing w:after="277" w:line="276" w:lineRule="atLeast"/>
        <w:jc w:val="center"/>
        <w:rPr>
          <w:b/>
          <w:bCs/>
          <w:color w:val="000000"/>
        </w:rPr>
      </w:pPr>
      <w:r w:rsidRPr="00732A6E">
        <w:rPr>
          <w:b/>
          <w:bCs/>
          <w:color w:val="000000"/>
        </w:rPr>
        <w:t xml:space="preserve">SUPPORTING STATEMENT  </w:t>
      </w:r>
    </w:p>
    <w:p w:rsidR="00B516F8" w:rsidRPr="00732A6E" w:rsidRDefault="00B516F8" w:rsidP="00B516F8">
      <w:pPr>
        <w:pStyle w:val="CM10"/>
        <w:spacing w:after="277" w:line="276" w:lineRule="atLeast"/>
        <w:jc w:val="center"/>
        <w:rPr>
          <w:b/>
          <w:bCs/>
          <w:color w:val="000000"/>
        </w:rPr>
      </w:pPr>
      <w:r w:rsidRPr="00732A6E">
        <w:rPr>
          <w:b/>
          <w:bCs/>
          <w:color w:val="000000"/>
        </w:rPr>
        <w:t xml:space="preserve">NOAA SATELLITE CUSTOMER QUESTIONNAIRE  </w:t>
      </w:r>
    </w:p>
    <w:p w:rsidR="00B516F8" w:rsidRPr="00732A6E" w:rsidRDefault="00B516F8" w:rsidP="00B516F8">
      <w:pPr>
        <w:pStyle w:val="CM10"/>
        <w:spacing w:after="277" w:line="276" w:lineRule="atLeast"/>
        <w:jc w:val="center"/>
        <w:rPr>
          <w:color w:val="000000"/>
        </w:rPr>
      </w:pPr>
      <w:proofErr w:type="gramStart"/>
      <w:r w:rsidRPr="00732A6E">
        <w:rPr>
          <w:b/>
          <w:bCs/>
          <w:color w:val="000000"/>
        </w:rPr>
        <w:t>OMB CONTROL NO.</w:t>
      </w:r>
      <w:proofErr w:type="gramEnd"/>
      <w:r w:rsidRPr="00732A6E">
        <w:rPr>
          <w:b/>
          <w:bCs/>
          <w:color w:val="000000"/>
        </w:rPr>
        <w:t xml:space="preserve"> 0648-0227 </w:t>
      </w:r>
    </w:p>
    <w:p w:rsidR="00B516F8" w:rsidRDefault="00B516F8" w:rsidP="00B516F8">
      <w:pPr>
        <w:pStyle w:val="CM1"/>
        <w:rPr>
          <w:b/>
          <w:bCs/>
        </w:rPr>
      </w:pPr>
    </w:p>
    <w:p w:rsidR="00B516F8" w:rsidRPr="007F7EF2" w:rsidRDefault="00B516F8" w:rsidP="00B516F8">
      <w:pPr>
        <w:pStyle w:val="CM1"/>
        <w:rPr>
          <w:b/>
          <w:bCs/>
        </w:rPr>
      </w:pPr>
      <w:r w:rsidRPr="007F7EF2">
        <w:rPr>
          <w:b/>
          <w:bCs/>
        </w:rPr>
        <w:t xml:space="preserve">B. COLLECTIONS OF INFORMATION EMPLOYING STATISTICAL METHODS </w:t>
      </w:r>
    </w:p>
    <w:p w:rsidR="00B516F8" w:rsidRPr="007F7EF2" w:rsidRDefault="00B516F8" w:rsidP="00B516F8">
      <w:pPr>
        <w:pStyle w:val="Default"/>
      </w:pPr>
    </w:p>
    <w:p w:rsidR="00B516F8" w:rsidRPr="00020BD4" w:rsidRDefault="00B516F8" w:rsidP="00B516F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firstLine="0"/>
        <w:rPr>
          <w:rFonts w:ascii="Times New Roman" w:hAnsi="Times New Roman"/>
          <w:b/>
          <w:bCs/>
          <w:sz w:val="24"/>
          <w:szCs w:val="24"/>
        </w:rPr>
      </w:pPr>
      <w:r w:rsidRPr="007F7EF2">
        <w:rPr>
          <w:rFonts w:ascii="Times New Roman" w:hAnsi="Times New Roman"/>
          <w:b/>
          <w:bCs/>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7F7EF2">
        <w:rPr>
          <w:rFonts w:ascii="Times New Roman" w:hAnsi="Times New Roman"/>
          <w:b/>
          <w:bCs/>
          <w:sz w:val="24"/>
          <w:szCs w:val="24"/>
        </w:rPr>
        <w:t>.</w:t>
      </w:r>
      <w:r>
        <w:rPr>
          <w:rFonts w:ascii="Times New Roman" w:hAnsi="Times New Roman"/>
          <w:b/>
          <w:bCs/>
          <w:sz w:val="24"/>
          <w:szCs w:val="24"/>
        </w:rPr>
        <w:br/>
      </w:r>
    </w:p>
    <w:p w:rsidR="00B516F8" w:rsidRPr="007F7EF2"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The potential respondent universe is comprised of NOAA customers/users of NOAA satellite imagery who have purchased ground satellite systems</w:t>
      </w:r>
      <w:r w:rsidR="004D5F13">
        <w:rPr>
          <w:rFonts w:ascii="Times New Roman" w:hAnsi="Times New Roman"/>
          <w:sz w:val="24"/>
          <w:szCs w:val="24"/>
        </w:rPr>
        <w:t xml:space="preserve"> </w:t>
      </w:r>
      <w:r w:rsidR="009530B6">
        <w:rPr>
          <w:rFonts w:ascii="Times New Roman" w:hAnsi="Times New Roman"/>
          <w:sz w:val="24"/>
          <w:szCs w:val="24"/>
        </w:rPr>
        <w:t>OR</w:t>
      </w:r>
      <w:r w:rsidR="004D5F13">
        <w:rPr>
          <w:rFonts w:ascii="Times New Roman" w:hAnsi="Times New Roman"/>
          <w:sz w:val="24"/>
          <w:szCs w:val="24"/>
        </w:rPr>
        <w:t xml:space="preserve"> who use data from</w:t>
      </w:r>
      <w:r w:rsidR="009530B6">
        <w:rPr>
          <w:rFonts w:ascii="Times New Roman" w:hAnsi="Times New Roman"/>
          <w:sz w:val="24"/>
          <w:szCs w:val="24"/>
        </w:rPr>
        <w:t>,</w:t>
      </w:r>
      <w:r w:rsidR="004D5F13">
        <w:rPr>
          <w:rFonts w:ascii="Times New Roman" w:hAnsi="Times New Roman"/>
          <w:sz w:val="24"/>
          <w:szCs w:val="24"/>
        </w:rPr>
        <w:t xml:space="preserve"> or services on</w:t>
      </w:r>
      <w:r w:rsidR="009530B6">
        <w:rPr>
          <w:rFonts w:ascii="Times New Roman" w:hAnsi="Times New Roman"/>
          <w:sz w:val="24"/>
          <w:szCs w:val="24"/>
        </w:rPr>
        <w:t>,</w:t>
      </w:r>
      <w:bookmarkStart w:id="0" w:name="_GoBack"/>
      <w:bookmarkEnd w:id="0"/>
      <w:r w:rsidR="004D5F13">
        <w:rPr>
          <w:rFonts w:ascii="Times New Roman" w:hAnsi="Times New Roman"/>
          <w:sz w:val="24"/>
          <w:szCs w:val="24"/>
        </w:rPr>
        <w:t xml:space="preserve"> NOAA satellites</w:t>
      </w:r>
      <w:r w:rsidRPr="007F7EF2">
        <w:rPr>
          <w:rFonts w:ascii="Times New Roman" w:hAnsi="Times New Roman"/>
          <w:sz w:val="24"/>
          <w:szCs w:val="24"/>
        </w:rPr>
        <w:t>.  These</w:t>
      </w:r>
      <w:r w:rsidR="004D5F13">
        <w:rPr>
          <w:rFonts w:ascii="Times New Roman" w:hAnsi="Times New Roman"/>
          <w:sz w:val="24"/>
          <w:szCs w:val="24"/>
        </w:rPr>
        <w:t xml:space="preserve"> ground</w:t>
      </w:r>
      <w:r w:rsidRPr="007F7EF2">
        <w:rPr>
          <w:rFonts w:ascii="Times New Roman" w:hAnsi="Times New Roman"/>
          <w:sz w:val="24"/>
          <w:szCs w:val="24"/>
        </w:rPr>
        <w:t xml:space="preserve"> systems range from inexpensive units costing less than $1</w:t>
      </w:r>
      <w:r>
        <w:rPr>
          <w:rFonts w:ascii="Times New Roman" w:hAnsi="Times New Roman"/>
          <w:sz w:val="24"/>
          <w:szCs w:val="24"/>
        </w:rPr>
        <w:t>,</w:t>
      </w:r>
      <w:r w:rsidRPr="007F7EF2">
        <w:rPr>
          <w:rFonts w:ascii="Times New Roman" w:hAnsi="Times New Roman"/>
          <w:sz w:val="24"/>
          <w:szCs w:val="24"/>
        </w:rPr>
        <w:t xml:space="preserve">000 for receiving Automatic Picture Transmission (APT) from polar orbiting satellites and Low Rate Information Transmission (LRIT) imagery and products from geostationary satellites, to systems that cost tens of thousands of dollars capable of receiving High Resolution Picture Transmission (HRPT) images from polar orbiting satellites and Geostationary GOES </w:t>
      </w:r>
      <w:proofErr w:type="spellStart"/>
      <w:r w:rsidRPr="007F7EF2">
        <w:rPr>
          <w:rFonts w:ascii="Times New Roman" w:hAnsi="Times New Roman"/>
          <w:sz w:val="24"/>
          <w:szCs w:val="24"/>
        </w:rPr>
        <w:t>VARiable</w:t>
      </w:r>
      <w:proofErr w:type="spellEnd"/>
      <w:r w:rsidRPr="007F7EF2">
        <w:rPr>
          <w:rFonts w:ascii="Times New Roman" w:hAnsi="Times New Roman"/>
          <w:sz w:val="24"/>
          <w:szCs w:val="24"/>
        </w:rPr>
        <w:t xml:space="preserve"> rate (GVAR) imagery. Manufacturers of these systems are included.</w:t>
      </w:r>
    </w:p>
    <w:p w:rsidR="00B516F8" w:rsidRPr="007F7EF2"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Some of these customers are local, state and federal government agencies from the United States and around the world.</w:t>
      </w:r>
    </w:p>
    <w:p w:rsidR="00B516F8" w:rsidRPr="007F7EF2"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 xml:space="preserve">There is no definitive answer to the size of the respondent universe.  It is estimated to be in the thousands.  There are 3,040 entries in the database that spans 10 years. Almost all of the records are unduplicated. </w:t>
      </w:r>
      <w:r>
        <w:rPr>
          <w:rFonts w:ascii="Times New Roman" w:hAnsi="Times New Roman"/>
          <w:sz w:val="24"/>
          <w:szCs w:val="24"/>
        </w:rPr>
        <w:t>The system has been offline for the</w:t>
      </w:r>
      <w:r w:rsidRPr="007F7EF2">
        <w:rPr>
          <w:rFonts w:ascii="Times New Roman" w:hAnsi="Times New Roman"/>
          <w:sz w:val="24"/>
          <w:szCs w:val="24"/>
        </w:rPr>
        <w:t xml:space="preserve"> past three years</w:t>
      </w:r>
      <w:r>
        <w:rPr>
          <w:rFonts w:ascii="Times New Roman" w:hAnsi="Times New Roman"/>
          <w:sz w:val="24"/>
          <w:szCs w:val="24"/>
        </w:rPr>
        <w:t xml:space="preserve"> due to changes in IT Security requirements that could not be met.  It is just being deployed in its new environment.  </w:t>
      </w:r>
      <w:r w:rsidRPr="007F7EF2">
        <w:rPr>
          <w:rFonts w:ascii="Times New Roman" w:hAnsi="Times New Roman"/>
          <w:sz w:val="24"/>
          <w:szCs w:val="24"/>
        </w:rPr>
        <w:t xml:space="preserve">The database can provide reports based on: </w:t>
      </w:r>
    </w:p>
    <w:p w:rsidR="00B516F8" w:rsidRPr="007F7EF2" w:rsidRDefault="00B516F8" w:rsidP="00B516F8">
      <w:pPr>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7F7EF2">
        <w:rPr>
          <w:rFonts w:ascii="Times New Roman" w:hAnsi="Times New Roman"/>
          <w:sz w:val="24"/>
          <w:szCs w:val="24"/>
        </w:rPr>
        <w:t>Type of ground system</w:t>
      </w:r>
    </w:p>
    <w:p w:rsidR="00B516F8" w:rsidRPr="007F7EF2" w:rsidRDefault="00B516F8" w:rsidP="00B516F8">
      <w:pPr>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7F7EF2">
        <w:rPr>
          <w:rFonts w:ascii="Times New Roman" w:hAnsi="Times New Roman"/>
          <w:sz w:val="24"/>
          <w:szCs w:val="24"/>
        </w:rPr>
        <w:t>The affiliation to a range of groups, examples of which are government meteorological agencies,  other government agencies, universities, other secondary schools, military or media.</w:t>
      </w:r>
    </w:p>
    <w:p w:rsidR="00B516F8" w:rsidRPr="007F7EF2" w:rsidRDefault="00B516F8" w:rsidP="00B516F8">
      <w:pPr>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sz w:val="24"/>
          <w:szCs w:val="24"/>
        </w:rPr>
      </w:pPr>
      <w:r w:rsidRPr="007F7EF2">
        <w:rPr>
          <w:rFonts w:ascii="Times New Roman" w:hAnsi="Times New Roman"/>
          <w:sz w:val="24"/>
          <w:szCs w:val="24"/>
        </w:rPr>
        <w:t>Customer location</w:t>
      </w:r>
    </w:p>
    <w:p w:rsidR="00B516F8"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p>
    <w:p w:rsidR="00B516F8"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r w:rsidRPr="007F7EF2">
        <w:rPr>
          <w:rFonts w:ascii="Times New Roman" w:hAnsi="Times New Roman"/>
          <w:sz w:val="24"/>
          <w:szCs w:val="24"/>
        </w:rPr>
        <w:t xml:space="preserve">The table </w:t>
      </w:r>
      <w:r>
        <w:rPr>
          <w:rFonts w:ascii="Times New Roman" w:hAnsi="Times New Roman"/>
          <w:sz w:val="24"/>
          <w:szCs w:val="24"/>
        </w:rPr>
        <w:t>below</w:t>
      </w:r>
      <w:r w:rsidRPr="007F7EF2">
        <w:rPr>
          <w:rFonts w:ascii="Times New Roman" w:hAnsi="Times New Roman"/>
          <w:sz w:val="24"/>
          <w:szCs w:val="24"/>
        </w:rPr>
        <w:t xml:space="preserve"> gives the numbers of each user by affiliation</w:t>
      </w:r>
      <w:r>
        <w:rPr>
          <w:rFonts w:ascii="Times New Roman" w:hAnsi="Times New Roman"/>
          <w:sz w:val="24"/>
          <w:szCs w:val="24"/>
        </w:rPr>
        <w:t xml:space="preserve"> for the historical database</w:t>
      </w:r>
      <w:r w:rsidRPr="007F7EF2">
        <w:rPr>
          <w:rFonts w:ascii="Times New Roman" w:hAnsi="Times New Roman"/>
          <w:sz w:val="24"/>
          <w:szCs w:val="24"/>
        </w:rPr>
        <w:t>.</w:t>
      </w:r>
      <w:r w:rsidRPr="007F7EF2" w:rsidDel="00BF7AD1">
        <w:rPr>
          <w:rFonts w:ascii="Times New Roman" w:hAnsi="Times New Roman"/>
          <w:sz w:val="24"/>
          <w:szCs w:val="24"/>
        </w:rPr>
        <w:t xml:space="preserve"> </w:t>
      </w:r>
    </w:p>
    <w:p w:rsidR="00B516F8" w:rsidRDefault="00B516F8" w:rsidP="00B516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sz w:val="24"/>
          <w:szCs w:val="24"/>
        </w:rPr>
      </w:pPr>
    </w:p>
    <w:p w:rsidR="00B516F8" w:rsidRDefault="00B516F8">
      <w:pPr>
        <w:rPr>
          <w:rFonts w:ascii="Times New Roman" w:hAnsi="Times New Roman"/>
          <w:sz w:val="24"/>
          <w:szCs w:val="24"/>
        </w:rPr>
      </w:pPr>
      <w:r>
        <w:rPr>
          <w:rFonts w:ascii="Times New Roman" w:hAnsi="Times New Roman"/>
          <w:sz w:val="24"/>
          <w:szCs w:val="24"/>
        </w:rPr>
        <w:br w:type="page"/>
      </w:r>
    </w:p>
    <w:p w:rsidR="00B516F8" w:rsidRPr="007F7EF2" w:rsidRDefault="00B516F8" w:rsidP="00B516F8">
      <w:pPr>
        <w:jc w:val="center"/>
        <w:rPr>
          <w:rFonts w:ascii="Times New Roman" w:hAnsi="Times New Roman"/>
          <w:b/>
          <w:sz w:val="24"/>
          <w:szCs w:val="24"/>
        </w:rPr>
      </w:pPr>
      <w:r w:rsidRPr="007F7EF2">
        <w:rPr>
          <w:rFonts w:ascii="Times New Roman" w:hAnsi="Times New Roman"/>
          <w:b/>
          <w:sz w:val="24"/>
          <w:szCs w:val="24"/>
        </w:rPr>
        <w:lastRenderedPageBreak/>
        <w:t>Table 1: Summary of Records by Organizational Affiliation</w:t>
      </w:r>
    </w:p>
    <w:p w:rsidR="00B516F8" w:rsidRPr="007F7EF2" w:rsidRDefault="00B516F8" w:rsidP="00B516F8">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160"/>
      </w:tblGrid>
      <w:tr w:rsidR="00B516F8" w:rsidRPr="007F7EF2" w:rsidTr="000207F7">
        <w:trPr>
          <w:jc w:val="center"/>
        </w:trPr>
        <w:tc>
          <w:tcPr>
            <w:tcW w:w="4428" w:type="dxa"/>
          </w:tcPr>
          <w:p w:rsidR="00B516F8" w:rsidRPr="007F7EF2" w:rsidRDefault="00B516F8" w:rsidP="000207F7">
            <w:pPr>
              <w:rPr>
                <w:rFonts w:ascii="Times New Roman" w:hAnsi="Times New Roman"/>
                <w:b/>
                <w:sz w:val="24"/>
                <w:szCs w:val="24"/>
              </w:rPr>
            </w:pPr>
            <w:r w:rsidRPr="007F7EF2">
              <w:rPr>
                <w:rFonts w:ascii="Times New Roman" w:hAnsi="Times New Roman"/>
                <w:b/>
                <w:sz w:val="24"/>
                <w:szCs w:val="24"/>
              </w:rPr>
              <w:t>Category</w:t>
            </w:r>
          </w:p>
        </w:tc>
        <w:tc>
          <w:tcPr>
            <w:tcW w:w="2160" w:type="dxa"/>
          </w:tcPr>
          <w:p w:rsidR="00B516F8" w:rsidRPr="007F7EF2" w:rsidRDefault="00B516F8" w:rsidP="000207F7">
            <w:pPr>
              <w:rPr>
                <w:rFonts w:ascii="Times New Roman" w:hAnsi="Times New Roman"/>
                <w:b/>
                <w:sz w:val="24"/>
                <w:szCs w:val="24"/>
              </w:rPr>
            </w:pPr>
            <w:r w:rsidRPr="007F7EF2">
              <w:rPr>
                <w:rFonts w:ascii="Times New Roman" w:hAnsi="Times New Roman"/>
                <w:b/>
                <w:sz w:val="24"/>
                <w:szCs w:val="24"/>
              </w:rPr>
              <w:t>Number of Records*</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p>
        </w:tc>
        <w:tc>
          <w:tcPr>
            <w:tcW w:w="2160" w:type="dxa"/>
          </w:tcPr>
          <w:p w:rsidR="00B516F8" w:rsidRPr="007F7EF2" w:rsidRDefault="00B516F8" w:rsidP="000207F7">
            <w:pPr>
              <w:rPr>
                <w:rFonts w:ascii="Times New Roman" w:hAnsi="Times New Roman"/>
                <w:sz w:val="24"/>
                <w:szCs w:val="24"/>
              </w:rPr>
            </w:pP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Installation by Organizational Affiliation</w:t>
            </w:r>
          </w:p>
        </w:tc>
        <w:tc>
          <w:tcPr>
            <w:tcW w:w="2160"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 Number of Users</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p>
        </w:tc>
        <w:tc>
          <w:tcPr>
            <w:tcW w:w="2160" w:type="dxa"/>
          </w:tcPr>
          <w:p w:rsidR="00B516F8" w:rsidRPr="007F7EF2" w:rsidRDefault="00B516F8" w:rsidP="000207F7">
            <w:pPr>
              <w:jc w:val="right"/>
              <w:rPr>
                <w:rFonts w:ascii="Times New Roman" w:hAnsi="Times New Roman"/>
                <w:sz w:val="24"/>
                <w:szCs w:val="24"/>
              </w:rPr>
            </w:pP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Amateur</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1,573</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Commercial/Business</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294</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Equipment Software Manufacturer</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86</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Government Meteorological Organization</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199</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Other Civil Government</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192</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Military</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97</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High, Technical or Elementary Schools</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217</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University or College</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252</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Television or Radio Broadcast Station</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19</w:t>
            </w:r>
          </w:p>
        </w:tc>
      </w:tr>
      <w:tr w:rsidR="00B516F8" w:rsidRPr="007F7EF2" w:rsidTr="000207F7">
        <w:trPr>
          <w:jc w:val="center"/>
        </w:trPr>
        <w:tc>
          <w:tcPr>
            <w:tcW w:w="4428" w:type="dxa"/>
          </w:tcPr>
          <w:p w:rsidR="00B516F8" w:rsidRPr="007F7EF2" w:rsidRDefault="00B516F8" w:rsidP="000207F7">
            <w:pPr>
              <w:rPr>
                <w:rFonts w:ascii="Times New Roman" w:hAnsi="Times New Roman"/>
                <w:sz w:val="24"/>
                <w:szCs w:val="24"/>
              </w:rPr>
            </w:pPr>
            <w:r w:rsidRPr="007F7EF2">
              <w:rPr>
                <w:rFonts w:ascii="Times New Roman" w:hAnsi="Times New Roman"/>
                <w:sz w:val="24"/>
                <w:szCs w:val="24"/>
              </w:rPr>
              <w:t>Other</w:t>
            </w:r>
          </w:p>
        </w:tc>
        <w:tc>
          <w:tcPr>
            <w:tcW w:w="2160" w:type="dxa"/>
          </w:tcPr>
          <w:p w:rsidR="00B516F8" w:rsidRPr="007F7EF2" w:rsidRDefault="00B516F8" w:rsidP="000207F7">
            <w:pPr>
              <w:jc w:val="right"/>
              <w:rPr>
                <w:rFonts w:ascii="Times New Roman" w:hAnsi="Times New Roman"/>
                <w:sz w:val="24"/>
                <w:szCs w:val="24"/>
              </w:rPr>
            </w:pPr>
            <w:r w:rsidRPr="007F7EF2">
              <w:rPr>
                <w:rFonts w:ascii="Times New Roman" w:hAnsi="Times New Roman"/>
                <w:sz w:val="24"/>
                <w:szCs w:val="24"/>
              </w:rPr>
              <w:t>111</w:t>
            </w:r>
          </w:p>
        </w:tc>
      </w:tr>
      <w:tr w:rsidR="00B516F8" w:rsidRPr="007F7EF2" w:rsidTr="000207F7">
        <w:trPr>
          <w:jc w:val="center"/>
        </w:trPr>
        <w:tc>
          <w:tcPr>
            <w:tcW w:w="4428" w:type="dxa"/>
          </w:tcPr>
          <w:p w:rsidR="00B516F8" w:rsidRPr="007F7EF2" w:rsidRDefault="00B516F8" w:rsidP="000207F7">
            <w:pPr>
              <w:rPr>
                <w:rFonts w:ascii="Times New Roman" w:hAnsi="Times New Roman"/>
                <w:b/>
                <w:sz w:val="24"/>
                <w:szCs w:val="24"/>
              </w:rPr>
            </w:pPr>
            <w:r w:rsidRPr="007F7EF2">
              <w:rPr>
                <w:rFonts w:ascii="Times New Roman" w:hAnsi="Times New Roman"/>
                <w:b/>
                <w:sz w:val="24"/>
                <w:szCs w:val="24"/>
              </w:rPr>
              <w:t>TOTAL</w:t>
            </w:r>
          </w:p>
        </w:tc>
        <w:tc>
          <w:tcPr>
            <w:tcW w:w="2160" w:type="dxa"/>
          </w:tcPr>
          <w:p w:rsidR="00B516F8" w:rsidRPr="007F7EF2" w:rsidRDefault="00B516F8" w:rsidP="000207F7">
            <w:pPr>
              <w:jc w:val="right"/>
              <w:rPr>
                <w:rFonts w:ascii="Times New Roman" w:hAnsi="Times New Roman"/>
                <w:b/>
                <w:sz w:val="24"/>
                <w:szCs w:val="24"/>
              </w:rPr>
            </w:pPr>
            <w:r w:rsidRPr="007F7EF2">
              <w:rPr>
                <w:rFonts w:ascii="Times New Roman" w:hAnsi="Times New Roman"/>
                <w:b/>
                <w:sz w:val="24"/>
                <w:szCs w:val="24"/>
              </w:rPr>
              <w:t>3,040</w:t>
            </w:r>
          </w:p>
        </w:tc>
      </w:tr>
    </w:tbl>
    <w:p w:rsidR="00B516F8" w:rsidRPr="007F7EF2" w:rsidRDefault="00B516F8" w:rsidP="00B516F8">
      <w:pPr>
        <w:jc w:val="center"/>
        <w:rPr>
          <w:rFonts w:ascii="Times New Roman" w:hAnsi="Times New Roman"/>
          <w:sz w:val="24"/>
          <w:szCs w:val="24"/>
        </w:rPr>
      </w:pPr>
    </w:p>
    <w:p w:rsidR="00B516F8" w:rsidRPr="007F7EF2" w:rsidRDefault="00B516F8" w:rsidP="00B516F8">
      <w:pPr>
        <w:ind w:left="1080"/>
        <w:rPr>
          <w:rFonts w:ascii="Times New Roman" w:hAnsi="Times New Roman"/>
          <w:sz w:val="24"/>
          <w:szCs w:val="24"/>
        </w:rPr>
      </w:pPr>
      <w:r w:rsidRPr="007F7EF2">
        <w:rPr>
          <w:rFonts w:ascii="Times New Roman" w:hAnsi="Times New Roman"/>
          <w:sz w:val="24"/>
          <w:szCs w:val="24"/>
        </w:rPr>
        <w:t>*Note: Record numbers approximate due to minimal duplication.</w:t>
      </w:r>
    </w:p>
    <w:p w:rsidR="00B516F8" w:rsidRDefault="00B516F8" w:rsidP="00B516F8">
      <w:pPr>
        <w:rPr>
          <w:rFonts w:ascii="Times New Roman" w:hAnsi="Times New Roman"/>
          <w:sz w:val="24"/>
          <w:szCs w:val="24"/>
        </w:rPr>
      </w:pPr>
      <w:r w:rsidRPr="007F7EF2">
        <w:rPr>
          <w:rFonts w:ascii="Times New Roman" w:hAnsi="Times New Roman"/>
          <w:sz w:val="24"/>
          <w:szCs w:val="24"/>
        </w:rPr>
        <w:t>There are respondents from all parts of the world, though only a few countries in Africa are represented. For those countries with 25 or more users registered: Argentina, Mexico, New Zealand, Japan and Spain each account for 1%; Brazil, France, Germany and the Netherlands, each, 2%; Australia and Italy, each, 3%; Canada, 4%; United King</w:t>
      </w:r>
      <w:r>
        <w:rPr>
          <w:rFonts w:ascii="Times New Roman" w:hAnsi="Times New Roman"/>
          <w:sz w:val="24"/>
          <w:szCs w:val="24"/>
        </w:rPr>
        <w:t>dom, 20% and the U.S., 40%</w:t>
      </w:r>
    </w:p>
    <w:p w:rsidR="00B516F8" w:rsidRDefault="00B516F8" w:rsidP="00B516F8">
      <w:pPr>
        <w:rPr>
          <w:rFonts w:ascii="Times New Roman" w:hAnsi="Times New Roman"/>
          <w:sz w:val="24"/>
          <w:szCs w:val="24"/>
        </w:rPr>
      </w:pPr>
    </w:p>
    <w:p w:rsidR="00B516F8" w:rsidRDefault="00B516F8" w:rsidP="00B516F8">
      <w:pPr>
        <w:rPr>
          <w:rFonts w:ascii="Times New Roman" w:hAnsi="Times New Roman"/>
          <w:sz w:val="24"/>
          <w:szCs w:val="24"/>
        </w:rPr>
      </w:pPr>
    </w:p>
    <w:p w:rsidR="00B516F8" w:rsidRDefault="00B516F8">
      <w:pPr>
        <w:rPr>
          <w:rFonts w:ascii="Times New Roman" w:hAnsi="Times New Roman"/>
          <w:sz w:val="24"/>
          <w:szCs w:val="24"/>
        </w:rPr>
      </w:pPr>
      <w:r>
        <w:rPr>
          <w:rFonts w:ascii="Times New Roman" w:hAnsi="Times New Roman"/>
          <w:sz w:val="24"/>
          <w:szCs w:val="24"/>
        </w:rPr>
        <w:br w:type="page"/>
      </w:r>
    </w:p>
    <w:p w:rsidR="00B516F8" w:rsidRPr="007F7EF2" w:rsidRDefault="00B516F8" w:rsidP="00B516F8">
      <w:pPr>
        <w:rPr>
          <w:rFonts w:ascii="Times New Roman" w:hAnsi="Times New Roman"/>
          <w:sz w:val="24"/>
          <w:szCs w:val="24"/>
        </w:rPr>
      </w:pPr>
      <w:r w:rsidRPr="007F7EF2">
        <w:rPr>
          <w:rFonts w:ascii="Times New Roman" w:hAnsi="Times New Roman"/>
          <w:b/>
          <w:bCs/>
          <w:sz w:val="24"/>
          <w:szCs w:val="24"/>
        </w:rPr>
        <w:lastRenderedPageBreak/>
        <w:t xml:space="preserve">2.  </w:t>
      </w:r>
      <w:r w:rsidRPr="007F7EF2">
        <w:rPr>
          <w:rFonts w:ascii="Times New Roman" w:hAnsi="Times New Roman"/>
          <w:b/>
          <w:bCs/>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In addition to linking those contacting NESDIS to the survey on the Internet, NOAA explains the survey and its purposes, and provides the </w:t>
      </w:r>
      <w:proofErr w:type="spellStart"/>
      <w:proofErr w:type="gramStart"/>
      <w:r w:rsidRPr="007F7EF2">
        <w:rPr>
          <w:rFonts w:ascii="Times New Roman" w:hAnsi="Times New Roman"/>
          <w:sz w:val="24"/>
          <w:szCs w:val="24"/>
        </w:rPr>
        <w:t>url</w:t>
      </w:r>
      <w:proofErr w:type="spellEnd"/>
      <w:proofErr w:type="gramEnd"/>
      <w:r w:rsidRPr="007F7EF2">
        <w:rPr>
          <w:rFonts w:ascii="Times New Roman" w:hAnsi="Times New Roman"/>
          <w:sz w:val="24"/>
          <w:szCs w:val="24"/>
        </w:rPr>
        <w:t>, in conferences, meetings and other venues frequented by the target audience of potential respondents. It is estimated that we attend between 2 and 5 events per year, with an attendance of between 40 and 2,000. Although we discuss the survey with potential respondents, we do not actively record data at these events. No periodic survey is used and no sampling techniques are utilized. No attempt is made to contact a fixed number of respondents. No unusual problems have been identified.</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4"/>
          <w:szCs w:val="24"/>
        </w:rPr>
      </w:pPr>
      <w:r w:rsidRPr="007F7EF2">
        <w:rPr>
          <w:rFonts w:ascii="Times New Roman" w:hAnsi="Times New Roman"/>
          <w:b/>
          <w:bCs/>
          <w:sz w:val="24"/>
          <w:szCs w:val="24"/>
        </w:rPr>
        <w:t xml:space="preserve">3.   </w:t>
      </w:r>
      <w:r w:rsidRPr="007F7EF2">
        <w:rPr>
          <w:rFonts w:ascii="Times New Roman" w:hAnsi="Times New Roman"/>
          <w:b/>
          <w:bCs/>
          <w:sz w:val="24"/>
          <w:szCs w:val="24"/>
          <w:u w:val="single"/>
        </w:rPr>
        <w:t xml:space="preserve">Describe the methods used to maximize response rates and to deal with nonresponse. The accuracy and reliability of the information collected must be shown to be adequate for the intended uses. </w:t>
      </w:r>
      <w:r w:rsidRPr="007F7EF2">
        <w:rPr>
          <w:rFonts w:ascii="Times New Roman" w:hAnsi="Times New Roman"/>
          <w:b/>
          <w:bCs/>
          <w:iCs/>
          <w:sz w:val="24"/>
          <w:szCs w:val="24"/>
          <w:u w:val="single"/>
        </w:rPr>
        <w:t>For collections based on sampling, a special justification must be provided if they will not yield "reliable" data that can be generalized to the universe studied.</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We attempt to maximize response by informing all those who contact NESDIS either directly or by attending an applicable event, of the survey, its location, and its purposes. The audience is made up of those who are likely to have a vested interest in improving the satellite services. The questionnaire is also very brief.</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Although at this point we do not have enough knowledge of the respondent universe to judge the representativeness of our sample, it is apparent that there is broad representation throughout the world, with higher percentages of registered users in the more developed countries. Also, providing the opportunity to respond to the questionnaire furthers our knowledge of the universe and also allows us to address stated needs. The primary data fields are: contact information, which types of imagery the respondents are receiving and / or what type of equipment or software is being employed or manufactured. The information collected is used for several purposes: </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Respondents provide input on how upcoming NOAA satellite planning, changes in satellite and satellite transponder configuration, spacecraft design and other events (posted on our applicable websites) could affect user ground station configuration. </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1. We can also gather some input indirectly by referring to the database on how many users have ground stations for different categories of reception.</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sz w:val="24"/>
          <w:szCs w:val="24"/>
        </w:rPr>
        <w:t xml:space="preserve">2. We have been able to determine, and provide information to respondents on, how many ground stations exist in foreign countries. </w:t>
      </w:r>
      <w:r w:rsidRPr="007F7EF2">
        <w:rPr>
          <w:rFonts w:ascii="Times New Roman" w:hAnsi="Times New Roman"/>
          <w:sz w:val="24"/>
          <w:szCs w:val="24"/>
        </w:rPr>
        <w:br/>
      </w:r>
      <w:r w:rsidRPr="007F7EF2">
        <w:rPr>
          <w:rFonts w:ascii="Times New Roman" w:hAnsi="Times New Roman"/>
          <w:sz w:val="24"/>
          <w:szCs w:val="24"/>
        </w:rPr>
        <w:br/>
      </w:r>
      <w:r w:rsidRPr="007F7EF2">
        <w:rPr>
          <w:rFonts w:ascii="Times New Roman" w:hAnsi="Times New Roman"/>
          <w:sz w:val="24"/>
          <w:szCs w:val="24"/>
        </w:rPr>
        <w:lastRenderedPageBreak/>
        <w:t>3.  We have been able to determine whether respondents were aware of a change in a downlink frequency.</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7F7EF2">
        <w:rPr>
          <w:rFonts w:ascii="Times New Roman" w:hAnsi="Times New Roman"/>
          <w:b/>
          <w:bCs/>
          <w:sz w:val="24"/>
          <w:szCs w:val="24"/>
        </w:rPr>
        <w:t xml:space="preserve">4.  </w:t>
      </w:r>
      <w:r w:rsidRPr="007F7EF2">
        <w:rPr>
          <w:rFonts w:ascii="Times New Roman" w:hAnsi="Times New Roman"/>
          <w:b/>
          <w:bCs/>
          <w:sz w:val="24"/>
          <w:szCs w:val="24"/>
          <w:u w:val="single"/>
        </w:rPr>
        <w:t>Describe any tests of procedures or methods to be undertaken. Tests are encouraged as effective means to refine collections, but if ten or more test respondents are involved OMB must give prior approval.</w:t>
      </w:r>
    </w:p>
    <w:p w:rsidR="00B516F8" w:rsidRPr="007F7EF2" w:rsidRDefault="00B516F8" w:rsidP="00B516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roofErr w:type="gramStart"/>
      <w:r w:rsidRPr="007F7EF2">
        <w:rPr>
          <w:rFonts w:ascii="Times New Roman" w:hAnsi="Times New Roman"/>
          <w:sz w:val="24"/>
          <w:szCs w:val="24"/>
        </w:rPr>
        <w:t>N/A.</w:t>
      </w:r>
      <w:proofErr w:type="gramEnd"/>
    </w:p>
    <w:p w:rsidR="00B516F8" w:rsidRPr="007F7EF2" w:rsidRDefault="00B516F8" w:rsidP="00B516F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b/>
          <w:bCs/>
          <w:sz w:val="24"/>
          <w:szCs w:val="24"/>
        </w:rPr>
      </w:pPr>
      <w:r w:rsidRPr="007F7EF2">
        <w:rPr>
          <w:rFonts w:ascii="Times New Roman" w:hAnsi="Times New Roman"/>
          <w:b/>
          <w:bCs/>
          <w:sz w:val="24"/>
          <w:szCs w:val="24"/>
        </w:rPr>
        <w:t xml:space="preserve">5. </w:t>
      </w:r>
      <w:r w:rsidRPr="007F7EF2">
        <w:rPr>
          <w:rFonts w:ascii="Times New Roman" w:hAnsi="Times New Roman"/>
          <w:b/>
          <w:bCs/>
          <w:sz w:val="24"/>
          <w:szCs w:val="24"/>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7F7EF2">
        <w:rPr>
          <w:rFonts w:ascii="Times New Roman" w:hAnsi="Times New Roman"/>
          <w:b/>
          <w:bCs/>
          <w:sz w:val="24"/>
          <w:szCs w:val="24"/>
        </w:rPr>
        <w:t>.</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Kay Metcalf</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GOES DCS</w:t>
      </w:r>
      <w:r w:rsidRPr="007F7EF2">
        <w:rPr>
          <w:rFonts w:ascii="Times New Roman" w:hAnsi="Times New Roman"/>
          <w:sz w:val="24"/>
          <w:szCs w:val="24"/>
        </w:rPr>
        <w:t xml:space="preserve"> Program Manager</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301-817-4558</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Department of Commerce</w:t>
      </w:r>
    </w:p>
    <w:p w:rsidR="00B516F8" w:rsidRPr="007F7EF2" w:rsidRDefault="00B516F8" w:rsidP="00B516F8">
      <w:pPr>
        <w:spacing w:after="0" w:line="240" w:lineRule="auto"/>
        <w:rPr>
          <w:rFonts w:ascii="Times New Roman" w:hAnsi="Times New Roman"/>
          <w:sz w:val="24"/>
          <w:szCs w:val="24"/>
        </w:rPr>
      </w:pP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Paul Seymour</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Broadcast Program Manager</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301-817-4521</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Default="00B516F8" w:rsidP="00B516F8">
      <w:pPr>
        <w:rPr>
          <w:rFonts w:ascii="Times New Roman" w:hAnsi="Times New Roman"/>
          <w:sz w:val="24"/>
          <w:szCs w:val="24"/>
        </w:rPr>
      </w:pPr>
      <w:r w:rsidRPr="007F7EF2">
        <w:rPr>
          <w:rFonts w:ascii="Times New Roman" w:hAnsi="Times New Roman"/>
          <w:sz w:val="24"/>
          <w:szCs w:val="24"/>
        </w:rPr>
        <w:t xml:space="preserve">Department of Commerce </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Scott Rogerson</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Argos</w:t>
      </w:r>
      <w:r w:rsidRPr="007F7EF2">
        <w:rPr>
          <w:rFonts w:ascii="Times New Roman" w:hAnsi="Times New Roman"/>
          <w:sz w:val="24"/>
          <w:szCs w:val="24"/>
        </w:rPr>
        <w:t xml:space="preserve"> Program Manager</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301-817-4543</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Department of Commerce</w:t>
      </w:r>
    </w:p>
    <w:p w:rsidR="00B516F8" w:rsidRDefault="00B516F8" w:rsidP="00B516F8">
      <w:pPr>
        <w:spacing w:after="0" w:line="240" w:lineRule="auto"/>
        <w:rPr>
          <w:rFonts w:ascii="Times New Roman" w:hAnsi="Times New Roman"/>
          <w:sz w:val="24"/>
          <w:szCs w:val="24"/>
        </w:rPr>
      </w:pPr>
    </w:p>
    <w:p w:rsidR="00B516F8" w:rsidRPr="007F7EF2" w:rsidRDefault="00B516F8" w:rsidP="00B516F8">
      <w:pPr>
        <w:spacing w:after="0" w:line="240" w:lineRule="auto"/>
        <w:rPr>
          <w:rFonts w:ascii="Times New Roman" w:hAnsi="Times New Roman"/>
          <w:sz w:val="24"/>
          <w:szCs w:val="24"/>
        </w:rPr>
      </w:pPr>
      <w:proofErr w:type="spellStart"/>
      <w:r>
        <w:rPr>
          <w:rFonts w:ascii="Times New Roman" w:hAnsi="Times New Roman"/>
          <w:sz w:val="24"/>
          <w:szCs w:val="24"/>
        </w:rPr>
        <w:t>Letecia</w:t>
      </w:r>
      <w:proofErr w:type="spellEnd"/>
      <w:r>
        <w:rPr>
          <w:rFonts w:ascii="Times New Roman" w:hAnsi="Times New Roman"/>
          <w:sz w:val="24"/>
          <w:szCs w:val="24"/>
        </w:rPr>
        <w:t xml:space="preserve"> Reeves</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GOES DCS Customer Service Specialist</w:t>
      </w:r>
    </w:p>
    <w:p w:rsidR="00B516F8" w:rsidRPr="007F7EF2" w:rsidRDefault="00B516F8" w:rsidP="00B516F8">
      <w:pPr>
        <w:spacing w:after="0" w:line="240" w:lineRule="auto"/>
        <w:rPr>
          <w:rFonts w:ascii="Times New Roman" w:hAnsi="Times New Roman"/>
          <w:sz w:val="24"/>
          <w:szCs w:val="24"/>
        </w:rPr>
      </w:pPr>
      <w:r>
        <w:rPr>
          <w:rFonts w:ascii="Times New Roman" w:hAnsi="Times New Roman"/>
          <w:sz w:val="24"/>
          <w:szCs w:val="24"/>
        </w:rPr>
        <w:t>301-817-4563</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Direct Services Branch</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Satellite Products and Services Division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lastRenderedPageBreak/>
        <w:t>Office of Satellite and Product Operations</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NOAA Environmental Satellite Data and Information Service</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National Oceanic and Atmospheric Administration</w:t>
      </w:r>
    </w:p>
    <w:p w:rsidR="00B516F8" w:rsidRPr="007F7EF2" w:rsidRDefault="00B516F8" w:rsidP="00B516F8">
      <w:pPr>
        <w:spacing w:after="0" w:line="240" w:lineRule="auto"/>
        <w:rPr>
          <w:rFonts w:ascii="Times New Roman" w:hAnsi="Times New Roman"/>
          <w:sz w:val="24"/>
          <w:szCs w:val="24"/>
        </w:rPr>
      </w:pPr>
      <w:r w:rsidRPr="007F7EF2">
        <w:rPr>
          <w:rFonts w:ascii="Times New Roman" w:hAnsi="Times New Roman"/>
          <w:sz w:val="24"/>
          <w:szCs w:val="24"/>
        </w:rPr>
        <w:t>Department of Commerce</w:t>
      </w:r>
    </w:p>
    <w:p w:rsidR="00B516F8" w:rsidRPr="007F7EF2" w:rsidRDefault="00B516F8" w:rsidP="00B516F8">
      <w:pPr>
        <w:spacing w:after="0" w:line="240" w:lineRule="auto"/>
        <w:rPr>
          <w:rFonts w:ascii="Times New Roman" w:hAnsi="Times New Roman"/>
          <w:sz w:val="24"/>
          <w:szCs w:val="24"/>
        </w:rPr>
      </w:pPr>
    </w:p>
    <w:p w:rsidR="00B516F8" w:rsidRPr="007F7EF2" w:rsidRDefault="00B516F8" w:rsidP="00B516F8">
      <w:pPr>
        <w:rPr>
          <w:rFonts w:ascii="Times New Roman" w:hAnsi="Times New Roman"/>
          <w:sz w:val="24"/>
          <w:szCs w:val="24"/>
          <w:u w:val="single"/>
        </w:rPr>
      </w:pPr>
    </w:p>
    <w:p w:rsidR="005725F8" w:rsidRDefault="009530B6"/>
    <w:sectPr w:rsidR="005725F8" w:rsidSect="000B53BA">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7259"/>
    <w:multiLevelType w:val="hybridMultilevel"/>
    <w:tmpl w:val="5388FE58"/>
    <w:lvl w:ilvl="0" w:tplc="0409000F">
      <w:start w:val="1"/>
      <w:numFmt w:val="decimal"/>
      <w:lvlText w:val="%1."/>
      <w:lvlJc w:val="left"/>
      <w:pPr>
        <w:tabs>
          <w:tab w:val="num" w:pos="360"/>
        </w:tabs>
        <w:ind w:left="360" w:hanging="360"/>
      </w:pPr>
      <w:rPr>
        <w:rFonts w:hint="default"/>
      </w:rPr>
    </w:lvl>
    <w:lvl w:ilvl="1" w:tplc="1C9AAD8E">
      <w:start w:val="1"/>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91C5601"/>
    <w:multiLevelType w:val="hybridMultilevel"/>
    <w:tmpl w:val="571E8030"/>
    <w:lvl w:ilvl="0" w:tplc="04090019">
      <w:start w:val="1"/>
      <w:numFmt w:val="lowerLetter"/>
      <w:lvlText w:val="%1."/>
      <w:lvlJc w:val="left"/>
      <w:pPr>
        <w:tabs>
          <w:tab w:val="num" w:pos="360"/>
        </w:tabs>
        <w:ind w:left="360" w:hanging="360"/>
      </w:pPr>
      <w:rPr>
        <w:rFonts w:hint="default"/>
      </w:rPr>
    </w:lvl>
    <w:lvl w:ilvl="1" w:tplc="04090005">
      <w:start w:val="1"/>
      <w:numFmt w:val="bullet"/>
      <w:lvlText w:val=""/>
      <w:lvlJc w:val="left"/>
      <w:pPr>
        <w:tabs>
          <w:tab w:val="num" w:pos="1200"/>
        </w:tabs>
        <w:ind w:left="1200" w:hanging="360"/>
      </w:pPr>
      <w:rPr>
        <w:rFonts w:ascii="Wingdings" w:hAnsi="Wingdings" w:cs="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F8"/>
    <w:rsid w:val="002666F4"/>
    <w:rsid w:val="004D5F13"/>
    <w:rsid w:val="007C6674"/>
    <w:rsid w:val="009530B6"/>
    <w:rsid w:val="00B5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6F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B516F8"/>
    <w:pPr>
      <w:spacing w:line="280" w:lineRule="atLeast"/>
    </w:pPr>
    <w:rPr>
      <w:color w:val="auto"/>
    </w:rPr>
  </w:style>
  <w:style w:type="paragraph" w:customStyle="1" w:styleId="CM10">
    <w:name w:val="CM10"/>
    <w:basedOn w:val="Default"/>
    <w:next w:val="Default"/>
    <w:uiPriority w:val="99"/>
    <w:rsid w:val="00B516F8"/>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6F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6F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B516F8"/>
    <w:pPr>
      <w:spacing w:line="280" w:lineRule="atLeast"/>
    </w:pPr>
    <w:rPr>
      <w:color w:val="auto"/>
    </w:rPr>
  </w:style>
  <w:style w:type="paragraph" w:customStyle="1" w:styleId="CM10">
    <w:name w:val="CM10"/>
    <w:basedOn w:val="Default"/>
    <w:next w:val="Default"/>
    <w:uiPriority w:val="99"/>
    <w:rsid w:val="00B516F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351A-4112-462B-B036-75469DA3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2015-07-29T17:52:00Z</dcterms:created>
  <dcterms:modified xsi:type="dcterms:W3CDTF">2015-07-29T18:18:00Z</dcterms:modified>
</cp:coreProperties>
</file>