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A0193" w14:textId="57D465EA" w:rsidR="003A0D60" w:rsidRDefault="003A0D60" w:rsidP="003A0D60">
      <w:pPr>
        <w:pStyle w:val="ListParagraph"/>
        <w:tabs>
          <w:tab w:val="num" w:pos="450"/>
        </w:tabs>
        <w:ind w:left="446" w:hanging="360"/>
        <w:jc w:val="center"/>
        <w:rPr>
          <w:b/>
          <w:bCs/>
        </w:rPr>
      </w:pPr>
      <w:r w:rsidRPr="00FC2483">
        <w:rPr>
          <w:b/>
          <w:bCs/>
        </w:rPr>
        <w:t xml:space="preserve">SUPPORTING STATEMENT </w:t>
      </w:r>
      <w:r>
        <w:rPr>
          <w:b/>
          <w:bCs/>
        </w:rPr>
        <w:br/>
      </w:r>
      <w:r w:rsidRPr="00FC2483">
        <w:rPr>
          <w:b/>
          <w:bCs/>
        </w:rPr>
        <w:t xml:space="preserve">for the Paperwork Reduction Act Information Collection Submission for </w:t>
      </w:r>
      <w:r>
        <w:rPr>
          <w:b/>
          <w:bCs/>
        </w:rPr>
        <w:br/>
      </w:r>
      <w:r w:rsidR="00822DD4">
        <w:rPr>
          <w:b/>
          <w:bCs/>
        </w:rPr>
        <w:t xml:space="preserve">12 CFR Part 723 – </w:t>
      </w:r>
      <w:r w:rsidR="00F66B62">
        <w:rPr>
          <w:b/>
          <w:bCs/>
        </w:rPr>
        <w:t>Member Business Loans</w:t>
      </w:r>
      <w:r w:rsidR="000E58A6">
        <w:rPr>
          <w:b/>
          <w:bCs/>
        </w:rPr>
        <w:t>; Commercial Lending</w:t>
      </w:r>
    </w:p>
    <w:p w14:paraId="2B458EFB" w14:textId="51956CC7" w:rsidR="003A0D60" w:rsidRDefault="00822DD4" w:rsidP="00CA1AFB">
      <w:pPr>
        <w:pStyle w:val="ListParagraph"/>
        <w:tabs>
          <w:tab w:val="left" w:pos="720"/>
        </w:tabs>
        <w:ind w:hanging="720"/>
        <w:jc w:val="center"/>
        <w:rPr>
          <w:b/>
        </w:rPr>
      </w:pPr>
      <w:r>
        <w:rPr>
          <w:b/>
          <w:bCs/>
        </w:rPr>
        <w:t xml:space="preserve">OMB No. 3133-0101 </w:t>
      </w:r>
    </w:p>
    <w:p w14:paraId="268AFAF7" w14:textId="77777777" w:rsidR="003A0D60" w:rsidRDefault="003A0D60" w:rsidP="0079683F">
      <w:pPr>
        <w:pStyle w:val="ListParagraph"/>
        <w:tabs>
          <w:tab w:val="left" w:pos="720"/>
        </w:tabs>
        <w:ind w:hanging="720"/>
        <w:rPr>
          <w:b/>
        </w:rPr>
      </w:pPr>
    </w:p>
    <w:p w14:paraId="37A7EF6F" w14:textId="77777777" w:rsidR="00CA1AFB" w:rsidRPr="00A13B41" w:rsidRDefault="00CA1AFB" w:rsidP="0079683F">
      <w:pPr>
        <w:pStyle w:val="ListParagraph"/>
        <w:tabs>
          <w:tab w:val="left" w:pos="720"/>
        </w:tabs>
        <w:ind w:hanging="720"/>
        <w:rPr>
          <w:b/>
        </w:rPr>
      </w:pPr>
    </w:p>
    <w:p w14:paraId="3CCAB005" w14:textId="77777777" w:rsidR="003A0D60" w:rsidRPr="00E44F63" w:rsidRDefault="003A0D60" w:rsidP="0079683F">
      <w:pPr>
        <w:pStyle w:val="ListParagraph"/>
        <w:numPr>
          <w:ilvl w:val="0"/>
          <w:numId w:val="2"/>
        </w:numPr>
        <w:tabs>
          <w:tab w:val="left" w:pos="720"/>
        </w:tabs>
        <w:ind w:left="720" w:hanging="720"/>
        <w:rPr>
          <w:b/>
        </w:rPr>
      </w:pPr>
      <w:r w:rsidRPr="00E44F63">
        <w:rPr>
          <w:b/>
        </w:rPr>
        <w:t>JUSTIFICATION</w:t>
      </w:r>
    </w:p>
    <w:p w14:paraId="46CF84EF" w14:textId="77777777" w:rsidR="003A0D60" w:rsidRPr="00E44F63" w:rsidRDefault="003A0D60" w:rsidP="0079683F">
      <w:pPr>
        <w:pStyle w:val="ListParagraph"/>
        <w:tabs>
          <w:tab w:val="left" w:pos="720"/>
        </w:tabs>
        <w:ind w:hanging="720"/>
        <w:rPr>
          <w:b/>
        </w:rPr>
      </w:pPr>
    </w:p>
    <w:p w14:paraId="222BABDA" w14:textId="77777777" w:rsidR="003A0D60" w:rsidRPr="00E44F63" w:rsidRDefault="003A0D60" w:rsidP="0079683F">
      <w:pPr>
        <w:pStyle w:val="ListParagraph"/>
        <w:numPr>
          <w:ilvl w:val="0"/>
          <w:numId w:val="3"/>
        </w:numPr>
        <w:tabs>
          <w:tab w:val="left" w:pos="720"/>
        </w:tabs>
        <w:ind w:left="720" w:hanging="720"/>
        <w:rPr>
          <w:b/>
        </w:rPr>
      </w:pPr>
      <w:r>
        <w:rPr>
          <w:b/>
        </w:rPr>
        <w:t>Necessity of</w:t>
      </w:r>
      <w:r w:rsidRPr="00E44F63">
        <w:rPr>
          <w:b/>
        </w:rPr>
        <w:t xml:space="preserve"> Information</w:t>
      </w:r>
      <w:r>
        <w:rPr>
          <w:b/>
        </w:rPr>
        <w:t xml:space="preserve"> Collection</w:t>
      </w:r>
    </w:p>
    <w:p w14:paraId="10CF39F1" w14:textId="6C7AECB3" w:rsidR="00A15138" w:rsidRPr="004F3644" w:rsidRDefault="0079683F" w:rsidP="0079683F">
      <w:pPr>
        <w:tabs>
          <w:tab w:val="left" w:pos="720"/>
        </w:tabs>
        <w:ind w:left="720" w:hanging="720"/>
      </w:pPr>
      <w:r>
        <w:tab/>
      </w:r>
      <w:r w:rsidR="00A15138" w:rsidRPr="004F3644">
        <w:t xml:space="preserve">As part of NCUA’s Regulatory Modernization Initiative, the NCUA Board (Board) proposes to amend its member business loan (MBL) rule (Part 723) to provide federally insured credit unions with greater flexibility and individual autonomy in safely and soundly providing commercial and business loans to serve their members. </w:t>
      </w:r>
      <w:r w:rsidR="00A24AB6">
        <w:t xml:space="preserve"> </w:t>
      </w:r>
      <w:r w:rsidR="00A15138" w:rsidRPr="00F63124">
        <w:t xml:space="preserve">This </w:t>
      </w:r>
      <w:r w:rsidR="00822DD4">
        <w:t>proposed revision</w:t>
      </w:r>
      <w:r w:rsidR="00822DD4" w:rsidRPr="00F63124">
        <w:t xml:space="preserve"> </w:t>
      </w:r>
      <w:r w:rsidR="00A15138" w:rsidRPr="00F63124">
        <w:t>to OMB Control Number 3133-0101</w:t>
      </w:r>
      <w:r w:rsidR="00AB5CA4">
        <w:t>, Member Business Loans,</w:t>
      </w:r>
      <w:r w:rsidR="00A15138" w:rsidRPr="004F3644">
        <w:t xml:space="preserve"> address</w:t>
      </w:r>
      <w:r w:rsidR="001C53F0">
        <w:t>es</w:t>
      </w:r>
      <w:r w:rsidR="00A15138" w:rsidRPr="004F3644">
        <w:t xml:space="preserve"> all of the information collection requirements contained in Part 723.  </w:t>
      </w:r>
    </w:p>
    <w:p w14:paraId="78EE8739" w14:textId="77777777" w:rsidR="00A15138" w:rsidRPr="004F3644" w:rsidRDefault="00A15138" w:rsidP="0079683F">
      <w:pPr>
        <w:tabs>
          <w:tab w:val="left" w:pos="720"/>
        </w:tabs>
        <w:ind w:left="720" w:hanging="720"/>
      </w:pPr>
    </w:p>
    <w:p w14:paraId="71C68A25" w14:textId="4CBD4E84" w:rsidR="00A15138" w:rsidRPr="004F3644" w:rsidRDefault="0079683F" w:rsidP="0079683F">
      <w:pPr>
        <w:tabs>
          <w:tab w:val="left" w:pos="720"/>
        </w:tabs>
        <w:ind w:left="720" w:hanging="720"/>
      </w:pPr>
      <w:r>
        <w:tab/>
      </w:r>
      <w:r w:rsidR="00A15138" w:rsidRPr="004F3644">
        <w:t>To modernize the MBL rule and provide reasonable regulatory relief to federally insured credit unions</w:t>
      </w:r>
      <w:r w:rsidR="00C54914">
        <w:t xml:space="preserve"> (FICUs)</w:t>
      </w:r>
      <w:r w:rsidR="00A15138" w:rsidRPr="004F3644">
        <w:t xml:space="preserve">, the NCUA Board is proposing to alter its overall approach to regulating commercial lending, by shifting from a prescriptive rule to a principles-based rule.  Specifically, the proposed rule eliminates detailed collateral criteria and portfolio limits and instead focuses on broad yet well-defined principles that clarify regulatory expectations for </w:t>
      </w:r>
      <w:r w:rsidR="00C54914">
        <w:t>FICUs</w:t>
      </w:r>
      <w:r w:rsidR="00A15138" w:rsidRPr="004F3644">
        <w:t xml:space="preserve"> engaged in commercial lending activities.  The proposed approach will eliminate some unintended consequences of the prescriptive approach, such as causing credit unions to manage their lending practices to regulatory restrictions instead of focusing on sound risk management practices.  The uniform regulatory prescriptions also inhibit credit unions from considering all relevant risk-mitigating factors in certain borrowing relationships.  Under the proposed approach, NCUA supervision will focus on the effectiveness of the credit union’s risk management process, which will allow credit unions greater autonomy and flexibility to soundly administer, underwrite, and service commercial loans in a manner that is consistent with regulatory objectives and accepted risk management practices</w:t>
      </w:r>
    </w:p>
    <w:p w14:paraId="68AE91C5" w14:textId="77777777" w:rsidR="00A15138" w:rsidRPr="004F3644" w:rsidRDefault="00A15138" w:rsidP="0079683F">
      <w:pPr>
        <w:pStyle w:val="Default"/>
        <w:tabs>
          <w:tab w:val="left" w:pos="720"/>
        </w:tabs>
        <w:ind w:left="720" w:hanging="720"/>
        <w:rPr>
          <w:rFonts w:eastAsia="Times New Roman"/>
          <w:color w:val="auto"/>
        </w:rPr>
      </w:pPr>
    </w:p>
    <w:p w14:paraId="60A8A44D" w14:textId="1579F087" w:rsidR="00E41F23" w:rsidRPr="004F3644" w:rsidRDefault="0079683F" w:rsidP="0079683F">
      <w:pPr>
        <w:pStyle w:val="Default"/>
        <w:tabs>
          <w:tab w:val="left" w:pos="720"/>
        </w:tabs>
        <w:ind w:left="720" w:hanging="720"/>
      </w:pPr>
      <w:r>
        <w:tab/>
      </w:r>
      <w:r w:rsidR="00E41F23">
        <w:t>T</w:t>
      </w:r>
      <w:r w:rsidR="00E41F23">
        <w:rPr>
          <w:rFonts w:eastAsiaTheme="minorHAnsi"/>
        </w:rPr>
        <w:t xml:space="preserve">he proposed rule exempts </w:t>
      </w:r>
      <w:r w:rsidR="00E41F23">
        <w:t xml:space="preserve">from the requirements of </w:t>
      </w:r>
      <w:r w:rsidR="00E41F23" w:rsidRPr="00414529">
        <w:t>§723.</w:t>
      </w:r>
      <w:r w:rsidR="00E41F23">
        <w:t>3</w:t>
      </w:r>
      <w:r w:rsidR="00E41F23" w:rsidRPr="00414529">
        <w:t xml:space="preserve"> </w:t>
      </w:r>
      <w:r w:rsidR="00E41F23">
        <w:t>(</w:t>
      </w:r>
      <w:r w:rsidR="00E41F23" w:rsidRPr="00E41F23">
        <w:rPr>
          <w:rFonts w:eastAsiaTheme="minorHAnsi"/>
          <w:bCs/>
        </w:rPr>
        <w:t>Board of directors and management responsibilities</w:t>
      </w:r>
      <w:r w:rsidR="00E41F23">
        <w:rPr>
          <w:rFonts w:eastAsiaTheme="minorHAnsi"/>
          <w:b/>
          <w:bCs/>
        </w:rPr>
        <w:t>)</w:t>
      </w:r>
      <w:r w:rsidR="00E41F23">
        <w:t xml:space="preserve"> and §723.4 </w:t>
      </w:r>
      <w:r w:rsidR="00E41F23" w:rsidRPr="00E41F23">
        <w:t>(</w:t>
      </w:r>
      <w:r w:rsidR="00E41F23" w:rsidRPr="00E41F23">
        <w:rPr>
          <w:bCs/>
          <w:lang w:eastAsia="zh-CN"/>
        </w:rPr>
        <w:t>Commercial loan policy)</w:t>
      </w:r>
      <w:r w:rsidR="00E41F23">
        <w:rPr>
          <w:rFonts w:eastAsiaTheme="minorHAnsi"/>
        </w:rPr>
        <w:t xml:space="preserve"> credit unions with both assets less than $250 million and total commercial loans less than 15 percent of net worth that are not regularly originating and selling or participating out commercial loans (qualifying credit unions)</w:t>
      </w:r>
      <w:r w:rsidR="00E41F23" w:rsidRPr="00AD4ACB">
        <w:rPr>
          <w:iCs/>
        </w:rPr>
        <w:t>.</w:t>
      </w:r>
      <w:r w:rsidR="00E41F23">
        <w:rPr>
          <w:rFonts w:eastAsiaTheme="minorHAnsi"/>
        </w:rPr>
        <w:t xml:space="preserve">  Accordingly, qualifying credit unions which are only occasionally granting a loan(s) that meets the proposed commercial loan definition would be alleviated from the burden of having to develop a full commercial loan policy and commercial lending organizational infrastructure.</w:t>
      </w:r>
    </w:p>
    <w:p w14:paraId="72F016CE" w14:textId="77777777" w:rsidR="00A15138" w:rsidRPr="00631257" w:rsidRDefault="00A15138" w:rsidP="0079683F">
      <w:pPr>
        <w:pStyle w:val="ListParagraph"/>
        <w:tabs>
          <w:tab w:val="left" w:pos="720"/>
        </w:tabs>
        <w:suppressAutoHyphens/>
        <w:ind w:hanging="720"/>
      </w:pPr>
    </w:p>
    <w:p w14:paraId="1791489C" w14:textId="77777777" w:rsidR="003A0D60" w:rsidRDefault="003A0D60" w:rsidP="0079683F">
      <w:pPr>
        <w:pStyle w:val="ListParagraph"/>
        <w:numPr>
          <w:ilvl w:val="0"/>
          <w:numId w:val="3"/>
        </w:numPr>
        <w:tabs>
          <w:tab w:val="left" w:pos="720"/>
        </w:tabs>
        <w:ind w:left="720" w:hanging="720"/>
        <w:rPr>
          <w:b/>
        </w:rPr>
      </w:pPr>
      <w:r w:rsidRPr="00E44F63">
        <w:rPr>
          <w:b/>
        </w:rPr>
        <w:t>Purpose and Use of the Information Collection</w:t>
      </w:r>
    </w:p>
    <w:p w14:paraId="294C53EA" w14:textId="77777777" w:rsidR="00A76E3F" w:rsidRDefault="00A76E3F" w:rsidP="0079683F">
      <w:pPr>
        <w:pStyle w:val="ListParagraph"/>
        <w:tabs>
          <w:tab w:val="left" w:pos="720"/>
        </w:tabs>
        <w:ind w:hanging="720"/>
        <w:rPr>
          <w:b/>
        </w:rPr>
      </w:pPr>
    </w:p>
    <w:p w14:paraId="5C0C2E0E" w14:textId="04DFC780" w:rsidR="00A76E3F" w:rsidRDefault="003671EB" w:rsidP="0079683F">
      <w:pPr>
        <w:tabs>
          <w:tab w:val="left" w:pos="720"/>
        </w:tabs>
        <w:suppressAutoHyphens/>
        <w:ind w:left="720" w:hanging="720"/>
      </w:pPr>
      <w:r>
        <w:tab/>
      </w:r>
      <w:r w:rsidR="00A76E3F">
        <w:t>Under t</w:t>
      </w:r>
      <w:r w:rsidR="00A76E3F" w:rsidRPr="004F3644">
        <w:t>he proposed rule</w:t>
      </w:r>
      <w:r w:rsidR="00A76E3F">
        <w:t>,</w:t>
      </w:r>
      <w:r w:rsidR="00A76E3F" w:rsidRPr="004F3644">
        <w:t xml:space="preserve"> credit unions </w:t>
      </w:r>
      <w:r w:rsidR="00A76E3F">
        <w:t xml:space="preserve">that are engaged in commercial lending and not exempted from </w:t>
      </w:r>
      <w:r w:rsidR="00A76E3F" w:rsidRPr="00414529">
        <w:t>§723.</w:t>
      </w:r>
      <w:r w:rsidR="00A76E3F">
        <w:t>3</w:t>
      </w:r>
      <w:r w:rsidR="00A76E3F" w:rsidRPr="00414529">
        <w:t xml:space="preserve"> </w:t>
      </w:r>
      <w:r w:rsidR="00A76E3F">
        <w:t xml:space="preserve">and §723.4 may need to </w:t>
      </w:r>
      <w:r w:rsidR="00A76E3F" w:rsidRPr="004F3644">
        <w:t xml:space="preserve">revise their commercial loan policies to address various aspects of the commercial lending activity. The commercial loan policy </w:t>
      </w:r>
      <w:r w:rsidR="00A76E3F" w:rsidRPr="004F3644">
        <w:lastRenderedPageBreak/>
        <w:t>should include identification of the types of business loans the credit union will make, qualifications and experience of personnel, portfolio concentration limits, underwriting standard, loan approval, and other risk management processes</w:t>
      </w:r>
      <w:r w:rsidR="00A76E3F">
        <w:t>.</w:t>
      </w:r>
      <w:r w:rsidR="00A76E3F" w:rsidRPr="004F3644">
        <w:t xml:space="preserve"> Requiring federally-insured credit unions to maintain commercial loan policies and procedures protects the safety and soundness of credit unions and the </w:t>
      </w:r>
      <w:r w:rsidR="00822DD4">
        <w:t>National Credit Union Share Insurance Fund (</w:t>
      </w:r>
      <w:r w:rsidR="00A76E3F" w:rsidRPr="004F3644">
        <w:t>NCUSIF</w:t>
      </w:r>
      <w:r w:rsidR="00822DD4">
        <w:t>).</w:t>
      </w:r>
      <w:r w:rsidR="00A76E3F">
        <w:t xml:space="preserve"> </w:t>
      </w:r>
    </w:p>
    <w:p w14:paraId="3C6F6503" w14:textId="77777777" w:rsidR="00A76E3F" w:rsidRDefault="00A76E3F" w:rsidP="0079683F">
      <w:pPr>
        <w:tabs>
          <w:tab w:val="left" w:pos="720"/>
        </w:tabs>
        <w:suppressAutoHyphens/>
        <w:ind w:left="720" w:hanging="720"/>
      </w:pPr>
    </w:p>
    <w:p w14:paraId="0622C1BC" w14:textId="7E81C0DE" w:rsidR="00A76E3F" w:rsidRDefault="0079683F" w:rsidP="0079683F">
      <w:pPr>
        <w:tabs>
          <w:tab w:val="left" w:pos="720"/>
        </w:tabs>
        <w:suppressAutoHyphens/>
        <w:ind w:left="720" w:hanging="720"/>
      </w:pPr>
      <w:r>
        <w:tab/>
      </w:r>
      <w:r w:rsidR="00A76E3F">
        <w:t>T</w:t>
      </w:r>
      <w:r w:rsidR="00A76E3F" w:rsidRPr="004F3644">
        <w:t xml:space="preserve">he proposed rule also requires </w:t>
      </w:r>
      <w:r w:rsidR="00A76E3F">
        <w:t xml:space="preserve">these </w:t>
      </w:r>
      <w:r w:rsidR="00A76E3F" w:rsidRPr="004F3644">
        <w:t xml:space="preserve">credit unions to implement a formal credit risk rating system to identify and quantify the level of risk within their commercial loan portfolio.  A </w:t>
      </w:r>
      <w:r w:rsidR="00A76E3F">
        <w:t>credit</w:t>
      </w:r>
      <w:r w:rsidR="00A76E3F" w:rsidRPr="004F3644">
        <w:t xml:space="preserve"> risk rating system is a standard industry practice utilized by commercial lenders, a longstanding NCUA supervisory expectation, and required by other regulators to monitor and quantify risk.</w:t>
      </w:r>
      <w:r w:rsidR="00A76E3F" w:rsidRPr="00A15138">
        <w:rPr>
          <w:rFonts w:eastAsia="Calibri"/>
          <w:color w:val="000000"/>
        </w:rPr>
        <w:t xml:space="preserve">  </w:t>
      </w:r>
      <w:r w:rsidR="00A76E3F" w:rsidRPr="004F3644">
        <w:t>As part of the examination process, the review of risk rating process helps prevent losses to credit unions and the NCUSIF</w:t>
      </w:r>
      <w:r w:rsidR="00822DD4">
        <w:t>.</w:t>
      </w:r>
    </w:p>
    <w:p w14:paraId="51D47C22" w14:textId="77777777" w:rsidR="003A0D60" w:rsidRPr="00E44F63" w:rsidRDefault="003A0D60" w:rsidP="0079683F">
      <w:pPr>
        <w:tabs>
          <w:tab w:val="left" w:pos="720"/>
        </w:tabs>
        <w:ind w:left="720" w:hanging="720"/>
      </w:pPr>
    </w:p>
    <w:p w14:paraId="5FAB0B4D" w14:textId="77777777" w:rsidR="003A0D60" w:rsidRDefault="003A0D60" w:rsidP="0079683F">
      <w:pPr>
        <w:pStyle w:val="ListParagraph"/>
        <w:numPr>
          <w:ilvl w:val="0"/>
          <w:numId w:val="3"/>
        </w:numPr>
        <w:tabs>
          <w:tab w:val="left" w:pos="720"/>
        </w:tabs>
        <w:ind w:left="720" w:hanging="720"/>
        <w:rPr>
          <w:b/>
        </w:rPr>
      </w:pPr>
      <w:r w:rsidRPr="00E44F63">
        <w:rPr>
          <w:b/>
        </w:rPr>
        <w:t>Consideration Given to Information Technology</w:t>
      </w:r>
    </w:p>
    <w:p w14:paraId="3FDD78D7" w14:textId="0B8C46E7" w:rsidR="003A0D60" w:rsidRPr="00631257" w:rsidRDefault="0079683F" w:rsidP="0079683F">
      <w:pPr>
        <w:tabs>
          <w:tab w:val="left" w:pos="720"/>
        </w:tabs>
        <w:ind w:left="720" w:hanging="720"/>
      </w:pPr>
      <w:r>
        <w:tab/>
      </w:r>
      <w:r w:rsidR="00A15138" w:rsidRPr="004F3644">
        <w:t>The collection of information does not involve the use of automated, electronic, mechanical or other technological collection techniques.</w:t>
      </w:r>
    </w:p>
    <w:p w14:paraId="2E71B137" w14:textId="77777777" w:rsidR="003A0D60" w:rsidRPr="00E44F63" w:rsidRDefault="003A0D60" w:rsidP="0079683F">
      <w:pPr>
        <w:tabs>
          <w:tab w:val="left" w:pos="720"/>
        </w:tabs>
        <w:ind w:left="720" w:hanging="720"/>
      </w:pPr>
    </w:p>
    <w:p w14:paraId="5AA84E0A" w14:textId="10A1C30A" w:rsidR="003A0D60" w:rsidRPr="00E44F63" w:rsidRDefault="003A0D60" w:rsidP="0079683F">
      <w:pPr>
        <w:pStyle w:val="ListParagraph"/>
        <w:numPr>
          <w:ilvl w:val="0"/>
          <w:numId w:val="3"/>
        </w:numPr>
        <w:tabs>
          <w:tab w:val="left" w:pos="720"/>
        </w:tabs>
        <w:ind w:left="720" w:hanging="720"/>
        <w:rPr>
          <w:b/>
        </w:rPr>
      </w:pPr>
      <w:r w:rsidRPr="00E44F63">
        <w:rPr>
          <w:b/>
        </w:rPr>
        <w:t xml:space="preserve">Duplication </w:t>
      </w:r>
    </w:p>
    <w:p w14:paraId="460D6FFC" w14:textId="1F88C4A4" w:rsidR="00A15138" w:rsidRPr="004F3644" w:rsidRDefault="0079683F" w:rsidP="0079683F">
      <w:pPr>
        <w:tabs>
          <w:tab w:val="left" w:pos="720"/>
        </w:tabs>
        <w:ind w:left="720" w:hanging="720"/>
      </w:pPr>
      <w:r>
        <w:tab/>
      </w:r>
      <w:r w:rsidR="00A15138" w:rsidRPr="004F3644">
        <w:t xml:space="preserve">The information collection is unique to each credit union and is not duplicated in other collection requirements.  </w:t>
      </w:r>
    </w:p>
    <w:p w14:paraId="358B00FF" w14:textId="77777777" w:rsidR="003A0D60" w:rsidRPr="00631257" w:rsidRDefault="003A0D60" w:rsidP="0079683F">
      <w:pPr>
        <w:pStyle w:val="ListParagraph"/>
        <w:tabs>
          <w:tab w:val="left" w:pos="720"/>
        </w:tabs>
        <w:suppressAutoHyphens/>
        <w:ind w:hanging="720"/>
      </w:pPr>
    </w:p>
    <w:p w14:paraId="30B20610" w14:textId="7B851B65" w:rsidR="003A0D60" w:rsidRPr="00E44F63" w:rsidRDefault="003A0D60" w:rsidP="0079683F">
      <w:pPr>
        <w:pStyle w:val="ListParagraph"/>
        <w:numPr>
          <w:ilvl w:val="0"/>
          <w:numId w:val="3"/>
        </w:numPr>
        <w:tabs>
          <w:tab w:val="left" w:pos="720"/>
        </w:tabs>
        <w:ind w:left="720" w:hanging="720"/>
        <w:rPr>
          <w:b/>
        </w:rPr>
      </w:pPr>
      <w:r>
        <w:rPr>
          <w:b/>
        </w:rPr>
        <w:t xml:space="preserve">Effect </w:t>
      </w:r>
      <w:r w:rsidRPr="00E44F63">
        <w:rPr>
          <w:b/>
        </w:rPr>
        <w:t>on Small Entities</w:t>
      </w:r>
    </w:p>
    <w:p w14:paraId="20967056" w14:textId="5CEC8E4F" w:rsidR="00A15138" w:rsidRPr="004F3644" w:rsidRDefault="0079683F" w:rsidP="0079683F">
      <w:pPr>
        <w:tabs>
          <w:tab w:val="left" w:pos="720"/>
        </w:tabs>
        <w:ind w:left="720" w:hanging="720"/>
      </w:pPr>
      <w:r>
        <w:tab/>
      </w:r>
      <w:r w:rsidR="00D9468E">
        <w:t>T</w:t>
      </w:r>
      <w:r w:rsidR="00D9468E">
        <w:rPr>
          <w:rFonts w:eastAsiaTheme="minorHAnsi"/>
          <w:color w:val="000000"/>
        </w:rPr>
        <w:t xml:space="preserve">he proposed rule </w:t>
      </w:r>
      <w:r w:rsidR="002728F3">
        <w:rPr>
          <w:rFonts w:eastAsiaTheme="minorHAnsi"/>
          <w:color w:val="000000"/>
        </w:rPr>
        <w:t>alleviates</w:t>
      </w:r>
      <w:r w:rsidR="00A76E3F">
        <w:rPr>
          <w:rFonts w:eastAsiaTheme="minorHAnsi"/>
          <w:color w:val="000000"/>
        </w:rPr>
        <w:t xml:space="preserve"> </w:t>
      </w:r>
      <w:r w:rsidR="00A76E3F">
        <w:rPr>
          <w:rFonts w:eastAsiaTheme="minorHAnsi"/>
        </w:rPr>
        <w:t>qualifying credit unions</w:t>
      </w:r>
      <w:r w:rsidR="002728F3" w:rsidRPr="00F412E7">
        <w:rPr>
          <w:rFonts w:eastAsiaTheme="minorHAnsi"/>
          <w:color w:val="000000"/>
        </w:rPr>
        <w:t xml:space="preserve"> </w:t>
      </w:r>
      <w:r w:rsidR="00A76E3F">
        <w:rPr>
          <w:rFonts w:eastAsiaTheme="minorHAnsi"/>
        </w:rPr>
        <w:t xml:space="preserve">which are only occasionally granting a commercial loan(s) from </w:t>
      </w:r>
      <w:r w:rsidR="00B15E4A">
        <w:t xml:space="preserve">the requirements of </w:t>
      </w:r>
      <w:r w:rsidR="00B15E4A" w:rsidRPr="00414529">
        <w:t>§723.</w:t>
      </w:r>
      <w:r w:rsidR="00B15E4A">
        <w:t>3</w:t>
      </w:r>
      <w:r w:rsidR="00B15E4A" w:rsidRPr="00414529">
        <w:t xml:space="preserve"> </w:t>
      </w:r>
      <w:r w:rsidR="00B15E4A">
        <w:t xml:space="preserve">and §723.4. </w:t>
      </w:r>
      <w:r w:rsidR="00D9468E">
        <w:rPr>
          <w:rFonts w:eastAsiaTheme="minorHAnsi"/>
          <w:color w:val="000000"/>
        </w:rPr>
        <w:t xml:space="preserve"> </w:t>
      </w:r>
      <w:r w:rsidR="00A15138" w:rsidRPr="004F3644">
        <w:t xml:space="preserve">Small credit unions </w:t>
      </w:r>
      <w:r w:rsidR="00EF40DF" w:rsidRPr="004F3644">
        <w:t xml:space="preserve">that </w:t>
      </w:r>
      <w:r w:rsidR="00EF40DF">
        <w:t>do</w:t>
      </w:r>
      <w:r w:rsidR="00D9468E">
        <w:t xml:space="preserve"> not qualify for the exemption</w:t>
      </w:r>
      <w:r w:rsidR="00EF40DF">
        <w:t xml:space="preserve"> may</w:t>
      </w:r>
      <w:r w:rsidR="00A15138" w:rsidRPr="004F3644">
        <w:t xml:space="preserve"> need to modify their commercial loan policies and </w:t>
      </w:r>
      <w:r w:rsidR="00EF40DF">
        <w:t>enhance their processes</w:t>
      </w:r>
      <w:r w:rsidR="00A15138" w:rsidRPr="004F3644">
        <w:t xml:space="preserve"> to </w:t>
      </w:r>
      <w:r w:rsidR="006270BF">
        <w:t>satisfy</w:t>
      </w:r>
      <w:r w:rsidR="006270BF" w:rsidRPr="004F3644">
        <w:t xml:space="preserve"> </w:t>
      </w:r>
      <w:r w:rsidR="00A15138" w:rsidRPr="004F3644">
        <w:t xml:space="preserve">the </w:t>
      </w:r>
      <w:r w:rsidR="006270BF">
        <w:t xml:space="preserve">new </w:t>
      </w:r>
      <w:r w:rsidR="00A15138" w:rsidRPr="004F3644">
        <w:t>requirement</w:t>
      </w:r>
      <w:r w:rsidR="006270BF">
        <w:t>s</w:t>
      </w:r>
      <w:r w:rsidR="00A15138" w:rsidRPr="004F3644">
        <w:t xml:space="preserve">. It is essential for </w:t>
      </w:r>
      <w:r w:rsidR="00D9468E">
        <w:t xml:space="preserve">these small </w:t>
      </w:r>
      <w:r w:rsidR="00A15138" w:rsidRPr="004F3644">
        <w:t xml:space="preserve">credit unions </w:t>
      </w:r>
      <w:r w:rsidR="002728F3">
        <w:t xml:space="preserve">that regularly conduct commercial lending activities </w:t>
      </w:r>
      <w:r w:rsidR="00A15138" w:rsidRPr="004F3644">
        <w:t>to develop and maintain appropriate loan policy/processes to ensure</w:t>
      </w:r>
      <w:r w:rsidR="002728F3">
        <w:t xml:space="preserve"> the safety and soundness of the institutions</w:t>
      </w:r>
      <w:r w:rsidR="00A15138" w:rsidRPr="004F3644">
        <w:t>.</w:t>
      </w:r>
    </w:p>
    <w:p w14:paraId="54980FDC" w14:textId="77777777" w:rsidR="003A0D60" w:rsidRPr="00631257" w:rsidRDefault="003A0D60" w:rsidP="0079683F">
      <w:pPr>
        <w:pStyle w:val="ListParagraph"/>
        <w:tabs>
          <w:tab w:val="left" w:pos="720"/>
        </w:tabs>
        <w:suppressAutoHyphens/>
        <w:ind w:hanging="720"/>
      </w:pPr>
    </w:p>
    <w:p w14:paraId="1663D7EB" w14:textId="3A95A396" w:rsidR="00A15138" w:rsidRPr="00A15138" w:rsidRDefault="003A0D60" w:rsidP="0079683F">
      <w:pPr>
        <w:pStyle w:val="ListParagraph"/>
        <w:numPr>
          <w:ilvl w:val="0"/>
          <w:numId w:val="3"/>
        </w:numPr>
        <w:tabs>
          <w:tab w:val="left" w:pos="720"/>
        </w:tabs>
        <w:ind w:left="720" w:hanging="720"/>
        <w:rPr>
          <w:b/>
        </w:rPr>
      </w:pPr>
      <w:r w:rsidRPr="00E44F63">
        <w:rPr>
          <w:b/>
        </w:rPr>
        <w:t xml:space="preserve">Consequences of Not Conducting Collection </w:t>
      </w:r>
      <w:r>
        <w:tab/>
      </w:r>
    </w:p>
    <w:p w14:paraId="13B479F5" w14:textId="7A1C5885" w:rsidR="003A0D60" w:rsidRDefault="0079683F" w:rsidP="0079683F">
      <w:pPr>
        <w:pStyle w:val="ListParagraph"/>
        <w:tabs>
          <w:tab w:val="left" w:pos="720"/>
        </w:tabs>
        <w:suppressAutoHyphens/>
        <w:ind w:hanging="720"/>
      </w:pPr>
      <w:r>
        <w:tab/>
      </w:r>
      <w:r w:rsidR="000854BD">
        <w:t>C</w:t>
      </w:r>
      <w:r w:rsidR="000854BD" w:rsidRPr="00FA23B9">
        <w:t>ommercial l</w:t>
      </w:r>
      <w:r w:rsidR="000854BD">
        <w:t>ending is complex and involves different risks than consumer lending. C</w:t>
      </w:r>
      <w:r w:rsidR="000854BD">
        <w:rPr>
          <w:rFonts w:cs="Calibri"/>
        </w:rPr>
        <w:t>redit unions that are</w:t>
      </w:r>
      <w:r w:rsidR="00DC1279">
        <w:rPr>
          <w:rFonts w:cs="Calibri"/>
        </w:rPr>
        <w:t xml:space="preserve"> </w:t>
      </w:r>
      <w:r w:rsidR="000854BD">
        <w:rPr>
          <w:rFonts w:cs="Calibri"/>
        </w:rPr>
        <w:t xml:space="preserve">lack of appropriate commercial risk management policies and processes </w:t>
      </w:r>
      <w:r w:rsidR="00DC1279">
        <w:rPr>
          <w:rFonts w:cs="Calibri"/>
        </w:rPr>
        <w:t>may lead to their</w:t>
      </w:r>
      <w:r w:rsidR="000854BD">
        <w:rPr>
          <w:rFonts w:cs="Calibri"/>
        </w:rPr>
        <w:t xml:space="preserve"> </w:t>
      </w:r>
      <w:r w:rsidR="00DC1279">
        <w:rPr>
          <w:rFonts w:cs="Calibri"/>
        </w:rPr>
        <w:t>failures</w:t>
      </w:r>
      <w:r w:rsidR="000854BD">
        <w:rPr>
          <w:rFonts w:cs="Calibri"/>
        </w:rPr>
        <w:t xml:space="preserve"> and in some cases, losses to the National Credit Union Share Insurance Fund</w:t>
      </w:r>
      <w:r w:rsidR="00DC1279">
        <w:rPr>
          <w:rFonts w:cs="Calibri"/>
        </w:rPr>
        <w:t>.</w:t>
      </w:r>
    </w:p>
    <w:p w14:paraId="3F9F48F9" w14:textId="77777777" w:rsidR="000854BD" w:rsidRPr="00E44F63" w:rsidRDefault="000854BD" w:rsidP="0079683F">
      <w:pPr>
        <w:pStyle w:val="ListParagraph"/>
        <w:tabs>
          <w:tab w:val="left" w:pos="720"/>
        </w:tabs>
        <w:suppressAutoHyphens/>
        <w:ind w:hanging="720"/>
      </w:pPr>
    </w:p>
    <w:p w14:paraId="0DB76EB2" w14:textId="40995469" w:rsidR="003A0D60" w:rsidRDefault="003A0D60" w:rsidP="0079683F">
      <w:pPr>
        <w:pStyle w:val="ListParagraph"/>
        <w:numPr>
          <w:ilvl w:val="0"/>
          <w:numId w:val="3"/>
        </w:numPr>
        <w:tabs>
          <w:tab w:val="left" w:pos="720"/>
        </w:tabs>
        <w:ind w:left="720" w:hanging="720"/>
        <w:rPr>
          <w:b/>
        </w:rPr>
      </w:pPr>
      <w:r>
        <w:rPr>
          <w:b/>
        </w:rPr>
        <w:t>Inconsistencies with Guidelines in 5 CFR 1320.5(d)(2)</w:t>
      </w:r>
    </w:p>
    <w:p w14:paraId="49AE2301" w14:textId="473CAB32" w:rsidR="003A0D60" w:rsidRDefault="0079683F" w:rsidP="0079683F">
      <w:pPr>
        <w:pStyle w:val="ListParagraph"/>
        <w:tabs>
          <w:tab w:val="left" w:pos="720"/>
        </w:tabs>
        <w:ind w:hanging="720"/>
      </w:pPr>
      <w:r>
        <w:tab/>
      </w:r>
      <w:r w:rsidR="003A0D60">
        <w:t xml:space="preserve">There are no special circumstances. </w:t>
      </w:r>
      <w:r w:rsidR="00CA1AFB">
        <w:t xml:space="preserve"> </w:t>
      </w:r>
      <w:r w:rsidR="003A0D60">
        <w:t xml:space="preserve">This collection is consistent with the guidelines in 5 CFR </w:t>
      </w:r>
      <w:r w:rsidR="00A15138">
        <w:t>1320.5(d)(2).</w:t>
      </w:r>
    </w:p>
    <w:p w14:paraId="3881AF09" w14:textId="77777777" w:rsidR="003A0D60" w:rsidRPr="00E44F63" w:rsidRDefault="003A0D60" w:rsidP="0079683F">
      <w:pPr>
        <w:pStyle w:val="ListParagraph"/>
        <w:tabs>
          <w:tab w:val="left" w:pos="720"/>
        </w:tabs>
        <w:ind w:hanging="720"/>
        <w:rPr>
          <w:b/>
        </w:rPr>
      </w:pPr>
    </w:p>
    <w:p w14:paraId="6224C5A8" w14:textId="77777777" w:rsidR="003A0D60" w:rsidRDefault="003A0D60" w:rsidP="0079683F">
      <w:pPr>
        <w:pStyle w:val="ListParagraph"/>
        <w:numPr>
          <w:ilvl w:val="0"/>
          <w:numId w:val="3"/>
        </w:numPr>
        <w:tabs>
          <w:tab w:val="left" w:pos="720"/>
        </w:tabs>
        <w:ind w:left="720" w:hanging="720"/>
        <w:rPr>
          <w:b/>
        </w:rPr>
      </w:pPr>
      <w:r w:rsidRPr="00E44F63">
        <w:rPr>
          <w:b/>
        </w:rPr>
        <w:t>Consultations Outside the Agency</w:t>
      </w:r>
    </w:p>
    <w:p w14:paraId="0970D062" w14:textId="3A6415FA" w:rsidR="003A0D60" w:rsidRDefault="0079683F" w:rsidP="003671EB">
      <w:pPr>
        <w:tabs>
          <w:tab w:val="left" w:pos="720"/>
        </w:tabs>
        <w:ind w:left="720" w:hanging="720"/>
        <w:rPr>
          <w:bCs/>
          <w:i/>
        </w:rPr>
      </w:pPr>
      <w:r>
        <w:tab/>
      </w:r>
      <w:r w:rsidR="003671EB">
        <w:t xml:space="preserve">A notice of proposed rulemaking (NPRM) was published July 1, 2015, at 80 FR 37898, soliciting comments under this </w:t>
      </w:r>
      <w:r w:rsidR="00010B9E">
        <w:t>NPRM and related information collection requirements</w:t>
      </w:r>
      <w:r w:rsidR="003671EB">
        <w:t xml:space="preserve">.  </w:t>
      </w:r>
      <w:r w:rsidR="00010B9E">
        <w:t xml:space="preserve">A subsequent information collection submission will be made </w:t>
      </w:r>
      <w:r w:rsidR="00CA1AFB">
        <w:t xml:space="preserve">addressing the </w:t>
      </w:r>
      <w:r w:rsidR="00010B9E">
        <w:t xml:space="preserve">final rule. </w:t>
      </w:r>
    </w:p>
    <w:p w14:paraId="0B93E85B" w14:textId="77777777" w:rsidR="003A0D60" w:rsidRPr="00E44F63" w:rsidRDefault="003A0D60" w:rsidP="0079683F">
      <w:pPr>
        <w:pStyle w:val="ListParagraph"/>
        <w:tabs>
          <w:tab w:val="left" w:pos="720"/>
        </w:tabs>
        <w:ind w:hanging="720"/>
        <w:rPr>
          <w:b/>
        </w:rPr>
      </w:pPr>
    </w:p>
    <w:p w14:paraId="7F2526CF" w14:textId="0F1B01DC" w:rsidR="006923ED" w:rsidRPr="00A15138" w:rsidRDefault="003A0D60" w:rsidP="0079683F">
      <w:pPr>
        <w:pStyle w:val="ListParagraph"/>
        <w:numPr>
          <w:ilvl w:val="0"/>
          <w:numId w:val="3"/>
        </w:numPr>
        <w:tabs>
          <w:tab w:val="left" w:pos="720"/>
        </w:tabs>
        <w:ind w:left="720" w:hanging="720"/>
        <w:rPr>
          <w:b/>
        </w:rPr>
      </w:pPr>
      <w:r w:rsidRPr="00E44F63">
        <w:rPr>
          <w:b/>
        </w:rPr>
        <w:lastRenderedPageBreak/>
        <w:t>Payment or Gift</w:t>
      </w:r>
    </w:p>
    <w:p w14:paraId="4F4EC730" w14:textId="4B6227B4" w:rsidR="006923ED" w:rsidRDefault="0079683F" w:rsidP="0079683F">
      <w:pPr>
        <w:tabs>
          <w:tab w:val="left" w:pos="720"/>
        </w:tabs>
        <w:suppressAutoHyphens/>
        <w:ind w:left="720" w:hanging="720"/>
      </w:pPr>
      <w:r>
        <w:tab/>
      </w:r>
      <w:r w:rsidR="006923ED">
        <w:t>There is no intent by NCUA to provide payment or gi</w:t>
      </w:r>
      <w:r w:rsidR="00A15138">
        <w:t>fts for information collected.</w:t>
      </w:r>
    </w:p>
    <w:p w14:paraId="702DC38F" w14:textId="77777777" w:rsidR="003A0D60" w:rsidRPr="00E44F63" w:rsidRDefault="003A0D60" w:rsidP="0079683F">
      <w:pPr>
        <w:tabs>
          <w:tab w:val="left" w:pos="720"/>
        </w:tabs>
        <w:ind w:left="720" w:hanging="720"/>
      </w:pPr>
    </w:p>
    <w:p w14:paraId="2F59671F" w14:textId="77777777" w:rsidR="00A15138" w:rsidRDefault="003A0D60" w:rsidP="0079683F">
      <w:pPr>
        <w:pStyle w:val="ListParagraph"/>
        <w:numPr>
          <w:ilvl w:val="0"/>
          <w:numId w:val="3"/>
        </w:numPr>
        <w:tabs>
          <w:tab w:val="left" w:pos="720"/>
        </w:tabs>
        <w:ind w:left="720" w:hanging="720"/>
        <w:rPr>
          <w:b/>
        </w:rPr>
      </w:pPr>
      <w:r w:rsidRPr="00E44F63">
        <w:rPr>
          <w:b/>
        </w:rPr>
        <w:t xml:space="preserve">Confidentiality </w:t>
      </w:r>
    </w:p>
    <w:p w14:paraId="68D25544" w14:textId="0F99F4B8" w:rsidR="003A0D60" w:rsidRPr="00A15138" w:rsidRDefault="0079683F" w:rsidP="0079683F">
      <w:pPr>
        <w:pStyle w:val="ListParagraph"/>
        <w:tabs>
          <w:tab w:val="left" w:pos="720"/>
        </w:tabs>
        <w:ind w:hanging="720"/>
        <w:rPr>
          <w:b/>
        </w:rPr>
      </w:pPr>
      <w:r>
        <w:tab/>
      </w:r>
      <w:r w:rsidR="006923ED" w:rsidRPr="006923ED">
        <w:t>Credit union examination reports and any documents related thereto are exempt from the Freedom of Information Act disclosure, pursuant to e</w:t>
      </w:r>
      <w:r w:rsidR="00A15138">
        <w:t>xemption 8, 5 U.S.C. 552(b)(8).</w:t>
      </w:r>
    </w:p>
    <w:p w14:paraId="681DFDD3" w14:textId="77777777" w:rsidR="003A0D60" w:rsidRPr="00E44F63" w:rsidRDefault="003A0D60" w:rsidP="0079683F">
      <w:pPr>
        <w:tabs>
          <w:tab w:val="left" w:pos="720"/>
        </w:tabs>
        <w:ind w:left="720" w:hanging="720"/>
      </w:pPr>
      <w:r>
        <w:tab/>
      </w:r>
    </w:p>
    <w:p w14:paraId="619F659C" w14:textId="77777777" w:rsidR="003A0D60" w:rsidRPr="00E44F63" w:rsidRDefault="003A0D60" w:rsidP="0079683F">
      <w:pPr>
        <w:pStyle w:val="ListParagraph"/>
        <w:numPr>
          <w:ilvl w:val="0"/>
          <w:numId w:val="3"/>
        </w:numPr>
        <w:tabs>
          <w:tab w:val="left" w:pos="720"/>
        </w:tabs>
        <w:ind w:left="720" w:hanging="720"/>
        <w:rPr>
          <w:b/>
        </w:rPr>
      </w:pPr>
      <w:r w:rsidRPr="00E44F63">
        <w:rPr>
          <w:b/>
        </w:rPr>
        <w:t xml:space="preserve">Sensitive </w:t>
      </w:r>
      <w:r>
        <w:rPr>
          <w:b/>
        </w:rPr>
        <w:t>Questions</w:t>
      </w:r>
    </w:p>
    <w:p w14:paraId="191E1E83" w14:textId="2DE5C31F" w:rsidR="003A0D60" w:rsidRPr="00A15138" w:rsidRDefault="003A0D60" w:rsidP="0079683F">
      <w:pPr>
        <w:pStyle w:val="ListParagraph"/>
        <w:tabs>
          <w:tab w:val="left" w:pos="720"/>
        </w:tabs>
        <w:suppressAutoHyphens/>
        <w:ind w:hanging="720"/>
        <w:rPr>
          <w:bCs/>
          <w:i/>
        </w:rPr>
      </w:pPr>
      <w:r>
        <w:tab/>
      </w:r>
      <w:r w:rsidRPr="00891304">
        <w:rPr>
          <w:spacing w:val="-3"/>
        </w:rPr>
        <w:t>No questions of a sensitive nature are asked.</w:t>
      </w:r>
      <w:r>
        <w:rPr>
          <w:spacing w:val="-3"/>
        </w:rPr>
        <w:t xml:space="preserve">  </w:t>
      </w:r>
      <w:r>
        <w:t xml:space="preserve">The information collection does not collect any Personally </w:t>
      </w:r>
      <w:r w:rsidR="00A15138">
        <w:t>Identifiable Information (PII).</w:t>
      </w:r>
    </w:p>
    <w:p w14:paraId="3385360C" w14:textId="77777777" w:rsidR="003A0D60" w:rsidRDefault="003A0D60" w:rsidP="0079683F">
      <w:pPr>
        <w:tabs>
          <w:tab w:val="left" w:pos="720"/>
        </w:tabs>
        <w:ind w:left="720" w:hanging="720"/>
      </w:pPr>
    </w:p>
    <w:p w14:paraId="6C1B02F0" w14:textId="77777777" w:rsidR="003A0D60" w:rsidRDefault="003A0D60" w:rsidP="0079683F">
      <w:pPr>
        <w:pStyle w:val="ListParagraph"/>
        <w:numPr>
          <w:ilvl w:val="0"/>
          <w:numId w:val="3"/>
        </w:numPr>
        <w:tabs>
          <w:tab w:val="left" w:pos="720"/>
        </w:tabs>
        <w:ind w:left="720" w:hanging="720"/>
        <w:rPr>
          <w:b/>
        </w:rPr>
      </w:pPr>
      <w:r w:rsidRPr="00E44F63">
        <w:rPr>
          <w:b/>
        </w:rPr>
        <w:t>Burden of Information Collection</w:t>
      </w:r>
    </w:p>
    <w:p w14:paraId="74493033" w14:textId="77777777" w:rsidR="00A15138" w:rsidRPr="00010B9E" w:rsidRDefault="00A15138" w:rsidP="0079683F">
      <w:pPr>
        <w:tabs>
          <w:tab w:val="left" w:pos="720"/>
        </w:tabs>
        <w:ind w:left="720" w:hanging="720"/>
        <w:rPr>
          <w:b/>
        </w:rPr>
      </w:pPr>
    </w:p>
    <w:p w14:paraId="7B71DF28" w14:textId="77777777" w:rsidR="001C53F0" w:rsidRPr="00010B9E" w:rsidRDefault="001C53F0" w:rsidP="0079683F">
      <w:pPr>
        <w:pStyle w:val="ListParagraph"/>
        <w:numPr>
          <w:ilvl w:val="1"/>
          <w:numId w:val="3"/>
        </w:numPr>
        <w:ind w:left="1170" w:hanging="450"/>
        <w:rPr>
          <w:b/>
        </w:rPr>
      </w:pPr>
      <w:r w:rsidRPr="00010B9E">
        <w:rPr>
          <w:b/>
        </w:rPr>
        <w:t xml:space="preserve">Revising commercial loan policies and procedures. </w:t>
      </w:r>
    </w:p>
    <w:p w14:paraId="0F7AF428" w14:textId="5CD53209" w:rsidR="00A15138" w:rsidRPr="001C53F0" w:rsidRDefault="0079683F" w:rsidP="000E58A6">
      <w:pPr>
        <w:pStyle w:val="ListParagraph"/>
        <w:ind w:left="1170" w:hanging="450"/>
        <w:rPr>
          <w:b/>
        </w:rPr>
      </w:pPr>
      <w:r>
        <w:tab/>
      </w:r>
      <w:r w:rsidR="00A15138" w:rsidRPr="004F3644">
        <w:t xml:space="preserve">Under the proposed rule, credit unions that are engaged in business lending </w:t>
      </w:r>
      <w:r w:rsidR="00C74921" w:rsidRPr="004F3644">
        <w:t>activities</w:t>
      </w:r>
      <w:r w:rsidR="00C74921">
        <w:t xml:space="preserve"> and not exempted from </w:t>
      </w:r>
      <w:r w:rsidR="00C74921" w:rsidRPr="00414529">
        <w:t>§723.</w:t>
      </w:r>
      <w:r w:rsidR="00C74921">
        <w:t>3</w:t>
      </w:r>
      <w:r w:rsidR="00C74921" w:rsidRPr="00414529">
        <w:t xml:space="preserve"> </w:t>
      </w:r>
      <w:r w:rsidR="00C74921">
        <w:t xml:space="preserve">and §723.4 </w:t>
      </w:r>
      <w:r w:rsidR="001A16A6">
        <w:t>may</w:t>
      </w:r>
      <w:r w:rsidR="00A15138" w:rsidRPr="004F3644">
        <w:t xml:space="preserve"> need to revise their loan policies and procedures.  A</w:t>
      </w:r>
      <w:r w:rsidR="00E5557E">
        <w:t>t</w:t>
      </w:r>
      <w:r w:rsidR="00A15138" w:rsidRPr="004F3644">
        <w:t xml:space="preserve"> the end of 2014, there were a total of </w:t>
      </w:r>
      <w:r w:rsidR="00C74921">
        <w:t>1</w:t>
      </w:r>
      <w:r w:rsidR="00A15138" w:rsidRPr="004F3644">
        <w:t>,</w:t>
      </w:r>
      <w:r w:rsidR="00C74921">
        <w:t>553</w:t>
      </w:r>
      <w:r w:rsidR="00A15138" w:rsidRPr="004F3644">
        <w:t xml:space="preserve"> </w:t>
      </w:r>
      <w:r w:rsidR="00E5557E">
        <w:t>FICUs</w:t>
      </w:r>
      <w:r w:rsidR="00A15138" w:rsidRPr="004F3644">
        <w:t xml:space="preserve"> </w:t>
      </w:r>
      <w:r w:rsidR="001A16A6">
        <w:t>that may need to revise their policies</w:t>
      </w:r>
      <w:r w:rsidR="00A15138" w:rsidRPr="004F3644">
        <w:t xml:space="preserve">.  For purposes of this analysis, NCUA estimates that it will take roughly 16 hours for a credit union to meet this requirement.  </w:t>
      </w:r>
      <w:r w:rsidR="00CA1AFB" w:rsidRPr="004F3644">
        <w:t xml:space="preserve">Using these estimates, information collection obligations imposed by this aspect </w:t>
      </w:r>
      <w:r w:rsidR="00CA1AFB">
        <w:t>of the rule are analyzed below.</w:t>
      </w:r>
    </w:p>
    <w:p w14:paraId="76699343" w14:textId="6EFD6A30" w:rsidR="00E722B4" w:rsidRDefault="00E722B4" w:rsidP="000E58A6">
      <w:pPr>
        <w:rPr>
          <w:b/>
        </w:rPr>
      </w:pPr>
    </w:p>
    <w:p w14:paraId="40E3CBCD" w14:textId="25BD9E2B" w:rsidR="001C53F0" w:rsidRPr="00E722B4" w:rsidRDefault="001C53F0" w:rsidP="000E58A6">
      <w:pPr>
        <w:pStyle w:val="ListParagraph"/>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b/>
        </w:rPr>
      </w:pPr>
      <w:r w:rsidRPr="00E722B4">
        <w:rPr>
          <w:b/>
        </w:rPr>
        <w:t xml:space="preserve">Developing formal risk rating system. </w:t>
      </w:r>
    </w:p>
    <w:p w14:paraId="5AA50991" w14:textId="6E736AC1" w:rsidR="00A15138" w:rsidRPr="004F3644" w:rsidRDefault="0079683F" w:rsidP="000E58A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pPr>
      <w:r>
        <w:tab/>
      </w:r>
      <w:r w:rsidR="00A15138" w:rsidRPr="004F3644">
        <w:t xml:space="preserve">The proposed rule also requires credit unions </w:t>
      </w:r>
      <w:r w:rsidR="00C74921" w:rsidRPr="004F3644">
        <w:t>that are engaged in business lending activities</w:t>
      </w:r>
      <w:r w:rsidR="00C74921">
        <w:t xml:space="preserve"> and not exempted from </w:t>
      </w:r>
      <w:r w:rsidR="00C74921" w:rsidRPr="00414529">
        <w:t>§723.</w:t>
      </w:r>
      <w:r w:rsidR="00C74921">
        <w:t>3</w:t>
      </w:r>
      <w:r w:rsidR="00C74921" w:rsidRPr="00414529">
        <w:t xml:space="preserve"> </w:t>
      </w:r>
      <w:r w:rsidR="00C74921">
        <w:t xml:space="preserve">and §723.4 </w:t>
      </w:r>
      <w:r w:rsidR="00A15138" w:rsidRPr="004F3644">
        <w:t xml:space="preserve">to develop a formal risk rating system to quantify and manage risks associated with their business lending activities.  The majority of credit unions already have risk rating systems in place.  Based on a survey of NCUA field staff, NCUA estimates that a total of </w:t>
      </w:r>
      <w:r w:rsidR="00C74921">
        <w:t>142</w:t>
      </w:r>
      <w:r w:rsidR="00A15138" w:rsidRPr="004F3644">
        <w:t xml:space="preserve"> </w:t>
      </w:r>
      <w:r w:rsidR="001C53F0">
        <w:t>FICUs</w:t>
      </w:r>
      <w:r w:rsidR="00A15138" w:rsidRPr="004F3644">
        <w:t xml:space="preserve"> do not currently have a formal risk rating system.  The information collection obligations imposed by this aspect of the rule are analyzed below.</w:t>
      </w:r>
    </w:p>
    <w:p w14:paraId="6EC875CA" w14:textId="79ED6E44" w:rsidR="00A15138" w:rsidRDefault="00A15138" w:rsidP="0079683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pPr>
    </w:p>
    <w:tbl>
      <w:tblPr>
        <w:tblStyle w:val="TableGrid"/>
        <w:tblW w:w="9180" w:type="dxa"/>
        <w:tblInd w:w="715" w:type="dxa"/>
        <w:tblLook w:val="04A0" w:firstRow="1" w:lastRow="0" w:firstColumn="1" w:lastColumn="0" w:noHBand="0" w:noVBand="1"/>
      </w:tblPr>
      <w:tblGrid>
        <w:gridCol w:w="2430"/>
        <w:gridCol w:w="1440"/>
        <w:gridCol w:w="1350"/>
        <w:gridCol w:w="1080"/>
        <w:gridCol w:w="1170"/>
        <w:gridCol w:w="1710"/>
      </w:tblGrid>
      <w:tr w:rsidR="00FC715A" w14:paraId="67583DE0" w14:textId="7D82F74E" w:rsidTr="00CA1AFB">
        <w:tc>
          <w:tcPr>
            <w:tcW w:w="2430" w:type="dxa"/>
            <w:tcBorders>
              <w:top w:val="nil"/>
              <w:left w:val="nil"/>
              <w:bottom w:val="single" w:sz="4" w:space="0" w:color="auto"/>
              <w:right w:val="single" w:sz="4" w:space="0" w:color="auto"/>
            </w:tcBorders>
          </w:tcPr>
          <w:p w14:paraId="5E89807A" w14:textId="77777777" w:rsidR="00FC715A" w:rsidRDefault="00FC715A" w:rsidP="00CA1AFB">
            <w:pPr>
              <w:suppressAutoHyphens/>
              <w:ind w:firstLine="720"/>
            </w:pPr>
          </w:p>
        </w:tc>
        <w:tc>
          <w:tcPr>
            <w:tcW w:w="1440" w:type="dxa"/>
            <w:tcBorders>
              <w:left w:val="single" w:sz="4" w:space="0" w:color="auto"/>
            </w:tcBorders>
            <w:vAlign w:val="center"/>
          </w:tcPr>
          <w:p w14:paraId="5C12AC0C" w14:textId="073C3CEC" w:rsidR="00FC715A" w:rsidRPr="00CA1AFB" w:rsidRDefault="00FC715A" w:rsidP="00FC715A">
            <w:pPr>
              <w:suppressAutoHyphens/>
              <w:jc w:val="center"/>
              <w:rPr>
                <w:sz w:val="18"/>
                <w:szCs w:val="18"/>
              </w:rPr>
            </w:pPr>
            <w:r w:rsidRPr="00CA1AFB">
              <w:rPr>
                <w:rFonts w:ascii="Arial Narrow" w:hAnsi="Arial Narrow"/>
                <w:sz w:val="18"/>
                <w:szCs w:val="18"/>
              </w:rPr>
              <w:t>No. Respondent</w:t>
            </w:r>
          </w:p>
        </w:tc>
        <w:tc>
          <w:tcPr>
            <w:tcW w:w="1350" w:type="dxa"/>
            <w:vAlign w:val="center"/>
          </w:tcPr>
          <w:p w14:paraId="535F3F7F" w14:textId="2CF9D87E" w:rsidR="00FC715A" w:rsidRPr="00CA1AFB" w:rsidRDefault="00FC715A" w:rsidP="00FC715A">
            <w:pPr>
              <w:suppressAutoHyphens/>
              <w:jc w:val="center"/>
              <w:rPr>
                <w:sz w:val="18"/>
                <w:szCs w:val="18"/>
              </w:rPr>
            </w:pPr>
            <w:r w:rsidRPr="00CA1AFB">
              <w:rPr>
                <w:rFonts w:ascii="Arial Narrow" w:hAnsi="Arial Narrow"/>
                <w:sz w:val="18"/>
                <w:szCs w:val="18"/>
              </w:rPr>
              <w:t>No. Responses Per Respondent</w:t>
            </w:r>
          </w:p>
        </w:tc>
        <w:tc>
          <w:tcPr>
            <w:tcW w:w="1080" w:type="dxa"/>
            <w:vAlign w:val="center"/>
          </w:tcPr>
          <w:p w14:paraId="0813BDA3" w14:textId="07F31A71" w:rsidR="00FC715A" w:rsidRPr="00CA1AFB" w:rsidRDefault="00FC715A" w:rsidP="00FC715A">
            <w:pPr>
              <w:suppressAutoHyphens/>
              <w:jc w:val="center"/>
              <w:rPr>
                <w:sz w:val="18"/>
                <w:szCs w:val="18"/>
              </w:rPr>
            </w:pPr>
            <w:r w:rsidRPr="00CA1AFB">
              <w:rPr>
                <w:rFonts w:ascii="Arial Narrow" w:hAnsi="Arial Narrow"/>
                <w:sz w:val="18"/>
                <w:szCs w:val="18"/>
              </w:rPr>
              <w:t>Hours Per Response</w:t>
            </w:r>
          </w:p>
        </w:tc>
        <w:tc>
          <w:tcPr>
            <w:tcW w:w="1170" w:type="dxa"/>
            <w:vAlign w:val="center"/>
          </w:tcPr>
          <w:p w14:paraId="785EC92A" w14:textId="6DD76EAD" w:rsidR="00FC715A" w:rsidRPr="00CA1AFB" w:rsidRDefault="00FC715A" w:rsidP="00FC715A">
            <w:pPr>
              <w:suppressAutoHyphens/>
              <w:jc w:val="center"/>
              <w:rPr>
                <w:sz w:val="18"/>
                <w:szCs w:val="18"/>
              </w:rPr>
            </w:pPr>
            <w:r w:rsidRPr="00CA1AFB">
              <w:rPr>
                <w:rFonts w:ascii="Arial Narrow" w:hAnsi="Arial Narrow"/>
                <w:sz w:val="18"/>
                <w:szCs w:val="18"/>
              </w:rPr>
              <w:t>Total Burden Hours</w:t>
            </w:r>
          </w:p>
        </w:tc>
        <w:tc>
          <w:tcPr>
            <w:tcW w:w="1710" w:type="dxa"/>
            <w:vAlign w:val="center"/>
          </w:tcPr>
          <w:p w14:paraId="24565669" w14:textId="1C321618" w:rsidR="00FC715A" w:rsidRPr="00CA1AFB" w:rsidRDefault="00FC715A" w:rsidP="00FC715A">
            <w:pPr>
              <w:suppressAutoHyphens/>
              <w:jc w:val="center"/>
              <w:rPr>
                <w:rFonts w:ascii="Arial Narrow" w:hAnsi="Arial Narrow"/>
                <w:sz w:val="18"/>
                <w:szCs w:val="18"/>
              </w:rPr>
            </w:pPr>
            <w:r w:rsidRPr="00CA1AFB">
              <w:rPr>
                <w:rFonts w:ascii="Arial Narrow" w:hAnsi="Arial Narrow"/>
                <w:sz w:val="18"/>
                <w:szCs w:val="18"/>
              </w:rPr>
              <w:t>Cost to Respondent (based on $33.00 hourly wage)</w:t>
            </w:r>
          </w:p>
        </w:tc>
      </w:tr>
      <w:tr w:rsidR="00FC715A" w14:paraId="666CE071" w14:textId="1F3DC35A" w:rsidTr="00CA1AFB">
        <w:tc>
          <w:tcPr>
            <w:tcW w:w="2430" w:type="dxa"/>
            <w:tcBorders>
              <w:top w:val="single" w:sz="4" w:space="0" w:color="auto"/>
            </w:tcBorders>
          </w:tcPr>
          <w:p w14:paraId="3F4AB0B0" w14:textId="5E24DE08" w:rsidR="00FC715A" w:rsidRDefault="00FC715A" w:rsidP="00FC715A">
            <w:pPr>
              <w:suppressAutoHyphens/>
            </w:pPr>
            <w:r w:rsidRPr="005B4E83">
              <w:rPr>
                <w:color w:val="000000" w:themeColor="text1"/>
                <w:sz w:val="20"/>
                <w:szCs w:val="20"/>
              </w:rPr>
              <w:t>Revising commercial loan policies and procedures</w:t>
            </w:r>
          </w:p>
        </w:tc>
        <w:tc>
          <w:tcPr>
            <w:tcW w:w="1440" w:type="dxa"/>
            <w:vAlign w:val="center"/>
          </w:tcPr>
          <w:p w14:paraId="2F692283" w14:textId="3CD548DA" w:rsidR="00FC715A" w:rsidRDefault="00FC715A" w:rsidP="00FC715A">
            <w:pPr>
              <w:suppressAutoHyphens/>
              <w:jc w:val="right"/>
            </w:pPr>
            <w:r>
              <w:t>1,553</w:t>
            </w:r>
          </w:p>
        </w:tc>
        <w:tc>
          <w:tcPr>
            <w:tcW w:w="1350" w:type="dxa"/>
            <w:vAlign w:val="center"/>
          </w:tcPr>
          <w:p w14:paraId="6F5DB582" w14:textId="559A19CD" w:rsidR="00FC715A" w:rsidRDefault="00FC715A" w:rsidP="00FC715A">
            <w:pPr>
              <w:suppressAutoHyphens/>
              <w:jc w:val="right"/>
            </w:pPr>
            <w:r>
              <w:t>1</w:t>
            </w:r>
          </w:p>
        </w:tc>
        <w:tc>
          <w:tcPr>
            <w:tcW w:w="1080" w:type="dxa"/>
            <w:vAlign w:val="center"/>
          </w:tcPr>
          <w:p w14:paraId="790925B9" w14:textId="13DCA31E" w:rsidR="00FC715A" w:rsidRDefault="00FC715A" w:rsidP="00FC715A">
            <w:pPr>
              <w:suppressAutoHyphens/>
              <w:jc w:val="right"/>
            </w:pPr>
            <w:r>
              <w:t>16</w:t>
            </w:r>
          </w:p>
        </w:tc>
        <w:tc>
          <w:tcPr>
            <w:tcW w:w="1170" w:type="dxa"/>
            <w:vAlign w:val="center"/>
          </w:tcPr>
          <w:p w14:paraId="6EF920D1" w14:textId="358FF3F9" w:rsidR="00FC715A" w:rsidRDefault="00FC715A" w:rsidP="00FC715A">
            <w:pPr>
              <w:suppressAutoHyphens/>
              <w:jc w:val="right"/>
            </w:pPr>
            <w:r>
              <w:t>24,848</w:t>
            </w:r>
          </w:p>
        </w:tc>
        <w:tc>
          <w:tcPr>
            <w:tcW w:w="1710" w:type="dxa"/>
            <w:vAlign w:val="center"/>
          </w:tcPr>
          <w:p w14:paraId="1F7C18EE" w14:textId="4DE7B69F" w:rsidR="00FC715A" w:rsidRDefault="00FC715A" w:rsidP="00CA1AFB">
            <w:pPr>
              <w:suppressAutoHyphens/>
              <w:jc w:val="right"/>
            </w:pPr>
            <w:r>
              <w:t>$</w:t>
            </w:r>
            <w:r w:rsidR="00CA1AFB">
              <w:t>819,984.00</w:t>
            </w:r>
          </w:p>
        </w:tc>
      </w:tr>
      <w:tr w:rsidR="00FC715A" w14:paraId="2039FC12" w14:textId="76D53601" w:rsidTr="00CA1AFB">
        <w:tc>
          <w:tcPr>
            <w:tcW w:w="2430" w:type="dxa"/>
            <w:tcBorders>
              <w:bottom w:val="single" w:sz="12" w:space="0" w:color="auto"/>
            </w:tcBorders>
          </w:tcPr>
          <w:p w14:paraId="79EB4C41" w14:textId="46D6E328" w:rsidR="00FC715A" w:rsidRDefault="00FC715A" w:rsidP="00FC715A">
            <w:pPr>
              <w:suppressAutoHyphens/>
            </w:pPr>
            <w:r w:rsidRPr="005B4E83">
              <w:rPr>
                <w:color w:val="000000" w:themeColor="text1"/>
                <w:sz w:val="20"/>
                <w:szCs w:val="20"/>
              </w:rPr>
              <w:t>Developing a risk rating system</w:t>
            </w:r>
          </w:p>
        </w:tc>
        <w:tc>
          <w:tcPr>
            <w:tcW w:w="1440" w:type="dxa"/>
            <w:tcBorders>
              <w:bottom w:val="single" w:sz="12" w:space="0" w:color="auto"/>
            </w:tcBorders>
            <w:vAlign w:val="center"/>
          </w:tcPr>
          <w:p w14:paraId="52D94775" w14:textId="4D6F78C9" w:rsidR="00FC715A" w:rsidRDefault="00FC715A" w:rsidP="00FC715A">
            <w:pPr>
              <w:suppressAutoHyphens/>
              <w:jc w:val="right"/>
            </w:pPr>
            <w:r>
              <w:t>142</w:t>
            </w:r>
          </w:p>
        </w:tc>
        <w:tc>
          <w:tcPr>
            <w:tcW w:w="1350" w:type="dxa"/>
            <w:tcBorders>
              <w:bottom w:val="single" w:sz="12" w:space="0" w:color="auto"/>
            </w:tcBorders>
            <w:vAlign w:val="center"/>
          </w:tcPr>
          <w:p w14:paraId="7497386E" w14:textId="48799847" w:rsidR="00FC715A" w:rsidRDefault="00FC715A" w:rsidP="00FC715A">
            <w:pPr>
              <w:suppressAutoHyphens/>
              <w:jc w:val="right"/>
            </w:pPr>
            <w:r>
              <w:t>1</w:t>
            </w:r>
          </w:p>
        </w:tc>
        <w:tc>
          <w:tcPr>
            <w:tcW w:w="1080" w:type="dxa"/>
            <w:tcBorders>
              <w:bottom w:val="single" w:sz="12" w:space="0" w:color="auto"/>
            </w:tcBorders>
            <w:vAlign w:val="center"/>
          </w:tcPr>
          <w:p w14:paraId="685CC780" w14:textId="4235D9ED" w:rsidR="00FC715A" w:rsidRDefault="00E613AC" w:rsidP="00FC715A">
            <w:pPr>
              <w:suppressAutoHyphens/>
              <w:jc w:val="right"/>
            </w:pPr>
            <w:r>
              <w:t>160</w:t>
            </w:r>
          </w:p>
        </w:tc>
        <w:tc>
          <w:tcPr>
            <w:tcW w:w="1170" w:type="dxa"/>
            <w:tcBorders>
              <w:bottom w:val="single" w:sz="12" w:space="0" w:color="auto"/>
            </w:tcBorders>
            <w:vAlign w:val="center"/>
          </w:tcPr>
          <w:p w14:paraId="4A5E56EF" w14:textId="6E8F5FD6" w:rsidR="00FC715A" w:rsidRDefault="00FC715A" w:rsidP="00FC715A">
            <w:pPr>
              <w:suppressAutoHyphens/>
              <w:jc w:val="right"/>
            </w:pPr>
            <w:r>
              <w:t>22,720</w:t>
            </w:r>
          </w:p>
        </w:tc>
        <w:tc>
          <w:tcPr>
            <w:tcW w:w="1710" w:type="dxa"/>
            <w:tcBorders>
              <w:bottom w:val="single" w:sz="12" w:space="0" w:color="auto"/>
            </w:tcBorders>
            <w:vAlign w:val="center"/>
          </w:tcPr>
          <w:p w14:paraId="6C85B281" w14:textId="3C548DEC" w:rsidR="00FC715A" w:rsidRDefault="00FC715A" w:rsidP="00E613AC">
            <w:pPr>
              <w:suppressAutoHyphens/>
              <w:jc w:val="right"/>
            </w:pPr>
            <w:r>
              <w:t>$</w:t>
            </w:r>
            <w:r w:rsidR="00E613AC">
              <w:t>479,760</w:t>
            </w:r>
            <w:r w:rsidR="00CA1AFB">
              <w:t>.00</w:t>
            </w:r>
          </w:p>
        </w:tc>
      </w:tr>
      <w:tr w:rsidR="00FC715A" w14:paraId="146B7434" w14:textId="77777777" w:rsidTr="00E613AC">
        <w:tc>
          <w:tcPr>
            <w:tcW w:w="2430" w:type="dxa"/>
            <w:tcBorders>
              <w:top w:val="single" w:sz="12" w:space="0" w:color="auto"/>
            </w:tcBorders>
          </w:tcPr>
          <w:p w14:paraId="1B52A9D7" w14:textId="7955ACDA" w:rsidR="00FC715A" w:rsidRPr="005B4E83" w:rsidRDefault="00FC715A" w:rsidP="00FC715A">
            <w:pPr>
              <w:suppressAutoHyphens/>
              <w:jc w:val="right"/>
              <w:rPr>
                <w:color w:val="000000" w:themeColor="text1"/>
                <w:sz w:val="20"/>
                <w:szCs w:val="20"/>
              </w:rPr>
            </w:pPr>
            <w:r>
              <w:rPr>
                <w:color w:val="000000" w:themeColor="text1"/>
                <w:sz w:val="20"/>
                <w:szCs w:val="20"/>
              </w:rPr>
              <w:t>Totals</w:t>
            </w:r>
          </w:p>
        </w:tc>
        <w:tc>
          <w:tcPr>
            <w:tcW w:w="1440" w:type="dxa"/>
            <w:tcBorders>
              <w:top w:val="single" w:sz="12" w:space="0" w:color="auto"/>
            </w:tcBorders>
          </w:tcPr>
          <w:p w14:paraId="4D4A6ACE" w14:textId="00D45EC4" w:rsidR="00FC715A" w:rsidRDefault="00CA1AFB" w:rsidP="00FC715A">
            <w:pPr>
              <w:suppressAutoHyphens/>
              <w:jc w:val="right"/>
            </w:pPr>
            <w:r>
              <w:fldChar w:fldCharType="begin"/>
            </w:r>
            <w:r>
              <w:instrText xml:space="preserve"> =SUM(ABOVE) </w:instrText>
            </w:r>
            <w:r>
              <w:fldChar w:fldCharType="separate"/>
            </w:r>
            <w:r>
              <w:rPr>
                <w:noProof/>
              </w:rPr>
              <w:t>1,695</w:t>
            </w:r>
            <w:r>
              <w:fldChar w:fldCharType="end"/>
            </w:r>
          </w:p>
        </w:tc>
        <w:tc>
          <w:tcPr>
            <w:tcW w:w="1350" w:type="dxa"/>
            <w:tcBorders>
              <w:top w:val="single" w:sz="12" w:space="0" w:color="auto"/>
            </w:tcBorders>
            <w:shd w:val="clear" w:color="auto" w:fill="BFBFBF" w:themeFill="background1" w:themeFillShade="BF"/>
          </w:tcPr>
          <w:p w14:paraId="3AF0488A" w14:textId="77777777" w:rsidR="00FC715A" w:rsidRDefault="00FC715A" w:rsidP="00FC715A">
            <w:pPr>
              <w:suppressAutoHyphens/>
              <w:jc w:val="right"/>
            </w:pPr>
          </w:p>
        </w:tc>
        <w:tc>
          <w:tcPr>
            <w:tcW w:w="1080" w:type="dxa"/>
            <w:tcBorders>
              <w:top w:val="single" w:sz="12" w:space="0" w:color="auto"/>
            </w:tcBorders>
            <w:shd w:val="clear" w:color="auto" w:fill="BFBFBF" w:themeFill="background1" w:themeFillShade="BF"/>
          </w:tcPr>
          <w:p w14:paraId="2F1B9898" w14:textId="77777777" w:rsidR="00FC715A" w:rsidRDefault="00FC715A" w:rsidP="00FC715A">
            <w:pPr>
              <w:suppressAutoHyphens/>
              <w:jc w:val="right"/>
            </w:pPr>
          </w:p>
        </w:tc>
        <w:tc>
          <w:tcPr>
            <w:tcW w:w="1170" w:type="dxa"/>
            <w:tcBorders>
              <w:top w:val="single" w:sz="12" w:space="0" w:color="auto"/>
            </w:tcBorders>
          </w:tcPr>
          <w:p w14:paraId="50B9DD7A" w14:textId="210C98A1" w:rsidR="00FC715A" w:rsidRDefault="00CA1AFB" w:rsidP="00FC715A">
            <w:pPr>
              <w:suppressAutoHyphens/>
              <w:jc w:val="right"/>
            </w:pPr>
            <w:r>
              <w:fldChar w:fldCharType="begin"/>
            </w:r>
            <w:r>
              <w:instrText xml:space="preserve"> =SUM(ABOVE) </w:instrText>
            </w:r>
            <w:r>
              <w:fldChar w:fldCharType="separate"/>
            </w:r>
            <w:r>
              <w:rPr>
                <w:noProof/>
              </w:rPr>
              <w:t>47,568</w:t>
            </w:r>
            <w:r>
              <w:fldChar w:fldCharType="end"/>
            </w:r>
          </w:p>
        </w:tc>
        <w:tc>
          <w:tcPr>
            <w:tcW w:w="1710" w:type="dxa"/>
            <w:tcBorders>
              <w:top w:val="single" w:sz="12" w:space="0" w:color="auto"/>
            </w:tcBorders>
          </w:tcPr>
          <w:p w14:paraId="05727E7F" w14:textId="628B2118" w:rsidR="00FC715A" w:rsidRDefault="00E613AC" w:rsidP="00FC715A">
            <w:pPr>
              <w:suppressAutoHyphens/>
              <w:jc w:val="right"/>
            </w:pPr>
            <w:r>
              <w:fldChar w:fldCharType="begin"/>
            </w:r>
            <w:r>
              <w:instrText xml:space="preserve"> =SUM(ABOVE) \# "$#,##0.00;($#,##0.00)" </w:instrText>
            </w:r>
            <w:r>
              <w:fldChar w:fldCharType="separate"/>
            </w:r>
            <w:r>
              <w:rPr>
                <w:noProof/>
              </w:rPr>
              <w:t>$1,299,744.00</w:t>
            </w:r>
            <w:r>
              <w:fldChar w:fldCharType="end"/>
            </w:r>
          </w:p>
        </w:tc>
      </w:tr>
    </w:tbl>
    <w:p w14:paraId="76101B81" w14:textId="77777777" w:rsidR="00E722B4" w:rsidRDefault="00E722B4" w:rsidP="00FC715A">
      <w:pPr>
        <w:suppressAutoHyphens/>
        <w:ind w:left="720" w:hanging="720"/>
      </w:pPr>
    </w:p>
    <w:p w14:paraId="75D781D9" w14:textId="77777777" w:rsidR="003A0D60" w:rsidRDefault="003A0D60" w:rsidP="00FC715A">
      <w:pPr>
        <w:pStyle w:val="ListParagraph"/>
        <w:numPr>
          <w:ilvl w:val="0"/>
          <w:numId w:val="3"/>
        </w:numPr>
        <w:ind w:left="720" w:hanging="720"/>
        <w:rPr>
          <w:b/>
        </w:rPr>
      </w:pPr>
      <w:r w:rsidRPr="00E44F63">
        <w:rPr>
          <w:b/>
        </w:rPr>
        <w:t>Costs to Respondents</w:t>
      </w:r>
    </w:p>
    <w:p w14:paraId="233DCBFD" w14:textId="763CF3A0" w:rsidR="00A15138" w:rsidRPr="004F3644" w:rsidRDefault="00FC715A" w:rsidP="00FC7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There are no capital, start-up or operating and maintenance costs.</w:t>
      </w:r>
    </w:p>
    <w:p w14:paraId="142AE1C0" w14:textId="77777777" w:rsidR="001C53F0" w:rsidRPr="00E44F63" w:rsidRDefault="001C53F0" w:rsidP="0079683F">
      <w:pPr>
        <w:pStyle w:val="ListParagraph"/>
        <w:tabs>
          <w:tab w:val="left" w:pos="720"/>
        </w:tabs>
        <w:ind w:hanging="720"/>
        <w:rPr>
          <w:b/>
        </w:rPr>
      </w:pPr>
    </w:p>
    <w:p w14:paraId="3267B6E4" w14:textId="77777777" w:rsidR="003A0D60" w:rsidRPr="00E44F63" w:rsidRDefault="003A0D60" w:rsidP="0079683F">
      <w:pPr>
        <w:pStyle w:val="ListParagraph"/>
        <w:numPr>
          <w:ilvl w:val="0"/>
          <w:numId w:val="3"/>
        </w:numPr>
        <w:tabs>
          <w:tab w:val="left" w:pos="720"/>
        </w:tabs>
        <w:ind w:left="720" w:hanging="720"/>
        <w:rPr>
          <w:b/>
        </w:rPr>
      </w:pPr>
      <w:r w:rsidRPr="00E44F63">
        <w:rPr>
          <w:b/>
        </w:rPr>
        <w:t>Costs to Federal Government</w:t>
      </w:r>
    </w:p>
    <w:p w14:paraId="2952ABF7" w14:textId="56BF9919" w:rsidR="000C24CF" w:rsidRPr="00766CF8" w:rsidRDefault="0079683F" w:rsidP="0079683F">
      <w:pPr>
        <w:suppressAutoHyphens/>
        <w:ind w:left="720" w:hanging="720"/>
      </w:pPr>
      <w:r>
        <w:tab/>
      </w:r>
      <w:r w:rsidR="000C24CF">
        <w:t>The estimated total one-time incremental cost for NCUA would be $813,280 in 2016 for staff training. There would be an additional one-time opportunity cost of approximately $1,112,480 for additional training associated with this rule.</w:t>
      </w:r>
    </w:p>
    <w:p w14:paraId="6162F109" w14:textId="77777777" w:rsidR="003A0D60" w:rsidRPr="00E44F63" w:rsidRDefault="003A0D60" w:rsidP="0079683F">
      <w:pPr>
        <w:pStyle w:val="ListParagraph"/>
        <w:ind w:hanging="720"/>
        <w:rPr>
          <w:b/>
        </w:rPr>
      </w:pPr>
    </w:p>
    <w:p w14:paraId="113311F0" w14:textId="18E48025" w:rsidR="002A4F03" w:rsidRDefault="003A0D60" w:rsidP="0079683F">
      <w:pPr>
        <w:pStyle w:val="ListParagraph"/>
        <w:numPr>
          <w:ilvl w:val="0"/>
          <w:numId w:val="3"/>
        </w:numPr>
        <w:ind w:left="720" w:hanging="720"/>
        <w:rPr>
          <w:b/>
        </w:rPr>
      </w:pPr>
      <w:r w:rsidRPr="00E44F63">
        <w:rPr>
          <w:b/>
        </w:rPr>
        <w:lastRenderedPageBreak/>
        <w:t>Change</w:t>
      </w:r>
      <w:r>
        <w:rPr>
          <w:b/>
        </w:rPr>
        <w:t>s in Burden</w:t>
      </w:r>
    </w:p>
    <w:p w14:paraId="4417CCEA" w14:textId="77777777" w:rsidR="00DA5038" w:rsidRDefault="005A0D81" w:rsidP="00784521">
      <w:pPr>
        <w:pStyle w:val="ListParagraph"/>
      </w:pPr>
      <w:r>
        <w:t xml:space="preserve">Adjustments are attributed to the removal of the </w:t>
      </w:r>
      <w:r w:rsidR="00DA5038">
        <w:t xml:space="preserve">burden hours associated with usual and customary business practices.  </w:t>
      </w:r>
    </w:p>
    <w:p w14:paraId="3934792D" w14:textId="77777777" w:rsidR="00DA5038" w:rsidRDefault="00DA5038" w:rsidP="00DA5038"/>
    <w:p w14:paraId="59D8CF59" w14:textId="03726D7B" w:rsidR="00A3537A" w:rsidRDefault="00DA5038" w:rsidP="00036A71">
      <w:pPr>
        <w:pStyle w:val="ListParagraph"/>
        <w:ind w:hanging="450"/>
      </w:pPr>
      <w:r>
        <w:tab/>
        <w:t>Program change</w:t>
      </w:r>
      <w:r w:rsidR="00ED6BD2">
        <w:t>s</w:t>
      </w:r>
      <w:r>
        <w:t xml:space="preserve"> are attributed </w:t>
      </w:r>
      <w:r w:rsidR="00ED6BD2">
        <w:t xml:space="preserve">to </w:t>
      </w:r>
      <w:r w:rsidRPr="004F3644">
        <w:t>credit unions that are engaged in business lending activities</w:t>
      </w:r>
      <w:r>
        <w:t xml:space="preserve"> and not exempted from </w:t>
      </w:r>
      <w:r w:rsidRPr="00414529">
        <w:t>§723.</w:t>
      </w:r>
      <w:r>
        <w:t>3</w:t>
      </w:r>
      <w:r w:rsidRPr="00414529">
        <w:t xml:space="preserve"> </w:t>
      </w:r>
      <w:r>
        <w:t xml:space="preserve">and §723.4 </w:t>
      </w:r>
      <w:r w:rsidR="00A91927">
        <w:t xml:space="preserve">that </w:t>
      </w:r>
      <w:r>
        <w:t>may</w:t>
      </w:r>
      <w:r w:rsidRPr="004F3644">
        <w:t xml:space="preserve"> need to revise their</w:t>
      </w:r>
      <w:r w:rsidR="00A91927">
        <w:t xml:space="preserve"> loan policies and procedures.  The </w:t>
      </w:r>
      <w:r w:rsidR="00E722B4" w:rsidRPr="004F3644">
        <w:t>proposed rule also relieves credit unions from the current requirement to obtain MBL related waivers</w:t>
      </w:r>
      <w:bookmarkStart w:id="0" w:name="_GoBack"/>
      <w:bookmarkEnd w:id="0"/>
      <w:r w:rsidR="00ED6BD2">
        <w:t>.</w:t>
      </w:r>
    </w:p>
    <w:p w14:paraId="4BE4BB43" w14:textId="77777777" w:rsidR="00A3537A" w:rsidRDefault="00A3537A" w:rsidP="00A3537A">
      <w:pPr>
        <w:ind w:left="720"/>
      </w:pPr>
    </w:p>
    <w:p w14:paraId="34C187C4" w14:textId="4722C715" w:rsidR="00784521" w:rsidRDefault="00784521" w:rsidP="00784521">
      <w:r>
        <w:tab/>
      </w:r>
      <w:r w:rsidR="00B76085">
        <w:t>Total burden requested is 47,568 hours.</w:t>
      </w:r>
    </w:p>
    <w:p w14:paraId="42311F08" w14:textId="77777777" w:rsidR="003A0D60" w:rsidRPr="00E44F63" w:rsidRDefault="003A0D60" w:rsidP="0079683F">
      <w:pPr>
        <w:ind w:left="720" w:hanging="720"/>
        <w:rPr>
          <w:b/>
        </w:rPr>
      </w:pPr>
    </w:p>
    <w:p w14:paraId="6ABE2B24" w14:textId="3528C896" w:rsidR="003A0D60" w:rsidRPr="00A15138" w:rsidRDefault="003A0D60" w:rsidP="0079683F">
      <w:pPr>
        <w:pStyle w:val="ListParagraph"/>
        <w:numPr>
          <w:ilvl w:val="0"/>
          <w:numId w:val="3"/>
        </w:numPr>
        <w:ind w:left="720" w:hanging="720"/>
        <w:rPr>
          <w:b/>
        </w:rPr>
      </w:pPr>
      <w:r>
        <w:rPr>
          <w:b/>
        </w:rPr>
        <w:t>Information Collection Planned for Statistical Purposes</w:t>
      </w:r>
    </w:p>
    <w:p w14:paraId="1C8A0269" w14:textId="026BA10D" w:rsidR="003A0D60" w:rsidRPr="00631257" w:rsidRDefault="003A0D60" w:rsidP="0079683F">
      <w:pPr>
        <w:suppressAutoHyphens/>
        <w:ind w:left="720" w:hanging="720"/>
      </w:pPr>
      <w:r>
        <w:tab/>
        <w:t>Not applicable.  The information collection is no</w:t>
      </w:r>
      <w:r w:rsidR="00A15138">
        <w:t>t used for statistical purposes.</w:t>
      </w:r>
    </w:p>
    <w:p w14:paraId="758B330F" w14:textId="77777777" w:rsidR="003A0D60" w:rsidRPr="00E44F63" w:rsidRDefault="003A0D60" w:rsidP="0079683F">
      <w:pPr>
        <w:ind w:left="720" w:hanging="720"/>
      </w:pPr>
    </w:p>
    <w:p w14:paraId="7832BA23" w14:textId="77777777" w:rsidR="003A0D60" w:rsidRPr="00E44F63" w:rsidRDefault="003A0D60" w:rsidP="0079683F">
      <w:pPr>
        <w:pStyle w:val="ListParagraph"/>
        <w:keepNext/>
        <w:numPr>
          <w:ilvl w:val="0"/>
          <w:numId w:val="3"/>
        </w:numPr>
        <w:ind w:left="720" w:hanging="720"/>
        <w:rPr>
          <w:b/>
        </w:rPr>
      </w:pPr>
      <w:r>
        <w:rPr>
          <w:b/>
        </w:rPr>
        <w:t>Approval to Omit OMB Expiration</w:t>
      </w:r>
      <w:r w:rsidRPr="00E44F63">
        <w:rPr>
          <w:b/>
        </w:rPr>
        <w:t xml:space="preserve"> Date</w:t>
      </w:r>
    </w:p>
    <w:p w14:paraId="433D22DF" w14:textId="48D63132" w:rsidR="003A0D60" w:rsidRDefault="0079683F" w:rsidP="0079683F">
      <w:pPr>
        <w:suppressAutoHyphens/>
        <w:ind w:left="720" w:hanging="720"/>
      </w:pPr>
      <w:r>
        <w:tab/>
      </w:r>
      <w:r w:rsidR="003A0D60">
        <w:t>NCUA is not seeking approv</w:t>
      </w:r>
      <w:r w:rsidR="00A15138">
        <w:t>al to omit the expiration date.</w:t>
      </w:r>
    </w:p>
    <w:p w14:paraId="3D20735F" w14:textId="77777777" w:rsidR="003A0D60" w:rsidRPr="00B76085" w:rsidRDefault="003A0D60" w:rsidP="0079683F">
      <w:pPr>
        <w:suppressAutoHyphens/>
        <w:ind w:left="720" w:hanging="720"/>
        <w:rPr>
          <w:b/>
        </w:rPr>
      </w:pPr>
    </w:p>
    <w:p w14:paraId="30957EFB" w14:textId="6FE73C19" w:rsidR="003A0D60" w:rsidRPr="00B76085" w:rsidRDefault="003A0D60" w:rsidP="0079683F">
      <w:pPr>
        <w:pStyle w:val="ListParagraph"/>
        <w:numPr>
          <w:ilvl w:val="0"/>
          <w:numId w:val="3"/>
        </w:numPr>
        <w:suppressAutoHyphens/>
        <w:ind w:left="720" w:hanging="720"/>
        <w:rPr>
          <w:b/>
        </w:rPr>
      </w:pPr>
      <w:r w:rsidRPr="00B76085">
        <w:rPr>
          <w:b/>
        </w:rPr>
        <w:t>Exceptions to Certification for Paperwork Reduction Act Submissions</w:t>
      </w:r>
    </w:p>
    <w:p w14:paraId="72352E7C" w14:textId="5C2A29B9" w:rsidR="003A0D60" w:rsidRDefault="0079683F" w:rsidP="0079683F">
      <w:pPr>
        <w:suppressAutoHyphens/>
        <w:ind w:left="720" w:hanging="720"/>
      </w:pPr>
      <w:r>
        <w:tab/>
      </w:r>
      <w:r w:rsidR="003A0D60">
        <w:t>This collection complies with the requirements in 5 CFR 1320.9</w:t>
      </w:r>
      <w:r w:rsidR="00A15138">
        <w:t>.</w:t>
      </w:r>
    </w:p>
    <w:p w14:paraId="7D4539F0" w14:textId="77777777" w:rsidR="003A0D60" w:rsidRPr="00631257" w:rsidRDefault="003A0D60" w:rsidP="0079683F">
      <w:pPr>
        <w:suppressAutoHyphens/>
        <w:ind w:left="720" w:hanging="720"/>
      </w:pPr>
    </w:p>
    <w:p w14:paraId="78F270D0" w14:textId="77777777" w:rsidR="00221200" w:rsidRDefault="00221200" w:rsidP="0079683F">
      <w:pPr>
        <w:ind w:left="720" w:hanging="720"/>
      </w:pPr>
    </w:p>
    <w:sectPr w:rsidR="002212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E17B5" w14:textId="77777777" w:rsidR="001A00E4" w:rsidRDefault="001A00E4" w:rsidP="003671EB">
      <w:r>
        <w:separator/>
      </w:r>
    </w:p>
  </w:endnote>
  <w:endnote w:type="continuationSeparator" w:id="0">
    <w:p w14:paraId="44367406" w14:textId="77777777" w:rsidR="001A00E4" w:rsidRDefault="001A00E4" w:rsidP="0036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753895"/>
      <w:docPartObj>
        <w:docPartGallery w:val="Page Numbers (Bottom of Page)"/>
        <w:docPartUnique/>
      </w:docPartObj>
    </w:sdtPr>
    <w:sdtEndPr>
      <w:rPr>
        <w:noProof/>
      </w:rPr>
    </w:sdtEndPr>
    <w:sdtContent>
      <w:p w14:paraId="5ECD3FB2" w14:textId="5944B667" w:rsidR="003671EB" w:rsidRDefault="003671EB" w:rsidP="003671EB">
        <w:pPr>
          <w:pStyle w:val="Footer"/>
          <w:jc w:val="right"/>
        </w:pPr>
        <w:r>
          <w:fldChar w:fldCharType="begin"/>
        </w:r>
        <w:r>
          <w:instrText xml:space="preserve"> PAGE   \* MERGEFORMAT </w:instrText>
        </w:r>
        <w:r>
          <w:fldChar w:fldCharType="separate"/>
        </w:r>
        <w:r w:rsidR="00ED6BD2">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B59D8" w14:textId="77777777" w:rsidR="001A00E4" w:rsidRDefault="001A00E4" w:rsidP="003671EB">
      <w:r>
        <w:separator/>
      </w:r>
    </w:p>
  </w:footnote>
  <w:footnote w:type="continuationSeparator" w:id="0">
    <w:p w14:paraId="5296B1C0" w14:textId="77777777" w:rsidR="001A00E4" w:rsidRDefault="001A00E4" w:rsidP="0036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A088B"/>
    <w:multiLevelType w:val="hybridMultilevel"/>
    <w:tmpl w:val="F404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30442"/>
    <w:multiLevelType w:val="hybridMultilevel"/>
    <w:tmpl w:val="08921852"/>
    <w:lvl w:ilvl="0" w:tplc="8A4626D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3F750F"/>
    <w:multiLevelType w:val="hybridMultilevel"/>
    <w:tmpl w:val="3624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395C2F71"/>
    <w:multiLevelType w:val="hybridMultilevel"/>
    <w:tmpl w:val="6758FF12"/>
    <w:lvl w:ilvl="0" w:tplc="0409000F">
      <w:start w:val="1"/>
      <w:numFmt w:val="decimal"/>
      <w:lvlText w:val="%1."/>
      <w:lvlJc w:val="left"/>
      <w:pPr>
        <w:ind w:left="1214" w:hanging="360"/>
      </w:p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8"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71579"/>
    <w:multiLevelType w:val="hybridMultilevel"/>
    <w:tmpl w:val="0218A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1F65D2"/>
    <w:multiLevelType w:val="hybridMultilevel"/>
    <w:tmpl w:val="E0084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733520"/>
    <w:multiLevelType w:val="hybridMultilevel"/>
    <w:tmpl w:val="26B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31000"/>
    <w:multiLevelType w:val="hybridMultilevel"/>
    <w:tmpl w:val="11401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B21474"/>
    <w:multiLevelType w:val="hybridMultilevel"/>
    <w:tmpl w:val="D33AD6B6"/>
    <w:lvl w:ilvl="0" w:tplc="3C8C51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5963F5C"/>
    <w:multiLevelType w:val="hybridMultilevel"/>
    <w:tmpl w:val="CBCE55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BE6832"/>
    <w:multiLevelType w:val="hybridMultilevel"/>
    <w:tmpl w:val="15FA8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9"/>
  </w:num>
  <w:num w:numId="4">
    <w:abstractNumId w:val="4"/>
  </w:num>
  <w:num w:numId="5">
    <w:abstractNumId w:val="0"/>
  </w:num>
  <w:num w:numId="6">
    <w:abstractNumId w:val="10"/>
  </w:num>
  <w:num w:numId="7">
    <w:abstractNumId w:val="6"/>
  </w:num>
  <w:num w:numId="8">
    <w:abstractNumId w:val="3"/>
  </w:num>
  <w:num w:numId="9">
    <w:abstractNumId w:val="13"/>
  </w:num>
  <w:num w:numId="10">
    <w:abstractNumId w:val="18"/>
  </w:num>
  <w:num w:numId="11">
    <w:abstractNumId w:val="14"/>
  </w:num>
  <w:num w:numId="12">
    <w:abstractNumId w:val="20"/>
  </w:num>
  <w:num w:numId="13">
    <w:abstractNumId w:val="7"/>
  </w:num>
  <w:num w:numId="14">
    <w:abstractNumId w:val="2"/>
  </w:num>
  <w:num w:numId="15">
    <w:abstractNumId w:val="16"/>
  </w:num>
  <w:num w:numId="16">
    <w:abstractNumId w:val="17"/>
  </w:num>
  <w:num w:numId="17">
    <w:abstractNumId w:val="12"/>
  </w:num>
  <w:num w:numId="18">
    <w:abstractNumId w:val="21"/>
  </w:num>
  <w:num w:numId="19">
    <w:abstractNumId w:val="22"/>
  </w:num>
  <w:num w:numId="20">
    <w:abstractNumId w:val="9"/>
  </w:num>
  <w:num w:numId="21">
    <w:abstractNumId w:val="1"/>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10B9E"/>
    <w:rsid w:val="00036A71"/>
    <w:rsid w:val="00065BAF"/>
    <w:rsid w:val="00080BAE"/>
    <w:rsid w:val="000854BD"/>
    <w:rsid w:val="000C24CF"/>
    <w:rsid w:val="000E2767"/>
    <w:rsid w:val="000E58A6"/>
    <w:rsid w:val="00112469"/>
    <w:rsid w:val="00115E21"/>
    <w:rsid w:val="00151D71"/>
    <w:rsid w:val="001819ED"/>
    <w:rsid w:val="001A00E4"/>
    <w:rsid w:val="001A16A6"/>
    <w:rsid w:val="001C53F0"/>
    <w:rsid w:val="002051CB"/>
    <w:rsid w:val="00220025"/>
    <w:rsid w:val="00221200"/>
    <w:rsid w:val="00247130"/>
    <w:rsid w:val="002728F3"/>
    <w:rsid w:val="002A4F03"/>
    <w:rsid w:val="002C3934"/>
    <w:rsid w:val="002D663C"/>
    <w:rsid w:val="003671EB"/>
    <w:rsid w:val="00381567"/>
    <w:rsid w:val="00396E45"/>
    <w:rsid w:val="003A0D60"/>
    <w:rsid w:val="004C45B8"/>
    <w:rsid w:val="004D0FCD"/>
    <w:rsid w:val="004E3580"/>
    <w:rsid w:val="00502078"/>
    <w:rsid w:val="0051698F"/>
    <w:rsid w:val="005A0D81"/>
    <w:rsid w:val="005B4E83"/>
    <w:rsid w:val="005D209A"/>
    <w:rsid w:val="006270BF"/>
    <w:rsid w:val="006479E0"/>
    <w:rsid w:val="006923ED"/>
    <w:rsid w:val="006D3E32"/>
    <w:rsid w:val="006E26A2"/>
    <w:rsid w:val="006F67DD"/>
    <w:rsid w:val="00721A6C"/>
    <w:rsid w:val="0076132C"/>
    <w:rsid w:val="00763BD1"/>
    <w:rsid w:val="00784521"/>
    <w:rsid w:val="0079683F"/>
    <w:rsid w:val="00822DD4"/>
    <w:rsid w:val="00892F52"/>
    <w:rsid w:val="008A129B"/>
    <w:rsid w:val="008B0377"/>
    <w:rsid w:val="008C18BF"/>
    <w:rsid w:val="008E6E9E"/>
    <w:rsid w:val="009374C9"/>
    <w:rsid w:val="00993706"/>
    <w:rsid w:val="009C74AB"/>
    <w:rsid w:val="009D29A5"/>
    <w:rsid w:val="00A15138"/>
    <w:rsid w:val="00A24AB6"/>
    <w:rsid w:val="00A3537A"/>
    <w:rsid w:val="00A76E3F"/>
    <w:rsid w:val="00A8264A"/>
    <w:rsid w:val="00A91927"/>
    <w:rsid w:val="00AB5CA4"/>
    <w:rsid w:val="00AD3F1C"/>
    <w:rsid w:val="00B15E4A"/>
    <w:rsid w:val="00B76085"/>
    <w:rsid w:val="00C371A1"/>
    <w:rsid w:val="00C54914"/>
    <w:rsid w:val="00C74921"/>
    <w:rsid w:val="00C82915"/>
    <w:rsid w:val="00CA1AFB"/>
    <w:rsid w:val="00D9468E"/>
    <w:rsid w:val="00DA5038"/>
    <w:rsid w:val="00DC1279"/>
    <w:rsid w:val="00DF5A5A"/>
    <w:rsid w:val="00E037DF"/>
    <w:rsid w:val="00E3780B"/>
    <w:rsid w:val="00E41F23"/>
    <w:rsid w:val="00E43C79"/>
    <w:rsid w:val="00E5557E"/>
    <w:rsid w:val="00E613AC"/>
    <w:rsid w:val="00E722B4"/>
    <w:rsid w:val="00E97EDC"/>
    <w:rsid w:val="00ED6BD2"/>
    <w:rsid w:val="00EF40DF"/>
    <w:rsid w:val="00F412E7"/>
    <w:rsid w:val="00F63124"/>
    <w:rsid w:val="00F66B62"/>
    <w:rsid w:val="00FC715A"/>
    <w:rsid w:val="00FD7BEA"/>
    <w:rsid w:val="00FE0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D8090D96-5092-49E4-B492-0D8DC51B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Header">
    <w:name w:val="header"/>
    <w:basedOn w:val="Normal"/>
    <w:link w:val="HeaderChar"/>
    <w:rsid w:val="00A15138"/>
    <w:pPr>
      <w:tabs>
        <w:tab w:val="center" w:pos="4680"/>
        <w:tab w:val="right" w:pos="9360"/>
      </w:tabs>
    </w:pPr>
  </w:style>
  <w:style w:type="character" w:customStyle="1" w:styleId="HeaderChar">
    <w:name w:val="Header Char"/>
    <w:basedOn w:val="DefaultParagraphFont"/>
    <w:link w:val="Header"/>
    <w:rsid w:val="00A15138"/>
    <w:rPr>
      <w:rFonts w:ascii="Times New Roman" w:eastAsia="Times New Roman" w:hAnsi="Times New Roman" w:cs="Times New Roman"/>
      <w:sz w:val="24"/>
      <w:szCs w:val="24"/>
    </w:rPr>
  </w:style>
  <w:style w:type="paragraph" w:customStyle="1" w:styleId="Default">
    <w:name w:val="Default"/>
    <w:rsid w:val="00A151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51698F"/>
    <w:rPr>
      <w:sz w:val="16"/>
      <w:szCs w:val="16"/>
    </w:rPr>
  </w:style>
  <w:style w:type="paragraph" w:styleId="CommentText">
    <w:name w:val="annotation text"/>
    <w:basedOn w:val="Normal"/>
    <w:link w:val="CommentTextChar"/>
    <w:uiPriority w:val="99"/>
    <w:semiHidden/>
    <w:unhideWhenUsed/>
    <w:rsid w:val="0051698F"/>
    <w:rPr>
      <w:sz w:val="20"/>
      <w:szCs w:val="20"/>
    </w:rPr>
  </w:style>
  <w:style w:type="character" w:customStyle="1" w:styleId="CommentTextChar">
    <w:name w:val="Comment Text Char"/>
    <w:basedOn w:val="DefaultParagraphFont"/>
    <w:link w:val="CommentText"/>
    <w:uiPriority w:val="99"/>
    <w:semiHidden/>
    <w:rsid w:val="00516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98F"/>
    <w:rPr>
      <w:b/>
      <w:bCs/>
    </w:rPr>
  </w:style>
  <w:style w:type="character" w:customStyle="1" w:styleId="CommentSubjectChar">
    <w:name w:val="Comment Subject Char"/>
    <w:basedOn w:val="CommentTextChar"/>
    <w:link w:val="CommentSubject"/>
    <w:uiPriority w:val="99"/>
    <w:semiHidden/>
    <w:rsid w:val="005169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6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98F"/>
    <w:rPr>
      <w:rFonts w:ascii="Segoe UI" w:eastAsia="Times New Roman" w:hAnsi="Segoe UI" w:cs="Segoe UI"/>
      <w:sz w:val="18"/>
      <w:szCs w:val="18"/>
    </w:rPr>
  </w:style>
  <w:style w:type="paragraph" w:styleId="Footer">
    <w:name w:val="footer"/>
    <w:basedOn w:val="Normal"/>
    <w:link w:val="FooterChar"/>
    <w:uiPriority w:val="99"/>
    <w:unhideWhenUsed/>
    <w:rsid w:val="003671EB"/>
    <w:pPr>
      <w:tabs>
        <w:tab w:val="center" w:pos="4680"/>
        <w:tab w:val="right" w:pos="9360"/>
      </w:tabs>
    </w:pPr>
  </w:style>
  <w:style w:type="character" w:customStyle="1" w:styleId="FooterChar">
    <w:name w:val="Footer Char"/>
    <w:basedOn w:val="DefaultParagraphFont"/>
    <w:link w:val="Footer"/>
    <w:uiPriority w:val="99"/>
    <w:rsid w:val="003671EB"/>
    <w:rPr>
      <w:rFonts w:ascii="Times New Roman" w:eastAsia="Times New Roman" w:hAnsi="Times New Roman" w:cs="Times New Roman"/>
      <w:sz w:val="24"/>
      <w:szCs w:val="24"/>
    </w:rPr>
  </w:style>
  <w:style w:type="table" w:styleId="TableGrid">
    <w:name w:val="Table Grid"/>
    <w:basedOn w:val="TableNormal"/>
    <w:uiPriority w:val="59"/>
    <w:rsid w:val="00010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2</cp:revision>
  <cp:lastPrinted>2016-02-17T21:26:00Z</cp:lastPrinted>
  <dcterms:created xsi:type="dcterms:W3CDTF">2016-02-22T14:24:00Z</dcterms:created>
  <dcterms:modified xsi:type="dcterms:W3CDTF">2016-02-22T14:24:00Z</dcterms:modified>
</cp:coreProperties>
</file>