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43" w:rsidRPr="00D015FC" w:rsidRDefault="00CC3943" w:rsidP="00CC3943">
      <w:pPr>
        <w:ind w:left="360"/>
        <w:jc w:val="center"/>
        <w:rPr>
          <w:b/>
          <w:sz w:val="22"/>
          <w:szCs w:val="22"/>
        </w:rPr>
      </w:pPr>
      <w:r w:rsidRPr="00D015FC">
        <w:rPr>
          <w:b/>
          <w:sz w:val="22"/>
          <w:szCs w:val="22"/>
        </w:rPr>
        <w:t>SUPPORTING STATEMENT</w:t>
      </w:r>
    </w:p>
    <w:p w:rsidR="00CC3943" w:rsidRPr="00D015FC" w:rsidRDefault="00CC3943" w:rsidP="00CC3943">
      <w:pPr>
        <w:rPr>
          <w:sz w:val="22"/>
          <w:szCs w:val="22"/>
        </w:rPr>
      </w:pPr>
    </w:p>
    <w:p w:rsidR="00D90866" w:rsidRPr="00D015FC" w:rsidRDefault="00D90866" w:rsidP="00597CB4">
      <w:pPr>
        <w:numPr>
          <w:ilvl w:val="0"/>
          <w:numId w:val="1"/>
        </w:numPr>
        <w:tabs>
          <w:tab w:val="clear" w:pos="720"/>
          <w:tab w:val="num" w:pos="0"/>
        </w:tabs>
        <w:ind w:left="450" w:hanging="450"/>
        <w:rPr>
          <w:b/>
          <w:sz w:val="22"/>
          <w:szCs w:val="22"/>
        </w:rPr>
      </w:pPr>
      <w:r w:rsidRPr="00D015FC">
        <w:rPr>
          <w:b/>
          <w:sz w:val="22"/>
          <w:szCs w:val="22"/>
        </w:rPr>
        <w:t>Justification.</w:t>
      </w:r>
    </w:p>
    <w:p w:rsidR="00910DE3" w:rsidRDefault="00910DE3" w:rsidP="00910DE3">
      <w:pPr>
        <w:pStyle w:val="ParaNum"/>
        <w:numPr>
          <w:ilvl w:val="0"/>
          <w:numId w:val="0"/>
        </w:numPr>
        <w:rPr>
          <w:sz w:val="22"/>
          <w:szCs w:val="22"/>
        </w:rPr>
      </w:pPr>
    </w:p>
    <w:p w:rsidR="00A54855" w:rsidRDefault="00A54855" w:rsidP="00B3424B">
      <w:pPr>
        <w:rPr>
          <w:b/>
          <w:spacing w:val="-3"/>
          <w:szCs w:val="24"/>
        </w:rPr>
      </w:pPr>
      <w:r>
        <w:rPr>
          <w:b/>
          <w:spacing w:val="-3"/>
          <w:szCs w:val="24"/>
        </w:rPr>
        <w:t>1.</w:t>
      </w:r>
      <w:r>
        <w:rPr>
          <w:b/>
          <w:spacing w:val="-3"/>
          <w:szCs w:val="24"/>
        </w:rPr>
        <w:tab/>
      </w:r>
      <w:r w:rsidRPr="005A4C07">
        <w:rPr>
          <w:b/>
          <w:spacing w:val="-3"/>
          <w:szCs w:val="24"/>
        </w:rPr>
        <w:t xml:space="preserve">The </w:t>
      </w:r>
      <w:r>
        <w:rPr>
          <w:b/>
          <w:spacing w:val="-3"/>
          <w:szCs w:val="24"/>
        </w:rPr>
        <w:t>Commission is seeking an e</w:t>
      </w:r>
      <w:r w:rsidRPr="005A4C07">
        <w:rPr>
          <w:b/>
          <w:spacing w:val="-3"/>
          <w:szCs w:val="24"/>
        </w:rPr>
        <w:t xml:space="preserve">xtension of </w:t>
      </w:r>
      <w:r>
        <w:rPr>
          <w:b/>
          <w:spacing w:val="-3"/>
          <w:szCs w:val="24"/>
        </w:rPr>
        <w:t xml:space="preserve">this </w:t>
      </w:r>
      <w:r w:rsidRPr="005A4C07">
        <w:rPr>
          <w:b/>
          <w:spacing w:val="-3"/>
          <w:szCs w:val="24"/>
        </w:rPr>
        <w:t xml:space="preserve">currently approved collection </w:t>
      </w:r>
      <w:r>
        <w:rPr>
          <w:b/>
          <w:spacing w:val="-3"/>
          <w:szCs w:val="24"/>
        </w:rPr>
        <w:t xml:space="preserve">for the full three-year period.  </w:t>
      </w:r>
    </w:p>
    <w:p w:rsidR="00A54855" w:rsidRDefault="00A54855" w:rsidP="00B3424B">
      <w:pPr>
        <w:rPr>
          <w:b/>
          <w:spacing w:val="-3"/>
          <w:szCs w:val="24"/>
        </w:rPr>
      </w:pPr>
    </w:p>
    <w:p w:rsidR="00A54855" w:rsidRDefault="00A54855" w:rsidP="00A54855">
      <w:pPr>
        <w:rPr>
          <w:b/>
          <w:spacing w:val="-3"/>
        </w:rPr>
      </w:pPr>
      <w:r>
        <w:rPr>
          <w:b/>
          <w:spacing w:val="-3"/>
          <w:szCs w:val="24"/>
        </w:rPr>
        <w:t xml:space="preserve">The </w:t>
      </w:r>
      <w:r w:rsidRPr="005A4C07">
        <w:rPr>
          <w:b/>
          <w:spacing w:val="-3"/>
          <w:szCs w:val="24"/>
        </w:rPr>
        <w:t xml:space="preserve">following </w:t>
      </w:r>
      <w:r>
        <w:rPr>
          <w:b/>
          <w:spacing w:val="-3"/>
          <w:szCs w:val="24"/>
        </w:rPr>
        <w:t>i</w:t>
      </w:r>
      <w:r w:rsidRPr="005A4C07">
        <w:rPr>
          <w:b/>
          <w:spacing w:val="-3"/>
          <w:szCs w:val="24"/>
        </w:rPr>
        <w:t>nformati</w:t>
      </w:r>
      <w:r>
        <w:rPr>
          <w:b/>
          <w:spacing w:val="-3"/>
          <w:szCs w:val="24"/>
        </w:rPr>
        <w:t>on c</w:t>
      </w:r>
      <w:r w:rsidRPr="005A4C07">
        <w:rPr>
          <w:b/>
          <w:spacing w:val="-3"/>
          <w:szCs w:val="24"/>
        </w:rPr>
        <w:t xml:space="preserve">ollection </w:t>
      </w:r>
      <w:r>
        <w:rPr>
          <w:b/>
          <w:spacing w:val="-3"/>
          <w:szCs w:val="24"/>
        </w:rPr>
        <w:t>r</w:t>
      </w:r>
      <w:r w:rsidRPr="005A4C07">
        <w:rPr>
          <w:b/>
          <w:spacing w:val="-3"/>
          <w:szCs w:val="24"/>
        </w:rPr>
        <w:t xml:space="preserve">equirement </w:t>
      </w:r>
      <w:r>
        <w:rPr>
          <w:b/>
          <w:spacing w:val="-3"/>
          <w:szCs w:val="24"/>
        </w:rPr>
        <w:t>contained in</w:t>
      </w:r>
      <w:r w:rsidRPr="005A4C07">
        <w:rPr>
          <w:b/>
          <w:spacing w:val="-3"/>
          <w:szCs w:val="24"/>
        </w:rPr>
        <w:t xml:space="preserve"> </w:t>
      </w:r>
      <w:r>
        <w:rPr>
          <w:b/>
          <w:spacing w:val="-3"/>
          <w:szCs w:val="24"/>
        </w:rPr>
        <w:t>t</w:t>
      </w:r>
      <w:r w:rsidRPr="005A4C07">
        <w:rPr>
          <w:b/>
          <w:spacing w:val="-3"/>
          <w:szCs w:val="24"/>
        </w:rPr>
        <w:t xml:space="preserve">his </w:t>
      </w:r>
      <w:r>
        <w:rPr>
          <w:b/>
          <w:spacing w:val="-3"/>
          <w:szCs w:val="24"/>
        </w:rPr>
        <w:t>c</w:t>
      </w:r>
      <w:r w:rsidRPr="005A4C07">
        <w:rPr>
          <w:b/>
          <w:spacing w:val="-3"/>
          <w:szCs w:val="24"/>
        </w:rPr>
        <w:t xml:space="preserve">ollection </w:t>
      </w:r>
      <w:r w:rsidR="00B96D4A">
        <w:rPr>
          <w:b/>
          <w:spacing w:val="-3"/>
          <w:szCs w:val="24"/>
        </w:rPr>
        <w:t xml:space="preserve">has changed </w:t>
      </w:r>
      <w:r w:rsidRPr="00563666">
        <w:rPr>
          <w:b/>
          <w:spacing w:val="-3"/>
        </w:rPr>
        <w:t xml:space="preserve">since last approved by OMB.  </w:t>
      </w:r>
      <w:r w:rsidR="00B96D4A">
        <w:rPr>
          <w:b/>
          <w:spacing w:val="-3"/>
        </w:rPr>
        <w:t xml:space="preserve">This requirement </w:t>
      </w:r>
      <w:r w:rsidR="00B96D4A">
        <w:rPr>
          <w:b/>
          <w:spacing w:val="-3"/>
          <w:szCs w:val="24"/>
        </w:rPr>
        <w:t>has expired.</w:t>
      </w:r>
    </w:p>
    <w:p w:rsidR="00A54855" w:rsidRDefault="00A54855" w:rsidP="00B3424B">
      <w:pPr>
        <w:rPr>
          <w:b/>
          <w:spacing w:val="-3"/>
          <w:szCs w:val="24"/>
        </w:rPr>
      </w:pPr>
    </w:p>
    <w:p w:rsidR="00D15383" w:rsidRDefault="00D15383" w:rsidP="00D15383">
      <w:r w:rsidRPr="00B6103B">
        <w:rPr>
          <w:b/>
        </w:rPr>
        <w:t>47 U.S.C. § 621(b)(2), Financial Hardship Waiver Requests:</w:t>
      </w:r>
      <w:r w:rsidRPr="00B6103B">
        <w:t xml:space="preserve">  </w:t>
      </w:r>
      <w:r>
        <w:t xml:space="preserve">Section 2(b)(2) of the CALM Act provided that the Commission could grant a one-year waiver of the effective date of the rules implementing the statute to any television station or </w:t>
      </w:r>
      <w:r w:rsidRPr="007E4AB1">
        <w:t xml:space="preserve">multichannel video programming distributor (MVPD) </w:t>
      </w:r>
      <w:r>
        <w:t>that showed it would be a “financial hardship” to obtain the necessary equipment to comply with the rules</w:t>
      </w:r>
      <w:r w:rsidR="00B96D4A">
        <w:t>.</w:t>
      </w:r>
      <w:r w:rsidR="00B96D4A">
        <w:rPr>
          <w:rStyle w:val="FootnoteReference"/>
          <w:szCs w:val="22"/>
        </w:rPr>
        <w:footnoteReference w:id="1"/>
      </w:r>
      <w:r w:rsidR="00B96D4A">
        <w:t xml:space="preserve">  </w:t>
      </w:r>
      <w:r w:rsidR="00B96D4A" w:rsidRPr="00D15383">
        <w:rPr>
          <w:spacing w:val="-3"/>
          <w:szCs w:val="24"/>
        </w:rPr>
        <w:t>The CALM Act also permitted the Commission to renew such waivers for one additional year.</w:t>
      </w:r>
      <w:r w:rsidR="00B96D4A">
        <w:rPr>
          <w:rStyle w:val="FootnoteReference"/>
          <w:spacing w:val="-3"/>
          <w:szCs w:val="24"/>
        </w:rPr>
        <w:footnoteReference w:id="2"/>
      </w:r>
      <w:r w:rsidR="00B96D4A" w:rsidRPr="00D15383">
        <w:rPr>
          <w:spacing w:val="-3"/>
          <w:szCs w:val="24"/>
        </w:rPr>
        <w:t xml:space="preserve"> </w:t>
      </w:r>
      <w:r w:rsidR="00B96D4A">
        <w:rPr>
          <w:spacing w:val="-3"/>
          <w:szCs w:val="24"/>
        </w:rPr>
        <w:t xml:space="preserve">  </w:t>
      </w:r>
      <w:r>
        <w:t xml:space="preserve">By its terms, the statute expressly limits the waiver relief afforded by this provision </w:t>
      </w:r>
      <w:r w:rsidRPr="00464506">
        <w:t>to cover only two years</w:t>
      </w:r>
      <w:r>
        <w:t xml:space="preserve"> after </w:t>
      </w:r>
      <w:r w:rsidRPr="00464506">
        <w:t xml:space="preserve">the effective date of the </w:t>
      </w:r>
      <w:r>
        <w:t>CALM Act rules, which was December 13, 2012.</w:t>
      </w:r>
      <w:r>
        <w:rPr>
          <w:rStyle w:val="FootnoteReference"/>
        </w:rPr>
        <w:footnoteReference w:id="3"/>
      </w:r>
      <w:r w:rsidR="00B96D4A">
        <w:t xml:space="preserve">  </w:t>
      </w:r>
      <w:r w:rsidRPr="00464506">
        <w:t xml:space="preserve">Therefore, </w:t>
      </w:r>
      <w:r w:rsidR="00B96D4A">
        <w:t>stations and MVPDs</w:t>
      </w:r>
      <w:r>
        <w:t xml:space="preserve"> may not seek further </w:t>
      </w:r>
      <w:r w:rsidRPr="00464506">
        <w:t xml:space="preserve">waiver </w:t>
      </w:r>
      <w:r>
        <w:t>relief</w:t>
      </w:r>
      <w:r w:rsidRPr="00464506">
        <w:t xml:space="preserve"> pursuant to Se</w:t>
      </w:r>
      <w:r>
        <w:t xml:space="preserve">ction 2(b)(2) of the CALM Act because </w:t>
      </w:r>
      <w:r w:rsidR="00B96D4A">
        <w:t>such</w:t>
      </w:r>
      <w:r>
        <w:t xml:space="preserve"> relief</w:t>
      </w:r>
      <w:r w:rsidRPr="00DB276C">
        <w:t xml:space="preserve"> </w:t>
      </w:r>
      <w:r w:rsidR="00B96D4A">
        <w:t>would be</w:t>
      </w:r>
      <w:r>
        <w:t xml:space="preserve"> </w:t>
      </w:r>
      <w:r w:rsidRPr="00DB276C">
        <w:t xml:space="preserve">for a period beyond the two years </w:t>
      </w:r>
      <w:r>
        <w:t xml:space="preserve">authorized by the statute.  </w:t>
      </w:r>
    </w:p>
    <w:p w:rsidR="00D15383" w:rsidRDefault="00D15383" w:rsidP="00B3424B"/>
    <w:p w:rsidR="00A54855" w:rsidRDefault="00A54855" w:rsidP="00B3424B">
      <w:pPr>
        <w:rPr>
          <w:b/>
          <w:spacing w:val="-3"/>
        </w:rPr>
      </w:pPr>
      <w:r>
        <w:rPr>
          <w:b/>
          <w:spacing w:val="-3"/>
          <w:szCs w:val="24"/>
        </w:rPr>
        <w:t xml:space="preserve">The </w:t>
      </w:r>
      <w:r w:rsidRPr="005A4C07">
        <w:rPr>
          <w:b/>
          <w:spacing w:val="-3"/>
          <w:szCs w:val="24"/>
        </w:rPr>
        <w:t xml:space="preserve">following </w:t>
      </w:r>
      <w:r>
        <w:rPr>
          <w:b/>
          <w:spacing w:val="-3"/>
          <w:szCs w:val="24"/>
        </w:rPr>
        <w:t>i</w:t>
      </w:r>
      <w:r w:rsidRPr="005A4C07">
        <w:rPr>
          <w:b/>
          <w:spacing w:val="-3"/>
          <w:szCs w:val="24"/>
        </w:rPr>
        <w:t>nformati</w:t>
      </w:r>
      <w:r>
        <w:rPr>
          <w:b/>
          <w:spacing w:val="-3"/>
          <w:szCs w:val="24"/>
        </w:rPr>
        <w:t>on c</w:t>
      </w:r>
      <w:r w:rsidRPr="005A4C07">
        <w:rPr>
          <w:b/>
          <w:spacing w:val="-3"/>
          <w:szCs w:val="24"/>
        </w:rPr>
        <w:t xml:space="preserve">ollection </w:t>
      </w:r>
      <w:r>
        <w:rPr>
          <w:b/>
          <w:spacing w:val="-3"/>
          <w:szCs w:val="24"/>
        </w:rPr>
        <w:t>r</w:t>
      </w:r>
      <w:r w:rsidRPr="005A4C07">
        <w:rPr>
          <w:b/>
          <w:spacing w:val="-3"/>
          <w:szCs w:val="24"/>
        </w:rPr>
        <w:t xml:space="preserve">equirements are </w:t>
      </w:r>
      <w:r>
        <w:rPr>
          <w:b/>
          <w:spacing w:val="-3"/>
          <w:szCs w:val="24"/>
        </w:rPr>
        <w:t>contained in</w:t>
      </w:r>
      <w:r w:rsidRPr="005A4C07">
        <w:rPr>
          <w:b/>
          <w:spacing w:val="-3"/>
          <w:szCs w:val="24"/>
        </w:rPr>
        <w:t xml:space="preserve"> </w:t>
      </w:r>
      <w:r>
        <w:rPr>
          <w:b/>
          <w:spacing w:val="-3"/>
          <w:szCs w:val="24"/>
        </w:rPr>
        <w:t>t</w:t>
      </w:r>
      <w:r w:rsidRPr="005A4C07">
        <w:rPr>
          <w:b/>
          <w:spacing w:val="-3"/>
          <w:szCs w:val="24"/>
        </w:rPr>
        <w:t xml:space="preserve">his </w:t>
      </w:r>
      <w:r>
        <w:rPr>
          <w:b/>
          <w:spacing w:val="-3"/>
          <w:szCs w:val="24"/>
        </w:rPr>
        <w:t>c</w:t>
      </w:r>
      <w:r w:rsidRPr="005A4C07">
        <w:rPr>
          <w:b/>
          <w:spacing w:val="-3"/>
          <w:szCs w:val="24"/>
        </w:rPr>
        <w:t xml:space="preserve">ollection and </w:t>
      </w:r>
      <w:r w:rsidRPr="00563666">
        <w:rPr>
          <w:b/>
          <w:spacing w:val="-3"/>
        </w:rPr>
        <w:t xml:space="preserve">have not changed since last approved by OMB.  </w:t>
      </w:r>
    </w:p>
    <w:p w:rsidR="00A54855" w:rsidRDefault="00A54855" w:rsidP="00B3424B"/>
    <w:p w:rsidR="00022704" w:rsidRDefault="000D6E92" w:rsidP="00B3424B">
      <w:r w:rsidRPr="00B6103B">
        <w:rPr>
          <w:b/>
        </w:rPr>
        <w:t>47 U.S.C. § 621(b)(3), General Waiver</w:t>
      </w:r>
      <w:r w:rsidR="009B0AA9" w:rsidRPr="00B6103B">
        <w:rPr>
          <w:b/>
        </w:rPr>
        <w:t xml:space="preserve"> </w:t>
      </w:r>
      <w:r w:rsidR="003B61D3" w:rsidRPr="00B6103B">
        <w:rPr>
          <w:b/>
        </w:rPr>
        <w:t>Requests</w:t>
      </w:r>
      <w:r w:rsidRPr="00B6103B">
        <w:rPr>
          <w:b/>
        </w:rPr>
        <w:t>:</w:t>
      </w:r>
      <w:r w:rsidRPr="00B6103B">
        <w:t xml:space="preserve">  Section 2(b)(3) of the CALM Act provide</w:t>
      </w:r>
      <w:r w:rsidR="00B96D4A">
        <w:t>d</w:t>
      </w:r>
      <w:r w:rsidRPr="00B6103B">
        <w:t xml:space="preserve"> that the Commission </w:t>
      </w:r>
      <w:r w:rsidR="00B96D4A">
        <w:t>could</w:t>
      </w:r>
      <w:r w:rsidR="00B96D4A" w:rsidRPr="00B6103B">
        <w:t xml:space="preserve"> </w:t>
      </w:r>
      <w:r w:rsidRPr="00B6103B">
        <w:t>waive any rule required by the CALM Act, or the application of any such rule, to any station</w:t>
      </w:r>
      <w:r w:rsidR="00022704">
        <w:t>/</w:t>
      </w:r>
      <w:r w:rsidRPr="00B6103B">
        <w:t>MVPD for good cause shown under Section 1.3 of the Commission’s rules.</w:t>
      </w:r>
      <w:r w:rsidR="00193429" w:rsidRPr="00B6103B">
        <w:rPr>
          <w:rStyle w:val="FootnoteReference"/>
        </w:rPr>
        <w:footnoteReference w:id="4"/>
      </w:r>
      <w:r w:rsidR="008B412B" w:rsidRPr="00B6103B">
        <w:t xml:space="preserve">  </w:t>
      </w:r>
      <w:r w:rsidR="00022704">
        <w:t>Stations and MVPDs may file r</w:t>
      </w:r>
      <w:r w:rsidR="00022704" w:rsidRPr="00B6103B">
        <w:t>equests for waiver for good cause shown at any time.</w:t>
      </w:r>
    </w:p>
    <w:p w:rsidR="00022704" w:rsidRDefault="00022704" w:rsidP="00B3424B"/>
    <w:p w:rsidR="00804013" w:rsidRPr="00B6103B" w:rsidRDefault="00804013" w:rsidP="00804013">
      <w:pPr>
        <w:pStyle w:val="ParaNum"/>
        <w:widowControl w:val="0"/>
        <w:numPr>
          <w:ilvl w:val="0"/>
          <w:numId w:val="0"/>
        </w:numPr>
        <w:spacing w:after="120"/>
      </w:pPr>
      <w:r w:rsidRPr="00B6103B">
        <w:rPr>
          <w:u w:val="single"/>
        </w:rPr>
        <w:t>Filing Requirements</w:t>
      </w:r>
      <w:r w:rsidRPr="00B6103B">
        <w:t xml:space="preserve">.  A station or MVPD must file a General </w:t>
      </w:r>
      <w:r w:rsidR="00022704">
        <w:t>W</w:t>
      </w:r>
      <w:r w:rsidRPr="00B6103B">
        <w:t xml:space="preserve">aiver </w:t>
      </w:r>
      <w:r w:rsidR="00022704">
        <w:t>R</w:t>
      </w:r>
      <w:r w:rsidRPr="00B6103B">
        <w:t xml:space="preserve">equest electronically into </w:t>
      </w:r>
      <w:r w:rsidR="00022704" w:rsidRPr="00B6103B">
        <w:t xml:space="preserve">MB Docket No. 11-93 </w:t>
      </w:r>
      <w:r w:rsidRPr="00B6103B">
        <w:t xml:space="preserve">through the Commission’s Electronic Comment Filing System (“ECFS”) </w:t>
      </w:r>
      <w:r w:rsidR="00022704">
        <w:t>at</w:t>
      </w:r>
      <w:r w:rsidRPr="00B6103B">
        <w:t xml:space="preserve">: </w:t>
      </w:r>
      <w:hyperlink r:id="rId9" w:history="1">
        <w:r w:rsidRPr="00B6103B">
          <w:rPr>
            <w:rStyle w:val="Hyperlink"/>
          </w:rPr>
          <w:t>http://www.fcc.gov/cgb/ecfs/</w:t>
        </w:r>
      </w:hyperlink>
      <w:r w:rsidRPr="00B6103B">
        <w:t>.  There is no filing fee.</w:t>
      </w:r>
    </w:p>
    <w:p w:rsidR="006605BC" w:rsidRDefault="00BF02D6" w:rsidP="00BF02D6">
      <w:pPr>
        <w:tabs>
          <w:tab w:val="left" w:pos="6624"/>
        </w:tabs>
      </w:pPr>
      <w:r>
        <w:tab/>
      </w:r>
    </w:p>
    <w:p w:rsidR="00BF02D6" w:rsidRDefault="00BF02D6" w:rsidP="00BF02D6">
      <w:pPr>
        <w:tabs>
          <w:tab w:val="left" w:pos="6624"/>
        </w:tabs>
      </w:pPr>
    </w:p>
    <w:p w:rsidR="00BF02D6" w:rsidRDefault="00BF02D6" w:rsidP="00BF02D6">
      <w:pPr>
        <w:tabs>
          <w:tab w:val="left" w:pos="6624"/>
        </w:tabs>
      </w:pPr>
    </w:p>
    <w:p w:rsidR="00BF02D6" w:rsidRPr="00B6103B" w:rsidRDefault="00BF02D6" w:rsidP="00BF02D6">
      <w:pPr>
        <w:tabs>
          <w:tab w:val="left" w:pos="6624"/>
        </w:tabs>
      </w:pPr>
    </w:p>
    <w:p w:rsidR="00A54855" w:rsidRPr="00B6103B" w:rsidRDefault="00A54855" w:rsidP="00A54855">
      <w:r w:rsidRPr="00A54855">
        <w:rPr>
          <w:b/>
          <w:u w:val="single"/>
        </w:rPr>
        <w:lastRenderedPageBreak/>
        <w:t>HISTORY</w:t>
      </w:r>
      <w:r>
        <w:t xml:space="preserve">:  </w:t>
      </w:r>
      <w:r w:rsidRPr="00B6103B">
        <w:t>On December 13, 2011, the FCC released a Report &amp; Order (“R&amp;O”), FCC 11-182,</w:t>
      </w:r>
      <w:r w:rsidRPr="00B6103B">
        <w:rPr>
          <w:rStyle w:val="FootnoteReference"/>
          <w:sz w:val="22"/>
          <w:szCs w:val="22"/>
        </w:rPr>
        <w:footnoteReference w:id="5"/>
      </w:r>
      <w:r w:rsidRPr="00B6103B">
        <w:t xml:space="preserve"> adopting rules to implement the Commercial Advertisement Loudness Mitigation (“CALM”) Act.</w:t>
      </w:r>
      <w:r w:rsidRPr="00B6103B">
        <w:rPr>
          <w:rStyle w:val="FootnoteReference"/>
        </w:rPr>
        <w:footnoteReference w:id="6"/>
      </w:r>
      <w:r w:rsidRPr="00B6103B">
        <w:t xml:space="preserve">  Among ot</w:t>
      </w:r>
      <w:r>
        <w:t>her things, the CALM Act directed</w:t>
      </w:r>
      <w:r w:rsidRPr="00B6103B">
        <w:t xml:space="preserve"> the Commission to incorporate into its rules by reference and make mandatory a technical standard developed by an industry standard-setting body that is designed to prevent television commercial advertisements from being transmitted at louder volumes than the program material they accompany.  Specifically, the CALM Act require</w:t>
      </w:r>
      <w:r>
        <w:t>d</w:t>
      </w:r>
      <w:r w:rsidRPr="00B6103B">
        <w:t xml:space="preserve"> the Commission to incorporate by reference the Advanced Television Systems Committee (“ATSC”)</w:t>
      </w:r>
      <w:r w:rsidRPr="00B6103B">
        <w:rPr>
          <w:rStyle w:val="FootnoteReference"/>
        </w:rPr>
        <w:footnoteReference w:id="7"/>
      </w:r>
      <w:r w:rsidRPr="00B6103B">
        <w:t xml:space="preserve"> A/85 Recommended Practice (“ATSC A/85 RP”)</w:t>
      </w:r>
      <w:r w:rsidRPr="00B6103B">
        <w:rPr>
          <w:rStyle w:val="FootnoteReference"/>
        </w:rPr>
        <w:footnoteReference w:id="8"/>
      </w:r>
      <w:r w:rsidRPr="00B6103B">
        <w:t xml:space="preserve"> and make it mandatory “insofar as such recommended practice concerns the transmission of commercial advertisements by a television broadcast station, cable operator, or other multichannel video programming distributor.”  As mandated by the statute, the rules apply to TV broadcasters, cable operators and other multichannel video programming distributors (“MVPDs”).</w:t>
      </w:r>
      <w:r w:rsidRPr="00B6103B">
        <w:rPr>
          <w:rStyle w:val="FootnoteReference"/>
          <w:sz w:val="22"/>
          <w:szCs w:val="22"/>
        </w:rPr>
        <w:footnoteReference w:id="9"/>
      </w:r>
      <w:r w:rsidRPr="00B6103B">
        <w:t xml:space="preserve">  The rules </w:t>
      </w:r>
      <w:r>
        <w:t>took</w:t>
      </w:r>
      <w:r w:rsidRPr="00B6103B">
        <w:t xml:space="preserve"> effect </w:t>
      </w:r>
      <w:r>
        <w:t xml:space="preserve">on </w:t>
      </w:r>
      <w:r w:rsidRPr="00B6103B">
        <w:t>December 13, 2012.</w:t>
      </w:r>
    </w:p>
    <w:p w:rsidR="00FC6624" w:rsidRPr="00B6103B" w:rsidRDefault="00FC6624" w:rsidP="00B3424B"/>
    <w:p w:rsidR="00910DE3" w:rsidRPr="00B6103B" w:rsidRDefault="00883552" w:rsidP="00B3424B">
      <w:r w:rsidRPr="00B6103B">
        <w:t>T</w:t>
      </w:r>
      <w:r w:rsidR="00910DE3" w:rsidRPr="00B6103B">
        <w:t>his information collection does not affect individuals or households; thus, there are no impacts under the Privacy Act.</w:t>
      </w:r>
    </w:p>
    <w:p w:rsidR="00910DE3" w:rsidRPr="00B6103B" w:rsidRDefault="00910DE3" w:rsidP="00B3424B"/>
    <w:p w:rsidR="008F0D70" w:rsidRPr="00B6103B" w:rsidRDefault="008F0D70" w:rsidP="00B3424B">
      <w:r w:rsidRPr="00B6103B">
        <w:t xml:space="preserve">Statutory authority for this collection of information is contained in </w:t>
      </w:r>
      <w:r w:rsidR="00E05A61" w:rsidRPr="00B6103B">
        <w:t>the Commercial Advertisement Loudness Mitigation Act of 2010, Pub. L. No. 111-311, 124 Stat. 3294, and Sections 1, 2(a), 4(i), and 303(r) of the Communications Act of 1934, as amended, 47 U.S.C. §§ 151, 152, 154(i), 303(r), and 621</w:t>
      </w:r>
      <w:r w:rsidRPr="00B6103B">
        <w:t>.</w:t>
      </w:r>
    </w:p>
    <w:p w:rsidR="008F0D70" w:rsidRPr="00B6103B" w:rsidRDefault="008F0D70" w:rsidP="00B3424B"/>
    <w:p w:rsidR="00F84248" w:rsidRPr="00B6103B" w:rsidRDefault="008F0D70" w:rsidP="00F84248">
      <w:r w:rsidRPr="00B6103B">
        <w:t>2.</w:t>
      </w:r>
      <w:r w:rsidRPr="00B6103B">
        <w:tab/>
      </w:r>
      <w:r w:rsidR="00F84248" w:rsidRPr="00B6103B">
        <w:t xml:space="preserve">General waiver requests may be filed by a </w:t>
      </w:r>
      <w:r w:rsidR="00022704">
        <w:t>television</w:t>
      </w:r>
      <w:r w:rsidR="00022704" w:rsidRPr="00B6103B">
        <w:t xml:space="preserve"> </w:t>
      </w:r>
      <w:r w:rsidR="00F84248" w:rsidRPr="00B6103B">
        <w:t xml:space="preserve">station or MVPD to request waiver of the rules implementing the CALM Act </w:t>
      </w:r>
      <w:r w:rsidR="00022704">
        <w:t>“</w:t>
      </w:r>
      <w:r w:rsidR="00F84248" w:rsidRPr="00B6103B">
        <w:t>for good cause</w:t>
      </w:r>
      <w:r w:rsidR="00022704">
        <w:t xml:space="preserve"> shown.”</w:t>
      </w:r>
      <w:r w:rsidR="00F84248" w:rsidRPr="00B6103B">
        <w:t xml:space="preserve">  The information will be used by FCC staff to evaluate whether grant of a waiver would be in the public interest.</w:t>
      </w:r>
    </w:p>
    <w:p w:rsidR="00F84248" w:rsidRPr="00B6103B" w:rsidRDefault="00F84248" w:rsidP="00F84248"/>
    <w:p w:rsidR="0084301B" w:rsidRPr="00B6103B" w:rsidRDefault="008F0D70" w:rsidP="00B3424B">
      <w:r w:rsidRPr="00B6103B">
        <w:t>3.</w:t>
      </w:r>
      <w:r w:rsidRPr="00B6103B">
        <w:tab/>
      </w:r>
      <w:r w:rsidR="006605BC" w:rsidRPr="00B6103B">
        <w:t xml:space="preserve">The Commission </w:t>
      </w:r>
      <w:r w:rsidR="00D054B5" w:rsidRPr="00B6103B">
        <w:t>will</w:t>
      </w:r>
      <w:r w:rsidR="006605BC" w:rsidRPr="00B6103B">
        <w:t xml:space="preserve"> require a TV station or MVPD to file its general waiver request electronically into the docket through the Commission’s Electronic Comment Filing System (“ECFS”) using the Internet by accessing the ECFS:  </w:t>
      </w:r>
      <w:hyperlink r:id="rId10" w:history="1">
        <w:r w:rsidR="006605BC" w:rsidRPr="00B6103B">
          <w:rPr>
            <w:rStyle w:val="Hyperlink"/>
          </w:rPr>
          <w:t>http://www.fcc.gov/cgb/ecfs/</w:t>
        </w:r>
      </w:hyperlink>
      <w:r w:rsidR="006605BC" w:rsidRPr="00B6103B">
        <w:t xml:space="preserve">.  </w:t>
      </w:r>
    </w:p>
    <w:p w:rsidR="0084301B" w:rsidRPr="00B6103B" w:rsidRDefault="0084301B" w:rsidP="00B3424B"/>
    <w:p w:rsidR="0084301B" w:rsidRPr="00B6103B" w:rsidRDefault="00C83D44" w:rsidP="00B3424B">
      <w:r w:rsidRPr="00B6103B">
        <w:lastRenderedPageBreak/>
        <w:t>4.</w:t>
      </w:r>
      <w:r w:rsidRPr="00B6103B">
        <w:tab/>
      </w:r>
      <w:r w:rsidR="005265F5" w:rsidRPr="00B6103B">
        <w:t>This agency does not impose a similar information collection on the respondents.  There are no similar data available.</w:t>
      </w:r>
    </w:p>
    <w:p w:rsidR="00D9770F" w:rsidRPr="00B6103B" w:rsidRDefault="00D9770F" w:rsidP="00B3424B"/>
    <w:p w:rsidR="00050E72" w:rsidRPr="00B6103B" w:rsidRDefault="00C83D44" w:rsidP="00B3424B">
      <w:pPr>
        <w:rPr>
          <w:b/>
          <w:color w:val="000000"/>
        </w:rPr>
      </w:pPr>
      <w:r w:rsidRPr="00B6103B">
        <w:t>5.</w:t>
      </w:r>
      <w:r w:rsidR="005265F5" w:rsidRPr="00B6103B">
        <w:tab/>
        <w:t>This information collection will not have a significant economic impact on a substantial number of small entities/businesses.</w:t>
      </w:r>
    </w:p>
    <w:p w:rsidR="00D9770F" w:rsidRPr="00B6103B" w:rsidRDefault="00D9770F" w:rsidP="00B3424B"/>
    <w:p w:rsidR="00046B81" w:rsidRPr="00B6103B" w:rsidRDefault="00837C8E" w:rsidP="00B3424B">
      <w:r w:rsidRPr="00B6103B">
        <w:t>6.</w:t>
      </w:r>
      <w:r w:rsidRPr="00B6103B">
        <w:tab/>
      </w:r>
      <w:r w:rsidR="006605BC" w:rsidRPr="00B6103B">
        <w:t xml:space="preserve">The Commission is required by the CALM Act to permit the filing of a general waiver request.  </w:t>
      </w:r>
      <w:r w:rsidR="00401F86" w:rsidRPr="00B6103B">
        <w:t xml:space="preserve">If the waiver process were not </w:t>
      </w:r>
      <w:r w:rsidR="006605BC" w:rsidRPr="00B6103B">
        <w:t>permitted</w:t>
      </w:r>
      <w:r w:rsidR="00401F86" w:rsidRPr="00B6103B">
        <w:t xml:space="preserve">, the Commission would not be in compliance with </w:t>
      </w:r>
      <w:r w:rsidR="006605BC" w:rsidRPr="00B6103B">
        <w:t>the statute</w:t>
      </w:r>
      <w:r w:rsidR="00401F86" w:rsidRPr="00B6103B">
        <w:t xml:space="preserve">. </w:t>
      </w:r>
      <w:r w:rsidR="006605BC" w:rsidRPr="00B6103B">
        <w:t xml:space="preserve"> See 47 U.S.C. § 621(b).  </w:t>
      </w:r>
      <w:r w:rsidR="00D175C9" w:rsidRPr="00B6103B">
        <w:t>Furthermore,</w:t>
      </w:r>
      <w:r w:rsidR="00046B81" w:rsidRPr="00B6103B">
        <w:t xml:space="preserve"> if these information collection requirements were not conducted, the Commission would be unable to fulfill its obligation to ensure </w:t>
      </w:r>
      <w:r w:rsidR="006605BC" w:rsidRPr="00B6103B">
        <w:t>that a waiver of the rule is in the public interest</w:t>
      </w:r>
      <w:r w:rsidR="00046B81" w:rsidRPr="00B6103B">
        <w:t>.</w:t>
      </w:r>
      <w:r w:rsidR="005265F5" w:rsidRPr="00B6103B">
        <w:t xml:space="preserve">  (The frequency for this collection of information is determined by respondents, as necessary.)</w:t>
      </w:r>
    </w:p>
    <w:p w:rsidR="00123987" w:rsidRPr="00B6103B" w:rsidRDefault="00123987" w:rsidP="00B3424B"/>
    <w:p w:rsidR="006605BC" w:rsidRPr="00B6103B" w:rsidRDefault="0097099B" w:rsidP="00B3424B">
      <w:r w:rsidRPr="00B6103B">
        <w:t>7.</w:t>
      </w:r>
      <w:r w:rsidR="005265F5" w:rsidRPr="00B6103B">
        <w:tab/>
        <w:t>This information collection is consistent with the guidelines in 5 CFR 1320.5(d)(2).</w:t>
      </w:r>
    </w:p>
    <w:p w:rsidR="006605BC" w:rsidRPr="00B6103B" w:rsidRDefault="006605BC" w:rsidP="00B3424B"/>
    <w:p w:rsidR="00AA44E1" w:rsidRPr="00B6103B" w:rsidRDefault="0097099B" w:rsidP="00B3424B">
      <w:r w:rsidRPr="00B6103B">
        <w:t>8.</w:t>
      </w:r>
      <w:r w:rsidR="005265F5" w:rsidRPr="00B6103B">
        <w:tab/>
      </w:r>
      <w:r w:rsidR="00AB4EC1" w:rsidRPr="00B6103B">
        <w:t xml:space="preserve">The Commission </w:t>
      </w:r>
      <w:r w:rsidR="00AA44E1" w:rsidRPr="00B6103B">
        <w:t xml:space="preserve">published a </w:t>
      </w:r>
      <w:r w:rsidR="00AB4EC1" w:rsidRPr="00B6103B">
        <w:t>Federal Register Notice</w:t>
      </w:r>
      <w:r w:rsidR="00AA44E1" w:rsidRPr="00B6103B">
        <w:t xml:space="preserve"> </w:t>
      </w:r>
      <w:r w:rsidR="00AA44E1" w:rsidRPr="000F6DD3">
        <w:t>(</w:t>
      </w:r>
      <w:r w:rsidR="009A4D45" w:rsidRPr="000F6DD3">
        <w:t>80</w:t>
      </w:r>
      <w:r w:rsidR="00AA44E1" w:rsidRPr="000F6DD3">
        <w:t xml:space="preserve"> FR</w:t>
      </w:r>
      <w:r w:rsidR="00E459F0" w:rsidRPr="000F6DD3">
        <w:t xml:space="preserve"> </w:t>
      </w:r>
      <w:r w:rsidR="000F6DD3" w:rsidRPr="000F6DD3">
        <w:t>10092</w:t>
      </w:r>
      <w:r w:rsidR="00AA44E1" w:rsidRPr="000F6DD3">
        <w:t xml:space="preserve">) </w:t>
      </w:r>
      <w:r w:rsidR="00E459F0" w:rsidRPr="000F6DD3">
        <w:t xml:space="preserve">on </w:t>
      </w:r>
      <w:r w:rsidR="003937DE" w:rsidRPr="000F6DD3">
        <w:t>February</w:t>
      </w:r>
      <w:r w:rsidR="000F6DD3" w:rsidRPr="000F6DD3">
        <w:t xml:space="preserve"> 25</w:t>
      </w:r>
      <w:r w:rsidR="00A11370" w:rsidRPr="000F6DD3">
        <w:t>,</w:t>
      </w:r>
      <w:r w:rsidR="000F6A23" w:rsidRPr="000F6DD3">
        <w:t xml:space="preserve"> 201</w:t>
      </w:r>
      <w:r w:rsidR="003937DE" w:rsidRPr="000F6DD3">
        <w:t>5</w:t>
      </w:r>
      <w:r w:rsidR="00883552" w:rsidRPr="000F6DD3">
        <w:t xml:space="preserve"> seeking comments on the information collection requirements contained in this supporting statement</w:t>
      </w:r>
      <w:r w:rsidR="005265F5" w:rsidRPr="000F6DD3">
        <w:t>.</w:t>
      </w:r>
      <w:r w:rsidR="007760B4" w:rsidRPr="000F6DD3">
        <w:t xml:space="preserve">  </w:t>
      </w:r>
      <w:r w:rsidR="000F6A23" w:rsidRPr="000F6DD3">
        <w:t>N</w:t>
      </w:r>
      <w:r w:rsidR="007760B4" w:rsidRPr="000F6DD3">
        <w:t>o comments have been received from the public</w:t>
      </w:r>
      <w:r w:rsidR="007760B4" w:rsidRPr="00B6103B">
        <w:t>.</w:t>
      </w:r>
    </w:p>
    <w:p w:rsidR="0037684B" w:rsidRPr="00B6103B" w:rsidRDefault="0037684B" w:rsidP="00B3424B"/>
    <w:p w:rsidR="00123987" w:rsidRPr="00B6103B" w:rsidRDefault="0097099B" w:rsidP="00B3424B">
      <w:r w:rsidRPr="00B6103B">
        <w:t>9.</w:t>
      </w:r>
      <w:r w:rsidRPr="00B6103B">
        <w:tab/>
      </w:r>
      <w:r w:rsidR="005265F5" w:rsidRPr="00B6103B">
        <w:t xml:space="preserve">The Commission </w:t>
      </w:r>
      <w:r w:rsidR="00CC4037" w:rsidRPr="00B6103B">
        <w:t xml:space="preserve">will not </w:t>
      </w:r>
      <w:r w:rsidR="005265F5" w:rsidRPr="00B6103B">
        <w:t xml:space="preserve">provide a payment or gift </w:t>
      </w:r>
      <w:r w:rsidR="00123987" w:rsidRPr="00B6103B">
        <w:t>to any respondent.</w:t>
      </w:r>
    </w:p>
    <w:p w:rsidR="00123987" w:rsidRPr="00B6103B" w:rsidRDefault="00123987" w:rsidP="00B3424B"/>
    <w:p w:rsidR="00123987" w:rsidRPr="00B6103B" w:rsidRDefault="0097099B" w:rsidP="00B3424B">
      <w:r w:rsidRPr="00B6103B">
        <w:t>10.</w:t>
      </w:r>
      <w:r w:rsidR="009763F2" w:rsidRPr="00B6103B">
        <w:tab/>
      </w:r>
      <w:r w:rsidR="00A90206" w:rsidRPr="00B6103B">
        <w:t>There is no assurance of confidentiality provided to respondents, but, i</w:t>
      </w:r>
      <w:r w:rsidR="005265F5" w:rsidRPr="00B6103B">
        <w:t>n accordance with the Commission’s rules, 47 C.F.R. § 0.459, a station/MVPD may request confidential treatment for financial information supplied with its waiver request.</w:t>
      </w:r>
    </w:p>
    <w:p w:rsidR="00123987" w:rsidRPr="00B6103B" w:rsidRDefault="00123987" w:rsidP="00B3424B"/>
    <w:p w:rsidR="00AA44E1" w:rsidRPr="00B6103B" w:rsidRDefault="009763F2" w:rsidP="00B3424B">
      <w:r w:rsidRPr="00B6103B">
        <w:t>11.</w:t>
      </w:r>
      <w:r w:rsidRPr="00B6103B">
        <w:tab/>
      </w:r>
      <w:r w:rsidR="005265F5" w:rsidRPr="00B6103B">
        <w:rPr>
          <w:spacing w:val="-3"/>
          <w:szCs w:val="24"/>
        </w:rPr>
        <w:t xml:space="preserve">This information </w:t>
      </w:r>
      <w:r w:rsidR="005265F5" w:rsidRPr="00B6103B">
        <w:t xml:space="preserve">collection </w:t>
      </w:r>
      <w:r w:rsidR="005265F5" w:rsidRPr="00B6103B">
        <w:rPr>
          <w:spacing w:val="-3"/>
          <w:szCs w:val="24"/>
        </w:rPr>
        <w:t>does not address any private matters of a sensitive nature.</w:t>
      </w:r>
    </w:p>
    <w:p w:rsidR="00F366C8" w:rsidRPr="00B6103B" w:rsidRDefault="00F366C8" w:rsidP="00B3424B"/>
    <w:p w:rsidR="00F158EF" w:rsidRDefault="005265F5" w:rsidP="00BF02D6">
      <w:pPr>
        <w:suppressAutoHyphens/>
        <w:rPr>
          <w:szCs w:val="24"/>
        </w:rPr>
      </w:pPr>
      <w:r w:rsidRPr="00B6103B">
        <w:t>12.</w:t>
      </w:r>
      <w:r w:rsidRPr="00B6103B">
        <w:tab/>
      </w:r>
      <w:r w:rsidR="00F158EF" w:rsidRPr="00A71247">
        <w:rPr>
          <w:color w:val="000000"/>
        </w:rPr>
        <w:t xml:space="preserve">We estimate </w:t>
      </w:r>
      <w:r w:rsidR="005A7BA6" w:rsidRPr="00A71247">
        <w:rPr>
          <w:color w:val="000000"/>
        </w:rPr>
        <w:t xml:space="preserve">about </w:t>
      </w:r>
      <w:r w:rsidR="00F466C8" w:rsidRPr="00A71247">
        <w:rPr>
          <w:color w:val="000000"/>
        </w:rPr>
        <w:t xml:space="preserve">20 </w:t>
      </w:r>
      <w:r w:rsidR="00342EF1" w:rsidRPr="00A71247">
        <w:rPr>
          <w:color w:val="000000"/>
        </w:rPr>
        <w:t>respondents</w:t>
      </w:r>
      <w:r w:rsidR="008F69C5" w:rsidRPr="00A71247">
        <w:rPr>
          <w:color w:val="000000"/>
        </w:rPr>
        <w:t xml:space="preserve"> (stations/MVPDs)</w:t>
      </w:r>
      <w:r w:rsidR="005A7BA6" w:rsidRPr="00A71247">
        <w:rPr>
          <w:color w:val="000000"/>
        </w:rPr>
        <w:t xml:space="preserve"> will file waiver requests</w:t>
      </w:r>
      <w:r w:rsidR="008F69C5" w:rsidRPr="00A71247">
        <w:rPr>
          <w:color w:val="000000"/>
        </w:rPr>
        <w:t>.</w:t>
      </w:r>
      <w:r w:rsidR="00F466C8" w:rsidRPr="00A71247">
        <w:rPr>
          <w:rStyle w:val="FootnoteReference"/>
          <w:color w:val="000000"/>
        </w:rPr>
        <w:footnoteReference w:id="10"/>
      </w:r>
      <w:r w:rsidR="005A7BA6" w:rsidRPr="00B6103B">
        <w:rPr>
          <w:b/>
          <w:color w:val="000000"/>
        </w:rPr>
        <w:t xml:space="preserve">  </w:t>
      </w:r>
      <w:r w:rsidR="005A7BA6" w:rsidRPr="00B6103B">
        <w:rPr>
          <w:szCs w:val="24"/>
        </w:rPr>
        <w:t xml:space="preserve">We estimate that each respondent will take about 20 hours </w:t>
      </w:r>
      <w:r w:rsidR="005A7BA6" w:rsidRPr="00B6103B">
        <w:rPr>
          <w:spacing w:val="-3"/>
          <w:szCs w:val="24"/>
        </w:rPr>
        <w:t xml:space="preserve">to </w:t>
      </w:r>
      <w:r w:rsidR="00F466C8">
        <w:rPr>
          <w:spacing w:val="-3"/>
          <w:szCs w:val="24"/>
        </w:rPr>
        <w:t>prepare</w:t>
      </w:r>
      <w:r w:rsidR="00F466C8" w:rsidRPr="00B6103B">
        <w:rPr>
          <w:spacing w:val="-3"/>
          <w:szCs w:val="24"/>
        </w:rPr>
        <w:t xml:space="preserve"> </w:t>
      </w:r>
      <w:r w:rsidR="005A7BA6" w:rsidRPr="00B6103B">
        <w:t>a general waiver request.</w:t>
      </w:r>
      <w:r w:rsidR="005A7BA6" w:rsidRPr="00B6103B">
        <w:rPr>
          <w:szCs w:val="24"/>
        </w:rPr>
        <w:t xml:space="preserve">  This estimate includes the time it will take the respondent to consult with an outside attorney.</w:t>
      </w:r>
      <w:r w:rsidR="005A7BA6" w:rsidRPr="00B6103B">
        <w:rPr>
          <w:rStyle w:val="FootnoteReference"/>
          <w:szCs w:val="24"/>
        </w:rPr>
        <w:footnoteReference w:id="11"/>
      </w:r>
      <w:r w:rsidR="005A7BA6" w:rsidRPr="00B6103B">
        <w:rPr>
          <w:szCs w:val="24"/>
        </w:rPr>
        <w:t xml:space="preserve">  We estimate that the respondent would have an average salary of $100,000/year ($48.08/hour).  All estimates are based on Commission staff's knowledge and familiarity with the availability of the data required. </w:t>
      </w:r>
    </w:p>
    <w:p w:rsidR="00BF02D6" w:rsidRDefault="00BF02D6" w:rsidP="00BF02D6">
      <w:pPr>
        <w:suppressAutoHyphens/>
        <w:rPr>
          <w:szCs w:val="24"/>
        </w:rPr>
      </w:pPr>
    </w:p>
    <w:p w:rsidR="00BF02D6" w:rsidRDefault="00BF02D6" w:rsidP="00BF02D6">
      <w:pPr>
        <w:suppressAutoHyphens/>
        <w:rPr>
          <w:szCs w:val="24"/>
        </w:rPr>
      </w:pPr>
    </w:p>
    <w:p w:rsidR="00BF02D6" w:rsidRDefault="00BF02D6" w:rsidP="00BF02D6">
      <w:pPr>
        <w:suppressAutoHyphens/>
        <w:rPr>
          <w:szCs w:val="24"/>
        </w:rPr>
      </w:pPr>
    </w:p>
    <w:p w:rsidR="00BF02D6" w:rsidRDefault="00BF02D6" w:rsidP="00BF02D6">
      <w:pPr>
        <w:suppressAutoHyphens/>
        <w:rPr>
          <w:szCs w:val="24"/>
        </w:rPr>
      </w:pPr>
    </w:p>
    <w:p w:rsidR="00BF02D6" w:rsidRDefault="00BF02D6" w:rsidP="00BF02D6">
      <w:pPr>
        <w:suppressAutoHyphens/>
        <w:rPr>
          <w:szCs w:val="24"/>
        </w:rPr>
      </w:pPr>
    </w:p>
    <w:p w:rsidR="00BF02D6" w:rsidRDefault="00BF02D6" w:rsidP="00BF02D6">
      <w:pPr>
        <w:suppressAutoHyphens/>
        <w:rPr>
          <w:szCs w:val="24"/>
        </w:rPr>
      </w:pPr>
    </w:p>
    <w:p w:rsidR="00BF02D6" w:rsidRDefault="00BF02D6" w:rsidP="00BF02D6">
      <w:pPr>
        <w:suppressAutoHyphens/>
        <w:rPr>
          <w:szCs w:val="24"/>
        </w:rPr>
      </w:pPr>
    </w:p>
    <w:p w:rsidR="00BF02D6" w:rsidRDefault="00BF02D6" w:rsidP="00BF02D6">
      <w:pPr>
        <w:suppressAutoHyphens/>
        <w:rPr>
          <w:szCs w:val="24"/>
        </w:rPr>
      </w:pPr>
    </w:p>
    <w:p w:rsidR="00BF02D6" w:rsidRDefault="00BF02D6" w:rsidP="00BF02D6">
      <w:pPr>
        <w:suppressAutoHyphens/>
        <w:rPr>
          <w:szCs w:val="24"/>
        </w:rPr>
      </w:pPr>
    </w:p>
    <w:p w:rsidR="00BF02D6" w:rsidRPr="00B6103B" w:rsidRDefault="00BF02D6" w:rsidP="00BF02D6">
      <w:pPr>
        <w:suppressAutoHyphens/>
        <w:rPr>
          <w: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3060"/>
        <w:gridCol w:w="1170"/>
        <w:gridCol w:w="1080"/>
        <w:gridCol w:w="1350"/>
        <w:gridCol w:w="1440"/>
      </w:tblGrid>
      <w:tr w:rsidR="00295306" w:rsidRPr="00B6103B" w:rsidTr="005A7BA6">
        <w:tc>
          <w:tcPr>
            <w:tcW w:w="1998" w:type="dxa"/>
          </w:tcPr>
          <w:p w:rsidR="00295306" w:rsidRPr="00B6103B" w:rsidRDefault="008F69C5" w:rsidP="00A14163">
            <w:pPr>
              <w:pStyle w:val="ParaNum"/>
              <w:numPr>
                <w:ilvl w:val="0"/>
                <w:numId w:val="0"/>
              </w:numPr>
              <w:tabs>
                <w:tab w:val="left" w:pos="0"/>
                <w:tab w:val="left" w:pos="360"/>
              </w:tabs>
              <w:rPr>
                <w:b/>
                <w:sz w:val="22"/>
                <w:szCs w:val="22"/>
              </w:rPr>
            </w:pPr>
            <w:r w:rsidRPr="00B6103B">
              <w:rPr>
                <w:b/>
                <w:sz w:val="22"/>
                <w:szCs w:val="22"/>
              </w:rPr>
              <w:t xml:space="preserve">Type of Waiver Request </w:t>
            </w:r>
          </w:p>
        </w:tc>
        <w:tc>
          <w:tcPr>
            <w:tcW w:w="3060" w:type="dxa"/>
          </w:tcPr>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Total Annual Responses</w:t>
            </w:r>
          </w:p>
        </w:tc>
        <w:tc>
          <w:tcPr>
            <w:tcW w:w="1170" w:type="dxa"/>
          </w:tcPr>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Hourly</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Burden</w:t>
            </w:r>
          </w:p>
        </w:tc>
        <w:tc>
          <w:tcPr>
            <w:tcW w:w="1080" w:type="dxa"/>
          </w:tcPr>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Total</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Burden Hours</w:t>
            </w:r>
          </w:p>
        </w:tc>
        <w:tc>
          <w:tcPr>
            <w:tcW w:w="1350" w:type="dxa"/>
          </w:tcPr>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Hourly “In-</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 xml:space="preserve">House” </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Cost</w:t>
            </w:r>
          </w:p>
        </w:tc>
        <w:tc>
          <w:tcPr>
            <w:tcW w:w="1440" w:type="dxa"/>
          </w:tcPr>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 xml:space="preserve">Total Annual </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“In-House”</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Cost</w:t>
            </w:r>
          </w:p>
        </w:tc>
      </w:tr>
      <w:tr w:rsidR="0060319A" w:rsidRPr="00B6103B" w:rsidTr="00D93011">
        <w:tc>
          <w:tcPr>
            <w:tcW w:w="10098" w:type="dxa"/>
            <w:gridSpan w:val="6"/>
          </w:tcPr>
          <w:p w:rsidR="0060319A" w:rsidRPr="00B6103B" w:rsidRDefault="0060319A" w:rsidP="00A14163">
            <w:pPr>
              <w:pStyle w:val="ParaNum"/>
              <w:numPr>
                <w:ilvl w:val="0"/>
                <w:numId w:val="0"/>
              </w:numPr>
              <w:tabs>
                <w:tab w:val="left" w:pos="0"/>
                <w:tab w:val="left" w:pos="360"/>
              </w:tabs>
              <w:rPr>
                <w:b/>
                <w:sz w:val="22"/>
                <w:szCs w:val="22"/>
              </w:rPr>
            </w:pPr>
          </w:p>
        </w:tc>
      </w:tr>
      <w:tr w:rsidR="005A7BA6" w:rsidRPr="00B6103B" w:rsidTr="005A7BA6">
        <w:tc>
          <w:tcPr>
            <w:tcW w:w="1998" w:type="dxa"/>
          </w:tcPr>
          <w:p w:rsidR="004320F2" w:rsidRPr="00B6103B" w:rsidRDefault="00025768" w:rsidP="00A14163">
            <w:pPr>
              <w:pStyle w:val="ParaNum"/>
              <w:numPr>
                <w:ilvl w:val="0"/>
                <w:numId w:val="0"/>
              </w:numPr>
              <w:tabs>
                <w:tab w:val="left" w:pos="0"/>
                <w:tab w:val="left" w:pos="360"/>
              </w:tabs>
              <w:rPr>
                <w:b/>
                <w:sz w:val="22"/>
                <w:szCs w:val="22"/>
              </w:rPr>
            </w:pPr>
            <w:r>
              <w:rPr>
                <w:b/>
                <w:sz w:val="22"/>
                <w:szCs w:val="22"/>
              </w:rPr>
              <w:t>General</w:t>
            </w:r>
          </w:p>
          <w:p w:rsidR="007760B4" w:rsidRPr="00B6103B" w:rsidRDefault="0060319A" w:rsidP="00A14163">
            <w:pPr>
              <w:pStyle w:val="ParaNum"/>
              <w:numPr>
                <w:ilvl w:val="0"/>
                <w:numId w:val="0"/>
              </w:numPr>
              <w:tabs>
                <w:tab w:val="left" w:pos="0"/>
                <w:tab w:val="left" w:pos="360"/>
              </w:tabs>
              <w:rPr>
                <w:b/>
                <w:sz w:val="22"/>
                <w:szCs w:val="22"/>
              </w:rPr>
            </w:pPr>
            <w:r w:rsidRPr="00B6103B">
              <w:rPr>
                <w:b/>
                <w:sz w:val="22"/>
                <w:szCs w:val="22"/>
              </w:rPr>
              <w:t>Waiver Requests</w:t>
            </w:r>
          </w:p>
          <w:p w:rsidR="005A7BA6" w:rsidRPr="00B6103B" w:rsidRDefault="005A7BA6" w:rsidP="0060319A">
            <w:pPr>
              <w:pStyle w:val="ParaNum"/>
              <w:numPr>
                <w:ilvl w:val="0"/>
                <w:numId w:val="0"/>
              </w:numPr>
              <w:tabs>
                <w:tab w:val="left" w:pos="0"/>
                <w:tab w:val="left" w:pos="360"/>
              </w:tabs>
              <w:rPr>
                <w:b/>
                <w:sz w:val="22"/>
                <w:szCs w:val="22"/>
              </w:rPr>
            </w:pPr>
          </w:p>
        </w:tc>
        <w:tc>
          <w:tcPr>
            <w:tcW w:w="3060" w:type="dxa"/>
          </w:tcPr>
          <w:p w:rsidR="007760B4" w:rsidRPr="00B6103B" w:rsidRDefault="007760B4" w:rsidP="00A14163">
            <w:pPr>
              <w:pStyle w:val="ParaNum"/>
              <w:numPr>
                <w:ilvl w:val="0"/>
                <w:numId w:val="0"/>
              </w:numPr>
              <w:tabs>
                <w:tab w:val="left" w:pos="0"/>
                <w:tab w:val="left" w:pos="360"/>
              </w:tabs>
              <w:rPr>
                <w:sz w:val="22"/>
                <w:szCs w:val="22"/>
              </w:rPr>
            </w:pPr>
          </w:p>
          <w:p w:rsidR="005A7BA6" w:rsidRPr="00B6103B" w:rsidRDefault="00EF1123" w:rsidP="00A14163">
            <w:pPr>
              <w:pStyle w:val="ParaNum"/>
              <w:numPr>
                <w:ilvl w:val="0"/>
                <w:numId w:val="0"/>
              </w:numPr>
              <w:tabs>
                <w:tab w:val="left" w:pos="0"/>
                <w:tab w:val="left" w:pos="360"/>
              </w:tabs>
              <w:rPr>
                <w:sz w:val="22"/>
                <w:szCs w:val="22"/>
              </w:rPr>
            </w:pPr>
            <w:r>
              <w:rPr>
                <w:sz w:val="22"/>
                <w:szCs w:val="22"/>
              </w:rPr>
              <w:t>20</w:t>
            </w:r>
            <w:r w:rsidRPr="00B6103B">
              <w:rPr>
                <w:sz w:val="22"/>
                <w:szCs w:val="22"/>
              </w:rPr>
              <w:t xml:space="preserve"> </w:t>
            </w:r>
            <w:r w:rsidR="005A7BA6" w:rsidRPr="00B6103B">
              <w:rPr>
                <w:sz w:val="22"/>
                <w:szCs w:val="22"/>
              </w:rPr>
              <w:t>waiver requests</w:t>
            </w:r>
          </w:p>
        </w:tc>
        <w:tc>
          <w:tcPr>
            <w:tcW w:w="1170" w:type="dxa"/>
          </w:tcPr>
          <w:p w:rsidR="004320F2" w:rsidRPr="00B6103B" w:rsidRDefault="004320F2" w:rsidP="00E27EE6">
            <w:pPr>
              <w:pStyle w:val="ParaNum"/>
              <w:numPr>
                <w:ilvl w:val="0"/>
                <w:numId w:val="0"/>
              </w:numPr>
              <w:tabs>
                <w:tab w:val="left" w:pos="0"/>
                <w:tab w:val="left" w:pos="360"/>
              </w:tabs>
              <w:rPr>
                <w:sz w:val="22"/>
                <w:szCs w:val="22"/>
              </w:rPr>
            </w:pPr>
          </w:p>
          <w:p w:rsidR="005A7BA6" w:rsidRPr="00B6103B" w:rsidRDefault="005A7BA6" w:rsidP="00E27EE6">
            <w:pPr>
              <w:pStyle w:val="ParaNum"/>
              <w:numPr>
                <w:ilvl w:val="0"/>
                <w:numId w:val="0"/>
              </w:numPr>
              <w:tabs>
                <w:tab w:val="left" w:pos="0"/>
                <w:tab w:val="left" w:pos="360"/>
              </w:tabs>
              <w:rPr>
                <w:sz w:val="22"/>
                <w:szCs w:val="22"/>
              </w:rPr>
            </w:pPr>
            <w:r w:rsidRPr="00B6103B">
              <w:rPr>
                <w:sz w:val="22"/>
                <w:szCs w:val="22"/>
              </w:rPr>
              <w:t>20 hours</w:t>
            </w:r>
            <w:r w:rsidR="00B55A8E" w:rsidRPr="00B6103B">
              <w:rPr>
                <w:sz w:val="22"/>
                <w:szCs w:val="22"/>
              </w:rPr>
              <w:t xml:space="preserve"> / request</w:t>
            </w:r>
          </w:p>
        </w:tc>
        <w:tc>
          <w:tcPr>
            <w:tcW w:w="1080" w:type="dxa"/>
          </w:tcPr>
          <w:p w:rsidR="004320F2" w:rsidRPr="00B6103B" w:rsidRDefault="004320F2" w:rsidP="00E27EE6">
            <w:pPr>
              <w:pStyle w:val="ParaNum"/>
              <w:numPr>
                <w:ilvl w:val="0"/>
                <w:numId w:val="0"/>
              </w:numPr>
              <w:tabs>
                <w:tab w:val="left" w:pos="0"/>
                <w:tab w:val="left" w:pos="360"/>
              </w:tabs>
              <w:rPr>
                <w:sz w:val="22"/>
                <w:szCs w:val="22"/>
              </w:rPr>
            </w:pPr>
          </w:p>
          <w:p w:rsidR="005A7BA6" w:rsidRPr="00B6103B" w:rsidRDefault="00EF1123" w:rsidP="00E27EE6">
            <w:pPr>
              <w:pStyle w:val="ParaNum"/>
              <w:numPr>
                <w:ilvl w:val="0"/>
                <w:numId w:val="0"/>
              </w:numPr>
              <w:tabs>
                <w:tab w:val="left" w:pos="0"/>
                <w:tab w:val="left" w:pos="360"/>
              </w:tabs>
              <w:rPr>
                <w:sz w:val="22"/>
                <w:szCs w:val="22"/>
              </w:rPr>
            </w:pPr>
            <w:r>
              <w:rPr>
                <w:sz w:val="22"/>
                <w:szCs w:val="22"/>
              </w:rPr>
              <w:t>400</w:t>
            </w:r>
          </w:p>
          <w:p w:rsidR="005A7BA6" w:rsidRPr="00B6103B" w:rsidRDefault="005A7BA6" w:rsidP="00E27EE6">
            <w:pPr>
              <w:pStyle w:val="ParaNum"/>
              <w:numPr>
                <w:ilvl w:val="0"/>
                <w:numId w:val="0"/>
              </w:numPr>
              <w:tabs>
                <w:tab w:val="left" w:pos="0"/>
                <w:tab w:val="left" w:pos="360"/>
              </w:tabs>
              <w:rPr>
                <w:sz w:val="22"/>
                <w:szCs w:val="22"/>
              </w:rPr>
            </w:pPr>
            <w:r w:rsidRPr="00B6103B">
              <w:rPr>
                <w:sz w:val="22"/>
                <w:szCs w:val="22"/>
              </w:rPr>
              <w:t>hours</w:t>
            </w:r>
          </w:p>
        </w:tc>
        <w:tc>
          <w:tcPr>
            <w:tcW w:w="1350" w:type="dxa"/>
          </w:tcPr>
          <w:p w:rsidR="007760B4" w:rsidRPr="00B6103B" w:rsidRDefault="007760B4" w:rsidP="00E27EE6">
            <w:pPr>
              <w:pStyle w:val="ParaNum"/>
              <w:numPr>
                <w:ilvl w:val="0"/>
                <w:numId w:val="0"/>
              </w:numPr>
              <w:tabs>
                <w:tab w:val="left" w:pos="0"/>
                <w:tab w:val="left" w:pos="360"/>
              </w:tabs>
              <w:rPr>
                <w:sz w:val="22"/>
                <w:szCs w:val="22"/>
              </w:rPr>
            </w:pPr>
          </w:p>
          <w:p w:rsidR="005A7BA6" w:rsidRPr="00B6103B" w:rsidRDefault="005A7BA6" w:rsidP="00E27EE6">
            <w:pPr>
              <w:pStyle w:val="ParaNum"/>
              <w:numPr>
                <w:ilvl w:val="0"/>
                <w:numId w:val="0"/>
              </w:numPr>
              <w:tabs>
                <w:tab w:val="left" w:pos="0"/>
                <w:tab w:val="left" w:pos="360"/>
              </w:tabs>
              <w:rPr>
                <w:sz w:val="22"/>
                <w:szCs w:val="22"/>
              </w:rPr>
            </w:pPr>
            <w:r w:rsidRPr="00B6103B">
              <w:rPr>
                <w:sz w:val="22"/>
                <w:szCs w:val="22"/>
              </w:rPr>
              <w:t>$48.08/hour</w:t>
            </w:r>
          </w:p>
        </w:tc>
        <w:tc>
          <w:tcPr>
            <w:tcW w:w="1440" w:type="dxa"/>
          </w:tcPr>
          <w:p w:rsidR="007760B4" w:rsidRPr="00B6103B" w:rsidRDefault="007760B4" w:rsidP="00E27EE6">
            <w:pPr>
              <w:pStyle w:val="ParaNum"/>
              <w:numPr>
                <w:ilvl w:val="0"/>
                <w:numId w:val="0"/>
              </w:numPr>
              <w:tabs>
                <w:tab w:val="left" w:pos="0"/>
                <w:tab w:val="left" w:pos="360"/>
              </w:tabs>
              <w:rPr>
                <w:sz w:val="22"/>
                <w:szCs w:val="22"/>
              </w:rPr>
            </w:pPr>
          </w:p>
          <w:p w:rsidR="005A7BA6" w:rsidRPr="00B6103B" w:rsidRDefault="005A7BA6" w:rsidP="004857E0">
            <w:pPr>
              <w:pStyle w:val="ParaNum"/>
              <w:numPr>
                <w:ilvl w:val="0"/>
                <w:numId w:val="0"/>
              </w:numPr>
              <w:tabs>
                <w:tab w:val="left" w:pos="0"/>
                <w:tab w:val="left" w:pos="360"/>
              </w:tabs>
              <w:rPr>
                <w:sz w:val="22"/>
                <w:szCs w:val="22"/>
              </w:rPr>
            </w:pPr>
            <w:r w:rsidRPr="00B6103B">
              <w:rPr>
                <w:sz w:val="22"/>
                <w:szCs w:val="22"/>
              </w:rPr>
              <w:t>$</w:t>
            </w:r>
            <w:r w:rsidR="00EF1123">
              <w:rPr>
                <w:sz w:val="22"/>
                <w:szCs w:val="22"/>
              </w:rPr>
              <w:t>1</w:t>
            </w:r>
            <w:r w:rsidR="00EA3B5A" w:rsidRPr="00B6103B">
              <w:rPr>
                <w:sz w:val="22"/>
                <w:szCs w:val="22"/>
              </w:rPr>
              <w:t>9</w:t>
            </w:r>
            <w:r w:rsidRPr="00B6103B">
              <w:rPr>
                <w:sz w:val="22"/>
                <w:szCs w:val="22"/>
              </w:rPr>
              <w:t>,</w:t>
            </w:r>
            <w:r w:rsidR="00EF1123">
              <w:rPr>
                <w:sz w:val="22"/>
                <w:szCs w:val="22"/>
              </w:rPr>
              <w:t>232</w:t>
            </w:r>
            <w:r w:rsidR="00EA3B5A" w:rsidRPr="00B6103B">
              <w:rPr>
                <w:sz w:val="22"/>
                <w:szCs w:val="22"/>
              </w:rPr>
              <w:t>.00</w:t>
            </w:r>
          </w:p>
        </w:tc>
      </w:tr>
    </w:tbl>
    <w:p w:rsidR="00295306" w:rsidRPr="00B6103B" w:rsidRDefault="00295306" w:rsidP="00295306">
      <w:pPr>
        <w:pStyle w:val="ParaNum"/>
        <w:numPr>
          <w:ilvl w:val="0"/>
          <w:numId w:val="0"/>
        </w:numPr>
        <w:tabs>
          <w:tab w:val="left" w:pos="0"/>
          <w:tab w:val="left" w:pos="360"/>
        </w:tabs>
        <w:rPr>
          <w:b/>
          <w:sz w:val="22"/>
          <w:szCs w:val="22"/>
        </w:rPr>
      </w:pPr>
    </w:p>
    <w:p w:rsidR="0002030C" w:rsidRPr="00B6103B" w:rsidRDefault="00E23B53" w:rsidP="00BF27AD">
      <w:pPr>
        <w:pStyle w:val="ParaNum"/>
        <w:numPr>
          <w:ilvl w:val="0"/>
          <w:numId w:val="10"/>
        </w:numPr>
        <w:tabs>
          <w:tab w:val="left" w:pos="0"/>
        </w:tabs>
        <w:rPr>
          <w:b/>
          <w:szCs w:val="24"/>
        </w:rPr>
      </w:pPr>
      <w:r w:rsidRPr="00B6103B">
        <w:rPr>
          <w:b/>
          <w:szCs w:val="24"/>
        </w:rPr>
        <w:t>Total Number of Respon</w:t>
      </w:r>
      <w:r w:rsidR="002650D3" w:rsidRPr="00B6103B">
        <w:rPr>
          <w:b/>
          <w:szCs w:val="24"/>
        </w:rPr>
        <w:t>dents</w:t>
      </w:r>
      <w:r w:rsidRPr="00B6103B">
        <w:rPr>
          <w:b/>
          <w:szCs w:val="24"/>
        </w:rPr>
        <w:t xml:space="preserve">:  </w:t>
      </w:r>
      <w:r w:rsidR="00025768">
        <w:rPr>
          <w:b/>
          <w:sz w:val="22"/>
          <w:szCs w:val="22"/>
        </w:rPr>
        <w:t>20</w:t>
      </w:r>
      <w:r w:rsidR="00025768" w:rsidRPr="00B6103B">
        <w:rPr>
          <w:b/>
          <w:sz w:val="22"/>
          <w:szCs w:val="22"/>
        </w:rPr>
        <w:t xml:space="preserve"> </w:t>
      </w:r>
      <w:r w:rsidR="00D171AC" w:rsidRPr="00B6103B">
        <w:rPr>
          <w:b/>
          <w:sz w:val="22"/>
          <w:szCs w:val="22"/>
        </w:rPr>
        <w:t>station/MVPDs</w:t>
      </w:r>
    </w:p>
    <w:p w:rsidR="00E23B53" w:rsidRPr="00B6103B" w:rsidRDefault="00B970E0" w:rsidP="00BF27AD">
      <w:pPr>
        <w:numPr>
          <w:ilvl w:val="0"/>
          <w:numId w:val="10"/>
        </w:numPr>
        <w:suppressAutoHyphens/>
        <w:rPr>
          <w:b/>
          <w:szCs w:val="24"/>
        </w:rPr>
      </w:pPr>
      <w:r w:rsidRPr="00B6103B">
        <w:rPr>
          <w:b/>
          <w:szCs w:val="24"/>
        </w:rPr>
        <w:t xml:space="preserve">Total Number of Responses:  </w:t>
      </w:r>
      <w:r w:rsidR="00025768">
        <w:rPr>
          <w:b/>
          <w:sz w:val="22"/>
          <w:szCs w:val="22"/>
        </w:rPr>
        <w:t>20</w:t>
      </w:r>
      <w:r w:rsidR="00025768" w:rsidRPr="00B6103B">
        <w:rPr>
          <w:b/>
          <w:sz w:val="22"/>
          <w:szCs w:val="22"/>
        </w:rPr>
        <w:t xml:space="preserve"> </w:t>
      </w:r>
      <w:r w:rsidR="00D171AC" w:rsidRPr="00B6103B">
        <w:rPr>
          <w:b/>
          <w:sz w:val="22"/>
          <w:szCs w:val="22"/>
        </w:rPr>
        <w:t>responses</w:t>
      </w:r>
    </w:p>
    <w:p w:rsidR="003A2FE0" w:rsidRPr="00B6103B" w:rsidRDefault="000C030B" w:rsidP="00BF27AD">
      <w:pPr>
        <w:numPr>
          <w:ilvl w:val="0"/>
          <w:numId w:val="10"/>
        </w:numPr>
        <w:suppressAutoHyphens/>
        <w:rPr>
          <w:b/>
          <w:szCs w:val="24"/>
        </w:rPr>
      </w:pPr>
      <w:r w:rsidRPr="00B6103B">
        <w:rPr>
          <w:b/>
          <w:szCs w:val="24"/>
        </w:rPr>
        <w:t xml:space="preserve">Total </w:t>
      </w:r>
      <w:r w:rsidR="00D015FC" w:rsidRPr="00B6103B">
        <w:rPr>
          <w:b/>
          <w:szCs w:val="24"/>
        </w:rPr>
        <w:t>Annual Burden</w:t>
      </w:r>
      <w:r w:rsidR="001D434C" w:rsidRPr="00B6103B">
        <w:rPr>
          <w:b/>
          <w:szCs w:val="24"/>
        </w:rPr>
        <w:t xml:space="preserve"> Hours</w:t>
      </w:r>
      <w:r w:rsidR="00D015FC" w:rsidRPr="00B6103B">
        <w:rPr>
          <w:b/>
          <w:szCs w:val="24"/>
        </w:rPr>
        <w:t xml:space="preserve">: </w:t>
      </w:r>
      <w:r w:rsidR="00C505F0" w:rsidRPr="00B6103B">
        <w:rPr>
          <w:b/>
          <w:szCs w:val="24"/>
        </w:rPr>
        <w:t xml:space="preserve"> </w:t>
      </w:r>
      <w:r w:rsidR="00025768">
        <w:rPr>
          <w:b/>
          <w:sz w:val="22"/>
          <w:szCs w:val="22"/>
        </w:rPr>
        <w:t>400</w:t>
      </w:r>
      <w:r w:rsidR="00D171AC" w:rsidRPr="00B6103B">
        <w:rPr>
          <w:b/>
          <w:sz w:val="22"/>
          <w:szCs w:val="22"/>
        </w:rPr>
        <w:t xml:space="preserve"> hours</w:t>
      </w:r>
    </w:p>
    <w:p w:rsidR="00E23B53" w:rsidRPr="00B6103B" w:rsidRDefault="00B970E0" w:rsidP="00025768">
      <w:pPr>
        <w:numPr>
          <w:ilvl w:val="0"/>
          <w:numId w:val="10"/>
        </w:numPr>
        <w:suppressAutoHyphens/>
        <w:rPr>
          <w:b/>
          <w:szCs w:val="24"/>
        </w:rPr>
      </w:pPr>
      <w:r w:rsidRPr="00B6103B">
        <w:rPr>
          <w:b/>
          <w:szCs w:val="24"/>
        </w:rPr>
        <w:t xml:space="preserve">Total Annual In-House Cost:  </w:t>
      </w:r>
      <w:r w:rsidR="00025768" w:rsidRPr="00025768">
        <w:rPr>
          <w:b/>
          <w:sz w:val="22"/>
          <w:szCs w:val="22"/>
        </w:rPr>
        <w:t>$19,232.00</w:t>
      </w:r>
    </w:p>
    <w:p w:rsidR="00ED6D67" w:rsidRPr="00B6103B" w:rsidRDefault="00ED6D67" w:rsidP="000C030B">
      <w:pPr>
        <w:suppressAutoHyphens/>
        <w:rPr>
          <w:szCs w:val="24"/>
        </w:rPr>
      </w:pPr>
    </w:p>
    <w:p w:rsidR="00D477D5" w:rsidRPr="00B6103B" w:rsidRDefault="00D477D5" w:rsidP="00D477D5">
      <w:pPr>
        <w:pStyle w:val="ParaNum"/>
        <w:numPr>
          <w:ilvl w:val="0"/>
          <w:numId w:val="0"/>
        </w:numPr>
        <w:tabs>
          <w:tab w:val="left" w:pos="360"/>
        </w:tabs>
        <w:rPr>
          <w:szCs w:val="24"/>
        </w:rPr>
      </w:pPr>
    </w:p>
    <w:p w:rsidR="00A475FE" w:rsidRPr="00B6103B" w:rsidRDefault="00DB0C79" w:rsidP="00822BA8">
      <w:pPr>
        <w:pStyle w:val="ParaNum"/>
        <w:numPr>
          <w:ilvl w:val="0"/>
          <w:numId w:val="0"/>
        </w:numPr>
        <w:tabs>
          <w:tab w:val="left" w:pos="0"/>
          <w:tab w:val="left" w:pos="360"/>
        </w:tabs>
        <w:rPr>
          <w:szCs w:val="24"/>
        </w:rPr>
      </w:pPr>
      <w:r w:rsidRPr="00B6103B">
        <w:rPr>
          <w:spacing w:val="-3"/>
          <w:szCs w:val="24"/>
        </w:rPr>
        <w:t>13.</w:t>
      </w:r>
      <w:r w:rsidRPr="00B6103B">
        <w:rPr>
          <w:spacing w:val="-3"/>
          <w:szCs w:val="24"/>
        </w:rPr>
        <w:tab/>
      </w:r>
      <w:r w:rsidR="00B55A8E" w:rsidRPr="00B6103B">
        <w:rPr>
          <w:spacing w:val="-3"/>
          <w:szCs w:val="24"/>
        </w:rPr>
        <w:tab/>
      </w:r>
      <w:r w:rsidRPr="00B6103B">
        <w:rPr>
          <w:b/>
          <w:spacing w:val="-3"/>
          <w:szCs w:val="24"/>
        </w:rPr>
        <w:t>Cost to Respondents</w:t>
      </w:r>
      <w:r w:rsidRPr="00B6103B">
        <w:rPr>
          <w:spacing w:val="-3"/>
          <w:szCs w:val="24"/>
        </w:rPr>
        <w:t xml:space="preserve">:  </w:t>
      </w:r>
      <w:r w:rsidRPr="00B6103B">
        <w:rPr>
          <w:szCs w:val="24"/>
        </w:rPr>
        <w:t xml:space="preserve">We assume that the respondents would consult with </w:t>
      </w:r>
      <w:r w:rsidRPr="00B6103B">
        <w:rPr>
          <w:spacing w:val="-3"/>
          <w:szCs w:val="24"/>
        </w:rPr>
        <w:t>an attorney ($</w:t>
      </w:r>
      <w:r w:rsidR="00DA09C3" w:rsidRPr="00B6103B">
        <w:rPr>
          <w:spacing w:val="-3"/>
          <w:szCs w:val="24"/>
        </w:rPr>
        <w:t>3</w:t>
      </w:r>
      <w:r w:rsidRPr="00B6103B">
        <w:rPr>
          <w:spacing w:val="-3"/>
          <w:szCs w:val="24"/>
        </w:rPr>
        <w:t xml:space="preserve">00/hour) to complete </w:t>
      </w:r>
      <w:r w:rsidR="008911BC" w:rsidRPr="00B6103B">
        <w:t>a general waiver request</w:t>
      </w:r>
      <w:r w:rsidR="008911BC" w:rsidRPr="00B6103B">
        <w:rPr>
          <w:szCs w:val="24"/>
        </w:rPr>
        <w:t xml:space="preserve"> </w:t>
      </w:r>
      <w:r w:rsidRPr="00B6103B">
        <w:rPr>
          <w:szCs w:val="24"/>
        </w:rPr>
        <w:t xml:space="preserve">and that the attorney would review the completed </w:t>
      </w:r>
      <w:r w:rsidR="004507AA" w:rsidRPr="00B6103B">
        <w:rPr>
          <w:szCs w:val="24"/>
        </w:rPr>
        <w:t>waiver request</w:t>
      </w:r>
      <w:r w:rsidRPr="00B6103B">
        <w:rPr>
          <w:szCs w:val="24"/>
        </w:rPr>
        <w:t xml:space="preserve"> before it is </w:t>
      </w:r>
      <w:r w:rsidR="004507AA" w:rsidRPr="00B6103B">
        <w:rPr>
          <w:szCs w:val="24"/>
        </w:rPr>
        <w:t>filed with</w:t>
      </w:r>
      <w:r w:rsidRPr="00B6103B">
        <w:rPr>
          <w:szCs w:val="24"/>
        </w:rPr>
        <w:t xml:space="preserve"> the Commission.  </w:t>
      </w:r>
      <w:r w:rsidR="004507AA" w:rsidRPr="00B6103B">
        <w:rPr>
          <w:szCs w:val="24"/>
        </w:rPr>
        <w:t>We estimate that i</w:t>
      </w:r>
      <w:r w:rsidRPr="00B6103B">
        <w:rPr>
          <w:szCs w:val="24"/>
        </w:rPr>
        <w:t xml:space="preserve">t will take the attorney </w:t>
      </w:r>
      <w:r w:rsidR="004507AA" w:rsidRPr="00B6103B">
        <w:rPr>
          <w:szCs w:val="24"/>
        </w:rPr>
        <w:t>two (2) hours</w:t>
      </w:r>
      <w:r w:rsidRPr="00B6103B">
        <w:rPr>
          <w:szCs w:val="24"/>
        </w:rPr>
        <w:t xml:space="preserve"> per request to </w:t>
      </w:r>
      <w:r w:rsidR="008911BC" w:rsidRPr="00B6103B">
        <w:rPr>
          <w:szCs w:val="24"/>
        </w:rPr>
        <w:t>perform</w:t>
      </w:r>
      <w:r w:rsidRPr="00B6103B">
        <w:rPr>
          <w:szCs w:val="24"/>
        </w:rPr>
        <w:t xml:space="preserve"> the </w:t>
      </w:r>
      <w:r w:rsidR="008911BC" w:rsidRPr="00B6103B">
        <w:rPr>
          <w:szCs w:val="24"/>
        </w:rPr>
        <w:t xml:space="preserve">consultation and </w:t>
      </w:r>
      <w:r w:rsidRPr="00B6103B">
        <w:rPr>
          <w:szCs w:val="24"/>
        </w:rPr>
        <w:t xml:space="preserve">review of each </w:t>
      </w:r>
      <w:r w:rsidR="004507AA" w:rsidRPr="00B6103B">
        <w:rPr>
          <w:szCs w:val="24"/>
        </w:rPr>
        <w:t>waiver request</w:t>
      </w:r>
      <w:r w:rsidR="008911BC" w:rsidRPr="00B6103B">
        <w:rPr>
          <w:szCs w:val="24"/>
        </w:rPr>
        <w:t>.</w:t>
      </w:r>
      <w:r w:rsidR="00F00838" w:rsidRPr="00B6103B">
        <w:rPr>
          <w:szCs w:val="24"/>
        </w:rPr>
        <w:t xml:space="preserve">  (No fee is proposed for the filing of a general waiver request.)</w:t>
      </w:r>
    </w:p>
    <w:p w:rsidR="00883552" w:rsidRPr="00B6103B" w:rsidRDefault="00883552" w:rsidP="00822BA8">
      <w:pPr>
        <w:pStyle w:val="ParaNum"/>
        <w:numPr>
          <w:ilvl w:val="0"/>
          <w:numId w:val="0"/>
        </w:numPr>
        <w:tabs>
          <w:tab w:val="left" w:pos="0"/>
          <w:tab w:val="left" w:pos="360"/>
        </w:tabs>
        <w:rPr>
          <w:szCs w:val="24"/>
        </w:rPr>
      </w:pPr>
    </w:p>
    <w:p w:rsidR="00B46BFC" w:rsidRPr="006B19C5" w:rsidRDefault="005F107D" w:rsidP="00B46BFC">
      <w:pPr>
        <w:suppressAutoHyphens/>
        <w:rPr>
          <w:szCs w:val="24"/>
        </w:rPr>
      </w:pPr>
      <w:r w:rsidRPr="00B6103B">
        <w:rPr>
          <w:szCs w:val="24"/>
        </w:rPr>
        <w:t xml:space="preserve">Outside </w:t>
      </w:r>
      <w:r w:rsidR="00B46BFC" w:rsidRPr="00B6103B">
        <w:rPr>
          <w:szCs w:val="24"/>
        </w:rPr>
        <w:t>Attorney</w:t>
      </w:r>
      <w:r w:rsidRPr="00B6103B">
        <w:rPr>
          <w:szCs w:val="24"/>
        </w:rPr>
        <w:t xml:space="preserve">/Consultant: </w:t>
      </w:r>
      <w:r w:rsidR="00B46BFC" w:rsidRPr="00B6103B">
        <w:rPr>
          <w:szCs w:val="24"/>
        </w:rPr>
        <w:tab/>
      </w:r>
      <w:r w:rsidR="00025768" w:rsidRPr="006B19C5">
        <w:rPr>
          <w:szCs w:val="24"/>
        </w:rPr>
        <w:t xml:space="preserve">20 </w:t>
      </w:r>
      <w:r w:rsidR="00DA509C" w:rsidRPr="006B19C5">
        <w:rPr>
          <w:szCs w:val="24"/>
        </w:rPr>
        <w:t xml:space="preserve">waiver requests </w:t>
      </w:r>
      <w:r w:rsidR="00B46BFC" w:rsidRPr="006B19C5">
        <w:rPr>
          <w:szCs w:val="24"/>
        </w:rPr>
        <w:t>x</w:t>
      </w:r>
      <w:r w:rsidRPr="006B19C5">
        <w:rPr>
          <w:szCs w:val="24"/>
        </w:rPr>
        <w:t xml:space="preserve"> 2 hours/request = </w:t>
      </w:r>
      <w:r w:rsidR="00025768" w:rsidRPr="006B19C5">
        <w:rPr>
          <w:szCs w:val="24"/>
        </w:rPr>
        <w:t xml:space="preserve">40 </w:t>
      </w:r>
      <w:r w:rsidR="00B46BFC" w:rsidRPr="006B19C5">
        <w:rPr>
          <w:szCs w:val="24"/>
        </w:rPr>
        <w:t>hours</w:t>
      </w:r>
      <w:r w:rsidRPr="006B19C5">
        <w:rPr>
          <w:szCs w:val="24"/>
        </w:rPr>
        <w:t xml:space="preserve"> </w:t>
      </w:r>
    </w:p>
    <w:p w:rsidR="00BF27AD" w:rsidRPr="00B6103B" w:rsidRDefault="005F107D" w:rsidP="005F107D">
      <w:pPr>
        <w:suppressAutoHyphens/>
        <w:rPr>
          <w:szCs w:val="24"/>
        </w:rPr>
      </w:pPr>
      <w:r w:rsidRPr="006B19C5">
        <w:rPr>
          <w:b/>
          <w:spacing w:val="-3"/>
        </w:rPr>
        <w:t>Cost to Respondents</w:t>
      </w:r>
      <w:r w:rsidRPr="006B19C5">
        <w:tab/>
      </w:r>
      <w:r w:rsidRPr="006B19C5">
        <w:tab/>
      </w:r>
      <w:r w:rsidRPr="006B19C5">
        <w:tab/>
      </w:r>
      <w:r w:rsidR="00025768" w:rsidRPr="006B19C5">
        <w:t>40</w:t>
      </w:r>
      <w:r w:rsidR="00025768" w:rsidRPr="00B6103B">
        <w:t xml:space="preserve"> </w:t>
      </w:r>
      <w:r w:rsidRPr="00B6103B">
        <w:t>hours x $</w:t>
      </w:r>
      <w:r w:rsidR="00DA09C3" w:rsidRPr="00B6103B">
        <w:t>3</w:t>
      </w:r>
      <w:r w:rsidRPr="00B6103B">
        <w:t xml:space="preserve">00/hour = </w:t>
      </w:r>
      <w:r w:rsidRPr="00B6103B">
        <w:rPr>
          <w:b/>
        </w:rPr>
        <w:t>$</w:t>
      </w:r>
      <w:r w:rsidR="00025768">
        <w:rPr>
          <w:b/>
        </w:rPr>
        <w:t>12</w:t>
      </w:r>
      <w:r w:rsidRPr="00B6103B">
        <w:rPr>
          <w:b/>
        </w:rPr>
        <w:t>,000</w:t>
      </w:r>
      <w:r w:rsidR="00DA509C" w:rsidRPr="00B6103B">
        <w:rPr>
          <w:b/>
        </w:rPr>
        <w:t>.00</w:t>
      </w:r>
    </w:p>
    <w:p w:rsidR="005F107D" w:rsidRPr="00B6103B" w:rsidRDefault="005F107D" w:rsidP="005F107D">
      <w:pPr>
        <w:suppressAutoHyphens/>
      </w:pPr>
    </w:p>
    <w:p w:rsidR="00D477D5" w:rsidRPr="00B6103B" w:rsidRDefault="00D477D5" w:rsidP="00D477D5">
      <w:pPr>
        <w:pStyle w:val="ParaNum"/>
        <w:numPr>
          <w:ilvl w:val="0"/>
          <w:numId w:val="0"/>
        </w:numPr>
        <w:tabs>
          <w:tab w:val="left" w:pos="360"/>
        </w:tabs>
        <w:rPr>
          <w:szCs w:val="24"/>
        </w:rPr>
      </w:pPr>
    </w:p>
    <w:p w:rsidR="009A4D45" w:rsidRPr="009A4D45" w:rsidRDefault="00822BA8" w:rsidP="009A4D45">
      <w:pPr>
        <w:suppressAutoHyphens/>
        <w:rPr>
          <w:spacing w:val="-3"/>
          <w:szCs w:val="24"/>
        </w:rPr>
      </w:pPr>
      <w:r w:rsidRPr="00B6103B">
        <w:rPr>
          <w:spacing w:val="-3"/>
          <w:szCs w:val="24"/>
        </w:rPr>
        <w:t>14.</w:t>
      </w:r>
      <w:r w:rsidR="00542984" w:rsidRPr="00B6103B">
        <w:rPr>
          <w:spacing w:val="-3"/>
          <w:szCs w:val="24"/>
        </w:rPr>
        <w:t xml:space="preserve"> </w:t>
      </w:r>
      <w:r w:rsidR="00C505F0" w:rsidRPr="00B6103B">
        <w:rPr>
          <w:spacing w:val="-3"/>
          <w:szCs w:val="24"/>
        </w:rPr>
        <w:tab/>
      </w:r>
      <w:r w:rsidR="009A4D45" w:rsidRPr="009A4D45">
        <w:rPr>
          <w:b/>
          <w:spacing w:val="-3"/>
          <w:szCs w:val="24"/>
        </w:rPr>
        <w:t>Cost to the Federal Government</w:t>
      </w:r>
      <w:r w:rsidR="009A4D45" w:rsidRPr="009A4D45">
        <w:rPr>
          <w:spacing w:val="-3"/>
          <w:szCs w:val="24"/>
        </w:rPr>
        <w:t>:  We estimate that the 20 waiver requests filed with the Commission annually with an average processing time of 40 hours per waiver request.  Attorneys at the GS 15, Step 5 level ($68.56/hour) and clerks at the GS 7, Step 5 level ($23.38/hour) will process these filings at the Commission:</w:t>
      </w:r>
    </w:p>
    <w:p w:rsidR="009A4D45" w:rsidRPr="009A4D45" w:rsidRDefault="009A4D45" w:rsidP="009A4D45">
      <w:pPr>
        <w:suppressAutoHyphens/>
        <w:rPr>
          <w:spacing w:val="-3"/>
          <w:szCs w:val="24"/>
        </w:rPr>
      </w:pPr>
    </w:p>
    <w:p w:rsidR="009A4D45" w:rsidRPr="009A4D45" w:rsidRDefault="009A4D45" w:rsidP="009A4D45">
      <w:pPr>
        <w:suppressAutoHyphens/>
        <w:rPr>
          <w:b/>
          <w:spacing w:val="-3"/>
          <w:szCs w:val="24"/>
        </w:rPr>
      </w:pPr>
      <w:r w:rsidRPr="009A4D45">
        <w:rPr>
          <w:spacing w:val="-3"/>
          <w:szCs w:val="24"/>
        </w:rPr>
        <w:tab/>
      </w:r>
      <w:r w:rsidRPr="009A4D45">
        <w:rPr>
          <w:spacing w:val="-3"/>
          <w:szCs w:val="24"/>
        </w:rPr>
        <w:tab/>
      </w:r>
      <w:bookmarkStart w:id="0" w:name="OLE_LINK1"/>
      <w:bookmarkStart w:id="1" w:name="OLE_LINK2"/>
      <w:r w:rsidRPr="009A4D45">
        <w:rPr>
          <w:spacing w:val="-3"/>
          <w:szCs w:val="24"/>
        </w:rPr>
        <w:tab/>
      </w:r>
      <w:r w:rsidRPr="009A4D45">
        <w:rPr>
          <w:b/>
          <w:spacing w:val="-3"/>
          <w:szCs w:val="24"/>
        </w:rPr>
        <w:t xml:space="preserve">Total Petitions    Total hours per           </w:t>
      </w:r>
      <w:r w:rsidR="00AC4AB5">
        <w:rPr>
          <w:b/>
          <w:spacing w:val="-3"/>
          <w:szCs w:val="24"/>
        </w:rPr>
        <w:t xml:space="preserve">  </w:t>
      </w:r>
      <w:r w:rsidRPr="009A4D45">
        <w:rPr>
          <w:b/>
          <w:spacing w:val="-3"/>
          <w:szCs w:val="24"/>
        </w:rPr>
        <w:t>Cost</w:t>
      </w:r>
    </w:p>
    <w:p w:rsidR="009A4D45" w:rsidRPr="009A4D45" w:rsidRDefault="009A4D45" w:rsidP="009A4D45">
      <w:pPr>
        <w:suppressAutoHyphens/>
        <w:rPr>
          <w:b/>
          <w:spacing w:val="-3"/>
          <w:szCs w:val="24"/>
        </w:rPr>
      </w:pPr>
      <w:r w:rsidRPr="009A4D45">
        <w:rPr>
          <w:b/>
          <w:spacing w:val="-3"/>
          <w:szCs w:val="24"/>
        </w:rPr>
        <w:tab/>
      </w:r>
      <w:r w:rsidRPr="009A4D45">
        <w:rPr>
          <w:b/>
          <w:spacing w:val="-3"/>
          <w:szCs w:val="24"/>
        </w:rPr>
        <w:tab/>
      </w:r>
      <w:r w:rsidRPr="009A4D45">
        <w:rPr>
          <w:b/>
          <w:spacing w:val="-3"/>
          <w:szCs w:val="24"/>
        </w:rPr>
        <w:tab/>
      </w:r>
      <w:r w:rsidRPr="009A4D45">
        <w:rPr>
          <w:b/>
          <w:spacing w:val="-3"/>
          <w:szCs w:val="24"/>
          <w:u w:val="single"/>
        </w:rPr>
        <w:t>Filed</w:t>
      </w:r>
      <w:r w:rsidRPr="009A4D45">
        <w:rPr>
          <w:b/>
          <w:spacing w:val="-3"/>
          <w:szCs w:val="24"/>
        </w:rPr>
        <w:tab/>
      </w:r>
      <w:r w:rsidRPr="009A4D45">
        <w:rPr>
          <w:b/>
          <w:spacing w:val="-3"/>
          <w:szCs w:val="24"/>
        </w:rPr>
        <w:tab/>
        <w:t xml:space="preserve">      </w:t>
      </w:r>
      <w:r w:rsidRPr="009A4D45">
        <w:rPr>
          <w:b/>
          <w:spacing w:val="-3"/>
          <w:szCs w:val="24"/>
          <w:u w:val="single"/>
        </w:rPr>
        <w:t>Filing</w:t>
      </w:r>
      <w:r w:rsidRPr="009A4D45">
        <w:rPr>
          <w:b/>
          <w:spacing w:val="-3"/>
          <w:szCs w:val="24"/>
        </w:rPr>
        <w:tab/>
      </w:r>
      <w:r w:rsidRPr="009A4D45">
        <w:rPr>
          <w:b/>
          <w:spacing w:val="-3"/>
          <w:szCs w:val="24"/>
        </w:rPr>
        <w:tab/>
        <w:t xml:space="preserve">       </w:t>
      </w:r>
      <w:r w:rsidRPr="009A4D45">
        <w:rPr>
          <w:b/>
          <w:spacing w:val="-3"/>
          <w:szCs w:val="24"/>
          <w:u w:val="single"/>
        </w:rPr>
        <w:t>per hour</w:t>
      </w:r>
      <w:r w:rsidRPr="009A4D45">
        <w:rPr>
          <w:b/>
          <w:spacing w:val="-3"/>
          <w:szCs w:val="24"/>
        </w:rPr>
        <w:tab/>
        <w:t xml:space="preserve">     </w:t>
      </w:r>
      <w:r w:rsidRPr="009A4D45">
        <w:rPr>
          <w:b/>
          <w:spacing w:val="-3"/>
          <w:szCs w:val="24"/>
          <w:u w:val="single"/>
        </w:rPr>
        <w:t>Cost per filing</w:t>
      </w:r>
    </w:p>
    <w:p w:rsidR="009A4D45" w:rsidRPr="009A4D45" w:rsidRDefault="009A4D45" w:rsidP="009A4D45">
      <w:pPr>
        <w:suppressAutoHyphens/>
        <w:rPr>
          <w:spacing w:val="-3"/>
          <w:szCs w:val="24"/>
        </w:rPr>
      </w:pPr>
      <w:r w:rsidRPr="009A4D45">
        <w:rPr>
          <w:spacing w:val="-3"/>
          <w:szCs w:val="24"/>
        </w:rPr>
        <w:t>FCC Attorneys:</w:t>
      </w:r>
      <w:r w:rsidRPr="009A4D45">
        <w:rPr>
          <w:spacing w:val="-3"/>
          <w:szCs w:val="24"/>
        </w:rPr>
        <w:tab/>
        <w:t xml:space="preserve">20 </w:t>
      </w:r>
      <w:r w:rsidRPr="009A4D45">
        <w:rPr>
          <w:spacing w:val="-3"/>
          <w:szCs w:val="24"/>
        </w:rPr>
        <w:tab/>
        <w:t>x</w:t>
      </w:r>
      <w:r w:rsidRPr="009A4D45">
        <w:rPr>
          <w:spacing w:val="-3"/>
          <w:szCs w:val="24"/>
        </w:rPr>
        <w:tab/>
        <w:t xml:space="preserve">   38 hours       x</w:t>
      </w:r>
      <w:r w:rsidRPr="009A4D45">
        <w:rPr>
          <w:spacing w:val="-3"/>
          <w:szCs w:val="24"/>
        </w:rPr>
        <w:tab/>
        <w:t xml:space="preserve">       $68.56</w:t>
      </w:r>
      <w:r w:rsidRPr="009A4D45">
        <w:rPr>
          <w:spacing w:val="-3"/>
          <w:szCs w:val="24"/>
        </w:rPr>
        <w:tab/>
        <w:t>=    $52,105.60</w:t>
      </w:r>
    </w:p>
    <w:p w:rsidR="009A4D45" w:rsidRPr="009A4D45" w:rsidRDefault="009A4D45" w:rsidP="009A4D45">
      <w:pPr>
        <w:suppressAutoHyphens/>
        <w:rPr>
          <w:spacing w:val="-3"/>
          <w:szCs w:val="24"/>
        </w:rPr>
      </w:pPr>
      <w:r w:rsidRPr="009A4D45">
        <w:rPr>
          <w:spacing w:val="-3"/>
          <w:szCs w:val="24"/>
        </w:rPr>
        <w:tab/>
      </w:r>
      <w:r w:rsidRPr="009A4D45">
        <w:rPr>
          <w:spacing w:val="-3"/>
          <w:szCs w:val="24"/>
        </w:rPr>
        <w:tab/>
      </w:r>
      <w:r w:rsidRPr="009A4D45">
        <w:rPr>
          <w:spacing w:val="-3"/>
          <w:szCs w:val="24"/>
        </w:rPr>
        <w:tab/>
      </w:r>
      <w:r w:rsidRPr="009A4D45">
        <w:rPr>
          <w:spacing w:val="-3"/>
          <w:szCs w:val="24"/>
        </w:rPr>
        <w:tab/>
      </w:r>
      <w:r w:rsidRPr="009A4D45">
        <w:rPr>
          <w:spacing w:val="-3"/>
          <w:szCs w:val="24"/>
        </w:rPr>
        <w:tab/>
        <w:t>(20x38=760 hours)</w:t>
      </w:r>
    </w:p>
    <w:p w:rsidR="009A4D45" w:rsidRPr="009A4D45" w:rsidRDefault="009A4D45" w:rsidP="009A4D45">
      <w:pPr>
        <w:suppressAutoHyphens/>
        <w:rPr>
          <w:spacing w:val="-3"/>
          <w:szCs w:val="24"/>
        </w:rPr>
      </w:pPr>
    </w:p>
    <w:p w:rsidR="009A4D45" w:rsidRPr="009A4D45" w:rsidRDefault="009A4D45" w:rsidP="009A4D45">
      <w:pPr>
        <w:suppressAutoHyphens/>
        <w:rPr>
          <w:spacing w:val="-3"/>
          <w:szCs w:val="24"/>
        </w:rPr>
      </w:pPr>
      <w:r w:rsidRPr="009A4D45">
        <w:rPr>
          <w:spacing w:val="-3"/>
          <w:szCs w:val="24"/>
        </w:rPr>
        <w:t>FCC Clerical:</w:t>
      </w:r>
      <w:r w:rsidRPr="009A4D45">
        <w:rPr>
          <w:spacing w:val="-3"/>
          <w:szCs w:val="24"/>
        </w:rPr>
        <w:tab/>
      </w:r>
      <w:r w:rsidRPr="009A4D45">
        <w:rPr>
          <w:spacing w:val="-3"/>
          <w:szCs w:val="24"/>
        </w:rPr>
        <w:tab/>
        <w:t>20</w:t>
      </w:r>
      <w:r w:rsidRPr="009A4D45">
        <w:rPr>
          <w:spacing w:val="-3"/>
          <w:szCs w:val="24"/>
        </w:rPr>
        <w:tab/>
        <w:t>x</w:t>
      </w:r>
      <w:r w:rsidRPr="009A4D45">
        <w:rPr>
          <w:spacing w:val="-3"/>
          <w:szCs w:val="24"/>
        </w:rPr>
        <w:tab/>
        <w:t xml:space="preserve">   2 hours         x</w:t>
      </w:r>
      <w:r w:rsidRPr="009A4D45">
        <w:rPr>
          <w:spacing w:val="-3"/>
          <w:szCs w:val="24"/>
        </w:rPr>
        <w:tab/>
        <w:t xml:space="preserve">        $23.38</w:t>
      </w:r>
      <w:r w:rsidRPr="009A4D45">
        <w:rPr>
          <w:spacing w:val="-3"/>
          <w:szCs w:val="24"/>
        </w:rPr>
        <w:tab/>
        <w:t>=    $     935.20</w:t>
      </w:r>
    </w:p>
    <w:p w:rsidR="009A4D45" w:rsidRPr="009A4D45" w:rsidRDefault="009A4D45" w:rsidP="009A4D45">
      <w:pPr>
        <w:suppressAutoHyphens/>
        <w:rPr>
          <w:spacing w:val="-3"/>
          <w:szCs w:val="24"/>
        </w:rPr>
      </w:pPr>
      <w:r w:rsidRPr="009A4D45">
        <w:rPr>
          <w:spacing w:val="-3"/>
          <w:szCs w:val="24"/>
        </w:rPr>
        <w:tab/>
      </w:r>
      <w:r w:rsidRPr="009A4D45">
        <w:rPr>
          <w:spacing w:val="-3"/>
          <w:szCs w:val="24"/>
        </w:rPr>
        <w:tab/>
      </w:r>
      <w:r w:rsidRPr="009A4D45">
        <w:rPr>
          <w:spacing w:val="-3"/>
          <w:szCs w:val="24"/>
        </w:rPr>
        <w:tab/>
      </w:r>
      <w:r w:rsidRPr="009A4D45">
        <w:rPr>
          <w:spacing w:val="-3"/>
          <w:szCs w:val="24"/>
        </w:rPr>
        <w:tab/>
      </w:r>
      <w:r w:rsidRPr="009A4D45">
        <w:rPr>
          <w:spacing w:val="-3"/>
          <w:szCs w:val="24"/>
        </w:rPr>
        <w:tab/>
        <w:t>(20x2=40 hours)</w:t>
      </w:r>
    </w:p>
    <w:p w:rsidR="009A4D45" w:rsidRPr="009A4D45" w:rsidRDefault="009A4D45" w:rsidP="009A4D45">
      <w:pPr>
        <w:suppressAutoHyphens/>
        <w:rPr>
          <w:spacing w:val="-3"/>
          <w:szCs w:val="24"/>
        </w:rPr>
      </w:pPr>
      <w:r w:rsidRPr="009A4D45">
        <w:rPr>
          <w:spacing w:val="-3"/>
          <w:szCs w:val="24"/>
          <w:u w:val="single"/>
        </w:rPr>
        <w:t xml:space="preserve">                   </w:t>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rPr>
        <w:t xml:space="preserve"> </w:t>
      </w:r>
    </w:p>
    <w:p w:rsidR="009A4D45" w:rsidRPr="009A4D45" w:rsidRDefault="009A4D45" w:rsidP="009A4D45">
      <w:pPr>
        <w:suppressAutoHyphens/>
        <w:rPr>
          <w:b/>
          <w:spacing w:val="-3"/>
          <w:szCs w:val="24"/>
        </w:rPr>
      </w:pPr>
      <w:r w:rsidRPr="009A4D45">
        <w:rPr>
          <w:b/>
          <w:spacing w:val="-3"/>
          <w:szCs w:val="24"/>
        </w:rPr>
        <w:t>Total Cost to the Federal Government</w:t>
      </w:r>
      <w:r w:rsidRPr="009A4D45">
        <w:rPr>
          <w:b/>
          <w:spacing w:val="-3"/>
          <w:szCs w:val="24"/>
        </w:rPr>
        <w:tab/>
      </w:r>
      <w:r w:rsidRPr="009A4D45">
        <w:rPr>
          <w:b/>
          <w:spacing w:val="-3"/>
          <w:szCs w:val="24"/>
        </w:rPr>
        <w:tab/>
      </w:r>
      <w:r w:rsidRPr="009A4D45">
        <w:rPr>
          <w:b/>
          <w:spacing w:val="-3"/>
          <w:szCs w:val="24"/>
        </w:rPr>
        <w:tab/>
      </w:r>
      <w:r w:rsidRPr="009A4D45">
        <w:rPr>
          <w:b/>
          <w:spacing w:val="-3"/>
          <w:szCs w:val="24"/>
        </w:rPr>
        <w:tab/>
      </w:r>
      <w:r w:rsidRPr="009A4D45">
        <w:rPr>
          <w:b/>
          <w:spacing w:val="-3"/>
          <w:szCs w:val="24"/>
        </w:rPr>
        <w:tab/>
        <w:t xml:space="preserve">       $53,040.80</w:t>
      </w:r>
    </w:p>
    <w:bookmarkEnd w:id="0"/>
    <w:bookmarkEnd w:id="1"/>
    <w:p w:rsidR="00BB5CA5" w:rsidRPr="00B6103B" w:rsidRDefault="00BB5CA5" w:rsidP="009A4D45">
      <w:pPr>
        <w:suppressAutoHyphens/>
        <w:rPr>
          <w:szCs w:val="24"/>
        </w:rPr>
      </w:pPr>
    </w:p>
    <w:p w:rsidR="00D477D5" w:rsidRPr="00B6103B" w:rsidRDefault="00BB5CA5" w:rsidP="00C9645D">
      <w:pPr>
        <w:rPr>
          <w:spacing w:val="-3"/>
          <w:szCs w:val="24"/>
        </w:rPr>
      </w:pPr>
      <w:r w:rsidRPr="00BF02D6">
        <w:rPr>
          <w:spacing w:val="-3"/>
          <w:szCs w:val="24"/>
        </w:rPr>
        <w:t>15.</w:t>
      </w:r>
      <w:r w:rsidRPr="00BF02D6">
        <w:rPr>
          <w:spacing w:val="-3"/>
          <w:szCs w:val="24"/>
        </w:rPr>
        <w:tab/>
        <w:t>Th</w:t>
      </w:r>
      <w:r w:rsidR="008E030E" w:rsidRPr="00BF02D6">
        <w:rPr>
          <w:spacing w:val="-3"/>
          <w:szCs w:val="24"/>
        </w:rPr>
        <w:t>ere are program changes to this collection</w:t>
      </w:r>
      <w:r w:rsidR="007B6B40" w:rsidRPr="00BF02D6">
        <w:rPr>
          <w:spacing w:val="-3"/>
          <w:szCs w:val="24"/>
        </w:rPr>
        <w:t xml:space="preserve">.  </w:t>
      </w:r>
      <w:r w:rsidR="008E030E" w:rsidRPr="00BF02D6">
        <w:rPr>
          <w:spacing w:val="-3"/>
          <w:szCs w:val="24"/>
        </w:rPr>
        <w:t xml:space="preserve"> </w:t>
      </w:r>
      <w:r w:rsidR="007B6B40" w:rsidRPr="00BF02D6">
        <w:t xml:space="preserve">This is because financial hardship requests may no longer be filed and, therefore, the burden associated with such requests has been eliminated.  In addition, this is based on staff experience with receiving general waiver requests.  </w:t>
      </w:r>
      <w:r w:rsidR="008E030E" w:rsidRPr="00BF02D6">
        <w:rPr>
          <w:spacing w:val="-3"/>
          <w:szCs w:val="24"/>
        </w:rPr>
        <w:t>Therefore, the annual number of respondents</w:t>
      </w:r>
      <w:r w:rsidR="00BF02D6">
        <w:rPr>
          <w:spacing w:val="-3"/>
          <w:szCs w:val="24"/>
        </w:rPr>
        <w:t xml:space="preserve"> has decreased by 200, the number of annual </w:t>
      </w:r>
      <w:r w:rsidR="007B6B40" w:rsidRPr="00BF02D6">
        <w:rPr>
          <w:spacing w:val="-3"/>
          <w:szCs w:val="24"/>
        </w:rPr>
        <w:t>response</w:t>
      </w:r>
      <w:r w:rsidR="006B19C5" w:rsidRPr="00BF02D6">
        <w:rPr>
          <w:spacing w:val="-3"/>
          <w:szCs w:val="24"/>
        </w:rPr>
        <w:t>s</w:t>
      </w:r>
      <w:r w:rsidR="008E030E" w:rsidRPr="00BF02D6">
        <w:rPr>
          <w:spacing w:val="-3"/>
          <w:szCs w:val="24"/>
        </w:rPr>
        <w:t xml:space="preserve"> </w:t>
      </w:r>
      <w:r w:rsidR="007B6B40" w:rsidRPr="00BF02D6">
        <w:rPr>
          <w:spacing w:val="-3"/>
          <w:szCs w:val="24"/>
        </w:rPr>
        <w:t xml:space="preserve">has </w:t>
      </w:r>
      <w:r w:rsidR="00BF02D6">
        <w:rPr>
          <w:spacing w:val="-3"/>
          <w:szCs w:val="24"/>
        </w:rPr>
        <w:t xml:space="preserve">decreased by 200, the annual burden hours have decreased by 1,150 and the annual cost has decreased by $78,000. </w:t>
      </w:r>
    </w:p>
    <w:p w:rsidR="00D477D5" w:rsidRDefault="00AC4AB5" w:rsidP="00D477D5">
      <w:pPr>
        <w:pStyle w:val="ParaNum"/>
        <w:numPr>
          <w:ilvl w:val="0"/>
          <w:numId w:val="0"/>
        </w:numPr>
        <w:tabs>
          <w:tab w:val="left" w:pos="360"/>
        </w:tabs>
        <w:rPr>
          <w:szCs w:val="24"/>
        </w:rPr>
      </w:pPr>
      <w:r>
        <w:rPr>
          <w:szCs w:val="24"/>
        </w:rPr>
        <w:lastRenderedPageBreak/>
        <w:t xml:space="preserve">There are adjustments to this collection which are due to the Commission recalculating the burden for this collection.  The </w:t>
      </w:r>
      <w:r w:rsidR="00DF0892">
        <w:rPr>
          <w:szCs w:val="24"/>
        </w:rPr>
        <w:t>number of respondents has</w:t>
      </w:r>
      <w:r>
        <w:rPr>
          <w:szCs w:val="24"/>
        </w:rPr>
        <w:t xml:space="preserve"> decreased by 80, the number of </w:t>
      </w:r>
      <w:r w:rsidR="00DF0892">
        <w:rPr>
          <w:szCs w:val="24"/>
        </w:rPr>
        <w:t>annual responses has decreased by 80 and the annual burden hours have decreased by 1,600.</w:t>
      </w:r>
    </w:p>
    <w:p w:rsidR="00DF0892" w:rsidRPr="00B6103B" w:rsidRDefault="00DF0892" w:rsidP="00D477D5">
      <w:pPr>
        <w:pStyle w:val="ParaNum"/>
        <w:numPr>
          <w:ilvl w:val="0"/>
          <w:numId w:val="0"/>
        </w:numPr>
        <w:tabs>
          <w:tab w:val="left" w:pos="360"/>
        </w:tabs>
        <w:rPr>
          <w:szCs w:val="24"/>
        </w:rPr>
      </w:pPr>
    </w:p>
    <w:p w:rsidR="00D477D5" w:rsidRPr="00B6103B" w:rsidRDefault="004D373D" w:rsidP="00C9645D">
      <w:pPr>
        <w:rPr>
          <w:spacing w:val="-3"/>
          <w:szCs w:val="24"/>
        </w:rPr>
      </w:pPr>
      <w:r w:rsidRPr="00B6103B">
        <w:rPr>
          <w:spacing w:val="-3"/>
          <w:szCs w:val="24"/>
        </w:rPr>
        <w:t>16.</w:t>
      </w:r>
      <w:r w:rsidRPr="00B6103B">
        <w:rPr>
          <w:spacing w:val="-3"/>
          <w:szCs w:val="24"/>
        </w:rPr>
        <w:tab/>
      </w:r>
      <w:r w:rsidR="00F00838" w:rsidRPr="00B6103B">
        <w:rPr>
          <w:spacing w:val="-3"/>
          <w:szCs w:val="24"/>
        </w:rPr>
        <w:t>The data will not be published.</w:t>
      </w:r>
    </w:p>
    <w:p w:rsidR="00D477D5" w:rsidRPr="00B6103B" w:rsidRDefault="00D477D5" w:rsidP="00D477D5">
      <w:pPr>
        <w:pStyle w:val="ParaNum"/>
        <w:numPr>
          <w:ilvl w:val="0"/>
          <w:numId w:val="0"/>
        </w:numPr>
        <w:tabs>
          <w:tab w:val="left" w:pos="360"/>
        </w:tabs>
        <w:rPr>
          <w:szCs w:val="24"/>
        </w:rPr>
      </w:pPr>
    </w:p>
    <w:p w:rsidR="00D477D5" w:rsidRPr="00B6103B" w:rsidRDefault="004D373D" w:rsidP="00C9645D">
      <w:pPr>
        <w:rPr>
          <w:spacing w:val="-3"/>
          <w:szCs w:val="24"/>
        </w:rPr>
      </w:pPr>
      <w:r w:rsidRPr="00B6103B">
        <w:rPr>
          <w:spacing w:val="-3"/>
          <w:szCs w:val="24"/>
        </w:rPr>
        <w:t>17.</w:t>
      </w:r>
      <w:r w:rsidRPr="00B6103B">
        <w:rPr>
          <w:spacing w:val="-3"/>
          <w:szCs w:val="24"/>
        </w:rPr>
        <w:tab/>
      </w:r>
      <w:r w:rsidR="00F00838" w:rsidRPr="00B6103B">
        <w:rPr>
          <w:spacing w:val="-3"/>
          <w:szCs w:val="24"/>
        </w:rPr>
        <w:t>OMB approval of the expiration of the information collection will be displayed at 47 C.F.R. § 0.408.</w:t>
      </w:r>
    </w:p>
    <w:p w:rsidR="00D477D5" w:rsidRPr="00B6103B" w:rsidRDefault="00D477D5" w:rsidP="00D477D5">
      <w:pPr>
        <w:pStyle w:val="ParaNum"/>
        <w:numPr>
          <w:ilvl w:val="0"/>
          <w:numId w:val="0"/>
        </w:numPr>
        <w:tabs>
          <w:tab w:val="left" w:pos="360"/>
        </w:tabs>
        <w:rPr>
          <w:szCs w:val="24"/>
        </w:rPr>
      </w:pPr>
    </w:p>
    <w:p w:rsidR="00BD2228" w:rsidRPr="00B6103B" w:rsidRDefault="004D373D" w:rsidP="00C9645D">
      <w:pPr>
        <w:rPr>
          <w:spacing w:val="-3"/>
          <w:szCs w:val="24"/>
        </w:rPr>
      </w:pPr>
      <w:r w:rsidRPr="00B6103B">
        <w:rPr>
          <w:spacing w:val="-3"/>
          <w:szCs w:val="24"/>
        </w:rPr>
        <w:t>18.</w:t>
      </w:r>
      <w:r w:rsidR="00BD2228" w:rsidRPr="00B6103B">
        <w:rPr>
          <w:spacing w:val="-3"/>
          <w:szCs w:val="24"/>
        </w:rPr>
        <w:tab/>
      </w:r>
      <w:r w:rsidR="00732689" w:rsidRPr="00B6103B">
        <w:rPr>
          <w:spacing w:val="-3"/>
          <w:szCs w:val="24"/>
        </w:rPr>
        <w:t>T</w:t>
      </w:r>
      <w:r w:rsidR="00BD2228" w:rsidRPr="00B6103B">
        <w:rPr>
          <w:spacing w:val="-3"/>
          <w:szCs w:val="24"/>
        </w:rPr>
        <w:t>here are no</w:t>
      </w:r>
      <w:r w:rsidR="00E459F0" w:rsidRPr="00B6103B">
        <w:rPr>
          <w:spacing w:val="-3"/>
          <w:szCs w:val="24"/>
        </w:rPr>
        <w:t xml:space="preserve"> </w:t>
      </w:r>
      <w:r w:rsidR="00BD2228" w:rsidRPr="00B6103B">
        <w:rPr>
          <w:spacing w:val="-3"/>
          <w:szCs w:val="24"/>
        </w:rPr>
        <w:t>exceptions to the Certification Statement</w:t>
      </w:r>
      <w:r w:rsidR="00E527AB">
        <w:rPr>
          <w:spacing w:val="-3"/>
          <w:szCs w:val="24"/>
        </w:rPr>
        <w:t>.</w:t>
      </w:r>
      <w:bookmarkStart w:id="2" w:name="_GoBack"/>
      <w:bookmarkEnd w:id="2"/>
    </w:p>
    <w:p w:rsidR="00D477D5" w:rsidRPr="00B6103B" w:rsidRDefault="00D477D5" w:rsidP="00D90866">
      <w:pPr>
        <w:ind w:left="360"/>
        <w:rPr>
          <w:b/>
          <w:szCs w:val="24"/>
        </w:rPr>
      </w:pPr>
    </w:p>
    <w:p w:rsidR="00D90866" w:rsidRPr="00B6103B" w:rsidRDefault="00D90866" w:rsidP="00597CB4">
      <w:pPr>
        <w:numPr>
          <w:ilvl w:val="0"/>
          <w:numId w:val="1"/>
        </w:numPr>
        <w:ind w:left="0" w:firstLine="0"/>
        <w:rPr>
          <w:b/>
          <w:szCs w:val="24"/>
        </w:rPr>
      </w:pPr>
      <w:r w:rsidRPr="00B6103B">
        <w:rPr>
          <w:b/>
          <w:szCs w:val="24"/>
        </w:rPr>
        <w:t>Collections of Information Employing Statistical Methods</w:t>
      </w:r>
      <w:r w:rsidR="00C77CA8" w:rsidRPr="00B6103B">
        <w:rPr>
          <w:b/>
          <w:szCs w:val="24"/>
        </w:rPr>
        <w:t>:</w:t>
      </w:r>
    </w:p>
    <w:p w:rsidR="00D90866" w:rsidRPr="00B6103B" w:rsidRDefault="00D90866" w:rsidP="00D90866">
      <w:pPr>
        <w:ind w:left="360"/>
        <w:rPr>
          <w:szCs w:val="24"/>
        </w:rPr>
      </w:pPr>
    </w:p>
    <w:p w:rsidR="00D90866" w:rsidRDefault="00D90866" w:rsidP="00597CB4">
      <w:pPr>
        <w:rPr>
          <w:spacing w:val="-3"/>
          <w:szCs w:val="24"/>
        </w:rPr>
      </w:pPr>
      <w:r w:rsidRPr="00B6103B">
        <w:rPr>
          <w:spacing w:val="-3"/>
          <w:szCs w:val="24"/>
        </w:rPr>
        <w:t>The Commission does not anticipate that the collection of information will employ statistical methods.</w:t>
      </w:r>
    </w:p>
    <w:sectPr w:rsidR="00D90866" w:rsidSect="0065679B">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E3D" w:rsidRDefault="00C13E3D">
      <w:r>
        <w:separator/>
      </w:r>
    </w:p>
  </w:endnote>
  <w:endnote w:type="continuationSeparator" w:id="0">
    <w:p w:rsidR="00C13E3D" w:rsidRDefault="00C1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0E" w:rsidRDefault="008E030E" w:rsidP="00E92E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030E" w:rsidRDefault="008E0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0E" w:rsidRPr="00E92E63" w:rsidRDefault="008E030E" w:rsidP="00E92E63">
    <w:pPr>
      <w:pStyle w:val="Footer"/>
      <w:framePr w:wrap="around" w:vAnchor="text" w:hAnchor="margin" w:xAlign="center" w:y="1"/>
      <w:rPr>
        <w:rStyle w:val="PageNumber"/>
        <w:sz w:val="20"/>
      </w:rPr>
    </w:pPr>
    <w:r w:rsidRPr="00E92E63">
      <w:rPr>
        <w:rStyle w:val="PageNumber"/>
        <w:sz w:val="20"/>
      </w:rPr>
      <w:fldChar w:fldCharType="begin"/>
    </w:r>
    <w:r w:rsidRPr="00E92E63">
      <w:rPr>
        <w:rStyle w:val="PageNumber"/>
        <w:sz w:val="20"/>
      </w:rPr>
      <w:instrText xml:space="preserve">PAGE  </w:instrText>
    </w:r>
    <w:r w:rsidRPr="00E92E63">
      <w:rPr>
        <w:rStyle w:val="PageNumber"/>
        <w:sz w:val="20"/>
      </w:rPr>
      <w:fldChar w:fldCharType="separate"/>
    </w:r>
    <w:r w:rsidR="00E527AB">
      <w:rPr>
        <w:rStyle w:val="PageNumber"/>
        <w:noProof/>
        <w:sz w:val="20"/>
      </w:rPr>
      <w:t>5</w:t>
    </w:r>
    <w:r w:rsidRPr="00E92E63">
      <w:rPr>
        <w:rStyle w:val="PageNumber"/>
        <w:sz w:val="20"/>
      </w:rPr>
      <w:fldChar w:fldCharType="end"/>
    </w:r>
  </w:p>
  <w:p w:rsidR="008E030E" w:rsidRDefault="008E0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E3D" w:rsidRDefault="00C13E3D">
      <w:r>
        <w:separator/>
      </w:r>
    </w:p>
  </w:footnote>
  <w:footnote w:type="continuationSeparator" w:id="0">
    <w:p w:rsidR="00C13E3D" w:rsidRDefault="00C13E3D">
      <w:r>
        <w:continuationSeparator/>
      </w:r>
    </w:p>
  </w:footnote>
  <w:footnote w:id="1">
    <w:p w:rsidR="00B96D4A" w:rsidRPr="004857E0" w:rsidRDefault="00B96D4A" w:rsidP="00B96D4A">
      <w:pPr>
        <w:pStyle w:val="FootnoteText"/>
      </w:pPr>
      <w:r w:rsidRPr="00FC45C2">
        <w:rPr>
          <w:rStyle w:val="FootnoteReference"/>
        </w:rPr>
        <w:footnoteRef/>
      </w:r>
      <w:r w:rsidRPr="004857E0">
        <w:t xml:space="preserve"> 47 U.S.C. § 621(b)(2).</w:t>
      </w:r>
    </w:p>
  </w:footnote>
  <w:footnote w:id="2">
    <w:p w:rsidR="00B96D4A" w:rsidRPr="004857E0" w:rsidRDefault="00B96D4A" w:rsidP="00B96D4A">
      <w:pPr>
        <w:pStyle w:val="FootnoteText"/>
      </w:pPr>
      <w:r w:rsidRPr="004857E0">
        <w:rPr>
          <w:rStyle w:val="FootnoteReference"/>
        </w:rPr>
        <w:footnoteRef/>
      </w:r>
      <w:r w:rsidRPr="004857E0">
        <w:t xml:space="preserve"> </w:t>
      </w:r>
      <w:r w:rsidRPr="004857E0">
        <w:rPr>
          <w:i/>
        </w:rPr>
        <w:t>Id</w:t>
      </w:r>
      <w:r w:rsidRPr="004857E0">
        <w:t xml:space="preserve">.  </w:t>
      </w:r>
      <w:r w:rsidRPr="004857E0">
        <w:rPr>
          <w:spacing w:val="-3"/>
        </w:rPr>
        <w:t xml:space="preserve">Stations and MVPDs that obtained an initial financial hardship waiver were afforded until December 13, 2013, to comply with the CALM Act rules, and those that renewed their financial hardship waiver had until December 13, 2014, to comply with the CALM Act rules.  As of December 13, 2014, all CALM Act financial hardship waivers have expired.  </w:t>
      </w:r>
    </w:p>
  </w:footnote>
  <w:footnote w:id="3">
    <w:p w:rsidR="00D15383" w:rsidRPr="004857E0" w:rsidRDefault="00D15383" w:rsidP="00D15383">
      <w:pPr>
        <w:pStyle w:val="FootnoteText"/>
      </w:pPr>
      <w:r w:rsidRPr="004857E0">
        <w:rPr>
          <w:rStyle w:val="FootnoteReference"/>
        </w:rPr>
        <w:footnoteRef/>
      </w:r>
      <w:r w:rsidRPr="004857E0">
        <w:t xml:space="preserve"> </w:t>
      </w:r>
      <w:r w:rsidRPr="004857E0">
        <w:rPr>
          <w:i/>
        </w:rPr>
        <w:t>See</w:t>
      </w:r>
      <w:r w:rsidRPr="004857E0">
        <w:t xml:space="preserve"> 47 C.F.R. §§ 73.682(e)(1), 76.607(a)(1).</w:t>
      </w:r>
    </w:p>
  </w:footnote>
  <w:footnote w:id="4">
    <w:p w:rsidR="008E030E" w:rsidRPr="009A4D45" w:rsidRDefault="008E030E">
      <w:pPr>
        <w:pStyle w:val="FootnoteText"/>
      </w:pPr>
      <w:r w:rsidRPr="004857E0">
        <w:rPr>
          <w:rStyle w:val="FootnoteReference"/>
        </w:rPr>
        <w:footnoteRef/>
      </w:r>
      <w:r w:rsidRPr="009A4D45">
        <w:rPr>
          <w:i/>
        </w:rPr>
        <w:t xml:space="preserve">  See</w:t>
      </w:r>
      <w:r w:rsidRPr="009A4D45">
        <w:t xml:space="preserve"> 47 C.F.R. § 1.3 (the Commission’s rules “may be suspended, revoked, amended, or waived for good cause shown, in whole or in part, at any time by the Commission” and that “[a]ny provision of the rules may be waived by the Commission on its own motion or on petition if good cause therefor</w:t>
      </w:r>
      <w:r w:rsidR="007570C7" w:rsidRPr="009A4D45">
        <w:t>e</w:t>
      </w:r>
      <w:r w:rsidRPr="009A4D45">
        <w:t xml:space="preserve"> is shown”).</w:t>
      </w:r>
    </w:p>
  </w:footnote>
  <w:footnote w:id="5">
    <w:p w:rsidR="00A54855" w:rsidRPr="009A4D45" w:rsidRDefault="00A54855" w:rsidP="00A54855">
      <w:pPr>
        <w:pStyle w:val="FootnoteText"/>
      </w:pPr>
      <w:r w:rsidRPr="009A4D45">
        <w:rPr>
          <w:rStyle w:val="FootnoteReference"/>
        </w:rPr>
        <w:footnoteRef/>
      </w:r>
      <w:r w:rsidRPr="004857E0">
        <w:t xml:space="preserve">  </w:t>
      </w:r>
      <w:r w:rsidRPr="009A4D45">
        <w:rPr>
          <w:i/>
        </w:rPr>
        <w:t>See Implementation of the Commercial Advertisement Loudness Mitigation (CALM) Act</w:t>
      </w:r>
      <w:r w:rsidRPr="009A4D45">
        <w:t>; MB Docket No. 11-93; Report and Order, FCC 11-182 (rel. Dec. 13, 2011) (“Order”).</w:t>
      </w:r>
    </w:p>
  </w:footnote>
  <w:footnote w:id="6">
    <w:p w:rsidR="00A54855" w:rsidRPr="009A4D45" w:rsidRDefault="00A54855" w:rsidP="00A54855">
      <w:pPr>
        <w:pStyle w:val="FootnoteText"/>
      </w:pPr>
      <w:r w:rsidRPr="004857E0">
        <w:rPr>
          <w:rStyle w:val="FootnoteReference"/>
        </w:rPr>
        <w:footnoteRef/>
      </w:r>
      <w:r w:rsidRPr="009A4D45">
        <w:t xml:space="preserve">  The Commercial Advertisement Loudness Mitigation (“CALM”) Act, Pub. L. No. 111-311, 124 Stat. 3294 (2010) (codified at 47 U.S.C. § 621).  The CALM Act was enacted on December 15, 2010 (S. 2847, 111th Cong.).</w:t>
      </w:r>
    </w:p>
  </w:footnote>
  <w:footnote w:id="7">
    <w:p w:rsidR="00A54855" w:rsidRPr="009A4D45" w:rsidRDefault="00A54855" w:rsidP="00A54855">
      <w:pPr>
        <w:pStyle w:val="FootnoteText"/>
      </w:pPr>
      <w:r w:rsidRPr="004857E0">
        <w:rPr>
          <w:rStyle w:val="FootnoteReference"/>
        </w:rPr>
        <w:footnoteRef/>
      </w:r>
      <w:r w:rsidRPr="009A4D45">
        <w:t xml:space="preserve">  The Advanced Television Systems Committee (“ATSC”) is an international, non-profit organization developing voluntary standards for digital television.  The ATSC member organizations represent the broadcast, broadcast equipment, motion picture, consumer electronics, computer, cable, satellite, and semiconductor industries. ATSC creates and fosters implementation of voluntary Standards and Recommended Practices to advance digital television broadcasting and to facilitate interoperability with other media.  See http://www.atsc.org/aboutatsc.html.</w:t>
      </w:r>
    </w:p>
  </w:footnote>
  <w:footnote w:id="8">
    <w:p w:rsidR="00A54855" w:rsidRPr="009A4D45" w:rsidRDefault="00A54855" w:rsidP="00A54855">
      <w:pPr>
        <w:pStyle w:val="FootnoteText"/>
      </w:pPr>
      <w:r w:rsidRPr="004857E0">
        <w:rPr>
          <w:rStyle w:val="FootnoteReference"/>
        </w:rPr>
        <w:footnoteRef/>
      </w:r>
      <w:r w:rsidRPr="004857E0">
        <w:t xml:space="preserve">  </w:t>
      </w:r>
      <w:r w:rsidRPr="009A4D45">
        <w:rPr>
          <w:i/>
        </w:rPr>
        <w:t>See</w:t>
      </w:r>
      <w:r w:rsidRPr="009A4D45">
        <w:t xml:space="preserve"> </w:t>
      </w:r>
      <w:r w:rsidR="00FC45C2" w:rsidRPr="004857E0">
        <w:t xml:space="preserve">ATSC A/85:2013 “ATSC Recommended Practice: Techniques for Establishing and Maintaining Audio Loudness for Digital Television,” (March 12, 2013).  This document is available on the ATSC website at:  </w:t>
      </w:r>
      <w:hyperlink r:id="rId1" w:history="1">
        <w:r w:rsidR="00FC45C2" w:rsidRPr="004857E0">
          <w:rPr>
            <w:rStyle w:val="Hyperlink"/>
          </w:rPr>
          <w:t>http://www.atsc.org/cms/standards/A_85-2013.pdf</w:t>
        </w:r>
      </w:hyperlink>
      <w:r w:rsidR="00FC45C2" w:rsidRPr="004857E0">
        <w:t>.</w:t>
      </w:r>
    </w:p>
  </w:footnote>
  <w:footnote w:id="9">
    <w:p w:rsidR="00A54855" w:rsidRPr="009A4D45" w:rsidRDefault="00A54855" w:rsidP="00A54855">
      <w:pPr>
        <w:pStyle w:val="FootnoteText"/>
      </w:pPr>
      <w:r w:rsidRPr="009A4D45">
        <w:rPr>
          <w:rStyle w:val="FootnoteReference"/>
        </w:rPr>
        <w:footnoteRef/>
      </w:r>
      <w:r w:rsidRPr="009A4D45">
        <w:t xml:space="preserve">  We refer herein to covered entities collectively as “stations/MVPDs” or “regulated entities.”  A multichannel video program distributor is an entity such as, but not limited to, a cable operator, a multichannel multipoint distribution service, a direct broadcast satellite service, a television receive-only satellite program distributor, a satellite master antenna television system operator, that make available for purchase, by subscribers or customers, multiple channels of video programming.</w:t>
      </w:r>
    </w:p>
  </w:footnote>
  <w:footnote w:id="10">
    <w:p w:rsidR="00F466C8" w:rsidRDefault="00F466C8">
      <w:pPr>
        <w:pStyle w:val="FootnoteText"/>
      </w:pPr>
      <w:r>
        <w:rPr>
          <w:rStyle w:val="FootnoteReference"/>
        </w:rPr>
        <w:footnoteRef/>
      </w:r>
      <w:r>
        <w:t xml:space="preserve"> </w:t>
      </w:r>
      <w:r w:rsidR="005C5B41">
        <w:t xml:space="preserve">We have reduced this estimate from 300 requests to 20 requests.  </w:t>
      </w:r>
      <w:r w:rsidR="00EF1123">
        <w:t>This is because financial hardship requests may no longer be filed and</w:t>
      </w:r>
      <w:r w:rsidR="007B6B40">
        <w:t>, therefore, the burden associated with such requests has been eliminated.  In addition, this is</w:t>
      </w:r>
      <w:r w:rsidR="00EF1123">
        <w:t xml:space="preserve"> based on staff experience with receiving general waiver requests.</w:t>
      </w:r>
    </w:p>
  </w:footnote>
  <w:footnote w:id="11">
    <w:p w:rsidR="008E030E" w:rsidRPr="004857E0" w:rsidRDefault="008E030E" w:rsidP="005A7BA6">
      <w:pPr>
        <w:pStyle w:val="FootnoteText"/>
      </w:pPr>
      <w:r w:rsidRPr="004857E0">
        <w:rPr>
          <w:rStyle w:val="FootnoteReference"/>
        </w:rPr>
        <w:footnoteRef/>
      </w:r>
      <w:r w:rsidRPr="004857E0">
        <w:t xml:space="preserve"> The estimated time for outside attorney review of a waiver request is provided in item 13’s cost to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0E" w:rsidRPr="00D90866" w:rsidRDefault="008E030E" w:rsidP="00D90866">
    <w:pPr>
      <w:rPr>
        <w:b/>
      </w:rPr>
    </w:pPr>
    <w:r>
      <w:rPr>
        <w:b/>
      </w:rPr>
      <w:t xml:space="preserve">OMB Control Number:  </w:t>
    </w:r>
    <w:r w:rsidRPr="00D90866">
      <w:rPr>
        <w:b/>
      </w:rPr>
      <w:t>3060-</w:t>
    </w:r>
    <w:r w:rsidRPr="00475958">
      <w:rPr>
        <w:b/>
      </w:rPr>
      <w:t>1154</w:t>
    </w:r>
    <w:r>
      <w:rPr>
        <w:b/>
      </w:rPr>
      <w:tab/>
    </w:r>
    <w:r>
      <w:rPr>
        <w:b/>
      </w:rPr>
      <w:tab/>
    </w:r>
    <w:r>
      <w:rPr>
        <w:b/>
      </w:rPr>
      <w:tab/>
    </w:r>
    <w:r>
      <w:rPr>
        <w:b/>
      </w:rPr>
      <w:tab/>
    </w:r>
    <w:r>
      <w:rPr>
        <w:b/>
      </w:rPr>
      <w:tab/>
    </w:r>
    <w:r>
      <w:rPr>
        <w:b/>
      </w:rPr>
      <w:tab/>
    </w:r>
    <w:r w:rsidR="00DF0892">
      <w:rPr>
        <w:b/>
      </w:rPr>
      <w:t>April</w:t>
    </w:r>
    <w:r w:rsidR="003937DE">
      <w:rPr>
        <w:b/>
      </w:rPr>
      <w:t xml:space="preserve"> 2015</w:t>
    </w:r>
  </w:p>
  <w:p w:rsidR="008E030E" w:rsidRPr="00670163" w:rsidRDefault="008E030E" w:rsidP="00D90866">
    <w:pPr>
      <w:rPr>
        <w:b/>
      </w:rPr>
    </w:pPr>
    <w:r>
      <w:rPr>
        <w:b/>
      </w:rPr>
      <w:t xml:space="preserve">Title: </w:t>
    </w:r>
    <w:r w:rsidRPr="00670163">
      <w:rPr>
        <w:b/>
      </w:rPr>
      <w:t>Commercial Advertisement Loudness Mitigation (“CALM”) Act</w:t>
    </w:r>
    <w:r>
      <w:rPr>
        <w:b/>
      </w:rPr>
      <w:t>; Waiver Requests</w:t>
    </w:r>
  </w:p>
  <w:p w:rsidR="008E030E" w:rsidRPr="00732689" w:rsidRDefault="008E030E">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11F0E"/>
    <w:multiLevelType w:val="hybridMultilevel"/>
    <w:tmpl w:val="1CFEACA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84607BC"/>
    <w:multiLevelType w:val="hybridMultilevel"/>
    <w:tmpl w:val="CE8A34CE"/>
    <w:lvl w:ilvl="0" w:tplc="136EC2B4">
      <w:start w:val="1"/>
      <w:numFmt w:val="upperLetter"/>
      <w:lvlText w:val="%1."/>
      <w:lvlJc w:val="left"/>
      <w:pPr>
        <w:tabs>
          <w:tab w:val="num" w:pos="720"/>
        </w:tabs>
        <w:ind w:left="720" w:hanging="360"/>
      </w:pPr>
      <w:rPr>
        <w:rFonts w:hint="default"/>
      </w:rPr>
    </w:lvl>
    <w:lvl w:ilvl="1" w:tplc="24AA0F50">
      <w:start w:val="1"/>
      <w:numFmt w:val="decimal"/>
      <w:lvlText w:val="%2."/>
      <w:lvlJc w:val="left"/>
      <w:pPr>
        <w:tabs>
          <w:tab w:val="num" w:pos="180"/>
        </w:tabs>
        <w:ind w:left="-54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F1C48052">
      <w:start w:val="1"/>
      <w:numFmt w:val="lowerLetter"/>
      <w:lvlText w:val="(%3)"/>
      <w:lvlJc w:val="left"/>
      <w:pPr>
        <w:tabs>
          <w:tab w:val="num" w:pos="2355"/>
        </w:tabs>
        <w:ind w:left="2355" w:hanging="375"/>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BF1E45"/>
    <w:multiLevelType w:val="hybridMultilevel"/>
    <w:tmpl w:val="7556FFAE"/>
    <w:lvl w:ilvl="0" w:tplc="A96C0EAE">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F3A5D19"/>
    <w:multiLevelType w:val="hybridMultilevel"/>
    <w:tmpl w:val="516AE78A"/>
    <w:lvl w:ilvl="0" w:tplc="0700D87A">
      <w:start w:val="4"/>
      <w:numFmt w:val="decimal"/>
      <w:lvlText w:val="(%1)"/>
      <w:lvlJc w:val="left"/>
      <w:pPr>
        <w:tabs>
          <w:tab w:val="num" w:pos="1440"/>
        </w:tabs>
        <w:ind w:left="1440" w:hanging="720"/>
      </w:pPr>
      <w:rPr>
        <w:rFonts w:hint="default"/>
      </w:rPr>
    </w:lvl>
    <w:lvl w:ilvl="1" w:tplc="49722BF8" w:tentative="1">
      <w:start w:val="1"/>
      <w:numFmt w:val="lowerLetter"/>
      <w:lvlText w:val="%2."/>
      <w:lvlJc w:val="left"/>
      <w:pPr>
        <w:tabs>
          <w:tab w:val="num" w:pos="1800"/>
        </w:tabs>
        <w:ind w:left="1800" w:hanging="360"/>
      </w:pPr>
    </w:lvl>
    <w:lvl w:ilvl="2" w:tplc="57B29A36" w:tentative="1">
      <w:start w:val="1"/>
      <w:numFmt w:val="lowerRoman"/>
      <w:lvlText w:val="%3."/>
      <w:lvlJc w:val="right"/>
      <w:pPr>
        <w:tabs>
          <w:tab w:val="num" w:pos="2520"/>
        </w:tabs>
        <w:ind w:left="2520" w:hanging="180"/>
      </w:pPr>
    </w:lvl>
    <w:lvl w:ilvl="3" w:tplc="7B04C5E4" w:tentative="1">
      <w:start w:val="1"/>
      <w:numFmt w:val="decimal"/>
      <w:lvlText w:val="%4."/>
      <w:lvlJc w:val="left"/>
      <w:pPr>
        <w:tabs>
          <w:tab w:val="num" w:pos="3240"/>
        </w:tabs>
        <w:ind w:left="3240" w:hanging="360"/>
      </w:pPr>
    </w:lvl>
    <w:lvl w:ilvl="4" w:tplc="57DAC988" w:tentative="1">
      <w:start w:val="1"/>
      <w:numFmt w:val="lowerLetter"/>
      <w:lvlText w:val="%5."/>
      <w:lvlJc w:val="left"/>
      <w:pPr>
        <w:tabs>
          <w:tab w:val="num" w:pos="3960"/>
        </w:tabs>
        <w:ind w:left="3960" w:hanging="360"/>
      </w:pPr>
    </w:lvl>
    <w:lvl w:ilvl="5" w:tplc="E2BCE372" w:tentative="1">
      <w:start w:val="1"/>
      <w:numFmt w:val="lowerRoman"/>
      <w:lvlText w:val="%6."/>
      <w:lvlJc w:val="right"/>
      <w:pPr>
        <w:tabs>
          <w:tab w:val="num" w:pos="4680"/>
        </w:tabs>
        <w:ind w:left="4680" w:hanging="180"/>
      </w:pPr>
    </w:lvl>
    <w:lvl w:ilvl="6" w:tplc="3196A2E6" w:tentative="1">
      <w:start w:val="1"/>
      <w:numFmt w:val="decimal"/>
      <w:lvlText w:val="%7."/>
      <w:lvlJc w:val="left"/>
      <w:pPr>
        <w:tabs>
          <w:tab w:val="num" w:pos="5400"/>
        </w:tabs>
        <w:ind w:left="5400" w:hanging="360"/>
      </w:pPr>
    </w:lvl>
    <w:lvl w:ilvl="7" w:tplc="D816677A" w:tentative="1">
      <w:start w:val="1"/>
      <w:numFmt w:val="lowerLetter"/>
      <w:lvlText w:val="%8."/>
      <w:lvlJc w:val="left"/>
      <w:pPr>
        <w:tabs>
          <w:tab w:val="num" w:pos="6120"/>
        </w:tabs>
        <w:ind w:left="6120" w:hanging="360"/>
      </w:pPr>
    </w:lvl>
    <w:lvl w:ilvl="8" w:tplc="2EE2E820" w:tentative="1">
      <w:start w:val="1"/>
      <w:numFmt w:val="lowerRoman"/>
      <w:lvlText w:val="%9."/>
      <w:lvlJc w:val="right"/>
      <w:pPr>
        <w:tabs>
          <w:tab w:val="num" w:pos="6840"/>
        </w:tabs>
        <w:ind w:left="6840" w:hanging="180"/>
      </w:pPr>
    </w:lvl>
  </w:abstractNum>
  <w:abstractNum w:abstractNumId="4">
    <w:nsid w:val="486C124E"/>
    <w:multiLevelType w:val="multilevel"/>
    <w:tmpl w:val="1CFEACA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4BA2479A"/>
    <w:multiLevelType w:val="multilevel"/>
    <w:tmpl w:val="F6B88C28"/>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FE06A33"/>
    <w:multiLevelType w:val="hybridMultilevel"/>
    <w:tmpl w:val="DCFE9D1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63D0657"/>
    <w:multiLevelType w:val="hybridMultilevel"/>
    <w:tmpl w:val="D92E5786"/>
    <w:lvl w:ilvl="0" w:tplc="0DA4AB2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1E70C41"/>
    <w:multiLevelType w:val="hybridMultilevel"/>
    <w:tmpl w:val="35927002"/>
    <w:lvl w:ilvl="0" w:tplc="D95AE24A">
      <w:start w:val="12"/>
      <w:numFmt w:val="decimal"/>
      <w:lvlText w:val="%1."/>
      <w:lvlJc w:val="left"/>
      <w:pPr>
        <w:tabs>
          <w:tab w:val="num" w:pos="1080"/>
        </w:tabs>
        <w:ind w:left="1080" w:hanging="720"/>
      </w:pPr>
      <w:rPr>
        <w:rFonts w:hint="default"/>
      </w:rPr>
    </w:lvl>
    <w:lvl w:ilvl="1" w:tplc="CADCF2D2" w:tentative="1">
      <w:start w:val="1"/>
      <w:numFmt w:val="lowerLetter"/>
      <w:lvlText w:val="%2."/>
      <w:lvlJc w:val="left"/>
      <w:pPr>
        <w:tabs>
          <w:tab w:val="num" w:pos="1440"/>
        </w:tabs>
        <w:ind w:left="1440" w:hanging="360"/>
      </w:pPr>
    </w:lvl>
    <w:lvl w:ilvl="2" w:tplc="F98CF1F0" w:tentative="1">
      <w:start w:val="1"/>
      <w:numFmt w:val="lowerRoman"/>
      <w:lvlText w:val="%3."/>
      <w:lvlJc w:val="right"/>
      <w:pPr>
        <w:tabs>
          <w:tab w:val="num" w:pos="2160"/>
        </w:tabs>
        <w:ind w:left="2160" w:hanging="180"/>
      </w:pPr>
    </w:lvl>
    <w:lvl w:ilvl="3" w:tplc="31503096" w:tentative="1">
      <w:start w:val="1"/>
      <w:numFmt w:val="decimal"/>
      <w:lvlText w:val="%4."/>
      <w:lvlJc w:val="left"/>
      <w:pPr>
        <w:tabs>
          <w:tab w:val="num" w:pos="2880"/>
        </w:tabs>
        <w:ind w:left="2880" w:hanging="360"/>
      </w:pPr>
    </w:lvl>
    <w:lvl w:ilvl="4" w:tplc="45D0C3B8" w:tentative="1">
      <w:start w:val="1"/>
      <w:numFmt w:val="lowerLetter"/>
      <w:lvlText w:val="%5."/>
      <w:lvlJc w:val="left"/>
      <w:pPr>
        <w:tabs>
          <w:tab w:val="num" w:pos="3600"/>
        </w:tabs>
        <w:ind w:left="3600" w:hanging="360"/>
      </w:pPr>
    </w:lvl>
    <w:lvl w:ilvl="5" w:tplc="DB38B5AC" w:tentative="1">
      <w:start w:val="1"/>
      <w:numFmt w:val="lowerRoman"/>
      <w:lvlText w:val="%6."/>
      <w:lvlJc w:val="right"/>
      <w:pPr>
        <w:tabs>
          <w:tab w:val="num" w:pos="4320"/>
        </w:tabs>
        <w:ind w:left="4320" w:hanging="180"/>
      </w:pPr>
    </w:lvl>
    <w:lvl w:ilvl="6" w:tplc="4088ECCA" w:tentative="1">
      <w:start w:val="1"/>
      <w:numFmt w:val="decimal"/>
      <w:lvlText w:val="%7."/>
      <w:lvlJc w:val="left"/>
      <w:pPr>
        <w:tabs>
          <w:tab w:val="num" w:pos="5040"/>
        </w:tabs>
        <w:ind w:left="5040" w:hanging="360"/>
      </w:pPr>
    </w:lvl>
    <w:lvl w:ilvl="7" w:tplc="BBEE4DEC" w:tentative="1">
      <w:start w:val="1"/>
      <w:numFmt w:val="lowerLetter"/>
      <w:lvlText w:val="%8."/>
      <w:lvlJc w:val="left"/>
      <w:pPr>
        <w:tabs>
          <w:tab w:val="num" w:pos="5760"/>
        </w:tabs>
        <w:ind w:left="5760" w:hanging="360"/>
      </w:pPr>
    </w:lvl>
    <w:lvl w:ilvl="8" w:tplc="C4383772" w:tentative="1">
      <w:start w:val="1"/>
      <w:numFmt w:val="lowerRoman"/>
      <w:lvlText w:val="%9."/>
      <w:lvlJc w:val="right"/>
      <w:pPr>
        <w:tabs>
          <w:tab w:val="num" w:pos="6480"/>
        </w:tabs>
        <w:ind w:left="6480" w:hanging="180"/>
      </w:pPr>
    </w:lvl>
  </w:abstractNum>
  <w:abstractNum w:abstractNumId="9">
    <w:nsid w:val="7AC51B41"/>
    <w:multiLevelType w:val="multilevel"/>
    <w:tmpl w:val="82E61F4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5"/>
  </w:num>
  <w:num w:numId="5">
    <w:abstractNumId w:val="9"/>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66"/>
    <w:rsid w:val="0002030C"/>
    <w:rsid w:val="00022704"/>
    <w:rsid w:val="00024B95"/>
    <w:rsid w:val="00025768"/>
    <w:rsid w:val="00027739"/>
    <w:rsid w:val="000311B0"/>
    <w:rsid w:val="000334D6"/>
    <w:rsid w:val="00037011"/>
    <w:rsid w:val="0004565E"/>
    <w:rsid w:val="00046B81"/>
    <w:rsid w:val="00050E72"/>
    <w:rsid w:val="00054871"/>
    <w:rsid w:val="000576D3"/>
    <w:rsid w:val="00057F6D"/>
    <w:rsid w:val="000605F7"/>
    <w:rsid w:val="00062994"/>
    <w:rsid w:val="00063808"/>
    <w:rsid w:val="00066AA4"/>
    <w:rsid w:val="0007043F"/>
    <w:rsid w:val="00072ADA"/>
    <w:rsid w:val="00073E9D"/>
    <w:rsid w:val="00077EAF"/>
    <w:rsid w:val="00085C34"/>
    <w:rsid w:val="00094B8B"/>
    <w:rsid w:val="00095099"/>
    <w:rsid w:val="000A2021"/>
    <w:rsid w:val="000A3AC7"/>
    <w:rsid w:val="000A6BE8"/>
    <w:rsid w:val="000B31C8"/>
    <w:rsid w:val="000B7F3D"/>
    <w:rsid w:val="000C030B"/>
    <w:rsid w:val="000D0E4F"/>
    <w:rsid w:val="000D26A1"/>
    <w:rsid w:val="000D2872"/>
    <w:rsid w:val="000D29A5"/>
    <w:rsid w:val="000D6E92"/>
    <w:rsid w:val="000F6A23"/>
    <w:rsid w:val="000F6DD3"/>
    <w:rsid w:val="00103A0C"/>
    <w:rsid w:val="00104013"/>
    <w:rsid w:val="00123987"/>
    <w:rsid w:val="00131B63"/>
    <w:rsid w:val="00132C99"/>
    <w:rsid w:val="00136416"/>
    <w:rsid w:val="00145BFD"/>
    <w:rsid w:val="00167F2D"/>
    <w:rsid w:val="00175439"/>
    <w:rsid w:val="0018405E"/>
    <w:rsid w:val="00193429"/>
    <w:rsid w:val="00196B59"/>
    <w:rsid w:val="001A238A"/>
    <w:rsid w:val="001A262C"/>
    <w:rsid w:val="001A3390"/>
    <w:rsid w:val="001B2F18"/>
    <w:rsid w:val="001C005B"/>
    <w:rsid w:val="001C400B"/>
    <w:rsid w:val="001C4E21"/>
    <w:rsid w:val="001C5DED"/>
    <w:rsid w:val="001C6DD4"/>
    <w:rsid w:val="001D434C"/>
    <w:rsid w:val="001D51C6"/>
    <w:rsid w:val="001D534F"/>
    <w:rsid w:val="001D6171"/>
    <w:rsid w:val="001D6C8B"/>
    <w:rsid w:val="001E6FE0"/>
    <w:rsid w:val="001E795E"/>
    <w:rsid w:val="001F2A22"/>
    <w:rsid w:val="001F2DBB"/>
    <w:rsid w:val="002415CB"/>
    <w:rsid w:val="00242A3B"/>
    <w:rsid w:val="002455A3"/>
    <w:rsid w:val="0025665D"/>
    <w:rsid w:val="00260959"/>
    <w:rsid w:val="002650D3"/>
    <w:rsid w:val="00266812"/>
    <w:rsid w:val="00267E9F"/>
    <w:rsid w:val="00287B64"/>
    <w:rsid w:val="002937B7"/>
    <w:rsid w:val="00295306"/>
    <w:rsid w:val="002B1A7C"/>
    <w:rsid w:val="002B1CB3"/>
    <w:rsid w:val="002B5864"/>
    <w:rsid w:val="002B75CD"/>
    <w:rsid w:val="002D3B05"/>
    <w:rsid w:val="002D55DD"/>
    <w:rsid w:val="002D59B0"/>
    <w:rsid w:val="002E331F"/>
    <w:rsid w:val="00303E7D"/>
    <w:rsid w:val="003076CF"/>
    <w:rsid w:val="003201FB"/>
    <w:rsid w:val="00331B46"/>
    <w:rsid w:val="003340ED"/>
    <w:rsid w:val="003354ED"/>
    <w:rsid w:val="00337B40"/>
    <w:rsid w:val="00342802"/>
    <w:rsid w:val="00342EF1"/>
    <w:rsid w:val="003518B4"/>
    <w:rsid w:val="00356F50"/>
    <w:rsid w:val="00364EEE"/>
    <w:rsid w:val="0037684B"/>
    <w:rsid w:val="003814D9"/>
    <w:rsid w:val="00383BB8"/>
    <w:rsid w:val="00392F28"/>
    <w:rsid w:val="003937DE"/>
    <w:rsid w:val="003A1514"/>
    <w:rsid w:val="003A29F4"/>
    <w:rsid w:val="003A2FE0"/>
    <w:rsid w:val="003B169F"/>
    <w:rsid w:val="003B51F6"/>
    <w:rsid w:val="003B61D3"/>
    <w:rsid w:val="003C0F45"/>
    <w:rsid w:val="003C75CB"/>
    <w:rsid w:val="003D09D7"/>
    <w:rsid w:val="003D439F"/>
    <w:rsid w:val="003E2D75"/>
    <w:rsid w:val="003E6578"/>
    <w:rsid w:val="00401F86"/>
    <w:rsid w:val="00410EA5"/>
    <w:rsid w:val="00411AE9"/>
    <w:rsid w:val="004124A1"/>
    <w:rsid w:val="00420684"/>
    <w:rsid w:val="00421FC7"/>
    <w:rsid w:val="004266CB"/>
    <w:rsid w:val="00426F5A"/>
    <w:rsid w:val="004320F2"/>
    <w:rsid w:val="00432DAF"/>
    <w:rsid w:val="004507AA"/>
    <w:rsid w:val="004512EF"/>
    <w:rsid w:val="0045654E"/>
    <w:rsid w:val="00475958"/>
    <w:rsid w:val="004857E0"/>
    <w:rsid w:val="00487A7C"/>
    <w:rsid w:val="0049378B"/>
    <w:rsid w:val="0049791E"/>
    <w:rsid w:val="004B19CE"/>
    <w:rsid w:val="004B2EB1"/>
    <w:rsid w:val="004B3503"/>
    <w:rsid w:val="004C170C"/>
    <w:rsid w:val="004C343D"/>
    <w:rsid w:val="004D2EC2"/>
    <w:rsid w:val="004D373D"/>
    <w:rsid w:val="004D6480"/>
    <w:rsid w:val="004D6989"/>
    <w:rsid w:val="004E2CFA"/>
    <w:rsid w:val="004E3D31"/>
    <w:rsid w:val="004E3D47"/>
    <w:rsid w:val="004E51FA"/>
    <w:rsid w:val="0051558D"/>
    <w:rsid w:val="0051579B"/>
    <w:rsid w:val="005166D2"/>
    <w:rsid w:val="00522821"/>
    <w:rsid w:val="00523DBB"/>
    <w:rsid w:val="005265F5"/>
    <w:rsid w:val="00527A52"/>
    <w:rsid w:val="005371BA"/>
    <w:rsid w:val="00542984"/>
    <w:rsid w:val="00563034"/>
    <w:rsid w:val="0056693D"/>
    <w:rsid w:val="0057019A"/>
    <w:rsid w:val="00571AB1"/>
    <w:rsid w:val="00575C55"/>
    <w:rsid w:val="005846FB"/>
    <w:rsid w:val="00587066"/>
    <w:rsid w:val="00590D2C"/>
    <w:rsid w:val="005934D6"/>
    <w:rsid w:val="00597CB4"/>
    <w:rsid w:val="005A5BC8"/>
    <w:rsid w:val="005A7BA6"/>
    <w:rsid w:val="005B7DC4"/>
    <w:rsid w:val="005C5B41"/>
    <w:rsid w:val="005D05BB"/>
    <w:rsid w:val="005D3FD4"/>
    <w:rsid w:val="005E1A06"/>
    <w:rsid w:val="005E4360"/>
    <w:rsid w:val="005E54BA"/>
    <w:rsid w:val="005E6BFE"/>
    <w:rsid w:val="005F107D"/>
    <w:rsid w:val="005F34CA"/>
    <w:rsid w:val="005F36C6"/>
    <w:rsid w:val="005F3CBA"/>
    <w:rsid w:val="0060319A"/>
    <w:rsid w:val="00604B6E"/>
    <w:rsid w:val="0062442A"/>
    <w:rsid w:val="00625D97"/>
    <w:rsid w:val="006409D5"/>
    <w:rsid w:val="00643B0B"/>
    <w:rsid w:val="00645E15"/>
    <w:rsid w:val="00646942"/>
    <w:rsid w:val="00646AC5"/>
    <w:rsid w:val="00647BB7"/>
    <w:rsid w:val="006549FD"/>
    <w:rsid w:val="0065679B"/>
    <w:rsid w:val="006605BC"/>
    <w:rsid w:val="00670163"/>
    <w:rsid w:val="00670F73"/>
    <w:rsid w:val="006821D4"/>
    <w:rsid w:val="006922EC"/>
    <w:rsid w:val="006948FF"/>
    <w:rsid w:val="00696EBA"/>
    <w:rsid w:val="006A35FE"/>
    <w:rsid w:val="006A3CE2"/>
    <w:rsid w:val="006B19C5"/>
    <w:rsid w:val="006B4ACF"/>
    <w:rsid w:val="006B7481"/>
    <w:rsid w:val="006C160E"/>
    <w:rsid w:val="006C3404"/>
    <w:rsid w:val="006C35B5"/>
    <w:rsid w:val="006C7253"/>
    <w:rsid w:val="006D0345"/>
    <w:rsid w:val="006D2C21"/>
    <w:rsid w:val="006D5B7B"/>
    <w:rsid w:val="006E0E3C"/>
    <w:rsid w:val="006E1C9D"/>
    <w:rsid w:val="006E2052"/>
    <w:rsid w:val="006E2A60"/>
    <w:rsid w:val="006E35D6"/>
    <w:rsid w:val="006F2174"/>
    <w:rsid w:val="006F2C4B"/>
    <w:rsid w:val="0071316A"/>
    <w:rsid w:val="007132F4"/>
    <w:rsid w:val="00715709"/>
    <w:rsid w:val="00723917"/>
    <w:rsid w:val="007300E2"/>
    <w:rsid w:val="00732689"/>
    <w:rsid w:val="00747980"/>
    <w:rsid w:val="007556AB"/>
    <w:rsid w:val="007570C7"/>
    <w:rsid w:val="007579EE"/>
    <w:rsid w:val="00762DB0"/>
    <w:rsid w:val="00763BDD"/>
    <w:rsid w:val="00764C5A"/>
    <w:rsid w:val="00765FD2"/>
    <w:rsid w:val="007760B4"/>
    <w:rsid w:val="00786A63"/>
    <w:rsid w:val="00793860"/>
    <w:rsid w:val="007943F7"/>
    <w:rsid w:val="0079578E"/>
    <w:rsid w:val="007A2E39"/>
    <w:rsid w:val="007B1BE9"/>
    <w:rsid w:val="007B6B40"/>
    <w:rsid w:val="007C4072"/>
    <w:rsid w:val="007D6A89"/>
    <w:rsid w:val="007E31CD"/>
    <w:rsid w:val="007E7839"/>
    <w:rsid w:val="007F123F"/>
    <w:rsid w:val="00804013"/>
    <w:rsid w:val="00807351"/>
    <w:rsid w:val="008074CC"/>
    <w:rsid w:val="00810C76"/>
    <w:rsid w:val="00810F6C"/>
    <w:rsid w:val="00817663"/>
    <w:rsid w:val="00822BA8"/>
    <w:rsid w:val="0083384D"/>
    <w:rsid w:val="00833C9E"/>
    <w:rsid w:val="00837C8E"/>
    <w:rsid w:val="0084301B"/>
    <w:rsid w:val="00856DCD"/>
    <w:rsid w:val="00861451"/>
    <w:rsid w:val="00882B79"/>
    <w:rsid w:val="00883552"/>
    <w:rsid w:val="008911BC"/>
    <w:rsid w:val="0089155A"/>
    <w:rsid w:val="00893C6B"/>
    <w:rsid w:val="008B2C4E"/>
    <w:rsid w:val="008B412B"/>
    <w:rsid w:val="008C111C"/>
    <w:rsid w:val="008C2E35"/>
    <w:rsid w:val="008D0E1E"/>
    <w:rsid w:val="008D204D"/>
    <w:rsid w:val="008E030E"/>
    <w:rsid w:val="008E09C1"/>
    <w:rsid w:val="008E22D5"/>
    <w:rsid w:val="008E2520"/>
    <w:rsid w:val="008E55AC"/>
    <w:rsid w:val="008F0D70"/>
    <w:rsid w:val="008F1B02"/>
    <w:rsid w:val="008F69C5"/>
    <w:rsid w:val="00902606"/>
    <w:rsid w:val="0090356A"/>
    <w:rsid w:val="00905826"/>
    <w:rsid w:val="009104E4"/>
    <w:rsid w:val="00910B76"/>
    <w:rsid w:val="00910DE3"/>
    <w:rsid w:val="00914BFD"/>
    <w:rsid w:val="009169C8"/>
    <w:rsid w:val="00924EC8"/>
    <w:rsid w:val="00950C47"/>
    <w:rsid w:val="009530A1"/>
    <w:rsid w:val="00953DBA"/>
    <w:rsid w:val="00957FB6"/>
    <w:rsid w:val="00960724"/>
    <w:rsid w:val="0097099B"/>
    <w:rsid w:val="009763F2"/>
    <w:rsid w:val="00981EB9"/>
    <w:rsid w:val="0098358E"/>
    <w:rsid w:val="00984D78"/>
    <w:rsid w:val="00986E7E"/>
    <w:rsid w:val="00995A11"/>
    <w:rsid w:val="00996B9D"/>
    <w:rsid w:val="009A4D45"/>
    <w:rsid w:val="009A7A7D"/>
    <w:rsid w:val="009B0AA9"/>
    <w:rsid w:val="009B48A3"/>
    <w:rsid w:val="009C2B58"/>
    <w:rsid w:val="009C5FCD"/>
    <w:rsid w:val="009D24E0"/>
    <w:rsid w:val="00A03942"/>
    <w:rsid w:val="00A10AFB"/>
    <w:rsid w:val="00A11370"/>
    <w:rsid w:val="00A14163"/>
    <w:rsid w:val="00A22290"/>
    <w:rsid w:val="00A34EFC"/>
    <w:rsid w:val="00A35674"/>
    <w:rsid w:val="00A36AF4"/>
    <w:rsid w:val="00A372CA"/>
    <w:rsid w:val="00A475FE"/>
    <w:rsid w:val="00A5411E"/>
    <w:rsid w:val="00A54855"/>
    <w:rsid w:val="00A5682A"/>
    <w:rsid w:val="00A61748"/>
    <w:rsid w:val="00A64A37"/>
    <w:rsid w:val="00A71247"/>
    <w:rsid w:val="00A71320"/>
    <w:rsid w:val="00A71B45"/>
    <w:rsid w:val="00A90206"/>
    <w:rsid w:val="00AA3482"/>
    <w:rsid w:val="00AA3594"/>
    <w:rsid w:val="00AA44E1"/>
    <w:rsid w:val="00AB09F8"/>
    <w:rsid w:val="00AB1AE8"/>
    <w:rsid w:val="00AB4EC1"/>
    <w:rsid w:val="00AB5226"/>
    <w:rsid w:val="00AC4447"/>
    <w:rsid w:val="00AC4AB5"/>
    <w:rsid w:val="00AD0201"/>
    <w:rsid w:val="00AD355D"/>
    <w:rsid w:val="00AD6E92"/>
    <w:rsid w:val="00AD6F24"/>
    <w:rsid w:val="00B113C0"/>
    <w:rsid w:val="00B13896"/>
    <w:rsid w:val="00B13F08"/>
    <w:rsid w:val="00B144A9"/>
    <w:rsid w:val="00B15E76"/>
    <w:rsid w:val="00B216A8"/>
    <w:rsid w:val="00B23B88"/>
    <w:rsid w:val="00B258E7"/>
    <w:rsid w:val="00B3424B"/>
    <w:rsid w:val="00B37C09"/>
    <w:rsid w:val="00B42C7B"/>
    <w:rsid w:val="00B46808"/>
    <w:rsid w:val="00B46BFC"/>
    <w:rsid w:val="00B53E1D"/>
    <w:rsid w:val="00B55A8E"/>
    <w:rsid w:val="00B6103B"/>
    <w:rsid w:val="00B616A4"/>
    <w:rsid w:val="00B65A6D"/>
    <w:rsid w:val="00B670D9"/>
    <w:rsid w:val="00B708CE"/>
    <w:rsid w:val="00B73367"/>
    <w:rsid w:val="00B73B6C"/>
    <w:rsid w:val="00B929E0"/>
    <w:rsid w:val="00B95487"/>
    <w:rsid w:val="00B96D4A"/>
    <w:rsid w:val="00B970E0"/>
    <w:rsid w:val="00BA2078"/>
    <w:rsid w:val="00BA7990"/>
    <w:rsid w:val="00BB047A"/>
    <w:rsid w:val="00BB2CEE"/>
    <w:rsid w:val="00BB5CA5"/>
    <w:rsid w:val="00BC1A5A"/>
    <w:rsid w:val="00BC71C5"/>
    <w:rsid w:val="00BD2228"/>
    <w:rsid w:val="00BE27E2"/>
    <w:rsid w:val="00BE634F"/>
    <w:rsid w:val="00BF02D6"/>
    <w:rsid w:val="00BF04CE"/>
    <w:rsid w:val="00BF27AD"/>
    <w:rsid w:val="00BF4D31"/>
    <w:rsid w:val="00BF5CB6"/>
    <w:rsid w:val="00C0230A"/>
    <w:rsid w:val="00C0759B"/>
    <w:rsid w:val="00C13E3D"/>
    <w:rsid w:val="00C36849"/>
    <w:rsid w:val="00C42DBC"/>
    <w:rsid w:val="00C452B9"/>
    <w:rsid w:val="00C4713E"/>
    <w:rsid w:val="00C505F0"/>
    <w:rsid w:val="00C53E50"/>
    <w:rsid w:val="00C56051"/>
    <w:rsid w:val="00C61364"/>
    <w:rsid w:val="00C63EC6"/>
    <w:rsid w:val="00C7657F"/>
    <w:rsid w:val="00C77CA8"/>
    <w:rsid w:val="00C82E96"/>
    <w:rsid w:val="00C83D44"/>
    <w:rsid w:val="00C9645D"/>
    <w:rsid w:val="00C9659C"/>
    <w:rsid w:val="00C97843"/>
    <w:rsid w:val="00CA3C9C"/>
    <w:rsid w:val="00CA7BCA"/>
    <w:rsid w:val="00CB3E25"/>
    <w:rsid w:val="00CC0DE1"/>
    <w:rsid w:val="00CC1C14"/>
    <w:rsid w:val="00CC3943"/>
    <w:rsid w:val="00CC4037"/>
    <w:rsid w:val="00CD64A0"/>
    <w:rsid w:val="00CE0F84"/>
    <w:rsid w:val="00CE138C"/>
    <w:rsid w:val="00CE5A40"/>
    <w:rsid w:val="00D015FC"/>
    <w:rsid w:val="00D054B5"/>
    <w:rsid w:val="00D10394"/>
    <w:rsid w:val="00D13BAD"/>
    <w:rsid w:val="00D15383"/>
    <w:rsid w:val="00D171AC"/>
    <w:rsid w:val="00D175C9"/>
    <w:rsid w:val="00D17B9A"/>
    <w:rsid w:val="00D17EF9"/>
    <w:rsid w:val="00D21B45"/>
    <w:rsid w:val="00D2337B"/>
    <w:rsid w:val="00D477D5"/>
    <w:rsid w:val="00D5457E"/>
    <w:rsid w:val="00D60C6D"/>
    <w:rsid w:val="00D74B73"/>
    <w:rsid w:val="00D81595"/>
    <w:rsid w:val="00D90866"/>
    <w:rsid w:val="00D90E20"/>
    <w:rsid w:val="00D93011"/>
    <w:rsid w:val="00D9385E"/>
    <w:rsid w:val="00D9770F"/>
    <w:rsid w:val="00DA09C3"/>
    <w:rsid w:val="00DA509C"/>
    <w:rsid w:val="00DA713A"/>
    <w:rsid w:val="00DB0C79"/>
    <w:rsid w:val="00DB3D15"/>
    <w:rsid w:val="00DB447E"/>
    <w:rsid w:val="00DC0A98"/>
    <w:rsid w:val="00DC1052"/>
    <w:rsid w:val="00DC54D5"/>
    <w:rsid w:val="00DC7F80"/>
    <w:rsid w:val="00DE6593"/>
    <w:rsid w:val="00DF051A"/>
    <w:rsid w:val="00DF0892"/>
    <w:rsid w:val="00E02068"/>
    <w:rsid w:val="00E0436D"/>
    <w:rsid w:val="00E05149"/>
    <w:rsid w:val="00E05A61"/>
    <w:rsid w:val="00E100F9"/>
    <w:rsid w:val="00E10469"/>
    <w:rsid w:val="00E10BB2"/>
    <w:rsid w:val="00E20E17"/>
    <w:rsid w:val="00E23B53"/>
    <w:rsid w:val="00E26D63"/>
    <w:rsid w:val="00E27EE6"/>
    <w:rsid w:val="00E36034"/>
    <w:rsid w:val="00E459F0"/>
    <w:rsid w:val="00E527AB"/>
    <w:rsid w:val="00E5632D"/>
    <w:rsid w:val="00E56618"/>
    <w:rsid w:val="00E6607D"/>
    <w:rsid w:val="00E72F60"/>
    <w:rsid w:val="00E736D2"/>
    <w:rsid w:val="00E77E5F"/>
    <w:rsid w:val="00E855CF"/>
    <w:rsid w:val="00E92E63"/>
    <w:rsid w:val="00E974FF"/>
    <w:rsid w:val="00EA3B5A"/>
    <w:rsid w:val="00EA3D54"/>
    <w:rsid w:val="00EA6D60"/>
    <w:rsid w:val="00EB6A24"/>
    <w:rsid w:val="00ED2D44"/>
    <w:rsid w:val="00ED4B3E"/>
    <w:rsid w:val="00ED650B"/>
    <w:rsid w:val="00ED6D67"/>
    <w:rsid w:val="00ED762F"/>
    <w:rsid w:val="00EE2EC1"/>
    <w:rsid w:val="00EE69DB"/>
    <w:rsid w:val="00EF054E"/>
    <w:rsid w:val="00EF1123"/>
    <w:rsid w:val="00F00838"/>
    <w:rsid w:val="00F00F3D"/>
    <w:rsid w:val="00F04A92"/>
    <w:rsid w:val="00F078CF"/>
    <w:rsid w:val="00F12497"/>
    <w:rsid w:val="00F158EF"/>
    <w:rsid w:val="00F174BA"/>
    <w:rsid w:val="00F17FD6"/>
    <w:rsid w:val="00F22D8C"/>
    <w:rsid w:val="00F243B2"/>
    <w:rsid w:val="00F259AE"/>
    <w:rsid w:val="00F366C8"/>
    <w:rsid w:val="00F466C8"/>
    <w:rsid w:val="00F50533"/>
    <w:rsid w:val="00F558BB"/>
    <w:rsid w:val="00F718AA"/>
    <w:rsid w:val="00F7565A"/>
    <w:rsid w:val="00F84248"/>
    <w:rsid w:val="00F84CBC"/>
    <w:rsid w:val="00FA746C"/>
    <w:rsid w:val="00FC07FE"/>
    <w:rsid w:val="00FC1D1D"/>
    <w:rsid w:val="00FC3AB7"/>
    <w:rsid w:val="00FC45C2"/>
    <w:rsid w:val="00FC6624"/>
    <w:rsid w:val="00FC6679"/>
    <w:rsid w:val="00FE19FD"/>
    <w:rsid w:val="00FE485E"/>
    <w:rsid w:val="00FE7B53"/>
    <w:rsid w:val="00FF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0">
    <w:name w:val="para num"/>
    <w:basedOn w:val="Normal"/>
    <w:rsid w:val="00D90866"/>
  </w:style>
  <w:style w:type="paragraph" w:customStyle="1" w:styleId="ParaNum">
    <w:name w:val="ParaNum"/>
    <w:basedOn w:val="Normal"/>
    <w:link w:val="ParaNumChar1"/>
    <w:rsid w:val="00D90866"/>
    <w:pPr>
      <w:numPr>
        <w:numId w:val="2"/>
      </w:numPr>
    </w:p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basedOn w:val="Normal"/>
    <w:link w:val="FootnoteTextChar1"/>
    <w:semiHidden/>
    <w:rsid w:val="005F34CA"/>
    <w:rPr>
      <w:sz w:val="20"/>
    </w:rPr>
  </w:style>
  <w:style w:type="character" w:styleId="FootnoteReference">
    <w:name w:val="footnote reference"/>
    <w:aliases w:val="Style 12,(NECG) Footnote Reference,Appel note de bas de p,Style 124,o,fr,Style 3,Style 13,FR,Style 17,Style 6,Footnote Reference/"/>
    <w:semiHidden/>
    <w:rsid w:val="005F34CA"/>
    <w:rPr>
      <w:vertAlign w:val="superscript"/>
    </w:rPr>
  </w:style>
  <w:style w:type="character" w:styleId="PageNumber">
    <w:name w:val="page number"/>
    <w:basedOn w:val="DefaultParagraphFont"/>
    <w:rsid w:val="00E92E63"/>
  </w:style>
  <w:style w:type="paragraph" w:styleId="BalloonText">
    <w:name w:val="Balloon Text"/>
    <w:basedOn w:val="Normal"/>
    <w:semiHidden/>
    <w:rsid w:val="001D534F"/>
    <w:rPr>
      <w:rFonts w:ascii="Tahoma" w:hAnsi="Tahoma" w:cs="Tahoma"/>
      <w:sz w:val="16"/>
      <w:szCs w:val="16"/>
    </w:rPr>
  </w:style>
  <w:style w:type="paragraph" w:styleId="EndnoteText">
    <w:name w:val="endnote text"/>
    <w:basedOn w:val="Normal"/>
    <w:semiHidden/>
    <w:rsid w:val="000C030B"/>
    <w:pPr>
      <w:widowControl w:val="0"/>
      <w:tabs>
        <w:tab w:val="left" w:pos="-720"/>
      </w:tabs>
      <w:suppressAutoHyphens/>
    </w:pPr>
    <w:rPr>
      <w:snapToGrid w:val="0"/>
    </w:rPr>
  </w:style>
  <w:style w:type="table" w:styleId="TableGrid">
    <w:name w:val="Table Grid"/>
    <w:basedOn w:val="TableNormal"/>
    <w:rsid w:val="0002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rsid w:val="00050E72"/>
  </w:style>
  <w:style w:type="character" w:styleId="Hyperlink">
    <w:name w:val="Hyperlink"/>
    <w:rsid w:val="00050E72"/>
    <w:rPr>
      <w:color w:val="0000FF"/>
      <w:u w:val="single"/>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link w:val="FootnoteText"/>
    <w:semiHidden/>
    <w:rsid w:val="00A35674"/>
    <w:rPr>
      <w:lang w:val="en-US" w:eastAsia="en-US" w:bidi="ar-SA"/>
    </w:rPr>
  </w:style>
  <w:style w:type="character" w:customStyle="1" w:styleId="ParaNumChar1">
    <w:name w:val="ParaNum Char1"/>
    <w:link w:val="ParaNum"/>
    <w:rsid w:val="00A35674"/>
    <w:rPr>
      <w:sz w:val="24"/>
      <w:lang w:val="en-US" w:eastAsia="en-US" w:bidi="ar-SA"/>
    </w:rPr>
  </w:style>
  <w:style w:type="character" w:customStyle="1" w:styleId="FootnoteTextChar2Char1Char">
    <w:name w:val="Footnote Text Char2 Char1 Char"/>
    <w:aliases w:val="Footnote Text Char1 Char Char2 Char,Footnote Text Char Char Char Char2 Char,Footnote Text Char2 Char Char1 Char Char1 Char,Footnote Text Char1 Char Char Char Char Char Char"/>
    <w:semiHidden/>
    <w:rsid w:val="00D15383"/>
    <w:rPr>
      <w:rFonts w:ascii="Times New Roman" w:eastAsia="Times New Roman" w:hAnsi="Times New Roman" w:cs="Times New Roman"/>
      <w:snapToGrid w:val="0"/>
      <w:sz w:val="20"/>
      <w:szCs w:val="20"/>
    </w:rPr>
  </w:style>
  <w:style w:type="character" w:styleId="CommentReference">
    <w:name w:val="annotation reference"/>
    <w:basedOn w:val="DefaultParagraphFont"/>
    <w:rsid w:val="004857E0"/>
    <w:rPr>
      <w:sz w:val="16"/>
      <w:szCs w:val="16"/>
    </w:rPr>
  </w:style>
  <w:style w:type="paragraph" w:styleId="CommentText">
    <w:name w:val="annotation text"/>
    <w:basedOn w:val="Normal"/>
    <w:link w:val="CommentTextChar"/>
    <w:rsid w:val="004857E0"/>
    <w:rPr>
      <w:sz w:val="20"/>
    </w:rPr>
  </w:style>
  <w:style w:type="character" w:customStyle="1" w:styleId="CommentTextChar">
    <w:name w:val="Comment Text Char"/>
    <w:basedOn w:val="DefaultParagraphFont"/>
    <w:link w:val="CommentText"/>
    <w:rsid w:val="004857E0"/>
  </w:style>
  <w:style w:type="paragraph" w:styleId="CommentSubject">
    <w:name w:val="annotation subject"/>
    <w:basedOn w:val="CommentText"/>
    <w:next w:val="CommentText"/>
    <w:link w:val="CommentSubjectChar"/>
    <w:rsid w:val="004857E0"/>
    <w:rPr>
      <w:b/>
      <w:bCs/>
    </w:rPr>
  </w:style>
  <w:style w:type="character" w:customStyle="1" w:styleId="CommentSubjectChar">
    <w:name w:val="Comment Subject Char"/>
    <w:basedOn w:val="CommentTextChar"/>
    <w:link w:val="CommentSubject"/>
    <w:rsid w:val="004857E0"/>
    <w:rPr>
      <w:b/>
      <w:bCs/>
    </w:rPr>
  </w:style>
  <w:style w:type="paragraph" w:styleId="Revision">
    <w:name w:val="Revision"/>
    <w:hidden/>
    <w:uiPriority w:val="99"/>
    <w:semiHidden/>
    <w:rsid w:val="004857E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0">
    <w:name w:val="para num"/>
    <w:basedOn w:val="Normal"/>
    <w:rsid w:val="00D90866"/>
  </w:style>
  <w:style w:type="paragraph" w:customStyle="1" w:styleId="ParaNum">
    <w:name w:val="ParaNum"/>
    <w:basedOn w:val="Normal"/>
    <w:link w:val="ParaNumChar1"/>
    <w:rsid w:val="00D90866"/>
    <w:pPr>
      <w:numPr>
        <w:numId w:val="2"/>
      </w:numPr>
    </w:p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basedOn w:val="Normal"/>
    <w:link w:val="FootnoteTextChar1"/>
    <w:semiHidden/>
    <w:rsid w:val="005F34CA"/>
    <w:rPr>
      <w:sz w:val="20"/>
    </w:rPr>
  </w:style>
  <w:style w:type="character" w:styleId="FootnoteReference">
    <w:name w:val="footnote reference"/>
    <w:aliases w:val="Style 12,(NECG) Footnote Reference,Appel note de bas de p,Style 124,o,fr,Style 3,Style 13,FR,Style 17,Style 6,Footnote Reference/"/>
    <w:semiHidden/>
    <w:rsid w:val="005F34CA"/>
    <w:rPr>
      <w:vertAlign w:val="superscript"/>
    </w:rPr>
  </w:style>
  <w:style w:type="character" w:styleId="PageNumber">
    <w:name w:val="page number"/>
    <w:basedOn w:val="DefaultParagraphFont"/>
    <w:rsid w:val="00E92E63"/>
  </w:style>
  <w:style w:type="paragraph" w:styleId="BalloonText">
    <w:name w:val="Balloon Text"/>
    <w:basedOn w:val="Normal"/>
    <w:semiHidden/>
    <w:rsid w:val="001D534F"/>
    <w:rPr>
      <w:rFonts w:ascii="Tahoma" w:hAnsi="Tahoma" w:cs="Tahoma"/>
      <w:sz w:val="16"/>
      <w:szCs w:val="16"/>
    </w:rPr>
  </w:style>
  <w:style w:type="paragraph" w:styleId="EndnoteText">
    <w:name w:val="endnote text"/>
    <w:basedOn w:val="Normal"/>
    <w:semiHidden/>
    <w:rsid w:val="000C030B"/>
    <w:pPr>
      <w:widowControl w:val="0"/>
      <w:tabs>
        <w:tab w:val="left" w:pos="-720"/>
      </w:tabs>
      <w:suppressAutoHyphens/>
    </w:pPr>
    <w:rPr>
      <w:snapToGrid w:val="0"/>
    </w:rPr>
  </w:style>
  <w:style w:type="table" w:styleId="TableGrid">
    <w:name w:val="Table Grid"/>
    <w:basedOn w:val="TableNormal"/>
    <w:rsid w:val="0002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rsid w:val="00050E72"/>
  </w:style>
  <w:style w:type="character" w:styleId="Hyperlink">
    <w:name w:val="Hyperlink"/>
    <w:rsid w:val="00050E72"/>
    <w:rPr>
      <w:color w:val="0000FF"/>
      <w:u w:val="single"/>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link w:val="FootnoteText"/>
    <w:semiHidden/>
    <w:rsid w:val="00A35674"/>
    <w:rPr>
      <w:lang w:val="en-US" w:eastAsia="en-US" w:bidi="ar-SA"/>
    </w:rPr>
  </w:style>
  <w:style w:type="character" w:customStyle="1" w:styleId="ParaNumChar1">
    <w:name w:val="ParaNum Char1"/>
    <w:link w:val="ParaNum"/>
    <w:rsid w:val="00A35674"/>
    <w:rPr>
      <w:sz w:val="24"/>
      <w:lang w:val="en-US" w:eastAsia="en-US" w:bidi="ar-SA"/>
    </w:rPr>
  </w:style>
  <w:style w:type="character" w:customStyle="1" w:styleId="FootnoteTextChar2Char1Char">
    <w:name w:val="Footnote Text Char2 Char1 Char"/>
    <w:aliases w:val="Footnote Text Char1 Char Char2 Char,Footnote Text Char Char Char Char2 Char,Footnote Text Char2 Char Char1 Char Char1 Char,Footnote Text Char1 Char Char Char Char Char Char"/>
    <w:semiHidden/>
    <w:rsid w:val="00D15383"/>
    <w:rPr>
      <w:rFonts w:ascii="Times New Roman" w:eastAsia="Times New Roman" w:hAnsi="Times New Roman" w:cs="Times New Roman"/>
      <w:snapToGrid w:val="0"/>
      <w:sz w:val="20"/>
      <w:szCs w:val="20"/>
    </w:rPr>
  </w:style>
  <w:style w:type="character" w:styleId="CommentReference">
    <w:name w:val="annotation reference"/>
    <w:basedOn w:val="DefaultParagraphFont"/>
    <w:rsid w:val="004857E0"/>
    <w:rPr>
      <w:sz w:val="16"/>
      <w:szCs w:val="16"/>
    </w:rPr>
  </w:style>
  <w:style w:type="paragraph" w:styleId="CommentText">
    <w:name w:val="annotation text"/>
    <w:basedOn w:val="Normal"/>
    <w:link w:val="CommentTextChar"/>
    <w:rsid w:val="004857E0"/>
    <w:rPr>
      <w:sz w:val="20"/>
    </w:rPr>
  </w:style>
  <w:style w:type="character" w:customStyle="1" w:styleId="CommentTextChar">
    <w:name w:val="Comment Text Char"/>
    <w:basedOn w:val="DefaultParagraphFont"/>
    <w:link w:val="CommentText"/>
    <w:rsid w:val="004857E0"/>
  </w:style>
  <w:style w:type="paragraph" w:styleId="CommentSubject">
    <w:name w:val="annotation subject"/>
    <w:basedOn w:val="CommentText"/>
    <w:next w:val="CommentText"/>
    <w:link w:val="CommentSubjectChar"/>
    <w:rsid w:val="004857E0"/>
    <w:rPr>
      <w:b/>
      <w:bCs/>
    </w:rPr>
  </w:style>
  <w:style w:type="character" w:customStyle="1" w:styleId="CommentSubjectChar">
    <w:name w:val="Comment Subject Char"/>
    <w:basedOn w:val="CommentTextChar"/>
    <w:link w:val="CommentSubject"/>
    <w:rsid w:val="004857E0"/>
    <w:rPr>
      <w:b/>
      <w:bCs/>
    </w:rPr>
  </w:style>
  <w:style w:type="paragraph" w:styleId="Revision">
    <w:name w:val="Revision"/>
    <w:hidden/>
    <w:uiPriority w:val="99"/>
    <w:semiHidden/>
    <w:rsid w:val="004857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33788">
      <w:bodyDiv w:val="1"/>
      <w:marLeft w:val="0"/>
      <w:marRight w:val="0"/>
      <w:marTop w:val="0"/>
      <w:marBottom w:val="0"/>
      <w:divBdr>
        <w:top w:val="none" w:sz="0" w:space="0" w:color="auto"/>
        <w:left w:val="none" w:sz="0" w:space="0" w:color="auto"/>
        <w:bottom w:val="none" w:sz="0" w:space="0" w:color="auto"/>
        <w:right w:val="none" w:sz="0" w:space="0" w:color="auto"/>
      </w:divBdr>
    </w:div>
    <w:div w:id="475728817">
      <w:bodyDiv w:val="1"/>
      <w:marLeft w:val="0"/>
      <w:marRight w:val="0"/>
      <w:marTop w:val="0"/>
      <w:marBottom w:val="0"/>
      <w:divBdr>
        <w:top w:val="none" w:sz="0" w:space="0" w:color="auto"/>
        <w:left w:val="none" w:sz="0" w:space="0" w:color="auto"/>
        <w:bottom w:val="none" w:sz="0" w:space="0" w:color="auto"/>
        <w:right w:val="none" w:sz="0" w:space="0" w:color="auto"/>
      </w:divBdr>
    </w:div>
    <w:div w:id="1123302098">
      <w:bodyDiv w:val="1"/>
      <w:marLeft w:val="0"/>
      <w:marRight w:val="0"/>
      <w:marTop w:val="0"/>
      <w:marBottom w:val="0"/>
      <w:divBdr>
        <w:top w:val="none" w:sz="0" w:space="0" w:color="auto"/>
        <w:left w:val="none" w:sz="0" w:space="0" w:color="auto"/>
        <w:bottom w:val="none" w:sz="0" w:space="0" w:color="auto"/>
        <w:right w:val="none" w:sz="0" w:space="0" w:color="auto"/>
      </w:divBdr>
    </w:div>
    <w:div w:id="1334800959">
      <w:bodyDiv w:val="1"/>
      <w:marLeft w:val="0"/>
      <w:marRight w:val="0"/>
      <w:marTop w:val="0"/>
      <w:marBottom w:val="0"/>
      <w:divBdr>
        <w:top w:val="none" w:sz="0" w:space="0" w:color="auto"/>
        <w:left w:val="none" w:sz="0" w:space="0" w:color="auto"/>
        <w:bottom w:val="none" w:sz="0" w:space="0" w:color="auto"/>
        <w:right w:val="none" w:sz="0" w:space="0" w:color="auto"/>
      </w:divBdr>
    </w:div>
    <w:div w:id="1567914014">
      <w:bodyDiv w:val="1"/>
      <w:marLeft w:val="0"/>
      <w:marRight w:val="0"/>
      <w:marTop w:val="0"/>
      <w:marBottom w:val="0"/>
      <w:divBdr>
        <w:top w:val="none" w:sz="0" w:space="0" w:color="auto"/>
        <w:left w:val="none" w:sz="0" w:space="0" w:color="auto"/>
        <w:bottom w:val="none" w:sz="0" w:space="0" w:color="auto"/>
        <w:right w:val="none" w:sz="0" w:space="0" w:color="auto"/>
      </w:divBdr>
    </w:div>
    <w:div w:id="1895769948">
      <w:bodyDiv w:val="1"/>
      <w:marLeft w:val="0"/>
      <w:marRight w:val="0"/>
      <w:marTop w:val="0"/>
      <w:marBottom w:val="0"/>
      <w:divBdr>
        <w:top w:val="none" w:sz="0" w:space="0" w:color="auto"/>
        <w:left w:val="none" w:sz="0" w:space="0" w:color="auto"/>
        <w:bottom w:val="none" w:sz="0" w:space="0" w:color="auto"/>
        <w:right w:val="none" w:sz="0" w:space="0" w:color="auto"/>
      </w:divBdr>
    </w:div>
    <w:div w:id="196295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cc.gov/cgb/ecfs/" TargetMode="External"/><Relationship Id="rId4" Type="http://schemas.microsoft.com/office/2007/relationships/stylesWithEffects" Target="stylesWithEffects.xml"/><Relationship Id="rId9" Type="http://schemas.openxmlformats.org/officeDocument/2006/relationships/hyperlink" Target="http://www.fcc.gov/cgb/ecf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tsc.org/cms/standards/A_85-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A4ECB-43DF-43CD-9AD9-B32C2AA5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OMB 3060-1154</vt:lpstr>
    </vt:vector>
  </TitlesOfParts>
  <Company>Federal Communications Commission</Company>
  <LinksUpToDate>false</LinksUpToDate>
  <CharactersWithSpaces>8934</CharactersWithSpaces>
  <SharedDoc>false</SharedDoc>
  <HLinks>
    <vt:vector size="18" baseType="variant">
      <vt:variant>
        <vt:i4>1179653</vt:i4>
      </vt:variant>
      <vt:variant>
        <vt:i4>3</vt:i4>
      </vt:variant>
      <vt:variant>
        <vt:i4>0</vt:i4>
      </vt:variant>
      <vt:variant>
        <vt:i4>5</vt:i4>
      </vt:variant>
      <vt:variant>
        <vt:lpwstr>http://www.fcc.gov/cgb/ecfs/</vt:lpwstr>
      </vt:variant>
      <vt:variant>
        <vt:lpwstr/>
      </vt:variant>
      <vt:variant>
        <vt:i4>1179653</vt:i4>
      </vt:variant>
      <vt:variant>
        <vt:i4>0</vt:i4>
      </vt:variant>
      <vt:variant>
        <vt:i4>0</vt:i4>
      </vt:variant>
      <vt:variant>
        <vt:i4>5</vt:i4>
      </vt:variant>
      <vt:variant>
        <vt:lpwstr>http://www.fcc.gov/cgb/ecfs/</vt:lpwstr>
      </vt:variant>
      <vt:variant>
        <vt:lpwstr/>
      </vt:variant>
      <vt:variant>
        <vt:i4>2490391</vt:i4>
      </vt:variant>
      <vt:variant>
        <vt:i4>0</vt:i4>
      </vt:variant>
      <vt:variant>
        <vt:i4>0</vt:i4>
      </vt:variant>
      <vt:variant>
        <vt:i4>5</vt:i4>
      </vt:variant>
      <vt:variant>
        <vt:lpwstr>http://www.atsc.org/cms/standards/a_85-2011a.pdf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3060-1154</dc:title>
  <dc:subject>CALM Act PRA</dc:subject>
  <dc:creator>ECB</dc:creator>
  <cp:lastModifiedBy>Cathy Williams</cp:lastModifiedBy>
  <cp:revision>9</cp:revision>
  <cp:lastPrinted>2015-03-03T16:22:00Z</cp:lastPrinted>
  <dcterms:created xsi:type="dcterms:W3CDTF">2015-02-12T20:30:00Z</dcterms:created>
  <dcterms:modified xsi:type="dcterms:W3CDTF">2015-03-03T16:24:00Z</dcterms:modified>
</cp:coreProperties>
</file>