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5583" w:rsidRDefault="00EA5583" w:rsidP="00EA55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r>
        <w:rPr>
          <w:rFonts w:ascii="Helvetica" w:hAnsi="Helvetica"/>
          <w:b/>
          <w:sz w:val="28"/>
        </w:rPr>
        <w:t>Supporting Statement for Paperwork Reduction Act Submissions</w:t>
      </w:r>
    </w:p>
    <w:p w:rsidR="00EA5583" w:rsidRDefault="00EA5583" w:rsidP="00EA5583">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18"/>
        </w:rPr>
      </w:pPr>
    </w:p>
    <w:p w:rsidR="00EA5583" w:rsidRDefault="00EA5583" w:rsidP="00EA5583">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18"/>
        </w:rPr>
      </w:pPr>
      <w:r>
        <w:rPr>
          <w:rFonts w:ascii="Helvetica" w:hAnsi="Helvetica"/>
          <w:b/>
          <w:sz w:val="18"/>
        </w:rPr>
        <w:t xml:space="preserve">A. </w:t>
      </w:r>
      <w:r>
        <w:rPr>
          <w:rFonts w:ascii="Helvetica" w:hAnsi="Helvetica"/>
          <w:b/>
          <w:sz w:val="18"/>
        </w:rPr>
        <w:tab/>
        <w:t>Justification</w:t>
      </w:r>
    </w:p>
    <w:p w:rsidR="00EA5583" w:rsidRDefault="00EA5583" w:rsidP="00EA55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18"/>
        </w:rPr>
      </w:pPr>
    </w:p>
    <w:p w:rsidR="00EA5583" w:rsidRDefault="00EA5583" w:rsidP="00EA5583">
      <w:pPr>
        <w:keepLines/>
        <w:tabs>
          <w:tab w:val="left" w:pos="360"/>
        </w:tabs>
        <w:spacing w:after="80"/>
        <w:ind w:left="360" w:hanging="360"/>
        <w:rPr>
          <w:sz w:val="18"/>
        </w:rPr>
      </w:pPr>
      <w:r>
        <w:rPr>
          <w:sz w:val="18"/>
        </w:rPr>
        <w:t>1.</w:t>
      </w:r>
      <w:r>
        <w:rPr>
          <w:sz w:val="18"/>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EA5583" w:rsidRDefault="00EA5583" w:rsidP="00EA5583">
      <w:pPr>
        <w:pStyle w:val="BodyTextIndent"/>
        <w:rPr>
          <w:sz w:val="18"/>
        </w:rPr>
      </w:pPr>
      <w:r>
        <w:rPr>
          <w:sz w:val="18"/>
        </w:rPr>
        <w:t xml:space="preserve">The Secretary of the Department of Housing and Urban Development (HUD) is frequently asked to provide documents contained in the Department’s files or to authorize the provision of testimony by HUD employees in response to subpoenas or other demands issued in the course of legal proceedings to which HUD is not a party.  It is necessary for the Secretary to collect information about these requests in order to determine whether a request in such a proceeding should be granted.  These requirements and the authorization to impose such requirements are consistent with </w:t>
      </w:r>
      <w:smartTag w:uri="urn:schemas-microsoft-com:office:smarttags" w:element="country-region">
        <w:r w:rsidRPr="0095175C">
          <w:rPr>
            <w:i/>
            <w:sz w:val="18"/>
          </w:rPr>
          <w:t>United States</w:t>
        </w:r>
      </w:smartTag>
      <w:r w:rsidRPr="0095175C">
        <w:rPr>
          <w:i/>
          <w:sz w:val="18"/>
        </w:rPr>
        <w:t xml:space="preserve"> ex rel. </w:t>
      </w:r>
      <w:proofErr w:type="spellStart"/>
      <w:r w:rsidRPr="0095175C">
        <w:rPr>
          <w:i/>
          <w:sz w:val="18"/>
        </w:rPr>
        <w:t>Touhy</w:t>
      </w:r>
      <w:proofErr w:type="spellEnd"/>
      <w:r w:rsidRPr="0095175C">
        <w:rPr>
          <w:i/>
          <w:sz w:val="18"/>
        </w:rPr>
        <w:t xml:space="preserve"> v. </w:t>
      </w:r>
      <w:proofErr w:type="spellStart"/>
      <w:r w:rsidRPr="0095175C">
        <w:rPr>
          <w:i/>
          <w:sz w:val="18"/>
        </w:rPr>
        <w:t>Ragen</w:t>
      </w:r>
      <w:proofErr w:type="spellEnd"/>
      <w:r>
        <w:rPr>
          <w:sz w:val="18"/>
        </w:rPr>
        <w:t xml:space="preserve"> (340 </w:t>
      </w:r>
      <w:smartTag w:uri="urn:schemas-microsoft-com:office:smarttags" w:element="place">
        <w:smartTag w:uri="urn:schemas-microsoft-com:office:smarttags" w:element="country-region">
          <w:r>
            <w:rPr>
              <w:sz w:val="18"/>
            </w:rPr>
            <w:t>U.S.</w:t>
          </w:r>
        </w:smartTag>
      </w:smartTag>
      <w:r>
        <w:rPr>
          <w:sz w:val="18"/>
        </w:rPr>
        <w:t xml:space="preserve"> 462) as well as 24 CFR part 15.</w:t>
      </w:r>
    </w:p>
    <w:p w:rsidR="00EA5583" w:rsidRDefault="00EA5583" w:rsidP="00EA5583">
      <w:pPr>
        <w:pStyle w:val="BodyTextIndent"/>
        <w:ind w:left="0"/>
        <w:rPr>
          <w:sz w:val="18"/>
        </w:rPr>
      </w:pPr>
    </w:p>
    <w:p w:rsidR="00EA5583" w:rsidRDefault="00EA5583" w:rsidP="00EA5583">
      <w:pPr>
        <w:tabs>
          <w:tab w:val="left" w:pos="360"/>
        </w:tabs>
        <w:ind w:left="360" w:hanging="360"/>
        <w:rPr>
          <w:sz w:val="18"/>
        </w:rPr>
      </w:pPr>
    </w:p>
    <w:p w:rsidR="00EA5583" w:rsidRDefault="00EA5583" w:rsidP="00EA5583">
      <w:pPr>
        <w:keepLines/>
        <w:tabs>
          <w:tab w:val="left" w:pos="360"/>
        </w:tabs>
        <w:spacing w:after="80"/>
        <w:ind w:left="360" w:hanging="360"/>
        <w:rPr>
          <w:sz w:val="18"/>
        </w:rPr>
      </w:pPr>
      <w:r>
        <w:rPr>
          <w:sz w:val="18"/>
        </w:rPr>
        <w:t>2.</w:t>
      </w:r>
      <w:r>
        <w:rPr>
          <w:sz w:val="18"/>
        </w:rPr>
        <w:tab/>
        <w:t>Indicate how, by whom and for what purpose the information is to be used.  Except for a new collection, indicate the actual use the agency has made of the information received from the current collection.</w:t>
      </w:r>
    </w:p>
    <w:p w:rsidR="00EA5583" w:rsidRDefault="00EA5583" w:rsidP="00EA5583">
      <w:pPr>
        <w:tabs>
          <w:tab w:val="left" w:pos="360"/>
        </w:tabs>
        <w:ind w:left="360"/>
        <w:rPr>
          <w:sz w:val="18"/>
        </w:rPr>
      </w:pPr>
      <w:r>
        <w:rPr>
          <w:sz w:val="18"/>
        </w:rPr>
        <w:t>In order to evaluate demands for documents or testimony, the Secretary needs specific information concerning the nature and the extent of the documents and the testimony sought, and the reasons that support its production.  The rule requires that private litigants making demands for the production of material or the provision of employee testimony must include in their demands the following: (1) Be submitted in writing to the Department or employee of the Department, with a copy to the Appropriate Associate General Counsel or Appropriate Regional Counsel, no later than 30 days before the date the material or testimony is required; (2) State, with particularity, the material or testimony sought; (3) If testimony is requested, state (i) the intended use of the testimony, and (ii) whether expert or opinion testimony will be sought from the employee; (4) State whether the production of such material or provision of such testimony could reveal classified, confidential, or privileged material; (5) Summarize the need for and the relevance of the material or testimony sought in the legal proceeding and include a copy of the complaint, if available; (6) State whether the material or testimony is available from any other source and, if so, state all such other sources; (7) State why no document[s], or declaration or affidavit, could be used in lieu of oral testimony that is being sought; (8) Estimate the amount of time the employee will need in order to prepare for, travel to, and attend the legal proceeding, as appropriate; (9) State why the production of material or the provision of testimony is appropriate under the rules of procedure governing the legal proceeding for which it is sought (e.g., not unduly burdensome or otherwise inappropriate under the relevant rules governing discovery); and (10) Describe how producing such material or providing such testimony would affect the interests of the United States.  The information contained in the demand will be used by the Secretary to determine whether and to what extent the Department will produce material or provide testimony by a HUD employee to a private litigant.</w:t>
      </w:r>
    </w:p>
    <w:p w:rsidR="00EA5583" w:rsidRDefault="00EA5583" w:rsidP="00EA5583">
      <w:pPr>
        <w:tabs>
          <w:tab w:val="left" w:pos="360"/>
        </w:tabs>
        <w:rPr>
          <w:sz w:val="18"/>
        </w:rPr>
      </w:pPr>
    </w:p>
    <w:p w:rsidR="00EA5583" w:rsidRDefault="00EA5583" w:rsidP="00EA5583">
      <w:pPr>
        <w:tabs>
          <w:tab w:val="left" w:pos="360"/>
        </w:tabs>
        <w:rPr>
          <w:sz w:val="18"/>
        </w:rPr>
      </w:pPr>
    </w:p>
    <w:p w:rsidR="00EA5583" w:rsidRDefault="00EA5583" w:rsidP="00EA5583">
      <w:pPr>
        <w:keepLines/>
        <w:tabs>
          <w:tab w:val="left" w:pos="360"/>
        </w:tabs>
        <w:spacing w:after="80"/>
        <w:ind w:left="360" w:hanging="360"/>
        <w:rPr>
          <w:sz w:val="18"/>
        </w:rPr>
      </w:pPr>
      <w:r>
        <w:rPr>
          <w:sz w:val="18"/>
        </w:rPr>
        <w:t>3.</w:t>
      </w:r>
      <w:r>
        <w:rPr>
          <w:sz w:val="18"/>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EA5583" w:rsidRDefault="00EA5583" w:rsidP="00EA5583">
      <w:pPr>
        <w:tabs>
          <w:tab w:val="left" w:pos="360"/>
        </w:tabs>
        <w:ind w:left="360" w:hanging="360"/>
        <w:rPr>
          <w:sz w:val="18"/>
        </w:rPr>
      </w:pPr>
      <w:r>
        <w:rPr>
          <w:sz w:val="18"/>
        </w:rPr>
        <w:tab/>
        <w:t>The document collected generally accompanies a subpoena or demand issued by a court.  Court subpoenas and other requests are not made available by courts in an electronic format.  HUD is not aware of any new technology that is being employed.</w:t>
      </w:r>
    </w:p>
    <w:p w:rsidR="00EA5583" w:rsidRDefault="00EA5583" w:rsidP="00EA5583">
      <w:pPr>
        <w:tabs>
          <w:tab w:val="left" w:pos="360"/>
        </w:tabs>
        <w:ind w:left="360" w:hanging="360"/>
        <w:rPr>
          <w:sz w:val="18"/>
        </w:rPr>
      </w:pPr>
    </w:p>
    <w:p w:rsidR="00EA5583" w:rsidRDefault="00EA5583" w:rsidP="00EA5583">
      <w:pPr>
        <w:tabs>
          <w:tab w:val="left" w:pos="360"/>
        </w:tabs>
        <w:ind w:left="360" w:hanging="360"/>
        <w:rPr>
          <w:sz w:val="18"/>
        </w:rPr>
      </w:pPr>
    </w:p>
    <w:p w:rsidR="00EA5583" w:rsidRDefault="00EA5583" w:rsidP="00EA5583">
      <w:pPr>
        <w:keepLines/>
        <w:tabs>
          <w:tab w:val="left" w:pos="360"/>
        </w:tabs>
        <w:spacing w:after="80"/>
        <w:ind w:left="360" w:hanging="360"/>
        <w:rPr>
          <w:sz w:val="18"/>
        </w:rPr>
      </w:pPr>
      <w:r>
        <w:rPr>
          <w:sz w:val="18"/>
        </w:rPr>
        <w:t>4.</w:t>
      </w:r>
      <w:r>
        <w:rPr>
          <w:sz w:val="18"/>
        </w:rPr>
        <w:tab/>
        <w:t>Describe efforts to identify duplication.  Show specifically why any similar information already available cannot be used or modified for use for the purposes described in Item 2 above.</w:t>
      </w:r>
    </w:p>
    <w:p w:rsidR="00EA5583" w:rsidRDefault="00EA5583" w:rsidP="00EA5583">
      <w:pPr>
        <w:keepLines/>
        <w:tabs>
          <w:tab w:val="left" w:pos="360"/>
          <w:tab w:val="left" w:pos="720"/>
        </w:tabs>
        <w:ind w:left="360"/>
        <w:rPr>
          <w:sz w:val="18"/>
        </w:rPr>
      </w:pPr>
      <w:r>
        <w:rPr>
          <w:sz w:val="18"/>
        </w:rPr>
        <w:t>Since this document is only collected when a private litigant is requesting documents or testimony from the Department, we can find no evidence of duplication.</w:t>
      </w:r>
    </w:p>
    <w:p w:rsidR="00EA5583" w:rsidRDefault="00EA5583" w:rsidP="00EA5583">
      <w:pPr>
        <w:keepLines/>
        <w:tabs>
          <w:tab w:val="left" w:pos="360"/>
          <w:tab w:val="left" w:pos="720"/>
        </w:tabs>
        <w:rPr>
          <w:sz w:val="18"/>
        </w:rPr>
      </w:pPr>
    </w:p>
    <w:p w:rsidR="00EA5583" w:rsidRDefault="00EA5583" w:rsidP="00EA5583">
      <w:pPr>
        <w:tabs>
          <w:tab w:val="left" w:pos="360"/>
        </w:tabs>
        <w:ind w:left="360" w:hanging="360"/>
        <w:rPr>
          <w:sz w:val="18"/>
        </w:rPr>
      </w:pPr>
    </w:p>
    <w:p w:rsidR="00EA5583" w:rsidRDefault="00EA5583" w:rsidP="00EA5583">
      <w:pPr>
        <w:keepLines/>
        <w:tabs>
          <w:tab w:val="left" w:pos="360"/>
        </w:tabs>
        <w:spacing w:after="80"/>
        <w:ind w:left="360" w:hanging="360"/>
        <w:rPr>
          <w:sz w:val="18"/>
        </w:rPr>
      </w:pPr>
      <w:r>
        <w:rPr>
          <w:sz w:val="18"/>
        </w:rPr>
        <w:t>5.</w:t>
      </w:r>
      <w:r>
        <w:rPr>
          <w:sz w:val="18"/>
        </w:rPr>
        <w:tab/>
        <w:t>If the collection of information impacts small businesses or other small entities (Item 5 of OMB Form 83-I) describe any methods used to minimize burden.</w:t>
      </w:r>
    </w:p>
    <w:p w:rsidR="00EA5583" w:rsidRDefault="00EA5583" w:rsidP="00EA5583">
      <w:pPr>
        <w:tabs>
          <w:tab w:val="left" w:pos="360"/>
        </w:tabs>
        <w:ind w:left="360" w:hanging="360"/>
        <w:rPr>
          <w:sz w:val="18"/>
        </w:rPr>
      </w:pPr>
      <w:r>
        <w:rPr>
          <w:sz w:val="18"/>
        </w:rPr>
        <w:tab/>
        <w:t>Since the collection of information only occurs when a party seeks documents or testimony from the Department, we are unaware of any measures that could minimize the burden on small businesses or other small entities.</w:t>
      </w:r>
    </w:p>
    <w:p w:rsidR="00EA5583" w:rsidRDefault="00EA5583" w:rsidP="00EA5583">
      <w:pPr>
        <w:tabs>
          <w:tab w:val="left" w:pos="360"/>
        </w:tabs>
        <w:ind w:left="360" w:hanging="360"/>
        <w:rPr>
          <w:sz w:val="18"/>
        </w:rPr>
      </w:pPr>
    </w:p>
    <w:p w:rsidR="00EA5583" w:rsidRDefault="00EA5583" w:rsidP="00EA5583">
      <w:pPr>
        <w:tabs>
          <w:tab w:val="left" w:pos="360"/>
        </w:tabs>
        <w:ind w:left="360" w:hanging="360"/>
        <w:rPr>
          <w:sz w:val="18"/>
        </w:rPr>
      </w:pPr>
    </w:p>
    <w:p w:rsidR="00EA5583" w:rsidRDefault="00EA5583" w:rsidP="00EA5583">
      <w:pPr>
        <w:keepLines/>
        <w:tabs>
          <w:tab w:val="left" w:pos="360"/>
        </w:tabs>
        <w:spacing w:after="80"/>
        <w:ind w:left="360" w:hanging="360"/>
        <w:rPr>
          <w:sz w:val="18"/>
        </w:rPr>
      </w:pPr>
      <w:r>
        <w:rPr>
          <w:sz w:val="18"/>
        </w:rPr>
        <w:t>6.</w:t>
      </w:r>
      <w:r>
        <w:rPr>
          <w:sz w:val="18"/>
        </w:rPr>
        <w:tab/>
        <w:t>Describe the consequence to Federal program or policy activities if the collection is not conducted or is conducted less frequently, as well as any technical or legal obstacles to reducing burden.</w:t>
      </w:r>
    </w:p>
    <w:p w:rsidR="00EA5583" w:rsidRDefault="00EA5583" w:rsidP="00EA5583">
      <w:pPr>
        <w:keepLines/>
        <w:tabs>
          <w:tab w:val="left" w:pos="360"/>
        </w:tabs>
        <w:spacing w:after="80"/>
        <w:ind w:left="360" w:hanging="360"/>
        <w:rPr>
          <w:sz w:val="18"/>
        </w:rPr>
      </w:pPr>
      <w:r>
        <w:rPr>
          <w:sz w:val="18"/>
        </w:rPr>
        <w:tab/>
        <w:t>The information is necessary to allow the Department to make informed decisions with respect to the provision of documents or testimony of Departmental employees.  It would be detrimental to program and policy activities if the Department did not collect this information, because HUD would be unable to evaluate the appropriateness of providing testimony or producing material.</w:t>
      </w:r>
    </w:p>
    <w:p w:rsidR="00EA5583" w:rsidRDefault="00EA5583">
      <w:pPr>
        <w:overflowPunct/>
        <w:autoSpaceDE/>
        <w:autoSpaceDN/>
        <w:adjustRightInd/>
        <w:spacing w:after="200" w:line="276" w:lineRule="auto"/>
        <w:textAlignment w:val="auto"/>
        <w:rPr>
          <w:sz w:val="18"/>
        </w:rPr>
      </w:pPr>
      <w:r>
        <w:rPr>
          <w:sz w:val="18"/>
        </w:rPr>
        <w:br w:type="page"/>
      </w:r>
    </w:p>
    <w:p w:rsidR="00EA5583" w:rsidRDefault="00EA5583" w:rsidP="00EA5583">
      <w:pPr>
        <w:tabs>
          <w:tab w:val="left" w:pos="360"/>
        </w:tabs>
        <w:ind w:left="360" w:hanging="360"/>
        <w:rPr>
          <w:sz w:val="18"/>
        </w:rPr>
      </w:pPr>
    </w:p>
    <w:p w:rsidR="00EA5583" w:rsidRDefault="00EA5583" w:rsidP="00EA5583">
      <w:pPr>
        <w:tabs>
          <w:tab w:val="left" w:pos="360"/>
        </w:tabs>
        <w:ind w:left="360" w:hanging="360"/>
        <w:rPr>
          <w:sz w:val="18"/>
        </w:rPr>
      </w:pPr>
    </w:p>
    <w:p w:rsidR="00EA5583" w:rsidRDefault="00EA5583" w:rsidP="00EA5583">
      <w:pPr>
        <w:tabs>
          <w:tab w:val="left" w:pos="360"/>
        </w:tabs>
        <w:ind w:left="360" w:hanging="360"/>
        <w:rPr>
          <w:sz w:val="18"/>
        </w:rPr>
      </w:pPr>
    </w:p>
    <w:p w:rsidR="00EA5583" w:rsidRDefault="00EA5583" w:rsidP="00EA5583">
      <w:pPr>
        <w:tabs>
          <w:tab w:val="left" w:pos="360"/>
        </w:tabs>
        <w:ind w:left="360" w:hanging="360"/>
        <w:rPr>
          <w:sz w:val="18"/>
        </w:rPr>
      </w:pPr>
    </w:p>
    <w:p w:rsidR="00EA5583" w:rsidRDefault="00EA5583" w:rsidP="00EA5583">
      <w:pPr>
        <w:tabs>
          <w:tab w:val="left" w:pos="360"/>
        </w:tabs>
        <w:ind w:left="360" w:hanging="360"/>
        <w:rPr>
          <w:sz w:val="18"/>
        </w:rPr>
      </w:pPr>
    </w:p>
    <w:p w:rsidR="00EA5583" w:rsidRDefault="00EA5583" w:rsidP="00EA5583">
      <w:pPr>
        <w:tabs>
          <w:tab w:val="left" w:pos="360"/>
        </w:tabs>
        <w:ind w:left="360" w:hanging="360"/>
        <w:rPr>
          <w:sz w:val="18"/>
        </w:rPr>
      </w:pPr>
    </w:p>
    <w:p w:rsidR="00EA5583" w:rsidRDefault="00EA5583" w:rsidP="00EA5583">
      <w:pPr>
        <w:tabs>
          <w:tab w:val="left" w:pos="360"/>
        </w:tabs>
        <w:ind w:left="360" w:hanging="360"/>
        <w:rPr>
          <w:sz w:val="18"/>
        </w:rPr>
      </w:pPr>
    </w:p>
    <w:p w:rsidR="00EA5583" w:rsidRDefault="00EA5583" w:rsidP="00EA5583">
      <w:pPr>
        <w:tabs>
          <w:tab w:val="left" w:pos="360"/>
        </w:tabs>
        <w:ind w:left="360" w:hanging="360"/>
        <w:rPr>
          <w:sz w:val="18"/>
        </w:rPr>
      </w:pPr>
    </w:p>
    <w:p w:rsidR="00EA5583" w:rsidRDefault="00EA5583" w:rsidP="00EA5583">
      <w:pPr>
        <w:tabs>
          <w:tab w:val="left" w:pos="360"/>
        </w:tabs>
        <w:ind w:left="360" w:hanging="360"/>
        <w:rPr>
          <w:sz w:val="18"/>
        </w:rPr>
      </w:pPr>
    </w:p>
    <w:p w:rsidR="00EA5583" w:rsidRDefault="00EA5583" w:rsidP="00EA5583">
      <w:pPr>
        <w:tabs>
          <w:tab w:val="left" w:pos="360"/>
        </w:tabs>
        <w:ind w:left="360" w:hanging="360"/>
        <w:rPr>
          <w:sz w:val="18"/>
        </w:rPr>
      </w:pPr>
    </w:p>
    <w:p w:rsidR="00EA5583" w:rsidRDefault="00EA5583" w:rsidP="00EA5583">
      <w:pPr>
        <w:numPr>
          <w:ilvl w:val="0"/>
          <w:numId w:val="1"/>
        </w:numPr>
        <w:tabs>
          <w:tab w:val="left" w:pos="360"/>
        </w:tabs>
        <w:rPr>
          <w:sz w:val="18"/>
        </w:rPr>
      </w:pPr>
      <w:r>
        <w:rPr>
          <w:sz w:val="18"/>
        </w:rPr>
        <w:t xml:space="preserve">Explain any special circumstances that would cause an information collection to be conducted in a manner: </w:t>
      </w:r>
    </w:p>
    <w:p w:rsidR="00EA5583" w:rsidRDefault="00EA5583" w:rsidP="00EA5583">
      <w:pPr>
        <w:numPr>
          <w:ilvl w:val="0"/>
          <w:numId w:val="2"/>
        </w:numPr>
        <w:tabs>
          <w:tab w:val="left" w:pos="600"/>
        </w:tabs>
        <w:rPr>
          <w:sz w:val="18"/>
        </w:rPr>
      </w:pPr>
      <w:r>
        <w:rPr>
          <w:sz w:val="18"/>
        </w:rPr>
        <w:t xml:space="preserve">requiring respondents to report information to the agency more than quarterly; </w:t>
      </w:r>
    </w:p>
    <w:p w:rsidR="00EA5583" w:rsidRDefault="00EA5583" w:rsidP="00EA5583">
      <w:pPr>
        <w:numPr>
          <w:ilvl w:val="0"/>
          <w:numId w:val="2"/>
        </w:numPr>
        <w:tabs>
          <w:tab w:val="left" w:pos="600"/>
        </w:tabs>
        <w:rPr>
          <w:sz w:val="18"/>
        </w:rPr>
      </w:pPr>
      <w:r>
        <w:rPr>
          <w:sz w:val="18"/>
        </w:rPr>
        <w:t xml:space="preserve">requiring respondents to prepare a written response to a collection of information in fewer than 30 days after receipt of it; </w:t>
      </w:r>
    </w:p>
    <w:p w:rsidR="00EA5583" w:rsidRDefault="00EA5583" w:rsidP="00EA5583">
      <w:pPr>
        <w:numPr>
          <w:ilvl w:val="0"/>
          <w:numId w:val="2"/>
        </w:numPr>
        <w:tabs>
          <w:tab w:val="left" w:pos="600"/>
        </w:tabs>
        <w:rPr>
          <w:sz w:val="18"/>
        </w:rPr>
      </w:pPr>
      <w:r>
        <w:rPr>
          <w:sz w:val="18"/>
        </w:rPr>
        <w:t xml:space="preserve">requiring respondents to submit more than an original and two copies of any document; </w:t>
      </w:r>
    </w:p>
    <w:p w:rsidR="00EA5583" w:rsidRDefault="00EA5583" w:rsidP="00EA5583">
      <w:pPr>
        <w:numPr>
          <w:ilvl w:val="0"/>
          <w:numId w:val="2"/>
        </w:numPr>
        <w:tabs>
          <w:tab w:val="left" w:pos="600"/>
        </w:tabs>
        <w:rPr>
          <w:sz w:val="18"/>
        </w:rPr>
      </w:pPr>
      <w:r>
        <w:rPr>
          <w:sz w:val="18"/>
        </w:rPr>
        <w:t xml:space="preserve">requiring respondents to retain records other than health, medical, government contract, grant-in-aid, or tax records for more than three years; </w:t>
      </w:r>
    </w:p>
    <w:p w:rsidR="00EA5583" w:rsidRDefault="00EA5583" w:rsidP="00EA5583">
      <w:pPr>
        <w:numPr>
          <w:ilvl w:val="0"/>
          <w:numId w:val="2"/>
        </w:numPr>
        <w:tabs>
          <w:tab w:val="left" w:pos="600"/>
        </w:tabs>
        <w:rPr>
          <w:sz w:val="18"/>
        </w:rPr>
      </w:pPr>
      <w:r>
        <w:rPr>
          <w:sz w:val="18"/>
        </w:rPr>
        <w:t xml:space="preserve">in connection with a statistical survey, that is not designed to produce valid and reliable results than can be generalized to the universe of study; </w:t>
      </w:r>
    </w:p>
    <w:p w:rsidR="00EA5583" w:rsidRDefault="00EA5583" w:rsidP="00EA5583">
      <w:pPr>
        <w:numPr>
          <w:ilvl w:val="0"/>
          <w:numId w:val="2"/>
        </w:numPr>
        <w:tabs>
          <w:tab w:val="left" w:pos="600"/>
        </w:tabs>
        <w:rPr>
          <w:sz w:val="18"/>
        </w:rPr>
      </w:pPr>
      <w:r>
        <w:rPr>
          <w:sz w:val="18"/>
        </w:rPr>
        <w:t xml:space="preserve">requiring the use of a statistical data classification that has not been reviewed and approved by OMB; </w:t>
      </w:r>
    </w:p>
    <w:p w:rsidR="00EA5583" w:rsidRDefault="00EA5583" w:rsidP="00EA5583">
      <w:pPr>
        <w:numPr>
          <w:ilvl w:val="0"/>
          <w:numId w:val="2"/>
        </w:numPr>
        <w:tabs>
          <w:tab w:val="left" w:pos="600"/>
        </w:tabs>
        <w:rPr>
          <w:sz w:val="18"/>
        </w:rPr>
      </w:pPr>
      <w:r>
        <w:rPr>
          <w:sz w:val="18"/>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EA5583" w:rsidRDefault="00EA5583" w:rsidP="00EA5583">
      <w:pPr>
        <w:keepLines/>
        <w:numPr>
          <w:ilvl w:val="0"/>
          <w:numId w:val="2"/>
        </w:numPr>
        <w:tabs>
          <w:tab w:val="left" w:pos="600"/>
        </w:tabs>
        <w:spacing w:after="80"/>
        <w:rPr>
          <w:sz w:val="18"/>
        </w:rPr>
      </w:pPr>
      <w:r>
        <w:rPr>
          <w:sz w:val="18"/>
        </w:rPr>
        <w:t>requiring respondents to submit proprietary trade secret, or other confidential information unless the agency can demonstrate that it has instituted procedures to protect the information's confidentiality to the extent permitted by law.</w:t>
      </w:r>
    </w:p>
    <w:p w:rsidR="00EA5583" w:rsidRDefault="00EA5583" w:rsidP="00EA5583">
      <w:pPr>
        <w:keepLines/>
        <w:tabs>
          <w:tab w:val="left" w:pos="360"/>
          <w:tab w:val="left" w:pos="720"/>
        </w:tabs>
        <w:ind w:left="504"/>
        <w:rPr>
          <w:sz w:val="18"/>
        </w:rPr>
      </w:pPr>
      <w:r>
        <w:rPr>
          <w:sz w:val="18"/>
        </w:rPr>
        <w:t>No special circumstances exist.</w:t>
      </w:r>
    </w:p>
    <w:p w:rsidR="00EA5583" w:rsidRDefault="00EA5583" w:rsidP="00EA5583">
      <w:pPr>
        <w:tabs>
          <w:tab w:val="left" w:pos="360"/>
        </w:tabs>
        <w:ind w:left="360" w:hanging="360"/>
        <w:rPr>
          <w:sz w:val="18"/>
        </w:rPr>
      </w:pPr>
    </w:p>
    <w:p w:rsidR="00EA5583" w:rsidRDefault="00EA5583" w:rsidP="00EA5583">
      <w:pPr>
        <w:tabs>
          <w:tab w:val="left" w:pos="360"/>
        </w:tabs>
        <w:ind w:left="360" w:hanging="360"/>
        <w:rPr>
          <w:sz w:val="18"/>
        </w:rPr>
      </w:pPr>
    </w:p>
    <w:p w:rsidR="00EA5583" w:rsidRDefault="00EA5583" w:rsidP="00EA5583">
      <w:pPr>
        <w:tabs>
          <w:tab w:val="left" w:pos="360"/>
        </w:tabs>
        <w:ind w:left="360" w:hanging="360"/>
        <w:rPr>
          <w:sz w:val="18"/>
        </w:rPr>
      </w:pPr>
      <w:r>
        <w:rPr>
          <w:sz w:val="18"/>
        </w:rPr>
        <w:t>8.</w:t>
      </w:r>
      <w:r>
        <w:rPr>
          <w:sz w:val="18"/>
        </w:rPr>
        <w:tab/>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EA5583" w:rsidRDefault="00EA5583" w:rsidP="00EA5583">
      <w:pPr>
        <w:numPr>
          <w:ilvl w:val="0"/>
          <w:numId w:val="2"/>
        </w:numPr>
        <w:tabs>
          <w:tab w:val="left" w:pos="360"/>
        </w:tabs>
        <w:ind w:left="480"/>
        <w:rPr>
          <w:sz w:val="18"/>
        </w:rPr>
      </w:pPr>
      <w:r>
        <w:rPr>
          <w:sz w:val="18"/>
        </w:rPr>
        <w:t>Describe efforts to consult with persons outside the agency to obtain their views on the availability of data, frequency of collection, the clarity of instructions and recordkeeping disclosure, or reporting format (if any) and the data elements to be recorded, disclosed, or reported.</w:t>
      </w:r>
    </w:p>
    <w:p w:rsidR="00EA5583" w:rsidRDefault="00EA5583" w:rsidP="00EA5583">
      <w:pPr>
        <w:keepLines/>
        <w:numPr>
          <w:ilvl w:val="0"/>
          <w:numId w:val="2"/>
        </w:numPr>
        <w:tabs>
          <w:tab w:val="left" w:pos="360"/>
        </w:tabs>
        <w:spacing w:after="80"/>
        <w:ind w:left="480"/>
        <w:rPr>
          <w:sz w:val="18"/>
        </w:rPr>
      </w:pPr>
      <w:r>
        <w:rPr>
          <w:sz w:val="18"/>
        </w:rPr>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preclude consultation in a specific situation.  These circumstances should be explained. </w:t>
      </w:r>
    </w:p>
    <w:p w:rsidR="00EA5583" w:rsidRDefault="00EA5583" w:rsidP="00EA5583">
      <w:pPr>
        <w:tabs>
          <w:tab w:val="left" w:pos="360"/>
        </w:tabs>
        <w:ind w:left="360" w:hanging="360"/>
        <w:rPr>
          <w:sz w:val="18"/>
        </w:rPr>
      </w:pPr>
      <w:r>
        <w:rPr>
          <w:sz w:val="18"/>
          <w:szCs w:val="18"/>
        </w:rPr>
        <w:tab/>
      </w:r>
      <w:r w:rsidRPr="00314E07">
        <w:rPr>
          <w:sz w:val="18"/>
          <w:szCs w:val="18"/>
        </w:rPr>
        <w:t xml:space="preserve">The Federal Register was published on </w:t>
      </w:r>
      <w:r w:rsidR="00D84C30">
        <w:rPr>
          <w:sz w:val="18"/>
          <w:szCs w:val="18"/>
        </w:rPr>
        <w:t>March 6</w:t>
      </w:r>
      <w:r w:rsidRPr="00314E07">
        <w:rPr>
          <w:sz w:val="18"/>
          <w:szCs w:val="18"/>
        </w:rPr>
        <w:t>, 201</w:t>
      </w:r>
      <w:r w:rsidR="00D84C30">
        <w:rPr>
          <w:sz w:val="18"/>
          <w:szCs w:val="18"/>
        </w:rPr>
        <w:t>5</w:t>
      </w:r>
      <w:r w:rsidRPr="00314E07">
        <w:rPr>
          <w:sz w:val="18"/>
          <w:szCs w:val="18"/>
        </w:rPr>
        <w:t xml:space="preserve">, on page </w:t>
      </w:r>
      <w:r w:rsidR="00D84C30">
        <w:rPr>
          <w:sz w:val="18"/>
          <w:szCs w:val="18"/>
        </w:rPr>
        <w:t>1192</w:t>
      </w:r>
      <w:r w:rsidRPr="00314E07">
        <w:rPr>
          <w:sz w:val="18"/>
          <w:szCs w:val="18"/>
        </w:rPr>
        <w:t>.  No comments were received. A copy is provided</w:t>
      </w:r>
      <w:r w:rsidRPr="00D5089C">
        <w:rPr>
          <w:b/>
          <w:sz w:val="22"/>
          <w:szCs w:val="22"/>
        </w:rPr>
        <w:t>.</w:t>
      </w:r>
    </w:p>
    <w:p w:rsidR="00EA5583" w:rsidRDefault="00EA5583" w:rsidP="00EA5583">
      <w:pPr>
        <w:tabs>
          <w:tab w:val="left" w:pos="360"/>
        </w:tabs>
        <w:ind w:left="360" w:hanging="360"/>
        <w:rPr>
          <w:sz w:val="18"/>
        </w:rPr>
      </w:pPr>
    </w:p>
    <w:p w:rsidR="00EA5583" w:rsidRDefault="00EA5583" w:rsidP="00EA5583">
      <w:pPr>
        <w:keepLines/>
        <w:tabs>
          <w:tab w:val="left" w:pos="360"/>
        </w:tabs>
        <w:spacing w:after="80"/>
        <w:ind w:left="360" w:hanging="360"/>
        <w:rPr>
          <w:sz w:val="18"/>
        </w:rPr>
      </w:pPr>
      <w:r>
        <w:rPr>
          <w:sz w:val="18"/>
        </w:rPr>
        <w:t>9.</w:t>
      </w:r>
      <w:r>
        <w:rPr>
          <w:sz w:val="18"/>
        </w:rPr>
        <w:tab/>
        <w:t xml:space="preserve">Explain any decision to provide any payment or gift to respondents, other than </w:t>
      </w:r>
      <w:proofErr w:type="spellStart"/>
      <w:r>
        <w:rPr>
          <w:sz w:val="18"/>
        </w:rPr>
        <w:t>reenumeration</w:t>
      </w:r>
      <w:proofErr w:type="spellEnd"/>
      <w:r>
        <w:rPr>
          <w:sz w:val="18"/>
        </w:rPr>
        <w:t xml:space="preserve"> of contractors or grantees.</w:t>
      </w:r>
    </w:p>
    <w:p w:rsidR="00EA5583" w:rsidRDefault="00EA5583" w:rsidP="00EA5583">
      <w:pPr>
        <w:keepLines/>
        <w:tabs>
          <w:tab w:val="left" w:pos="360"/>
          <w:tab w:val="left" w:pos="720"/>
        </w:tabs>
        <w:ind w:left="360"/>
        <w:rPr>
          <w:sz w:val="18"/>
        </w:rPr>
      </w:pPr>
      <w:r>
        <w:rPr>
          <w:sz w:val="18"/>
        </w:rPr>
        <w:t>No payment provided.</w:t>
      </w:r>
    </w:p>
    <w:p w:rsidR="00EA5583" w:rsidRDefault="00EA5583" w:rsidP="00EA5583">
      <w:pPr>
        <w:tabs>
          <w:tab w:val="left" w:pos="360"/>
        </w:tabs>
        <w:ind w:left="360" w:hanging="360"/>
        <w:rPr>
          <w:sz w:val="18"/>
        </w:rPr>
      </w:pPr>
    </w:p>
    <w:p w:rsidR="00EA5583" w:rsidRDefault="00EA5583" w:rsidP="00EA5583">
      <w:pPr>
        <w:tabs>
          <w:tab w:val="left" w:pos="360"/>
        </w:tabs>
        <w:ind w:left="360" w:hanging="360"/>
        <w:rPr>
          <w:sz w:val="18"/>
        </w:rPr>
      </w:pPr>
    </w:p>
    <w:p w:rsidR="00EA5583" w:rsidRDefault="00EA5583" w:rsidP="00EA5583">
      <w:pPr>
        <w:keepLines/>
        <w:tabs>
          <w:tab w:val="left" w:pos="360"/>
        </w:tabs>
        <w:spacing w:after="80"/>
        <w:ind w:left="360" w:hanging="360"/>
        <w:rPr>
          <w:sz w:val="18"/>
        </w:rPr>
      </w:pPr>
      <w:r>
        <w:rPr>
          <w:sz w:val="18"/>
        </w:rPr>
        <w:t>10.</w:t>
      </w:r>
      <w:r>
        <w:rPr>
          <w:sz w:val="18"/>
        </w:rPr>
        <w:tab/>
        <w:t>Describe any assurance of confidentiality provided to respondents and the basis for assurance in statute, regulation or agency policy.</w:t>
      </w:r>
    </w:p>
    <w:p w:rsidR="00EA5583" w:rsidRDefault="00EA5583" w:rsidP="00EA5583">
      <w:pPr>
        <w:keepLines/>
        <w:tabs>
          <w:tab w:val="left" w:pos="360"/>
          <w:tab w:val="left" w:pos="720"/>
        </w:tabs>
        <w:ind w:left="360"/>
        <w:rPr>
          <w:sz w:val="18"/>
        </w:rPr>
      </w:pPr>
      <w:r>
        <w:rPr>
          <w:sz w:val="18"/>
        </w:rPr>
        <w:t>No assurance of confidentiality is given.</w:t>
      </w:r>
    </w:p>
    <w:p w:rsidR="00EA5583" w:rsidRDefault="00EA5583" w:rsidP="00EA5583">
      <w:pPr>
        <w:tabs>
          <w:tab w:val="left" w:pos="360"/>
        </w:tabs>
        <w:ind w:left="360" w:hanging="360"/>
        <w:rPr>
          <w:sz w:val="18"/>
        </w:rPr>
      </w:pPr>
    </w:p>
    <w:p w:rsidR="00EA5583" w:rsidRDefault="00EA5583" w:rsidP="00EA5583">
      <w:pPr>
        <w:keepLines/>
        <w:tabs>
          <w:tab w:val="left" w:pos="360"/>
        </w:tabs>
        <w:spacing w:after="80"/>
        <w:ind w:left="360" w:hanging="360"/>
        <w:rPr>
          <w:sz w:val="18"/>
        </w:rPr>
      </w:pPr>
      <w:r>
        <w:rPr>
          <w:sz w:val="18"/>
        </w:rPr>
        <w:t>11.</w:t>
      </w:r>
      <w:r>
        <w:rPr>
          <w:sz w:val="18"/>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A5583" w:rsidRDefault="00EA5583" w:rsidP="00EA5583">
      <w:pPr>
        <w:keepLines/>
        <w:tabs>
          <w:tab w:val="left" w:pos="360"/>
          <w:tab w:val="left" w:pos="720"/>
        </w:tabs>
        <w:ind w:left="360"/>
        <w:rPr>
          <w:sz w:val="18"/>
        </w:rPr>
      </w:pPr>
      <w:r>
        <w:rPr>
          <w:sz w:val="18"/>
        </w:rPr>
        <w:t>No sensitive questions are involved.</w:t>
      </w:r>
    </w:p>
    <w:p w:rsidR="00EA5583" w:rsidRDefault="00EA5583" w:rsidP="00EA5583">
      <w:pPr>
        <w:tabs>
          <w:tab w:val="left" w:pos="360"/>
        </w:tabs>
        <w:ind w:left="360" w:hanging="360"/>
        <w:rPr>
          <w:sz w:val="18"/>
        </w:rPr>
      </w:pPr>
    </w:p>
    <w:p w:rsidR="00EA5583" w:rsidRDefault="00EA5583" w:rsidP="00EA5583">
      <w:pPr>
        <w:tabs>
          <w:tab w:val="left" w:pos="360"/>
        </w:tabs>
        <w:ind w:left="360" w:hanging="360"/>
        <w:rPr>
          <w:sz w:val="18"/>
        </w:rPr>
      </w:pPr>
      <w:r>
        <w:rPr>
          <w:sz w:val="18"/>
        </w:rPr>
        <w:t>12.</w:t>
      </w:r>
      <w:r>
        <w:rPr>
          <w:sz w:val="18"/>
        </w:rPr>
        <w:tab/>
        <w:t xml:space="preserve">Provide estimates of the hour burden of the collection of information.  The statement should: </w:t>
      </w:r>
    </w:p>
    <w:p w:rsidR="00EA5583" w:rsidRDefault="00EA5583" w:rsidP="00EA5583">
      <w:pPr>
        <w:numPr>
          <w:ilvl w:val="0"/>
          <w:numId w:val="2"/>
        </w:numPr>
        <w:tabs>
          <w:tab w:val="left" w:pos="480"/>
        </w:tabs>
        <w:ind w:left="480"/>
        <w:rPr>
          <w:sz w:val="18"/>
        </w:rPr>
      </w:pPr>
      <w:proofErr w:type="gramStart"/>
      <w:r>
        <w:rPr>
          <w:sz w:val="18"/>
        </w:rPr>
        <w:t>indicate</w:t>
      </w:r>
      <w:proofErr w:type="gramEnd"/>
      <w:r>
        <w:rPr>
          <w:sz w:val="18"/>
        </w:rPr>
        <w:t xml:space="preserv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EA5583" w:rsidRDefault="00EA5583" w:rsidP="00EA5583">
      <w:pPr>
        <w:numPr>
          <w:ilvl w:val="0"/>
          <w:numId w:val="2"/>
        </w:numPr>
        <w:tabs>
          <w:tab w:val="left" w:pos="480"/>
        </w:tabs>
        <w:ind w:left="480"/>
        <w:rPr>
          <w:sz w:val="18"/>
        </w:rPr>
      </w:pPr>
      <w:r>
        <w:rPr>
          <w:sz w:val="18"/>
        </w:rPr>
        <w:t xml:space="preserve">if this request covers more than one form, provide separate hour burden estimates for each form and aggregate the hour burdens in Item 13 of OMB Form 83-I; and </w:t>
      </w:r>
    </w:p>
    <w:p w:rsidR="00EA5583" w:rsidRDefault="00EA5583" w:rsidP="00EA5583">
      <w:pPr>
        <w:keepLines/>
        <w:numPr>
          <w:ilvl w:val="0"/>
          <w:numId w:val="2"/>
        </w:numPr>
        <w:tabs>
          <w:tab w:val="left" w:pos="480"/>
        </w:tabs>
        <w:spacing w:after="80"/>
        <w:ind w:left="480"/>
        <w:rPr>
          <w:sz w:val="18"/>
        </w:rPr>
      </w:pPr>
      <w:proofErr w:type="gramStart"/>
      <w:r>
        <w:rPr>
          <w:sz w:val="18"/>
        </w:rPr>
        <w:t>provide</w:t>
      </w:r>
      <w:proofErr w:type="gramEnd"/>
      <w:r>
        <w:rPr>
          <w:sz w:val="18"/>
        </w:rPr>
        <w:t xml:space="preserv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EA5583" w:rsidRDefault="00EA5583" w:rsidP="00EA5583">
      <w:pPr>
        <w:keepLines/>
        <w:tabs>
          <w:tab w:val="left" w:pos="360"/>
          <w:tab w:val="left" w:pos="720"/>
          <w:tab w:val="center" w:pos="1680"/>
          <w:tab w:val="center" w:pos="3120"/>
          <w:tab w:val="center" w:pos="4560"/>
          <w:tab w:val="center" w:pos="6000"/>
          <w:tab w:val="center" w:pos="7440"/>
          <w:tab w:val="center" w:pos="8880"/>
        </w:tabs>
        <w:ind w:left="360"/>
        <w:rPr>
          <w:sz w:val="18"/>
          <w:szCs w:val="18"/>
        </w:rPr>
      </w:pPr>
      <w:r>
        <w:rPr>
          <w:sz w:val="18"/>
          <w:szCs w:val="18"/>
        </w:rPr>
        <w:t xml:space="preserve">The total number of respondents is estimated at 106 and the average response time is 1.5 hours, for an annualized response time of 159 hours.  It was estimated that the average response time would be 1.5 hours based on the experience of the Office of Litigation attorneys in preparing similar demands.  The estimated annualized cost to the respondent collecting and storing the information is $8,000.  This estimate is based on a calculation of multiplying the total number of hours necessary to complete the collection (159) by the cost of employing </w:t>
      </w:r>
      <w:proofErr w:type="gramStart"/>
      <w:r>
        <w:rPr>
          <w:sz w:val="18"/>
          <w:szCs w:val="18"/>
        </w:rPr>
        <w:t>a paralegal</w:t>
      </w:r>
      <w:proofErr w:type="gramEnd"/>
      <w:r>
        <w:rPr>
          <w:sz w:val="18"/>
          <w:szCs w:val="18"/>
        </w:rPr>
        <w:t xml:space="preserve"> or similar administrative personnel to prepare the demand ($50).</w:t>
      </w:r>
    </w:p>
    <w:p w:rsidR="00EA5583" w:rsidRDefault="00EA5583" w:rsidP="00EA5583">
      <w:pPr>
        <w:keepLines/>
        <w:tabs>
          <w:tab w:val="left" w:pos="360"/>
          <w:tab w:val="left" w:pos="720"/>
          <w:tab w:val="center" w:pos="1680"/>
          <w:tab w:val="center" w:pos="3120"/>
          <w:tab w:val="center" w:pos="4560"/>
          <w:tab w:val="center" w:pos="6000"/>
          <w:tab w:val="center" w:pos="7440"/>
          <w:tab w:val="center" w:pos="8880"/>
        </w:tabs>
        <w:ind w:left="360"/>
        <w:rPr>
          <w:sz w:val="18"/>
          <w:szCs w:val="18"/>
        </w:rPr>
      </w:pPr>
    </w:p>
    <w:p w:rsidR="00EA5583" w:rsidRDefault="00EA5583" w:rsidP="00EA5583">
      <w:pPr>
        <w:keepLines/>
        <w:tabs>
          <w:tab w:val="left" w:pos="360"/>
          <w:tab w:val="left" w:pos="720"/>
          <w:tab w:val="center" w:pos="1680"/>
          <w:tab w:val="center" w:pos="3120"/>
          <w:tab w:val="center" w:pos="4560"/>
          <w:tab w:val="center" w:pos="6000"/>
          <w:tab w:val="center" w:pos="7440"/>
          <w:tab w:val="center" w:pos="8880"/>
        </w:tabs>
        <w:ind w:left="360"/>
        <w:rPr>
          <w:sz w:val="18"/>
          <w:szCs w:val="18"/>
        </w:rPr>
      </w:pPr>
    </w:p>
    <w:p w:rsidR="00EA5583" w:rsidRPr="00450793" w:rsidRDefault="00EA5583" w:rsidP="00EA5583">
      <w:pPr>
        <w:keepLines/>
        <w:tabs>
          <w:tab w:val="left" w:pos="360"/>
          <w:tab w:val="left" w:pos="720"/>
          <w:tab w:val="center" w:pos="1680"/>
          <w:tab w:val="center" w:pos="3120"/>
          <w:tab w:val="center" w:pos="4560"/>
          <w:tab w:val="center" w:pos="6000"/>
          <w:tab w:val="center" w:pos="7440"/>
          <w:tab w:val="center" w:pos="8880"/>
        </w:tabs>
        <w:ind w:left="360"/>
        <w:rPr>
          <w:sz w:val="18"/>
          <w:szCs w:val="18"/>
        </w:rPr>
      </w:pPr>
    </w:p>
    <w:tbl>
      <w:tblPr>
        <w:tblW w:w="9360" w:type="dxa"/>
        <w:tblInd w:w="840" w:type="dxa"/>
        <w:tblLayout w:type="fixed"/>
        <w:tblCellMar>
          <w:left w:w="120" w:type="dxa"/>
          <w:right w:w="120" w:type="dxa"/>
        </w:tblCellMar>
        <w:tblLook w:val="0000" w:firstRow="0" w:lastRow="0" w:firstColumn="0" w:lastColumn="0" w:noHBand="0" w:noVBand="0"/>
      </w:tblPr>
      <w:tblGrid>
        <w:gridCol w:w="1839"/>
        <w:gridCol w:w="1626"/>
        <w:gridCol w:w="1464"/>
        <w:gridCol w:w="1344"/>
        <w:gridCol w:w="1292"/>
        <w:gridCol w:w="1795"/>
      </w:tblGrid>
      <w:tr w:rsidR="00EA5583" w:rsidTr="00BB684D">
        <w:tc>
          <w:tcPr>
            <w:tcW w:w="1839" w:type="dxa"/>
            <w:tcBorders>
              <w:top w:val="double" w:sz="7" w:space="0" w:color="auto"/>
              <w:left w:val="double" w:sz="7" w:space="0" w:color="auto"/>
              <w:bottom w:val="nil"/>
              <w:right w:val="nil"/>
            </w:tcBorders>
          </w:tcPr>
          <w:p w:rsidR="00EA5583" w:rsidRDefault="00EA5583" w:rsidP="00BB684D">
            <w:pPr>
              <w:tabs>
                <w:tab w:val="left" w:pos="-720"/>
                <w:tab w:val="left" w:pos="720"/>
              </w:tabs>
              <w:suppressAutoHyphens/>
            </w:pPr>
            <w:r>
              <w:rPr>
                <w:b/>
                <w:bCs/>
              </w:rPr>
              <w:t>Information</w:t>
            </w:r>
            <w:r>
              <w:t xml:space="preserve"> </w:t>
            </w:r>
            <w:r>
              <w:rPr>
                <w:b/>
                <w:bCs/>
              </w:rPr>
              <w:t>Collection</w:t>
            </w:r>
          </w:p>
        </w:tc>
        <w:tc>
          <w:tcPr>
            <w:tcW w:w="1626" w:type="dxa"/>
            <w:tcBorders>
              <w:top w:val="double" w:sz="7" w:space="0" w:color="auto"/>
              <w:left w:val="single" w:sz="7" w:space="0" w:color="auto"/>
              <w:bottom w:val="nil"/>
              <w:right w:val="nil"/>
            </w:tcBorders>
          </w:tcPr>
          <w:p w:rsidR="00EA5583" w:rsidRDefault="00EA5583" w:rsidP="00BB684D">
            <w:pPr>
              <w:tabs>
                <w:tab w:val="left" w:pos="-720"/>
                <w:tab w:val="left" w:pos="720"/>
              </w:tabs>
              <w:suppressAutoHyphens/>
              <w:rPr>
                <w:b/>
                <w:bCs/>
              </w:rPr>
            </w:pPr>
            <w:r>
              <w:rPr>
                <w:b/>
                <w:bCs/>
              </w:rPr>
              <w:t xml:space="preserve">Number of </w:t>
            </w:r>
          </w:p>
          <w:p w:rsidR="00EA5583" w:rsidRDefault="00EA5583" w:rsidP="00BB684D">
            <w:pPr>
              <w:tabs>
                <w:tab w:val="left" w:pos="-720"/>
                <w:tab w:val="left" w:pos="720"/>
              </w:tabs>
              <w:suppressAutoHyphens/>
              <w:rPr>
                <w:b/>
                <w:bCs/>
              </w:rPr>
            </w:pPr>
            <w:r>
              <w:rPr>
                <w:b/>
                <w:bCs/>
              </w:rPr>
              <w:t>Respondents</w:t>
            </w:r>
          </w:p>
        </w:tc>
        <w:tc>
          <w:tcPr>
            <w:tcW w:w="1464" w:type="dxa"/>
            <w:tcBorders>
              <w:top w:val="double" w:sz="7" w:space="0" w:color="auto"/>
              <w:left w:val="single" w:sz="7" w:space="0" w:color="auto"/>
              <w:bottom w:val="nil"/>
              <w:right w:val="nil"/>
            </w:tcBorders>
          </w:tcPr>
          <w:p w:rsidR="00EA5583" w:rsidRDefault="00EA5583" w:rsidP="00BB684D">
            <w:pPr>
              <w:tabs>
                <w:tab w:val="left" w:pos="-720"/>
                <w:tab w:val="left" w:pos="720"/>
              </w:tabs>
              <w:suppressAutoHyphens/>
              <w:rPr>
                <w:b/>
                <w:bCs/>
              </w:rPr>
            </w:pPr>
            <w:r>
              <w:rPr>
                <w:b/>
                <w:bCs/>
              </w:rPr>
              <w:t>Responses per</w:t>
            </w:r>
          </w:p>
          <w:p w:rsidR="00EA5583" w:rsidRDefault="00EA5583" w:rsidP="00BB684D">
            <w:pPr>
              <w:tabs>
                <w:tab w:val="left" w:pos="-720"/>
                <w:tab w:val="left" w:pos="720"/>
              </w:tabs>
              <w:suppressAutoHyphens/>
              <w:rPr>
                <w:b/>
                <w:bCs/>
              </w:rPr>
            </w:pPr>
            <w:r>
              <w:rPr>
                <w:b/>
                <w:bCs/>
              </w:rPr>
              <w:t>Respondent</w:t>
            </w:r>
          </w:p>
        </w:tc>
        <w:tc>
          <w:tcPr>
            <w:tcW w:w="1344" w:type="dxa"/>
            <w:tcBorders>
              <w:top w:val="double" w:sz="7" w:space="0" w:color="auto"/>
              <w:left w:val="single" w:sz="7" w:space="0" w:color="auto"/>
              <w:bottom w:val="nil"/>
              <w:right w:val="nil"/>
            </w:tcBorders>
          </w:tcPr>
          <w:p w:rsidR="00EA5583" w:rsidRDefault="00EA5583" w:rsidP="00BB684D">
            <w:pPr>
              <w:tabs>
                <w:tab w:val="left" w:pos="-720"/>
                <w:tab w:val="left" w:pos="720"/>
              </w:tabs>
              <w:suppressAutoHyphens/>
              <w:rPr>
                <w:b/>
                <w:bCs/>
              </w:rPr>
            </w:pPr>
            <w:r>
              <w:rPr>
                <w:b/>
                <w:bCs/>
              </w:rPr>
              <w:t>Total Annual Responses</w:t>
            </w:r>
          </w:p>
        </w:tc>
        <w:tc>
          <w:tcPr>
            <w:tcW w:w="1292" w:type="dxa"/>
            <w:tcBorders>
              <w:top w:val="double" w:sz="7" w:space="0" w:color="auto"/>
              <w:left w:val="single" w:sz="7" w:space="0" w:color="auto"/>
              <w:bottom w:val="nil"/>
              <w:right w:val="nil"/>
            </w:tcBorders>
          </w:tcPr>
          <w:p w:rsidR="00EA5583" w:rsidRDefault="00EA5583" w:rsidP="00BB684D">
            <w:pPr>
              <w:tabs>
                <w:tab w:val="left" w:pos="-720"/>
                <w:tab w:val="left" w:pos="720"/>
              </w:tabs>
              <w:suppressAutoHyphens/>
              <w:rPr>
                <w:b/>
                <w:bCs/>
              </w:rPr>
            </w:pPr>
            <w:r>
              <w:rPr>
                <w:b/>
                <w:bCs/>
              </w:rPr>
              <w:t>Hours per Response</w:t>
            </w:r>
          </w:p>
        </w:tc>
        <w:tc>
          <w:tcPr>
            <w:tcW w:w="1795" w:type="dxa"/>
            <w:tcBorders>
              <w:top w:val="double" w:sz="7" w:space="0" w:color="auto"/>
              <w:left w:val="single" w:sz="7" w:space="0" w:color="auto"/>
              <w:bottom w:val="nil"/>
              <w:right w:val="double" w:sz="7" w:space="0" w:color="auto"/>
            </w:tcBorders>
          </w:tcPr>
          <w:p w:rsidR="00EA5583" w:rsidRDefault="00EA5583" w:rsidP="00BB684D">
            <w:pPr>
              <w:tabs>
                <w:tab w:val="left" w:pos="-720"/>
                <w:tab w:val="left" w:pos="720"/>
              </w:tabs>
              <w:suppressAutoHyphens/>
            </w:pPr>
            <w:r>
              <w:rPr>
                <w:b/>
                <w:bCs/>
              </w:rPr>
              <w:t>Total Hours</w:t>
            </w:r>
          </w:p>
        </w:tc>
      </w:tr>
      <w:tr w:rsidR="00EA5583" w:rsidTr="00BB684D">
        <w:tc>
          <w:tcPr>
            <w:tcW w:w="1839" w:type="dxa"/>
            <w:tcBorders>
              <w:top w:val="double" w:sz="7" w:space="0" w:color="auto"/>
              <w:left w:val="double" w:sz="7" w:space="0" w:color="auto"/>
              <w:bottom w:val="double" w:sz="7" w:space="0" w:color="auto"/>
              <w:right w:val="nil"/>
            </w:tcBorders>
          </w:tcPr>
          <w:p w:rsidR="00EA5583" w:rsidRDefault="00EA5583" w:rsidP="00BB684D">
            <w:pPr>
              <w:pStyle w:val="Header"/>
              <w:tabs>
                <w:tab w:val="clear" w:pos="4320"/>
                <w:tab w:val="clear" w:pos="8640"/>
                <w:tab w:val="left" w:pos="-720"/>
                <w:tab w:val="left" w:pos="720"/>
              </w:tabs>
              <w:suppressAutoHyphens/>
              <w:spacing w:before="90" w:after="54"/>
            </w:pPr>
            <w:r>
              <w:t>§ 15.203</w:t>
            </w:r>
          </w:p>
        </w:tc>
        <w:tc>
          <w:tcPr>
            <w:tcW w:w="1626" w:type="dxa"/>
            <w:tcBorders>
              <w:top w:val="double" w:sz="7" w:space="0" w:color="auto"/>
              <w:left w:val="single" w:sz="7" w:space="0" w:color="auto"/>
              <w:bottom w:val="double" w:sz="7" w:space="0" w:color="auto"/>
              <w:right w:val="nil"/>
            </w:tcBorders>
          </w:tcPr>
          <w:p w:rsidR="00EA5583" w:rsidRDefault="00EA5583" w:rsidP="00BB684D">
            <w:pPr>
              <w:tabs>
                <w:tab w:val="left" w:pos="720"/>
                <w:tab w:val="right" w:pos="1386"/>
              </w:tabs>
              <w:suppressAutoHyphens/>
              <w:spacing w:before="90" w:after="54"/>
              <w:jc w:val="center"/>
            </w:pPr>
            <w:r>
              <w:t>106</w:t>
            </w:r>
          </w:p>
        </w:tc>
        <w:tc>
          <w:tcPr>
            <w:tcW w:w="1464" w:type="dxa"/>
            <w:tcBorders>
              <w:top w:val="double" w:sz="7" w:space="0" w:color="auto"/>
              <w:left w:val="single" w:sz="7" w:space="0" w:color="auto"/>
              <w:bottom w:val="double" w:sz="7" w:space="0" w:color="auto"/>
              <w:right w:val="nil"/>
            </w:tcBorders>
          </w:tcPr>
          <w:p w:rsidR="00EA5583" w:rsidRDefault="00EA5583" w:rsidP="00BB684D">
            <w:pPr>
              <w:tabs>
                <w:tab w:val="left" w:pos="720"/>
                <w:tab w:val="right" w:pos="1224"/>
              </w:tabs>
              <w:suppressAutoHyphens/>
              <w:spacing w:before="90" w:after="54"/>
              <w:jc w:val="center"/>
            </w:pPr>
            <w:r>
              <w:t>1</w:t>
            </w:r>
          </w:p>
        </w:tc>
        <w:tc>
          <w:tcPr>
            <w:tcW w:w="1344" w:type="dxa"/>
            <w:tcBorders>
              <w:top w:val="double" w:sz="7" w:space="0" w:color="auto"/>
              <w:left w:val="single" w:sz="7" w:space="0" w:color="auto"/>
              <w:bottom w:val="double" w:sz="7" w:space="0" w:color="auto"/>
              <w:right w:val="nil"/>
            </w:tcBorders>
          </w:tcPr>
          <w:p w:rsidR="00EA5583" w:rsidRDefault="00EA5583" w:rsidP="00BB684D">
            <w:pPr>
              <w:tabs>
                <w:tab w:val="left" w:pos="720"/>
                <w:tab w:val="right" w:pos="1104"/>
              </w:tabs>
              <w:suppressAutoHyphens/>
              <w:spacing w:before="90" w:after="54"/>
              <w:jc w:val="center"/>
            </w:pPr>
            <w:r>
              <w:t>106</w:t>
            </w:r>
          </w:p>
        </w:tc>
        <w:tc>
          <w:tcPr>
            <w:tcW w:w="1292" w:type="dxa"/>
            <w:tcBorders>
              <w:top w:val="double" w:sz="7" w:space="0" w:color="auto"/>
              <w:left w:val="single" w:sz="7" w:space="0" w:color="auto"/>
              <w:bottom w:val="double" w:sz="7" w:space="0" w:color="auto"/>
              <w:right w:val="nil"/>
            </w:tcBorders>
          </w:tcPr>
          <w:p w:rsidR="00EA5583" w:rsidRDefault="00EA5583" w:rsidP="00BB684D">
            <w:pPr>
              <w:tabs>
                <w:tab w:val="left" w:pos="720"/>
                <w:tab w:val="right" w:pos="1051"/>
              </w:tabs>
              <w:suppressAutoHyphens/>
              <w:spacing w:before="90" w:after="54"/>
              <w:jc w:val="center"/>
            </w:pPr>
            <w:r>
              <w:t>1.5</w:t>
            </w:r>
          </w:p>
        </w:tc>
        <w:tc>
          <w:tcPr>
            <w:tcW w:w="1795" w:type="dxa"/>
            <w:tcBorders>
              <w:top w:val="double" w:sz="7" w:space="0" w:color="auto"/>
              <w:left w:val="single" w:sz="7" w:space="0" w:color="auto"/>
              <w:bottom w:val="double" w:sz="7" w:space="0" w:color="auto"/>
              <w:right w:val="double" w:sz="7" w:space="0" w:color="auto"/>
            </w:tcBorders>
          </w:tcPr>
          <w:p w:rsidR="00EA5583" w:rsidRDefault="00EA5583" w:rsidP="00BB684D">
            <w:pPr>
              <w:tabs>
                <w:tab w:val="left" w:pos="-720"/>
                <w:tab w:val="left" w:pos="720"/>
              </w:tabs>
              <w:suppressAutoHyphens/>
              <w:spacing w:before="90" w:after="54"/>
              <w:jc w:val="center"/>
            </w:pPr>
            <w:r>
              <w:t>159</w:t>
            </w:r>
          </w:p>
        </w:tc>
      </w:tr>
    </w:tbl>
    <w:p w:rsidR="00EA5583" w:rsidRDefault="00EA5583" w:rsidP="00EA5583">
      <w:pPr>
        <w:keepLines/>
        <w:tabs>
          <w:tab w:val="left" w:pos="360"/>
          <w:tab w:val="left" w:pos="720"/>
          <w:tab w:val="center" w:pos="1680"/>
          <w:tab w:val="center" w:pos="3120"/>
          <w:tab w:val="center" w:pos="4560"/>
          <w:tab w:val="center" w:pos="6000"/>
          <w:tab w:val="center" w:pos="7440"/>
          <w:tab w:val="center" w:pos="8880"/>
        </w:tabs>
        <w:ind w:left="360"/>
        <w:rPr>
          <w:sz w:val="18"/>
        </w:rPr>
      </w:pPr>
    </w:p>
    <w:p w:rsidR="00EA5583" w:rsidRDefault="00EA5583" w:rsidP="00EA5583">
      <w:pPr>
        <w:tabs>
          <w:tab w:val="left" w:pos="360"/>
        </w:tabs>
        <w:ind w:left="360" w:hanging="360"/>
        <w:rPr>
          <w:sz w:val="18"/>
        </w:rPr>
      </w:pPr>
    </w:p>
    <w:p w:rsidR="00EA5583" w:rsidRDefault="00EA5583" w:rsidP="00EA5583">
      <w:pPr>
        <w:tabs>
          <w:tab w:val="left" w:pos="360"/>
        </w:tabs>
        <w:ind w:left="360" w:hanging="360"/>
        <w:rPr>
          <w:sz w:val="18"/>
        </w:rPr>
      </w:pPr>
    </w:p>
    <w:p w:rsidR="00EA5583" w:rsidRDefault="00EA5583" w:rsidP="00EA5583">
      <w:pPr>
        <w:tabs>
          <w:tab w:val="left" w:pos="360"/>
        </w:tabs>
        <w:ind w:left="360" w:hanging="360"/>
        <w:rPr>
          <w:sz w:val="18"/>
        </w:rPr>
      </w:pPr>
      <w:r>
        <w:rPr>
          <w:sz w:val="18"/>
        </w:rPr>
        <w:t>13.</w:t>
      </w:r>
      <w:r>
        <w:rPr>
          <w:sz w:val="18"/>
        </w:rPr>
        <w:tab/>
        <w:t xml:space="preserve">Provide an estimate of the total annual cost burden to respondents or </w:t>
      </w:r>
      <w:proofErr w:type="spellStart"/>
      <w:r>
        <w:rPr>
          <w:sz w:val="18"/>
        </w:rPr>
        <w:t>recordkeepers</w:t>
      </w:r>
      <w:proofErr w:type="spellEnd"/>
      <w:r>
        <w:rPr>
          <w:sz w:val="18"/>
        </w:rPr>
        <w:t xml:space="preserve"> resulting from the collection of information (do not include the cost of any hour burden shown in Items 12 and 14). </w:t>
      </w:r>
    </w:p>
    <w:p w:rsidR="00EA5583" w:rsidRDefault="00EA5583" w:rsidP="00EA5583">
      <w:pPr>
        <w:numPr>
          <w:ilvl w:val="0"/>
          <w:numId w:val="2"/>
        </w:numPr>
        <w:tabs>
          <w:tab w:val="left" w:pos="360"/>
        </w:tabs>
        <w:ind w:left="480"/>
        <w:rPr>
          <w:sz w:val="18"/>
        </w:rPr>
      </w:pPr>
      <w:r>
        <w:rPr>
          <w:sz w:val="18"/>
        </w:rPr>
        <w:t xml:space="preserve">The cost estimate should be split into two components: (a) a total capital and start-up cost component (annualized over its expected useful life); and (b) a total operation and maintenance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00EA5583" w:rsidRDefault="00EA5583" w:rsidP="00EA5583">
      <w:pPr>
        <w:numPr>
          <w:ilvl w:val="0"/>
          <w:numId w:val="2"/>
        </w:numPr>
        <w:tabs>
          <w:tab w:val="left" w:pos="360"/>
        </w:tabs>
        <w:ind w:left="480"/>
        <w:rPr>
          <w:sz w:val="18"/>
        </w:rPr>
      </w:pPr>
      <w:r>
        <w:rPr>
          <w:sz w:val="18"/>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EA5583" w:rsidRDefault="00EA5583" w:rsidP="00EA5583">
      <w:pPr>
        <w:keepLines/>
        <w:numPr>
          <w:ilvl w:val="0"/>
          <w:numId w:val="2"/>
        </w:numPr>
        <w:tabs>
          <w:tab w:val="left" w:pos="360"/>
        </w:tabs>
        <w:spacing w:after="80"/>
        <w:ind w:left="480"/>
        <w:rPr>
          <w:sz w:val="18"/>
        </w:rPr>
      </w:pPr>
      <w:proofErr w:type="gramStart"/>
      <w:r>
        <w:rPr>
          <w:sz w:val="18"/>
        </w:rPr>
        <w:t>generally</w:t>
      </w:r>
      <w:proofErr w:type="gramEnd"/>
      <w:r>
        <w:rPr>
          <w:sz w:val="18"/>
        </w:rPr>
        <w:t>,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EA5583" w:rsidRPr="00BF0A12" w:rsidRDefault="00EA5583" w:rsidP="00EA5583">
      <w:pPr>
        <w:keepLines/>
        <w:tabs>
          <w:tab w:val="left" w:pos="360"/>
          <w:tab w:val="left" w:pos="720"/>
        </w:tabs>
        <w:ind w:left="360"/>
        <w:rPr>
          <w:sz w:val="18"/>
          <w:szCs w:val="18"/>
        </w:rPr>
      </w:pPr>
      <w:r>
        <w:rPr>
          <w:sz w:val="18"/>
          <w:szCs w:val="18"/>
        </w:rPr>
        <w:t>No additional cost.</w:t>
      </w:r>
    </w:p>
    <w:p w:rsidR="00EA5583" w:rsidRDefault="00EA5583" w:rsidP="00EA5583">
      <w:pPr>
        <w:tabs>
          <w:tab w:val="left" w:pos="360"/>
        </w:tabs>
        <w:ind w:left="360" w:hanging="360"/>
        <w:rPr>
          <w:sz w:val="18"/>
        </w:rPr>
      </w:pPr>
    </w:p>
    <w:p w:rsidR="00EA5583" w:rsidRDefault="00EA5583" w:rsidP="00EA5583">
      <w:pPr>
        <w:tabs>
          <w:tab w:val="left" w:pos="360"/>
        </w:tabs>
        <w:ind w:left="360" w:hanging="360"/>
        <w:rPr>
          <w:sz w:val="18"/>
        </w:rPr>
      </w:pPr>
    </w:p>
    <w:p w:rsidR="00EA5583" w:rsidRDefault="00EA5583" w:rsidP="00EA5583">
      <w:pPr>
        <w:keepLines/>
        <w:tabs>
          <w:tab w:val="left" w:pos="360"/>
        </w:tabs>
        <w:spacing w:after="80"/>
        <w:ind w:left="360" w:hanging="360"/>
        <w:rPr>
          <w:sz w:val="18"/>
        </w:rPr>
      </w:pPr>
      <w:r>
        <w:rPr>
          <w:sz w:val="18"/>
        </w:rPr>
        <w:t>14.</w:t>
      </w:r>
      <w:r>
        <w:rPr>
          <w:sz w:val="18"/>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EA5583" w:rsidRDefault="00EA5583" w:rsidP="00EA5583">
      <w:pPr>
        <w:keepLines/>
        <w:tabs>
          <w:tab w:val="left" w:pos="360"/>
          <w:tab w:val="left" w:pos="720"/>
        </w:tabs>
        <w:ind w:left="360"/>
        <w:rPr>
          <w:sz w:val="18"/>
        </w:rPr>
      </w:pPr>
      <w:r>
        <w:rPr>
          <w:sz w:val="18"/>
        </w:rPr>
        <w:t xml:space="preserve">The estimated annualized cost to the Federal government of collecting and storing the information is $8,000.  This estimate is based on a calculation of multiplying the total number of hours necessary to complete the collection (159) by the cost the cost of employing </w:t>
      </w:r>
      <w:proofErr w:type="gramStart"/>
      <w:r>
        <w:rPr>
          <w:sz w:val="18"/>
        </w:rPr>
        <w:t>a paralegal</w:t>
      </w:r>
      <w:proofErr w:type="gramEnd"/>
      <w:r>
        <w:rPr>
          <w:sz w:val="18"/>
        </w:rPr>
        <w:t xml:space="preserve"> or similar administrative personnel to prepare the demand ($50).</w:t>
      </w:r>
    </w:p>
    <w:p w:rsidR="00EA5583" w:rsidRDefault="00EA5583" w:rsidP="00EA5583">
      <w:pPr>
        <w:tabs>
          <w:tab w:val="left" w:pos="360"/>
        </w:tabs>
        <w:ind w:left="360" w:hanging="360"/>
        <w:rPr>
          <w:sz w:val="18"/>
        </w:rPr>
      </w:pPr>
    </w:p>
    <w:p w:rsidR="00EA5583" w:rsidRDefault="00EA5583" w:rsidP="00EA5583">
      <w:pPr>
        <w:tabs>
          <w:tab w:val="left" w:pos="360"/>
        </w:tabs>
        <w:ind w:left="360" w:hanging="360"/>
        <w:rPr>
          <w:sz w:val="18"/>
        </w:rPr>
      </w:pPr>
    </w:p>
    <w:p w:rsidR="00EA5583" w:rsidRDefault="00EA5583" w:rsidP="00EA5583">
      <w:pPr>
        <w:keepLines/>
        <w:tabs>
          <w:tab w:val="left" w:pos="360"/>
        </w:tabs>
        <w:spacing w:after="80"/>
        <w:ind w:left="360" w:hanging="360"/>
        <w:rPr>
          <w:sz w:val="18"/>
        </w:rPr>
      </w:pPr>
      <w:r>
        <w:rPr>
          <w:sz w:val="18"/>
        </w:rPr>
        <w:t>15.</w:t>
      </w:r>
      <w:r>
        <w:rPr>
          <w:sz w:val="18"/>
        </w:rPr>
        <w:tab/>
        <w:t>Explain the reasons for any program changes or adjustments reported in Items 13 and 14 of the OMB Form 83-I.</w:t>
      </w:r>
    </w:p>
    <w:p w:rsidR="00660247" w:rsidRDefault="00660247" w:rsidP="00660247">
      <w:pPr>
        <w:keepLines/>
        <w:tabs>
          <w:tab w:val="left" w:pos="360"/>
          <w:tab w:val="left" w:pos="720"/>
        </w:tabs>
        <w:ind w:left="360"/>
        <w:rPr>
          <w:sz w:val="18"/>
        </w:rPr>
      </w:pPr>
    </w:p>
    <w:p w:rsidR="00EA5583" w:rsidRDefault="00EA5583" w:rsidP="00660247">
      <w:pPr>
        <w:keepLines/>
        <w:tabs>
          <w:tab w:val="left" w:pos="360"/>
          <w:tab w:val="left" w:pos="720"/>
        </w:tabs>
        <w:ind w:left="360"/>
        <w:rPr>
          <w:sz w:val="18"/>
        </w:rPr>
      </w:pPr>
      <w:r>
        <w:rPr>
          <w:sz w:val="18"/>
        </w:rPr>
        <w:t xml:space="preserve">The </w:t>
      </w:r>
      <w:r w:rsidR="00660247">
        <w:rPr>
          <w:sz w:val="18"/>
        </w:rPr>
        <w:t xml:space="preserve">collection is an extension without change of a currently approved collection.  Was transferred from 2501-0022 </w:t>
      </w:r>
      <w:r w:rsidR="00660247" w:rsidRPr="00660247">
        <w:rPr>
          <w:sz w:val="18"/>
        </w:rPr>
        <w:t>to 2510-0014</w:t>
      </w:r>
      <w:r w:rsidR="00660247">
        <w:rPr>
          <w:sz w:val="18"/>
        </w:rPr>
        <w:t>.</w:t>
      </w:r>
    </w:p>
    <w:p w:rsidR="00660247" w:rsidRDefault="00660247" w:rsidP="00660247">
      <w:pPr>
        <w:keepLines/>
        <w:tabs>
          <w:tab w:val="left" w:pos="360"/>
          <w:tab w:val="left" w:pos="720"/>
        </w:tabs>
        <w:ind w:left="360"/>
        <w:rPr>
          <w:sz w:val="18"/>
        </w:rPr>
      </w:pPr>
    </w:p>
    <w:p w:rsidR="00EA5583" w:rsidRDefault="00EA5583" w:rsidP="00EA5583">
      <w:pPr>
        <w:keepLines/>
        <w:tabs>
          <w:tab w:val="left" w:pos="360"/>
        </w:tabs>
        <w:spacing w:after="80"/>
        <w:ind w:left="360" w:hanging="360"/>
        <w:rPr>
          <w:sz w:val="18"/>
        </w:rPr>
      </w:pPr>
      <w:r>
        <w:rPr>
          <w:sz w:val="18"/>
        </w:rPr>
        <w:t>16.</w:t>
      </w:r>
      <w:r>
        <w:rPr>
          <w:sz w:val="18"/>
        </w:rPr>
        <w:tab/>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EA5583" w:rsidRDefault="00EA5583" w:rsidP="00EA5583">
      <w:pPr>
        <w:keepLines/>
        <w:tabs>
          <w:tab w:val="left" w:pos="360"/>
          <w:tab w:val="left" w:pos="720"/>
        </w:tabs>
        <w:rPr>
          <w:sz w:val="18"/>
        </w:rPr>
      </w:pPr>
      <w:r>
        <w:rPr>
          <w:sz w:val="18"/>
        </w:rPr>
        <w:tab/>
        <w:t>No information will be published.</w:t>
      </w:r>
    </w:p>
    <w:p w:rsidR="00EA5583" w:rsidRDefault="00EA5583" w:rsidP="00EA5583">
      <w:pPr>
        <w:tabs>
          <w:tab w:val="left" w:pos="360"/>
        </w:tabs>
        <w:ind w:left="360" w:hanging="360"/>
        <w:rPr>
          <w:sz w:val="18"/>
        </w:rPr>
      </w:pPr>
    </w:p>
    <w:p w:rsidR="00EA5583" w:rsidRDefault="00EA5583" w:rsidP="00EA5583">
      <w:pPr>
        <w:keepLines/>
        <w:tabs>
          <w:tab w:val="left" w:pos="360"/>
        </w:tabs>
        <w:spacing w:after="80"/>
        <w:ind w:left="360" w:hanging="360"/>
        <w:rPr>
          <w:sz w:val="18"/>
        </w:rPr>
      </w:pPr>
      <w:r>
        <w:rPr>
          <w:sz w:val="18"/>
        </w:rPr>
        <w:t>17.</w:t>
      </w:r>
      <w:r>
        <w:rPr>
          <w:sz w:val="18"/>
        </w:rPr>
        <w:tab/>
        <w:t>If seeking approval to not display the expiration date for OMB approval of the information collection, explain the reasons that display would be inappropriate.</w:t>
      </w:r>
    </w:p>
    <w:p w:rsidR="00EA5583" w:rsidRDefault="00EA5583" w:rsidP="00EA5583">
      <w:pPr>
        <w:keepLines/>
        <w:tabs>
          <w:tab w:val="left" w:pos="360"/>
          <w:tab w:val="left" w:pos="720"/>
        </w:tabs>
        <w:rPr>
          <w:sz w:val="18"/>
        </w:rPr>
      </w:pPr>
      <w:r>
        <w:rPr>
          <w:sz w:val="18"/>
        </w:rPr>
        <w:tab/>
        <w:t>Not seeking approval to not display the expiration date for OMB approval.</w:t>
      </w:r>
    </w:p>
    <w:p w:rsidR="00EA5583" w:rsidRDefault="00EA5583" w:rsidP="00EA5583">
      <w:pPr>
        <w:tabs>
          <w:tab w:val="left" w:pos="360"/>
        </w:tabs>
        <w:ind w:left="360" w:hanging="360"/>
        <w:rPr>
          <w:sz w:val="18"/>
        </w:rPr>
      </w:pPr>
    </w:p>
    <w:p w:rsidR="00EA5583" w:rsidRDefault="00EA5583" w:rsidP="00EA5583">
      <w:pPr>
        <w:tabs>
          <w:tab w:val="left" w:pos="360"/>
        </w:tabs>
        <w:ind w:left="360" w:hanging="360"/>
        <w:rPr>
          <w:sz w:val="18"/>
        </w:rPr>
      </w:pPr>
    </w:p>
    <w:p w:rsidR="00EA5583" w:rsidRDefault="00EA5583" w:rsidP="00EA5583">
      <w:pPr>
        <w:keepLines/>
        <w:tabs>
          <w:tab w:val="left" w:pos="360"/>
        </w:tabs>
        <w:spacing w:after="80"/>
        <w:ind w:left="360" w:hanging="360"/>
        <w:rPr>
          <w:rFonts w:ascii="Courier" w:hAnsi="Courier"/>
        </w:rPr>
      </w:pPr>
      <w:r>
        <w:rPr>
          <w:sz w:val="18"/>
        </w:rPr>
        <w:t>18.</w:t>
      </w:r>
      <w:r>
        <w:rPr>
          <w:sz w:val="18"/>
        </w:rPr>
        <w:tab/>
        <w:t>Explain each exception to the certification statement identified in item 19.</w:t>
      </w:r>
    </w:p>
    <w:p w:rsidR="00EA5583" w:rsidRDefault="00EA5583" w:rsidP="00EA5583">
      <w:pPr>
        <w:keepLines/>
        <w:tabs>
          <w:tab w:val="left" w:pos="360"/>
          <w:tab w:val="left" w:pos="720"/>
        </w:tabs>
        <w:ind w:left="360"/>
      </w:pPr>
      <w:r>
        <w:t>No exceptions sought.</w:t>
      </w:r>
    </w:p>
    <w:p w:rsidR="00EA5583" w:rsidRDefault="00EA5583" w:rsidP="00EA5583">
      <w:pPr>
        <w:tabs>
          <w:tab w:val="left" w:pos="360"/>
          <w:tab w:val="left" w:pos="720"/>
        </w:tabs>
      </w:pPr>
    </w:p>
    <w:p w:rsidR="00EA5583" w:rsidRDefault="00EA5583" w:rsidP="00EA5583">
      <w:pPr>
        <w:keepLines/>
        <w:pBdr>
          <w:top w:val="single" w:sz="6" w:space="1" w:color="auto"/>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18"/>
        </w:rPr>
      </w:pPr>
      <w:r>
        <w:rPr>
          <w:rFonts w:ascii="Helvetica" w:hAnsi="Helvetica"/>
          <w:b/>
          <w:sz w:val="18"/>
        </w:rPr>
        <w:t xml:space="preserve">B. </w:t>
      </w:r>
      <w:r>
        <w:rPr>
          <w:rFonts w:ascii="Helvetica" w:hAnsi="Helvetica"/>
          <w:b/>
          <w:sz w:val="18"/>
        </w:rPr>
        <w:tab/>
        <w:t>Collections of Information Employing Statistical Methods</w:t>
      </w:r>
    </w:p>
    <w:p w:rsidR="00EA5583" w:rsidRDefault="00EA5583" w:rsidP="00EA5583">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rPr>
          <w:rFonts w:ascii="Courier" w:hAnsi="Courier"/>
          <w:sz w:val="18"/>
        </w:rPr>
      </w:pPr>
    </w:p>
    <w:p w:rsidR="00EA5583" w:rsidRDefault="00EA5583" w:rsidP="00EA5583">
      <w:pPr>
        <w:keepLines/>
        <w:tabs>
          <w:tab w:val="left" w:pos="360"/>
          <w:tab w:val="left" w:pos="720"/>
        </w:tabs>
        <w:ind w:left="360"/>
        <w:rPr>
          <w:sz w:val="18"/>
        </w:rPr>
      </w:pPr>
      <w:r>
        <w:rPr>
          <w:sz w:val="18"/>
        </w:rPr>
        <w:t>None</w:t>
      </w:r>
    </w:p>
    <w:p w:rsidR="00EA5583" w:rsidRDefault="00EA5583" w:rsidP="00EA5583">
      <w:pPr>
        <w:tabs>
          <w:tab w:val="left" w:pos="240"/>
        </w:tabs>
        <w:rPr>
          <w:rFonts w:ascii="Helvetica" w:hAnsi="Helvetica"/>
          <w:sz w:val="16"/>
        </w:rPr>
      </w:pPr>
    </w:p>
    <w:p w:rsidR="00EA5583" w:rsidRDefault="00EA5583" w:rsidP="00EA5583">
      <w:pPr>
        <w:pBdr>
          <w:top w:val="single" w:sz="4" w:space="1" w:color="auto"/>
        </w:pBdr>
        <w:tabs>
          <w:tab w:val="left" w:pos="240"/>
        </w:tabs>
        <w:rPr>
          <w:rFonts w:ascii="Helvetica" w:hAnsi="Helvetica"/>
          <w:sz w:val="16"/>
        </w:rPr>
      </w:pPr>
    </w:p>
    <w:p w:rsidR="0049280B" w:rsidRDefault="0049280B"/>
    <w:sectPr w:rsidR="0049280B">
      <w:headerReference w:type="default" r:id="rId8"/>
      <w:pgSz w:w="12240" w:h="15840"/>
      <w:pgMar w:top="480" w:right="720" w:bottom="480" w:left="600" w:header="480" w:footer="480" w:gutter="0"/>
      <w:cols w:space="480" w:equalWidth="0">
        <w:col w:w="1080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671B" w:rsidRDefault="00B4671B">
      <w:r>
        <w:separator/>
      </w:r>
    </w:p>
  </w:endnote>
  <w:endnote w:type="continuationSeparator" w:id="0">
    <w:p w:rsidR="00B4671B" w:rsidRDefault="00B46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671B" w:rsidRDefault="00B4671B">
      <w:r>
        <w:separator/>
      </w:r>
    </w:p>
  </w:footnote>
  <w:footnote w:type="continuationSeparator" w:id="0">
    <w:p w:rsidR="00B4671B" w:rsidRDefault="00B467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1AA9" w:rsidRDefault="00B4671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26EA4E0"/>
    <w:lvl w:ilvl="0">
      <w:numFmt w:val="decimal"/>
      <w:lvlText w:val="*"/>
      <w:lvlJc w:val="left"/>
    </w:lvl>
  </w:abstractNum>
  <w:abstractNum w:abstractNumId="1">
    <w:nsid w:val="4B206095"/>
    <w:multiLevelType w:val="singleLevel"/>
    <w:tmpl w:val="1512C79E"/>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num w:numId="1">
    <w:abstractNumId w:val="1"/>
  </w:num>
  <w:num w:numId="2">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5583"/>
    <w:rsid w:val="0049280B"/>
    <w:rsid w:val="00660247"/>
    <w:rsid w:val="00B4671B"/>
    <w:rsid w:val="00B603B1"/>
    <w:rsid w:val="00D84C30"/>
    <w:rsid w:val="00DB4AB1"/>
    <w:rsid w:val="00EA365B"/>
    <w:rsid w:val="00EA55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558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A5583"/>
    <w:pPr>
      <w:tabs>
        <w:tab w:val="center" w:pos="4320"/>
        <w:tab w:val="right" w:pos="8640"/>
      </w:tabs>
    </w:pPr>
  </w:style>
  <w:style w:type="character" w:customStyle="1" w:styleId="HeaderChar">
    <w:name w:val="Header Char"/>
    <w:basedOn w:val="DefaultParagraphFont"/>
    <w:link w:val="Header"/>
    <w:rsid w:val="00EA5583"/>
    <w:rPr>
      <w:rFonts w:ascii="Times New Roman" w:eastAsia="Times New Roman" w:hAnsi="Times New Roman" w:cs="Times New Roman"/>
      <w:sz w:val="20"/>
      <w:szCs w:val="20"/>
    </w:rPr>
  </w:style>
  <w:style w:type="paragraph" w:styleId="BodyTextIndent">
    <w:name w:val="Body Text Indent"/>
    <w:basedOn w:val="Normal"/>
    <w:link w:val="BodyTextIndentChar"/>
    <w:rsid w:val="00EA5583"/>
    <w:pPr>
      <w:keepLines/>
      <w:tabs>
        <w:tab w:val="left" w:pos="360"/>
        <w:tab w:val="left" w:pos="720"/>
      </w:tabs>
      <w:ind w:left="360"/>
    </w:pPr>
    <w:rPr>
      <w:sz w:val="22"/>
    </w:rPr>
  </w:style>
  <w:style w:type="character" w:customStyle="1" w:styleId="BodyTextIndentChar">
    <w:name w:val="Body Text Indent Char"/>
    <w:basedOn w:val="DefaultParagraphFont"/>
    <w:link w:val="BodyTextIndent"/>
    <w:rsid w:val="00EA5583"/>
    <w:rPr>
      <w:rFonts w:ascii="Times New Roman" w:eastAsia="Times New Roman"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558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A5583"/>
    <w:pPr>
      <w:tabs>
        <w:tab w:val="center" w:pos="4320"/>
        <w:tab w:val="right" w:pos="8640"/>
      </w:tabs>
    </w:pPr>
  </w:style>
  <w:style w:type="character" w:customStyle="1" w:styleId="HeaderChar">
    <w:name w:val="Header Char"/>
    <w:basedOn w:val="DefaultParagraphFont"/>
    <w:link w:val="Header"/>
    <w:rsid w:val="00EA5583"/>
    <w:rPr>
      <w:rFonts w:ascii="Times New Roman" w:eastAsia="Times New Roman" w:hAnsi="Times New Roman" w:cs="Times New Roman"/>
      <w:sz w:val="20"/>
      <w:szCs w:val="20"/>
    </w:rPr>
  </w:style>
  <w:style w:type="paragraph" w:styleId="BodyTextIndent">
    <w:name w:val="Body Text Indent"/>
    <w:basedOn w:val="Normal"/>
    <w:link w:val="BodyTextIndentChar"/>
    <w:rsid w:val="00EA5583"/>
    <w:pPr>
      <w:keepLines/>
      <w:tabs>
        <w:tab w:val="left" w:pos="360"/>
        <w:tab w:val="left" w:pos="720"/>
      </w:tabs>
      <w:ind w:left="360"/>
    </w:pPr>
    <w:rPr>
      <w:sz w:val="22"/>
    </w:rPr>
  </w:style>
  <w:style w:type="character" w:customStyle="1" w:styleId="BodyTextIndentChar">
    <w:name w:val="Body Text Indent Char"/>
    <w:basedOn w:val="DefaultParagraphFont"/>
    <w:link w:val="BodyTextIndent"/>
    <w:rsid w:val="00EA5583"/>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2189</Words>
  <Characters>12479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14639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H14499</dc:creator>
  <cp:lastModifiedBy>HUD User</cp:lastModifiedBy>
  <cp:revision>2</cp:revision>
  <dcterms:created xsi:type="dcterms:W3CDTF">2015-06-03T19:27:00Z</dcterms:created>
  <dcterms:modified xsi:type="dcterms:W3CDTF">2015-06-03T19:27:00Z</dcterms:modified>
</cp:coreProperties>
</file>