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5BF7F" w14:textId="6D6D9E00" w:rsidR="00977167" w:rsidRPr="002A6036" w:rsidRDefault="00977167" w:rsidP="00977167">
      <w:pPr>
        <w:spacing w:before="360" w:after="144" w:line="312" w:lineRule="auto"/>
        <w:ind w:left="5112" w:right="360" w:firstLine="0"/>
        <w:jc w:val="left"/>
        <w:rPr>
          <w:rFonts w:ascii="Arial" w:hAnsi="Arial" w:cs="Arial"/>
          <w:b/>
        </w:rPr>
      </w:pPr>
      <w:bookmarkStart w:id="0" w:name="_Toc320884918"/>
      <w:bookmarkStart w:id="1" w:name="_Toc324845909"/>
      <w:bookmarkStart w:id="2" w:name="_GoBack"/>
      <w:bookmarkEnd w:id="2"/>
      <w:r w:rsidRPr="002A6036">
        <w:rPr>
          <w:rFonts w:ascii="Arial" w:hAnsi="Arial" w:cs="Arial"/>
          <w:b/>
        </w:rPr>
        <w:t xml:space="preserve">Part B: </w:t>
      </w:r>
      <w:r w:rsidR="005E3171">
        <w:rPr>
          <w:rFonts w:ascii="Arial" w:hAnsi="Arial" w:cs="Arial"/>
          <w:b/>
        </w:rPr>
        <w:t xml:space="preserve">Statistical Methods for the </w:t>
      </w:r>
      <w:r w:rsidRPr="002A6036">
        <w:rPr>
          <w:rFonts w:ascii="Arial" w:hAnsi="Arial" w:cs="Arial"/>
          <w:b/>
        </w:rPr>
        <w:t xml:space="preserve">Collection of </w:t>
      </w:r>
      <w:r w:rsidR="005E3171">
        <w:rPr>
          <w:rFonts w:ascii="Arial" w:hAnsi="Arial" w:cs="Arial"/>
          <w:b/>
        </w:rPr>
        <w:t>Follow-up Survey Data</w:t>
      </w:r>
      <w:r w:rsidRPr="002A6036">
        <w:rPr>
          <w:rFonts w:ascii="Arial" w:hAnsi="Arial" w:cs="Arial"/>
          <w:b/>
        </w:rPr>
        <w:t xml:space="preserve">- </w:t>
      </w:r>
      <w:r w:rsidR="00E25543">
        <w:rPr>
          <w:rFonts w:ascii="Arial" w:hAnsi="Arial" w:cs="Arial"/>
          <w:b/>
        </w:rPr>
        <w:t>Pregnancy Assistance Fund Study</w:t>
      </w:r>
    </w:p>
    <w:p w14:paraId="0845BF80" w14:textId="4AB2CBFE" w:rsidR="00977167" w:rsidRPr="00D46217" w:rsidRDefault="00D46217" w:rsidP="00977167">
      <w:pPr>
        <w:spacing w:before="144" w:line="360" w:lineRule="exact"/>
        <w:ind w:left="5115" w:right="360" w:firstLine="0"/>
        <w:rPr>
          <w:rFonts w:ascii="Arial" w:hAnsi="Arial" w:cs="Arial"/>
          <w:b/>
        </w:rPr>
      </w:pPr>
      <w:bookmarkStart w:id="3" w:name="RepType"/>
      <w:bookmarkEnd w:id="3"/>
      <w:r>
        <w:rPr>
          <w:rFonts w:ascii="Arial" w:hAnsi="Arial" w:cs="Arial"/>
          <w:b/>
        </w:rPr>
        <w:t xml:space="preserve">OMB Control </w:t>
      </w:r>
      <w:r w:rsidRPr="00B36D0A">
        <w:rPr>
          <w:rFonts w:ascii="Arial" w:hAnsi="Arial" w:cs="Arial"/>
          <w:b/>
        </w:rPr>
        <w:t>Number</w:t>
      </w:r>
      <w:r w:rsidR="00B36D0A" w:rsidRPr="00B36D0A">
        <w:rPr>
          <w:rFonts w:ascii="Arial" w:hAnsi="Arial" w:cs="Arial"/>
          <w:b/>
        </w:rPr>
        <w:t xml:space="preserve"> 0990-0424</w:t>
      </w:r>
    </w:p>
    <w:p w14:paraId="0845BF81" w14:textId="364AD05A" w:rsidR="00977167" w:rsidRPr="002A6036" w:rsidRDefault="00977167" w:rsidP="00977167">
      <w:pPr>
        <w:spacing w:before="144" w:after="288" w:line="360" w:lineRule="exact"/>
        <w:ind w:left="5112" w:right="360" w:firstLine="0"/>
        <w:rPr>
          <w:rFonts w:ascii="Arial" w:hAnsi="Arial" w:cs="Arial"/>
        </w:rPr>
      </w:pPr>
      <w:bookmarkStart w:id="4" w:name="DateMark"/>
      <w:bookmarkEnd w:id="4"/>
      <w:r w:rsidRPr="002A6036">
        <w:rPr>
          <w:rFonts w:ascii="Arial" w:hAnsi="Arial" w:cs="Arial"/>
        </w:rPr>
        <w:t>April 201</w:t>
      </w:r>
      <w:r w:rsidR="00D46217">
        <w:rPr>
          <w:rFonts w:ascii="Arial" w:hAnsi="Arial" w:cs="Arial"/>
        </w:rPr>
        <w:t>5</w:t>
      </w:r>
      <w:r w:rsidR="006C6AF9">
        <w:rPr>
          <w:rFonts w:ascii="Arial" w:hAnsi="Arial" w:cs="Arial"/>
        </w:rPr>
        <w:t xml:space="preserve"> (Revised </w:t>
      </w:r>
      <w:r w:rsidR="000252DC">
        <w:rPr>
          <w:rFonts w:ascii="Arial" w:hAnsi="Arial" w:cs="Arial"/>
        </w:rPr>
        <w:t>July</w:t>
      </w:r>
      <w:r w:rsidR="006C6AF9">
        <w:rPr>
          <w:rFonts w:ascii="Arial" w:hAnsi="Arial" w:cs="Arial"/>
        </w:rPr>
        <w:t xml:space="preserve"> 2015)</w:t>
      </w:r>
    </w:p>
    <w:p w14:paraId="0845BF82" w14:textId="573D095B" w:rsidR="00977167" w:rsidRPr="002A6036" w:rsidRDefault="00977167" w:rsidP="00977167">
      <w:pPr>
        <w:spacing w:line="280" w:lineRule="exact"/>
        <w:ind w:left="5225" w:firstLine="0"/>
        <w:rPr>
          <w:rFonts w:ascii="Arial" w:hAnsi="Arial" w:cs="Arial"/>
          <w:sz w:val="20"/>
          <w:szCs w:val="20"/>
        </w:rPr>
      </w:pPr>
      <w:bookmarkStart w:id="5" w:name="StartingPoint"/>
      <w:bookmarkEnd w:id="5"/>
    </w:p>
    <w:p w14:paraId="0845BF83" w14:textId="77777777" w:rsidR="00977167" w:rsidRPr="002A6036" w:rsidRDefault="00977167" w:rsidP="00977167">
      <w:pPr>
        <w:spacing w:line="264" w:lineRule="auto"/>
        <w:ind w:left="5040" w:firstLine="0"/>
        <w:rPr>
          <w:rFonts w:ascii="Arial" w:hAnsi="Arial" w:cs="Arial"/>
          <w:sz w:val="20"/>
          <w:szCs w:val="20"/>
        </w:rPr>
        <w:sectPr w:rsidR="00977167" w:rsidRPr="002A6036" w:rsidSect="007764EE">
          <w:footerReference w:type="default" r:id="rId11"/>
          <w:endnotePr>
            <w:numFmt w:val="decimal"/>
          </w:endnotePr>
          <w:pgSz w:w="12240" w:h="15840" w:code="1"/>
          <w:pgMar w:top="1440" w:right="1440" w:bottom="576" w:left="1440" w:header="720" w:footer="576" w:gutter="0"/>
          <w:pgNumType w:fmt="lowerRoman" w:start="3"/>
          <w:cols w:space="720"/>
          <w:docGrid w:linePitch="326"/>
        </w:sectPr>
      </w:pPr>
    </w:p>
    <w:tbl>
      <w:tblPr>
        <w:tblpPr w:leftFromText="187" w:rightFromText="187" w:vertAnchor="page" w:tblpY="288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977167" w:rsidRPr="002A6036" w14:paraId="0845BF94" w14:textId="77777777" w:rsidTr="007764EE">
        <w:tc>
          <w:tcPr>
            <w:tcW w:w="3618" w:type="dxa"/>
          </w:tcPr>
          <w:p w14:paraId="0845BF84" w14:textId="77777777" w:rsidR="00977167" w:rsidRPr="002A6036" w:rsidRDefault="00977167" w:rsidP="007764EE">
            <w:pPr>
              <w:spacing w:line="240" w:lineRule="exact"/>
              <w:ind w:firstLine="0"/>
              <w:jc w:val="left"/>
              <w:rPr>
                <w:rFonts w:ascii="Arial" w:hAnsi="Arial" w:cs="Arial"/>
                <w:sz w:val="17"/>
                <w:szCs w:val="16"/>
              </w:rPr>
            </w:pPr>
            <w:bookmarkStart w:id="6" w:name="MPRRef"/>
            <w:bookmarkEnd w:id="6"/>
            <w:r w:rsidRPr="002A6036">
              <w:rPr>
                <w:rFonts w:ascii="Arial" w:hAnsi="Arial" w:cs="Arial"/>
                <w:sz w:val="17"/>
                <w:szCs w:val="16"/>
              </w:rPr>
              <w:lastRenderedPageBreak/>
              <w:t>Submitted to:</w:t>
            </w:r>
          </w:p>
          <w:p w14:paraId="0845BF85" w14:textId="77777777" w:rsidR="00977167" w:rsidRPr="002A6036" w:rsidRDefault="00977167" w:rsidP="007764EE">
            <w:pPr>
              <w:spacing w:line="240" w:lineRule="exact"/>
              <w:ind w:firstLine="0"/>
              <w:jc w:val="left"/>
              <w:rPr>
                <w:rFonts w:ascii="Arial" w:hAnsi="Arial" w:cs="Arial"/>
                <w:sz w:val="17"/>
                <w:szCs w:val="16"/>
              </w:rPr>
            </w:pPr>
            <w:bookmarkStart w:id="7" w:name="Agency"/>
            <w:bookmarkEnd w:id="7"/>
            <w:r w:rsidRPr="002A6036">
              <w:rPr>
                <w:rFonts w:ascii="Arial" w:hAnsi="Arial" w:cs="Arial"/>
                <w:sz w:val="17"/>
                <w:szCs w:val="16"/>
              </w:rPr>
              <w:t xml:space="preserve">U.S. Department of Health and Human Services Office of Adolescent Health </w:t>
            </w:r>
            <w:r w:rsidRPr="002A6036">
              <w:rPr>
                <w:rFonts w:ascii="Arial" w:hAnsi="Arial" w:cs="Arial"/>
                <w:sz w:val="17"/>
                <w:szCs w:val="16"/>
              </w:rPr>
              <w:br/>
              <w:t xml:space="preserve">Office of the Director Department </w:t>
            </w:r>
            <w:r w:rsidRPr="002A6036">
              <w:rPr>
                <w:rFonts w:ascii="Arial" w:hAnsi="Arial" w:cs="Arial"/>
                <w:sz w:val="17"/>
                <w:szCs w:val="16"/>
              </w:rPr>
              <w:br/>
              <w:t>of Health and Human Services</w:t>
            </w:r>
          </w:p>
          <w:p w14:paraId="0845BF86" w14:textId="77777777" w:rsidR="00977167" w:rsidRPr="002A6036" w:rsidRDefault="00977167" w:rsidP="007764EE">
            <w:pPr>
              <w:spacing w:line="240" w:lineRule="exact"/>
              <w:ind w:firstLine="0"/>
              <w:jc w:val="left"/>
              <w:rPr>
                <w:rFonts w:ascii="Arial" w:hAnsi="Arial" w:cs="Arial"/>
                <w:sz w:val="17"/>
                <w:szCs w:val="16"/>
              </w:rPr>
            </w:pPr>
            <w:bookmarkStart w:id="8" w:name="Address"/>
            <w:bookmarkEnd w:id="8"/>
            <w:r w:rsidRPr="002A6036">
              <w:rPr>
                <w:rFonts w:ascii="Arial" w:hAnsi="Arial" w:cs="Arial"/>
                <w:sz w:val="17"/>
                <w:szCs w:val="16"/>
              </w:rPr>
              <w:t>1101 Wootton Parkway, Suite 700</w:t>
            </w:r>
          </w:p>
          <w:p w14:paraId="0845BF87" w14:textId="77777777" w:rsidR="00977167" w:rsidRPr="002A6036" w:rsidRDefault="00977167" w:rsidP="007764EE">
            <w:pPr>
              <w:spacing w:line="240" w:lineRule="exact"/>
              <w:ind w:firstLine="0"/>
              <w:jc w:val="left"/>
              <w:rPr>
                <w:rFonts w:ascii="Arial" w:hAnsi="Arial" w:cs="Arial"/>
                <w:sz w:val="17"/>
                <w:szCs w:val="16"/>
              </w:rPr>
            </w:pPr>
            <w:bookmarkStart w:id="9" w:name="Address2"/>
            <w:bookmarkEnd w:id="9"/>
            <w:r w:rsidRPr="002A6036">
              <w:rPr>
                <w:rFonts w:ascii="Arial" w:hAnsi="Arial" w:cs="Arial"/>
                <w:sz w:val="17"/>
                <w:szCs w:val="16"/>
              </w:rPr>
              <w:t>Rockville, MD 20852</w:t>
            </w:r>
          </w:p>
          <w:p w14:paraId="0845BF88" w14:textId="6CB48E36" w:rsidR="00977167" w:rsidRPr="002A6036" w:rsidRDefault="00977167" w:rsidP="007764EE">
            <w:pPr>
              <w:spacing w:after="180" w:line="240" w:lineRule="exact"/>
              <w:ind w:firstLine="0"/>
              <w:jc w:val="left"/>
              <w:rPr>
                <w:rFonts w:ascii="Arial" w:hAnsi="Arial" w:cs="Arial"/>
                <w:sz w:val="17"/>
                <w:szCs w:val="16"/>
              </w:rPr>
            </w:pPr>
            <w:r w:rsidRPr="002A6036">
              <w:rPr>
                <w:rFonts w:ascii="Arial" w:hAnsi="Arial" w:cs="Arial"/>
                <w:sz w:val="17"/>
                <w:szCs w:val="16"/>
              </w:rPr>
              <w:t xml:space="preserve">Project Officer: </w:t>
            </w:r>
            <w:bookmarkStart w:id="10" w:name="ProjOff"/>
            <w:bookmarkEnd w:id="10"/>
            <w:r w:rsidR="00D46217">
              <w:rPr>
                <w:rFonts w:ascii="Arial" w:hAnsi="Arial" w:cs="Arial"/>
                <w:sz w:val="17"/>
                <w:szCs w:val="16"/>
              </w:rPr>
              <w:t>Amy Farb</w:t>
            </w:r>
          </w:p>
          <w:p w14:paraId="0845BF89" w14:textId="77777777"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Submitted by:</w:t>
            </w:r>
          </w:p>
          <w:p w14:paraId="0845BF8A" w14:textId="77777777"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Mathematica Policy Research</w:t>
            </w:r>
          </w:p>
          <w:p w14:paraId="0845BF8B" w14:textId="77777777" w:rsidR="00977167" w:rsidRPr="002A6036" w:rsidRDefault="00977167" w:rsidP="007764EE">
            <w:pPr>
              <w:spacing w:line="240" w:lineRule="exact"/>
              <w:ind w:firstLine="0"/>
              <w:jc w:val="left"/>
              <w:rPr>
                <w:rFonts w:ascii="Arial" w:hAnsi="Arial" w:cs="Arial"/>
                <w:sz w:val="17"/>
                <w:szCs w:val="16"/>
              </w:rPr>
            </w:pPr>
            <w:bookmarkStart w:id="11" w:name="MPRAddress2"/>
            <w:bookmarkEnd w:id="11"/>
            <w:r w:rsidRPr="002A6036">
              <w:rPr>
                <w:rFonts w:ascii="Arial" w:hAnsi="Arial" w:cs="Arial"/>
                <w:sz w:val="17"/>
                <w:szCs w:val="16"/>
              </w:rPr>
              <w:t>P.O. Box 2393</w:t>
            </w:r>
          </w:p>
          <w:p w14:paraId="0845BF8C" w14:textId="77777777"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Princeton, NJ 08543-2393</w:t>
            </w:r>
          </w:p>
          <w:p w14:paraId="0845BF8D" w14:textId="77777777"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Telephone: (609) 799-3535</w:t>
            </w:r>
          </w:p>
          <w:p w14:paraId="0845BF8E" w14:textId="77777777"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Facsimile: (609) 799-0005</w:t>
            </w:r>
          </w:p>
          <w:p w14:paraId="0845BF8F" w14:textId="69983E25" w:rsidR="00977167" w:rsidRPr="002A6036" w:rsidRDefault="00977167" w:rsidP="00D46217">
            <w:pPr>
              <w:spacing w:after="180" w:line="240" w:lineRule="exact"/>
              <w:ind w:firstLine="0"/>
              <w:jc w:val="left"/>
              <w:rPr>
                <w:rFonts w:ascii="Arial" w:hAnsi="Arial" w:cs="Arial"/>
                <w:sz w:val="16"/>
                <w:szCs w:val="16"/>
              </w:rPr>
            </w:pPr>
            <w:r w:rsidRPr="002A6036">
              <w:rPr>
                <w:rFonts w:ascii="Arial" w:hAnsi="Arial" w:cs="Arial"/>
                <w:sz w:val="17"/>
                <w:szCs w:val="16"/>
              </w:rPr>
              <w:t xml:space="preserve">Project Director: </w:t>
            </w:r>
            <w:bookmarkStart w:id="12" w:name="ProjDir"/>
            <w:bookmarkEnd w:id="12"/>
            <w:r w:rsidR="00D46217">
              <w:rPr>
                <w:rFonts w:ascii="Arial" w:hAnsi="Arial" w:cs="Arial"/>
                <w:sz w:val="17"/>
                <w:szCs w:val="16"/>
              </w:rPr>
              <w:t>Susan Zief</w:t>
            </w:r>
          </w:p>
        </w:tc>
        <w:tc>
          <w:tcPr>
            <w:tcW w:w="4057" w:type="dxa"/>
          </w:tcPr>
          <w:p w14:paraId="3500B3DC" w14:textId="215353D9" w:rsidR="00D46217" w:rsidRPr="00D46217" w:rsidRDefault="00D46217" w:rsidP="00D46217">
            <w:pPr>
              <w:spacing w:after="144" w:line="312" w:lineRule="auto"/>
              <w:ind w:left="58" w:firstLine="0"/>
              <w:jc w:val="left"/>
              <w:rPr>
                <w:rFonts w:ascii="Arial" w:hAnsi="Arial" w:cs="Arial"/>
                <w:b/>
              </w:rPr>
            </w:pPr>
            <w:bookmarkStart w:id="13" w:name="RepTitle2"/>
            <w:bookmarkEnd w:id="13"/>
            <w:r w:rsidRPr="00D46217">
              <w:rPr>
                <w:rFonts w:ascii="Arial" w:hAnsi="Arial" w:cs="Arial"/>
                <w:b/>
              </w:rPr>
              <w:t xml:space="preserve">Part B: Statistical Methods for the Collection of Follow-up Survey Data- </w:t>
            </w:r>
            <w:r w:rsidR="00E25543">
              <w:rPr>
                <w:rFonts w:ascii="Arial" w:hAnsi="Arial" w:cs="Arial"/>
                <w:b/>
              </w:rPr>
              <w:t>Pregnancy Assistance Fund Study</w:t>
            </w:r>
          </w:p>
          <w:p w14:paraId="3A7A6646" w14:textId="77777777" w:rsidR="00B36D0A" w:rsidRPr="00B36D0A" w:rsidRDefault="00B36D0A" w:rsidP="00B36D0A">
            <w:pPr>
              <w:spacing w:after="144" w:line="312" w:lineRule="auto"/>
              <w:ind w:left="58" w:firstLine="0"/>
              <w:jc w:val="left"/>
              <w:rPr>
                <w:rFonts w:ascii="Arial" w:hAnsi="Arial" w:cs="Arial"/>
                <w:b/>
              </w:rPr>
            </w:pPr>
            <w:r w:rsidRPr="00B36D0A">
              <w:rPr>
                <w:rFonts w:ascii="Arial" w:hAnsi="Arial" w:cs="Arial"/>
                <w:b/>
              </w:rPr>
              <w:t>OMB Control Number 0990-0424</w:t>
            </w:r>
          </w:p>
          <w:p w14:paraId="7734FAC0" w14:textId="7A6EE1E0" w:rsidR="00D46217" w:rsidRPr="00D46217" w:rsidRDefault="00D46217" w:rsidP="00D46217">
            <w:pPr>
              <w:spacing w:after="144" w:line="312" w:lineRule="auto"/>
              <w:ind w:left="58" w:firstLine="0"/>
              <w:jc w:val="left"/>
              <w:rPr>
                <w:rFonts w:ascii="Arial" w:hAnsi="Arial" w:cs="Arial"/>
                <w:b/>
              </w:rPr>
            </w:pPr>
            <w:r w:rsidRPr="00D46217">
              <w:rPr>
                <w:rFonts w:ascii="Arial" w:hAnsi="Arial" w:cs="Arial"/>
                <w:b/>
              </w:rPr>
              <w:t>April 2015</w:t>
            </w:r>
            <w:r w:rsidR="000252DC">
              <w:rPr>
                <w:rFonts w:ascii="Arial" w:hAnsi="Arial" w:cs="Arial"/>
                <w:b/>
              </w:rPr>
              <w:t xml:space="preserve"> </w:t>
            </w:r>
            <w:r w:rsidR="000252DC" w:rsidRPr="000252DC">
              <w:rPr>
                <w:rFonts w:ascii="Arial" w:hAnsi="Arial" w:cs="Arial"/>
                <w:b/>
              </w:rPr>
              <w:t>(Revised July 2015)</w:t>
            </w:r>
          </w:p>
          <w:p w14:paraId="0845BF92" w14:textId="77777777" w:rsidR="00977167" w:rsidRPr="002A6036" w:rsidRDefault="00977167" w:rsidP="007764EE">
            <w:pPr>
              <w:spacing w:line="264" w:lineRule="auto"/>
              <w:ind w:left="58" w:firstLine="0"/>
              <w:jc w:val="left"/>
              <w:rPr>
                <w:rFonts w:ascii="Arial" w:hAnsi="Arial" w:cs="Arial"/>
                <w:sz w:val="20"/>
                <w:szCs w:val="20"/>
              </w:rPr>
            </w:pPr>
          </w:p>
          <w:p w14:paraId="0845BF93" w14:textId="77777777" w:rsidR="00977167" w:rsidRPr="002A6036" w:rsidRDefault="00977167" w:rsidP="007764EE">
            <w:pPr>
              <w:spacing w:line="264" w:lineRule="auto"/>
              <w:ind w:left="58" w:firstLine="0"/>
              <w:jc w:val="left"/>
              <w:rPr>
                <w:rFonts w:ascii="Arial" w:hAnsi="Arial" w:cs="Arial"/>
                <w:sz w:val="22"/>
                <w:szCs w:val="22"/>
              </w:rPr>
            </w:pPr>
          </w:p>
        </w:tc>
      </w:tr>
    </w:tbl>
    <w:p w14:paraId="0845BF95" w14:textId="77777777" w:rsidR="00977167" w:rsidRPr="002A6036" w:rsidRDefault="00977167" w:rsidP="00977167">
      <w:pPr>
        <w:tabs>
          <w:tab w:val="clear" w:pos="432"/>
          <w:tab w:val="left" w:pos="8255"/>
        </w:tabs>
        <w:spacing w:line="264" w:lineRule="auto"/>
        <w:ind w:firstLine="0"/>
        <w:rPr>
          <w:rFonts w:ascii="Arial" w:hAnsi="Arial" w:cs="Arial"/>
          <w:sz w:val="22"/>
          <w:szCs w:val="22"/>
        </w:rPr>
      </w:pPr>
    </w:p>
    <w:p w14:paraId="0845BF96" w14:textId="6C45334F" w:rsidR="00977167" w:rsidRPr="002A6036" w:rsidRDefault="00977167" w:rsidP="00977167">
      <w:pPr>
        <w:spacing w:line="264" w:lineRule="auto"/>
        <w:ind w:firstLine="0"/>
        <w:rPr>
          <w:rFonts w:ascii="Arial" w:hAnsi="Arial" w:cs="Arial"/>
          <w:sz w:val="22"/>
          <w:szCs w:val="22"/>
        </w:rPr>
      </w:pPr>
    </w:p>
    <w:p w14:paraId="0845BF97" w14:textId="77777777" w:rsidR="00977167" w:rsidRPr="002A6036" w:rsidRDefault="00977167" w:rsidP="00977167">
      <w:pPr>
        <w:spacing w:line="264" w:lineRule="auto"/>
        <w:ind w:firstLine="0"/>
        <w:rPr>
          <w:rFonts w:ascii="Arial" w:hAnsi="Arial" w:cs="Arial"/>
          <w:sz w:val="22"/>
          <w:szCs w:val="22"/>
        </w:rPr>
        <w:sectPr w:rsidR="00977167" w:rsidRPr="002A6036" w:rsidSect="007764EE">
          <w:endnotePr>
            <w:numFmt w:val="decimal"/>
          </w:endnotePr>
          <w:pgSz w:w="12240" w:h="15840" w:code="1"/>
          <w:pgMar w:top="2880" w:right="1440" w:bottom="576" w:left="1440" w:header="720" w:footer="576" w:gutter="0"/>
          <w:cols w:space="720"/>
          <w:docGrid w:linePitch="150"/>
        </w:sectPr>
      </w:pPr>
    </w:p>
    <w:p w14:paraId="0845BF98" w14:textId="77777777" w:rsidR="00977167" w:rsidRPr="002A6036" w:rsidRDefault="00977167" w:rsidP="00977167">
      <w:pPr>
        <w:pStyle w:val="Heading1Black"/>
        <w:rPr>
          <w:rFonts w:eastAsia="Calibri"/>
        </w:rPr>
      </w:pPr>
      <w:bookmarkStart w:id="14" w:name="RepTitle"/>
      <w:bookmarkStart w:id="15" w:name="_Toc396921844"/>
      <w:bookmarkStart w:id="16" w:name="_Toc385322230"/>
      <w:bookmarkEnd w:id="14"/>
      <w:r w:rsidRPr="002A6036">
        <w:rPr>
          <w:rFonts w:eastAsia="Calibri"/>
        </w:rPr>
        <w:lastRenderedPageBreak/>
        <w:t>Contents</w:t>
      </w:r>
      <w:bookmarkEnd w:id="15"/>
    </w:p>
    <w:p w14:paraId="0845BF99" w14:textId="23F35947" w:rsidR="00DB6578" w:rsidRPr="00A137AD" w:rsidRDefault="00A137AD">
      <w:pPr>
        <w:pStyle w:val="TOC1"/>
        <w:rPr>
          <w:rFonts w:asciiTheme="minorHAnsi" w:eastAsiaTheme="minorEastAsia" w:hAnsiTheme="minorHAnsi" w:cstheme="minorBidi"/>
          <w:caps w:val="0"/>
          <w:sz w:val="22"/>
          <w:szCs w:val="22"/>
        </w:rPr>
      </w:pPr>
      <w:r>
        <w:t>Part B Introduction</w:t>
      </w:r>
      <w:r>
        <w:rPr>
          <w:webHidden/>
        </w:rPr>
        <w:tab/>
        <w:t>1</w:t>
      </w:r>
      <w:r w:rsidR="009F617A" w:rsidRPr="002A6036">
        <w:rPr>
          <w:rFonts w:cs="Arial"/>
          <w:b/>
        </w:rPr>
        <w:fldChar w:fldCharType="begin"/>
      </w:r>
      <w:r w:rsidR="00977167" w:rsidRPr="002A6036">
        <w:rPr>
          <w:rFonts w:cs="Arial"/>
          <w:b/>
        </w:rPr>
        <w:instrText xml:space="preserve"> TOC \o "1-3" \z \t "Heading 1_Black,1,Heading 1_Red,1,Heading 1_Blue,1,Heading 2_Black,2,Heading 2_Red,2,Heading 2_Blue,2,Mark for Appendix Heading_Black,8,Mark for Appendix Heading_Blue,8,Mark for Appendix Heading_Red,8" </w:instrText>
      </w:r>
      <w:r w:rsidR="009F617A" w:rsidRPr="002A6036">
        <w:rPr>
          <w:rFonts w:cs="Arial"/>
          <w:b/>
        </w:rPr>
        <w:fldChar w:fldCharType="separate"/>
      </w:r>
    </w:p>
    <w:p w14:paraId="0845BF9A" w14:textId="46AD3F89" w:rsidR="00DB6578" w:rsidRPr="002A6036" w:rsidRDefault="00DB6578">
      <w:pPr>
        <w:pStyle w:val="TOC2"/>
        <w:rPr>
          <w:rFonts w:asciiTheme="minorHAnsi" w:eastAsiaTheme="minorEastAsia" w:hAnsiTheme="minorHAnsi" w:cstheme="minorBidi"/>
          <w:noProof/>
          <w:sz w:val="22"/>
          <w:szCs w:val="36"/>
          <w:lang w:bidi="km-KH"/>
        </w:rPr>
      </w:pPr>
      <w:r w:rsidRPr="002A6036">
        <w:rPr>
          <w:noProof/>
        </w:rPr>
        <w:t>B1.</w:t>
      </w:r>
      <w:r w:rsidRPr="002A6036">
        <w:rPr>
          <w:rFonts w:asciiTheme="minorHAnsi" w:eastAsiaTheme="minorEastAsia" w:hAnsiTheme="minorHAnsi" w:cstheme="minorBidi"/>
          <w:noProof/>
          <w:sz w:val="22"/>
          <w:szCs w:val="36"/>
          <w:lang w:bidi="km-KH"/>
        </w:rPr>
        <w:tab/>
      </w:r>
      <w:r w:rsidRPr="002A6036">
        <w:rPr>
          <w:noProof/>
        </w:rPr>
        <w:t>Respondent Universe and Sampling Methods</w:t>
      </w:r>
      <w:r w:rsidRPr="002A6036">
        <w:rPr>
          <w:noProof/>
          <w:webHidden/>
        </w:rPr>
        <w:tab/>
      </w:r>
      <w:r w:rsidR="005F0716">
        <w:rPr>
          <w:noProof/>
          <w:webHidden/>
        </w:rPr>
        <w:t>2</w:t>
      </w:r>
    </w:p>
    <w:p w14:paraId="0845BF9B" w14:textId="50E649D6" w:rsidR="00DB6578" w:rsidRPr="002A6036" w:rsidRDefault="00DB6578">
      <w:pPr>
        <w:pStyle w:val="TOC2"/>
        <w:rPr>
          <w:rFonts w:asciiTheme="minorHAnsi" w:eastAsiaTheme="minorEastAsia" w:hAnsiTheme="minorHAnsi" w:cstheme="minorBidi"/>
          <w:noProof/>
          <w:sz w:val="22"/>
          <w:szCs w:val="36"/>
          <w:lang w:bidi="km-KH"/>
        </w:rPr>
      </w:pPr>
      <w:r w:rsidRPr="002A6036">
        <w:rPr>
          <w:noProof/>
        </w:rPr>
        <w:t>B2.</w:t>
      </w:r>
      <w:r w:rsidRPr="002A6036">
        <w:rPr>
          <w:rFonts w:asciiTheme="minorHAnsi" w:eastAsiaTheme="minorEastAsia" w:hAnsiTheme="minorHAnsi" w:cstheme="minorBidi"/>
          <w:noProof/>
          <w:sz w:val="22"/>
          <w:szCs w:val="36"/>
          <w:lang w:bidi="km-KH"/>
        </w:rPr>
        <w:tab/>
      </w:r>
      <w:r w:rsidRPr="002A6036">
        <w:rPr>
          <w:noProof/>
        </w:rPr>
        <w:t>Procedures for Collection of Information</w:t>
      </w:r>
      <w:r w:rsidRPr="002A6036">
        <w:rPr>
          <w:noProof/>
          <w:webHidden/>
        </w:rPr>
        <w:tab/>
      </w:r>
      <w:r w:rsidR="005F0716">
        <w:rPr>
          <w:noProof/>
          <w:webHidden/>
        </w:rPr>
        <w:t>3</w:t>
      </w:r>
    </w:p>
    <w:p w14:paraId="0845BF9C" w14:textId="2469DD0C" w:rsidR="00DB6578" w:rsidRPr="002A6036" w:rsidRDefault="00DB6578">
      <w:pPr>
        <w:pStyle w:val="TOC2"/>
        <w:rPr>
          <w:rFonts w:asciiTheme="minorHAnsi" w:eastAsiaTheme="minorEastAsia" w:hAnsiTheme="minorHAnsi" w:cstheme="minorBidi"/>
          <w:noProof/>
          <w:sz w:val="22"/>
          <w:szCs w:val="36"/>
          <w:lang w:bidi="km-KH"/>
        </w:rPr>
      </w:pPr>
      <w:r w:rsidRPr="002A6036">
        <w:rPr>
          <w:noProof/>
        </w:rPr>
        <w:t>B3.</w:t>
      </w:r>
      <w:r w:rsidRPr="002A6036">
        <w:rPr>
          <w:rFonts w:asciiTheme="minorHAnsi" w:eastAsiaTheme="minorEastAsia" w:hAnsiTheme="minorHAnsi" w:cstheme="minorBidi"/>
          <w:noProof/>
          <w:sz w:val="22"/>
          <w:szCs w:val="36"/>
          <w:lang w:bidi="km-KH"/>
        </w:rPr>
        <w:tab/>
      </w:r>
      <w:r w:rsidRPr="002A6036">
        <w:rPr>
          <w:noProof/>
        </w:rPr>
        <w:t>Methods to Maximize Response Rates and Deal with Non-Response</w:t>
      </w:r>
      <w:r w:rsidRPr="002A6036">
        <w:rPr>
          <w:noProof/>
          <w:webHidden/>
        </w:rPr>
        <w:tab/>
      </w:r>
      <w:r w:rsidR="005F0716">
        <w:rPr>
          <w:noProof/>
          <w:webHidden/>
        </w:rPr>
        <w:t>4</w:t>
      </w:r>
    </w:p>
    <w:p w14:paraId="0845BF9D" w14:textId="38984B28" w:rsidR="00DB6578" w:rsidRPr="002A6036" w:rsidRDefault="00DB6578">
      <w:pPr>
        <w:pStyle w:val="TOC2"/>
        <w:rPr>
          <w:rFonts w:asciiTheme="minorHAnsi" w:eastAsiaTheme="minorEastAsia" w:hAnsiTheme="minorHAnsi" w:cstheme="minorBidi"/>
          <w:noProof/>
          <w:sz w:val="22"/>
          <w:szCs w:val="36"/>
          <w:lang w:bidi="km-KH"/>
        </w:rPr>
      </w:pPr>
      <w:r w:rsidRPr="002A6036">
        <w:rPr>
          <w:noProof/>
        </w:rPr>
        <w:t>B4.</w:t>
      </w:r>
      <w:r w:rsidRPr="002A6036">
        <w:rPr>
          <w:rFonts w:asciiTheme="minorHAnsi" w:eastAsiaTheme="minorEastAsia" w:hAnsiTheme="minorHAnsi" w:cstheme="minorBidi"/>
          <w:noProof/>
          <w:sz w:val="22"/>
          <w:szCs w:val="36"/>
          <w:lang w:bidi="km-KH"/>
        </w:rPr>
        <w:tab/>
      </w:r>
      <w:r w:rsidRPr="002A6036">
        <w:rPr>
          <w:noProof/>
        </w:rPr>
        <w:t>Test of Procedures or Methods to be Undertaken</w:t>
      </w:r>
      <w:r w:rsidRPr="002A6036">
        <w:rPr>
          <w:noProof/>
          <w:webHidden/>
        </w:rPr>
        <w:tab/>
      </w:r>
      <w:r w:rsidR="005F0716">
        <w:rPr>
          <w:noProof/>
          <w:webHidden/>
        </w:rPr>
        <w:t>5</w:t>
      </w:r>
    </w:p>
    <w:p w14:paraId="0845BF9E" w14:textId="77777777" w:rsidR="00977167" w:rsidRPr="002A6036" w:rsidRDefault="009F617A" w:rsidP="00977167">
      <w:pPr>
        <w:spacing w:after="480" w:line="240" w:lineRule="auto"/>
        <w:ind w:firstLine="0"/>
        <w:jc w:val="center"/>
        <w:rPr>
          <w:rFonts w:ascii="Arial" w:hAnsi="Arial" w:cs="Arial"/>
          <w:b/>
        </w:rPr>
      </w:pPr>
      <w:r w:rsidRPr="002A6036">
        <w:fldChar w:fldCharType="end"/>
      </w:r>
      <w:r w:rsidR="00977167" w:rsidRPr="002A6036">
        <w:rPr>
          <w:rFonts w:ascii="Arial" w:hAnsi="Arial" w:cs="Arial"/>
          <w:b/>
        </w:rPr>
        <w:t>TABLES</w:t>
      </w:r>
    </w:p>
    <w:p w14:paraId="0845BF9F" w14:textId="77777777" w:rsidR="007E7BD0" w:rsidRPr="002A6036" w:rsidRDefault="009F617A">
      <w:pPr>
        <w:pStyle w:val="TableofFigures"/>
        <w:rPr>
          <w:rFonts w:asciiTheme="minorHAnsi" w:eastAsiaTheme="minorEastAsia" w:hAnsiTheme="minorHAnsi" w:cstheme="minorBidi"/>
          <w:noProof/>
          <w:sz w:val="22"/>
          <w:szCs w:val="22"/>
        </w:rPr>
      </w:pPr>
      <w:r w:rsidRPr="002A6036">
        <w:rPr>
          <w:rFonts w:cs="Arial"/>
          <w:b/>
        </w:rPr>
        <w:fldChar w:fldCharType="begin"/>
      </w:r>
      <w:r w:rsidR="00977167" w:rsidRPr="002A6036">
        <w:rPr>
          <w:rFonts w:cs="Arial"/>
          <w:b/>
        </w:rPr>
        <w:instrText xml:space="preserve"> TOC \z \t "Mark for Table Heading,1" \c "Figure" </w:instrText>
      </w:r>
      <w:r w:rsidRPr="002A6036">
        <w:rPr>
          <w:rFonts w:cs="Arial"/>
          <w:b/>
        </w:rPr>
        <w:fldChar w:fldCharType="separate"/>
      </w:r>
      <w:r w:rsidR="007E7BD0" w:rsidRPr="002A6036">
        <w:rPr>
          <w:noProof/>
        </w:rPr>
        <w:t>Table B1.1. Minimum Detectible Impacts for California</w:t>
      </w:r>
      <w:r w:rsidR="007E7BD0" w:rsidRPr="002A6036">
        <w:rPr>
          <w:noProof/>
          <w:webHidden/>
        </w:rPr>
        <w:tab/>
      </w:r>
      <w:r w:rsidRPr="002A6036">
        <w:rPr>
          <w:noProof/>
          <w:webHidden/>
        </w:rPr>
        <w:fldChar w:fldCharType="begin"/>
      </w:r>
      <w:r w:rsidR="007E7BD0" w:rsidRPr="002A6036">
        <w:rPr>
          <w:noProof/>
          <w:webHidden/>
        </w:rPr>
        <w:instrText xml:space="preserve"> PAGEREF _Toc396896776 \h </w:instrText>
      </w:r>
      <w:r w:rsidRPr="002A6036">
        <w:rPr>
          <w:noProof/>
          <w:webHidden/>
        </w:rPr>
      </w:r>
      <w:r w:rsidRPr="002A6036">
        <w:rPr>
          <w:noProof/>
          <w:webHidden/>
        </w:rPr>
        <w:fldChar w:fldCharType="separate"/>
      </w:r>
      <w:r w:rsidR="00A137AD">
        <w:rPr>
          <w:noProof/>
          <w:webHidden/>
        </w:rPr>
        <w:t>3</w:t>
      </w:r>
      <w:r w:rsidRPr="002A6036">
        <w:rPr>
          <w:noProof/>
          <w:webHidden/>
        </w:rPr>
        <w:fldChar w:fldCharType="end"/>
      </w:r>
    </w:p>
    <w:p w14:paraId="0845BFA0" w14:textId="77777777" w:rsidR="00977167" w:rsidRPr="002A6036" w:rsidRDefault="009F617A" w:rsidP="00977167">
      <w:pPr>
        <w:pStyle w:val="Heading1Black"/>
      </w:pPr>
      <w:r w:rsidRPr="002A6036">
        <w:rPr>
          <w:rFonts w:cs="Arial"/>
          <w:b w:val="0"/>
        </w:rPr>
        <w:fldChar w:fldCharType="end"/>
      </w:r>
      <w:bookmarkStart w:id="17" w:name="_Toc385322232"/>
      <w:bookmarkStart w:id="18" w:name="_Toc396921845"/>
      <w:bookmarkEnd w:id="16"/>
      <w:r w:rsidR="00977167" w:rsidRPr="002A6036">
        <w:t>ATTACHMENTS</w:t>
      </w:r>
      <w:bookmarkEnd w:id="17"/>
      <w:bookmarkEnd w:id="18"/>
    </w:p>
    <w:p w14:paraId="0845BFA1" w14:textId="77777777" w:rsidR="00977167" w:rsidRPr="002A6036" w:rsidRDefault="00DB6578" w:rsidP="00DB6578">
      <w:pPr>
        <w:pStyle w:val="TOC8"/>
        <w:tabs>
          <w:tab w:val="clear" w:pos="1872"/>
          <w:tab w:val="left" w:pos="1980"/>
        </w:tabs>
        <w:spacing w:after="120"/>
        <w:ind w:left="1980" w:hanging="1962"/>
        <w:rPr>
          <w:sz w:val="22"/>
          <w:szCs w:val="22"/>
        </w:rPr>
      </w:pPr>
      <w:r w:rsidRPr="002A6036">
        <w:rPr>
          <w:sz w:val="22"/>
          <w:szCs w:val="22"/>
        </w:rPr>
        <w:t>ATTACHMENT A:</w:t>
      </w:r>
      <w:r w:rsidRPr="002A6036">
        <w:rPr>
          <w:sz w:val="22"/>
          <w:szCs w:val="22"/>
        </w:rPr>
        <w:tab/>
      </w:r>
      <w:r w:rsidR="00977167" w:rsidRPr="002A6036">
        <w:rPr>
          <w:sz w:val="22"/>
          <w:szCs w:val="22"/>
        </w:rPr>
        <w:t xml:space="preserve">OVERVIEW OF THE PAF EVALUATION </w:t>
      </w:r>
    </w:p>
    <w:p w14:paraId="0845BFA5" w14:textId="44AECD29" w:rsidR="00977167" w:rsidRPr="002A6036" w:rsidRDefault="00977167" w:rsidP="00DB6578">
      <w:pPr>
        <w:pStyle w:val="TOC8"/>
        <w:tabs>
          <w:tab w:val="clear" w:pos="1872"/>
          <w:tab w:val="left" w:pos="1980"/>
        </w:tabs>
        <w:spacing w:after="120"/>
        <w:ind w:left="1980" w:hanging="1962"/>
        <w:rPr>
          <w:sz w:val="22"/>
          <w:szCs w:val="22"/>
        </w:rPr>
      </w:pPr>
      <w:r w:rsidRPr="002A6036">
        <w:rPr>
          <w:sz w:val="22"/>
          <w:szCs w:val="22"/>
        </w:rPr>
        <w:t>ATTAC</w:t>
      </w:r>
      <w:r w:rsidR="00E72D56">
        <w:rPr>
          <w:sz w:val="22"/>
          <w:szCs w:val="22"/>
        </w:rPr>
        <w:t>HMENT b</w:t>
      </w:r>
      <w:r w:rsidR="00DB6578" w:rsidRPr="002A6036">
        <w:rPr>
          <w:sz w:val="22"/>
          <w:szCs w:val="22"/>
        </w:rPr>
        <w:t>:</w:t>
      </w:r>
      <w:r w:rsidR="00DB6578" w:rsidRPr="002A6036">
        <w:rPr>
          <w:sz w:val="22"/>
          <w:szCs w:val="22"/>
        </w:rPr>
        <w:tab/>
      </w:r>
      <w:r w:rsidRPr="002A6036">
        <w:rPr>
          <w:sz w:val="22"/>
          <w:szCs w:val="22"/>
        </w:rPr>
        <w:t xml:space="preserve">QUESTION BY QUESTION SOURCE LIST FOR THE </w:t>
      </w:r>
      <w:r w:rsidR="00994024">
        <w:rPr>
          <w:sz w:val="22"/>
          <w:szCs w:val="22"/>
        </w:rPr>
        <w:t>FOLLOW-UP</w:t>
      </w:r>
      <w:r w:rsidRPr="002A6036">
        <w:rPr>
          <w:sz w:val="22"/>
          <w:szCs w:val="22"/>
        </w:rPr>
        <w:t xml:space="preserve"> SURVEY  </w:t>
      </w:r>
    </w:p>
    <w:p w14:paraId="0845BFA6" w14:textId="40E27E72" w:rsidR="00977167" w:rsidRPr="002A6036" w:rsidRDefault="00E72D56" w:rsidP="00DB6578">
      <w:pPr>
        <w:pStyle w:val="TOC8"/>
        <w:tabs>
          <w:tab w:val="clear" w:pos="1872"/>
          <w:tab w:val="left" w:pos="1980"/>
        </w:tabs>
        <w:spacing w:after="120"/>
        <w:ind w:left="1980" w:hanging="1962"/>
        <w:rPr>
          <w:sz w:val="22"/>
          <w:szCs w:val="22"/>
        </w:rPr>
      </w:pPr>
      <w:r>
        <w:rPr>
          <w:sz w:val="22"/>
          <w:szCs w:val="22"/>
        </w:rPr>
        <w:t>ATTACHMENT C</w:t>
      </w:r>
      <w:r w:rsidR="00DB6578" w:rsidRPr="002A6036">
        <w:rPr>
          <w:sz w:val="22"/>
          <w:szCs w:val="22"/>
        </w:rPr>
        <w:t>:</w:t>
      </w:r>
      <w:r w:rsidR="00DB6578" w:rsidRPr="002A6036">
        <w:rPr>
          <w:sz w:val="22"/>
          <w:szCs w:val="22"/>
        </w:rPr>
        <w:tab/>
      </w:r>
      <w:r w:rsidR="00977167" w:rsidRPr="002A6036">
        <w:rPr>
          <w:sz w:val="22"/>
          <w:szCs w:val="22"/>
        </w:rPr>
        <w:t xml:space="preserve">SOURCES REFERENCED FOR THE </w:t>
      </w:r>
      <w:r w:rsidR="00994024">
        <w:rPr>
          <w:sz w:val="22"/>
          <w:szCs w:val="22"/>
        </w:rPr>
        <w:t>FOLLOW-UP</w:t>
      </w:r>
      <w:r w:rsidR="00977167" w:rsidRPr="002A6036">
        <w:rPr>
          <w:sz w:val="22"/>
          <w:szCs w:val="22"/>
        </w:rPr>
        <w:t xml:space="preserve"> SURVEY </w:t>
      </w:r>
    </w:p>
    <w:p w14:paraId="0845BFA9" w14:textId="428F7B51" w:rsidR="00977167" w:rsidRPr="002A6036" w:rsidRDefault="00E72D56" w:rsidP="00DB6578">
      <w:pPr>
        <w:pStyle w:val="TOC8"/>
        <w:tabs>
          <w:tab w:val="clear" w:pos="1872"/>
          <w:tab w:val="left" w:pos="1980"/>
        </w:tabs>
        <w:spacing w:after="120"/>
        <w:ind w:left="1980" w:hanging="1962"/>
        <w:rPr>
          <w:sz w:val="22"/>
          <w:szCs w:val="22"/>
        </w:rPr>
      </w:pPr>
      <w:r>
        <w:rPr>
          <w:sz w:val="22"/>
          <w:szCs w:val="22"/>
        </w:rPr>
        <w:t>ATTACHMENT D</w:t>
      </w:r>
      <w:r w:rsidR="00DB6578" w:rsidRPr="002A6036">
        <w:rPr>
          <w:sz w:val="22"/>
          <w:szCs w:val="22"/>
        </w:rPr>
        <w:t>:</w:t>
      </w:r>
      <w:r w:rsidR="00DB6578" w:rsidRPr="002A6036">
        <w:rPr>
          <w:sz w:val="22"/>
          <w:szCs w:val="22"/>
        </w:rPr>
        <w:tab/>
      </w:r>
      <w:r w:rsidR="00977167" w:rsidRPr="002A6036">
        <w:rPr>
          <w:sz w:val="22"/>
          <w:szCs w:val="22"/>
        </w:rPr>
        <w:t xml:space="preserve">PERSONS CONSULTED ON INSTRUMENT DEVELOPMENT AND/OR ANALYSIS OF THE PAF </w:t>
      </w:r>
      <w:r>
        <w:rPr>
          <w:sz w:val="22"/>
          <w:szCs w:val="22"/>
        </w:rPr>
        <w:t>follow-up</w:t>
      </w:r>
      <w:r w:rsidR="00977167" w:rsidRPr="002A6036">
        <w:rPr>
          <w:sz w:val="22"/>
          <w:szCs w:val="22"/>
        </w:rPr>
        <w:t xml:space="preserve"> SURVEY </w:t>
      </w:r>
    </w:p>
    <w:p w14:paraId="0845BFAB" w14:textId="1F51D151" w:rsidR="00977167" w:rsidRPr="002A6036" w:rsidRDefault="00E72D56" w:rsidP="00DB6578">
      <w:pPr>
        <w:pStyle w:val="TOC8"/>
        <w:tabs>
          <w:tab w:val="clear" w:pos="1872"/>
          <w:tab w:val="left" w:pos="1980"/>
        </w:tabs>
        <w:spacing w:after="120"/>
        <w:ind w:left="1980" w:hanging="1962"/>
        <w:rPr>
          <w:sz w:val="22"/>
          <w:szCs w:val="22"/>
        </w:rPr>
      </w:pPr>
      <w:r>
        <w:rPr>
          <w:sz w:val="22"/>
          <w:szCs w:val="22"/>
        </w:rPr>
        <w:t>ATTACHMENT E</w:t>
      </w:r>
      <w:r w:rsidR="00DB6578" w:rsidRPr="002A6036">
        <w:rPr>
          <w:sz w:val="22"/>
          <w:szCs w:val="22"/>
        </w:rPr>
        <w:t>:</w:t>
      </w:r>
      <w:r w:rsidR="00DB6578" w:rsidRPr="002A6036">
        <w:rPr>
          <w:sz w:val="22"/>
          <w:szCs w:val="22"/>
        </w:rPr>
        <w:tab/>
      </w:r>
      <w:r w:rsidR="00977167" w:rsidRPr="002A6036">
        <w:rPr>
          <w:sz w:val="22"/>
          <w:szCs w:val="22"/>
        </w:rPr>
        <w:t xml:space="preserve">CONFIDENTIALITY PLEDGE </w:t>
      </w:r>
    </w:p>
    <w:p w14:paraId="0845BFAC" w14:textId="114F5D69" w:rsidR="00977167" w:rsidRDefault="00E72D56" w:rsidP="00DB6578">
      <w:pPr>
        <w:pStyle w:val="TOC8"/>
        <w:tabs>
          <w:tab w:val="clear" w:pos="1872"/>
          <w:tab w:val="left" w:pos="1980"/>
        </w:tabs>
        <w:spacing w:after="120"/>
        <w:ind w:left="1980" w:hanging="1962"/>
        <w:rPr>
          <w:sz w:val="22"/>
          <w:szCs w:val="22"/>
        </w:rPr>
      </w:pPr>
      <w:r>
        <w:rPr>
          <w:sz w:val="22"/>
          <w:szCs w:val="22"/>
        </w:rPr>
        <w:t>ATTACHMENT F</w:t>
      </w:r>
      <w:r w:rsidR="00DB6578" w:rsidRPr="002A6036">
        <w:rPr>
          <w:sz w:val="22"/>
          <w:szCs w:val="22"/>
        </w:rPr>
        <w:t>:</w:t>
      </w:r>
      <w:r w:rsidR="00DB6578" w:rsidRPr="002A6036">
        <w:rPr>
          <w:sz w:val="22"/>
          <w:szCs w:val="22"/>
        </w:rPr>
        <w:tab/>
      </w:r>
      <w:r w:rsidR="00977167" w:rsidRPr="002A6036">
        <w:rPr>
          <w:sz w:val="22"/>
          <w:szCs w:val="22"/>
        </w:rPr>
        <w:t>ANALYSIS PLAN</w:t>
      </w:r>
    </w:p>
    <w:p w14:paraId="61B7E153" w14:textId="78DB034A" w:rsidR="006C6AF9" w:rsidRDefault="006C6AF9" w:rsidP="006C6AF9">
      <w:pPr>
        <w:pStyle w:val="TOC8"/>
        <w:tabs>
          <w:tab w:val="clear" w:pos="1872"/>
          <w:tab w:val="left" w:pos="1980"/>
        </w:tabs>
        <w:spacing w:after="120"/>
        <w:ind w:left="1980" w:hanging="1962"/>
        <w:rPr>
          <w:sz w:val="22"/>
          <w:szCs w:val="22"/>
        </w:rPr>
      </w:pPr>
      <w:r>
        <w:rPr>
          <w:sz w:val="22"/>
          <w:szCs w:val="22"/>
        </w:rPr>
        <w:t>ATTACHMENT G</w:t>
      </w:r>
      <w:r w:rsidRPr="002A6036">
        <w:rPr>
          <w:sz w:val="22"/>
          <w:szCs w:val="22"/>
        </w:rPr>
        <w:t>:</w:t>
      </w:r>
      <w:r w:rsidRPr="002A6036">
        <w:rPr>
          <w:sz w:val="22"/>
          <w:szCs w:val="22"/>
        </w:rPr>
        <w:tab/>
      </w:r>
      <w:r>
        <w:rPr>
          <w:sz w:val="22"/>
          <w:szCs w:val="22"/>
        </w:rPr>
        <w:t>PRETEST MEMO</w:t>
      </w:r>
    </w:p>
    <w:p w14:paraId="0BB93620" w14:textId="7FB53FD9" w:rsidR="00AC6742" w:rsidRPr="00AC6742" w:rsidRDefault="00AC6742" w:rsidP="00AC6742">
      <w:pPr>
        <w:ind w:firstLine="0"/>
      </w:pPr>
      <w:r>
        <w:rPr>
          <w:rFonts w:ascii="Arial" w:hAnsi="Arial" w:cs="Arial"/>
          <w:sz w:val="22"/>
          <w:szCs w:val="22"/>
        </w:rPr>
        <w:t>ATTACHMENT H:    PAF 12-MONTH FOLLOW UP 60-DAY FRN</w:t>
      </w:r>
    </w:p>
    <w:p w14:paraId="780FDF79" w14:textId="77777777" w:rsidR="006C6AF9" w:rsidRPr="00976BB5" w:rsidRDefault="006C6AF9" w:rsidP="006C6AF9"/>
    <w:p w14:paraId="0A417A0C" w14:textId="77777777" w:rsidR="00E72D56" w:rsidRDefault="00E72D56" w:rsidP="00977167">
      <w:pPr>
        <w:spacing w:after="120" w:line="240" w:lineRule="auto"/>
        <w:jc w:val="left"/>
        <w:rPr>
          <w:rFonts w:ascii="Lucida Sans" w:hAnsi="Lucida Sans"/>
        </w:rPr>
      </w:pPr>
    </w:p>
    <w:p w14:paraId="6D9D141D" w14:textId="03A77A1F" w:rsidR="00994024" w:rsidRPr="00994024" w:rsidRDefault="00994024" w:rsidP="00994024">
      <w:pPr>
        <w:spacing w:after="120" w:line="240" w:lineRule="auto"/>
        <w:ind w:firstLine="0"/>
        <w:jc w:val="center"/>
        <w:rPr>
          <w:rFonts w:ascii="Arial" w:hAnsi="Arial" w:cs="Arial"/>
          <w:b/>
        </w:rPr>
      </w:pPr>
      <w:r>
        <w:rPr>
          <w:rFonts w:ascii="Arial" w:hAnsi="Arial" w:cs="Arial"/>
          <w:b/>
        </w:rPr>
        <w:t>INSTRUMENTS</w:t>
      </w:r>
    </w:p>
    <w:p w14:paraId="5029FB47" w14:textId="77777777" w:rsidR="00994024" w:rsidRDefault="00994024" w:rsidP="00977167">
      <w:pPr>
        <w:spacing w:after="120" w:line="240" w:lineRule="auto"/>
        <w:jc w:val="left"/>
        <w:rPr>
          <w:rFonts w:ascii="Lucida Sans" w:hAnsi="Lucida Sans"/>
        </w:rPr>
      </w:pPr>
    </w:p>
    <w:p w14:paraId="4F438285" w14:textId="502ED409" w:rsidR="00994024" w:rsidRPr="00994024" w:rsidRDefault="00994024" w:rsidP="00994024">
      <w:pPr>
        <w:spacing w:after="120" w:line="240" w:lineRule="auto"/>
        <w:ind w:firstLine="0"/>
        <w:jc w:val="left"/>
        <w:rPr>
          <w:rFonts w:ascii="Arial" w:hAnsi="Arial" w:cs="Arial"/>
          <w:caps/>
          <w:sz w:val="22"/>
          <w:szCs w:val="22"/>
        </w:rPr>
      </w:pPr>
      <w:r w:rsidRPr="00994024">
        <w:rPr>
          <w:rFonts w:ascii="Arial" w:hAnsi="Arial" w:cs="Arial"/>
          <w:caps/>
          <w:sz w:val="22"/>
          <w:szCs w:val="22"/>
        </w:rPr>
        <w:t>Instrument 1:</w:t>
      </w:r>
      <w:r w:rsidRPr="00994024">
        <w:rPr>
          <w:rFonts w:ascii="Arial" w:hAnsi="Arial" w:cs="Arial"/>
          <w:caps/>
          <w:sz w:val="22"/>
          <w:szCs w:val="22"/>
        </w:rPr>
        <w:tab/>
      </w:r>
      <w:r w:rsidR="00FE46C2">
        <w:rPr>
          <w:rFonts w:ascii="Arial" w:hAnsi="Arial" w:cs="Arial"/>
          <w:caps/>
          <w:sz w:val="22"/>
          <w:szCs w:val="22"/>
        </w:rPr>
        <w:t xml:space="preserve">    </w:t>
      </w:r>
      <w:r w:rsidRPr="00994024">
        <w:rPr>
          <w:rFonts w:ascii="Arial" w:hAnsi="Arial" w:cs="Arial"/>
          <w:caps/>
          <w:sz w:val="22"/>
          <w:szCs w:val="22"/>
        </w:rPr>
        <w:t>PAF 12-MONTH FOLLOW-UP sURVEY: cALIFORNIA</w:t>
      </w:r>
    </w:p>
    <w:p w14:paraId="0845BFB0" w14:textId="0866C549" w:rsidR="00977167" w:rsidRPr="002A6036" w:rsidRDefault="00994024" w:rsidP="005B384F">
      <w:pPr>
        <w:spacing w:after="120" w:line="240" w:lineRule="auto"/>
        <w:ind w:firstLine="0"/>
        <w:jc w:val="left"/>
        <w:rPr>
          <w:rFonts w:eastAsia="Calibri"/>
        </w:rPr>
        <w:sectPr w:rsidR="00977167" w:rsidRPr="002A6036" w:rsidSect="007764EE">
          <w:headerReference w:type="default" r:id="rId12"/>
          <w:footerReference w:type="default" r:id="rId13"/>
          <w:endnotePr>
            <w:numFmt w:val="decimal"/>
          </w:endnotePr>
          <w:pgSz w:w="12240" w:h="15840" w:code="1"/>
          <w:pgMar w:top="1440" w:right="1440" w:bottom="576" w:left="1440" w:header="720" w:footer="576" w:gutter="0"/>
          <w:pgNumType w:fmt="lowerRoman" w:start="3"/>
          <w:cols w:space="720"/>
          <w:docGrid w:linePitch="326"/>
        </w:sectPr>
      </w:pPr>
      <w:r w:rsidRPr="00994024">
        <w:rPr>
          <w:rFonts w:ascii="Arial" w:hAnsi="Arial" w:cs="Arial"/>
          <w:caps/>
          <w:sz w:val="22"/>
          <w:szCs w:val="22"/>
        </w:rPr>
        <w:t>Instrument 2:</w:t>
      </w:r>
      <w:r w:rsidRPr="00994024">
        <w:rPr>
          <w:rFonts w:ascii="Arial" w:hAnsi="Arial" w:cs="Arial"/>
          <w:caps/>
          <w:sz w:val="22"/>
          <w:szCs w:val="22"/>
        </w:rPr>
        <w:tab/>
        <w:t xml:space="preserve">    PAF 12-MONTH FOLLOW-UP sURVEY: TEXAS</w:t>
      </w:r>
    </w:p>
    <w:p w14:paraId="0845BFB1" w14:textId="1AB91A36" w:rsidR="00977167" w:rsidRPr="002A6036" w:rsidRDefault="00DB6578" w:rsidP="00977167">
      <w:pPr>
        <w:pStyle w:val="Heading1Black"/>
        <w:rPr>
          <w:rFonts w:eastAsia="Calibri"/>
        </w:rPr>
      </w:pPr>
      <w:bookmarkStart w:id="19" w:name="_Toc396921846"/>
      <w:r w:rsidRPr="002A6036">
        <w:rPr>
          <w:rFonts w:eastAsia="Calibri"/>
          <w:caps w:val="0"/>
        </w:rPr>
        <w:lastRenderedPageBreak/>
        <w:t>PART B</w:t>
      </w:r>
      <w:bookmarkEnd w:id="19"/>
      <w:r w:rsidRPr="002A6036">
        <w:rPr>
          <w:rFonts w:eastAsia="Calibri"/>
          <w:caps w:val="0"/>
        </w:rPr>
        <w:t xml:space="preserve"> </w:t>
      </w:r>
      <w:bookmarkEnd w:id="0"/>
      <w:bookmarkEnd w:id="1"/>
      <w:r w:rsidR="00D46217">
        <w:rPr>
          <w:rFonts w:eastAsia="Calibri"/>
          <w:caps w:val="0"/>
        </w:rPr>
        <w:t>INTRODUCTION</w:t>
      </w:r>
    </w:p>
    <w:p w14:paraId="2E17D19F" w14:textId="14C46A66" w:rsidR="00D46217" w:rsidRPr="00903ABB" w:rsidRDefault="00D46217" w:rsidP="00D46217">
      <w:pPr>
        <w:pStyle w:val="NormalSS"/>
      </w:pPr>
      <w:bookmarkStart w:id="20" w:name="_Toc320884919"/>
      <w:bookmarkStart w:id="21" w:name="_Toc324845910"/>
      <w:bookmarkStart w:id="22" w:name="_Toc396921847"/>
      <w:r w:rsidRPr="00903ABB">
        <w:t>In March 2010, Congress authorized the Pregnancy Assistance Fund Competitive Grants Program as part of the Patient Protection and Affordable Care Act (ACA). The grant</w:t>
      </w:r>
      <w:r>
        <w:t>s</w:t>
      </w:r>
      <w:r w:rsidRPr="00903ABB">
        <w:t xml:space="preserve"> program is a key element of the federal strategy to support </w:t>
      </w:r>
      <w:r>
        <w:t>youth</w:t>
      </w:r>
      <w:r w:rsidRPr="00903ABB">
        <w:t xml:space="preserve"> and young adults who are having or raising a child. Administered by the Office of Adolescent Health (OAH), the grant</w:t>
      </w:r>
      <w:r>
        <w:t>s</w:t>
      </w:r>
      <w:r w:rsidRPr="00903ABB">
        <w:t xml:space="preserve"> program funded a second cohort of 17 grantees—states, tribes, and tribal entities—in summer 2013 to develop and implement programs focused on an array of outcomes, including increasing access to and completion of secondary and postsecondary education, improving child and maternal health, reducing the likelihood of repeat teen pregnancies, increasing parenting and co-parenting skills, decreasing intimate partner violence, and raising awareness of available resources. To promote positive outcomes, grantees may implement a wide variety of services for expectant and parenting </w:t>
      </w:r>
      <w:r>
        <w:t>youth</w:t>
      </w:r>
      <w:r w:rsidRPr="00903ABB">
        <w:t xml:space="preserve">, women, fathers, and their families. </w:t>
      </w:r>
      <w:r>
        <w:t>OAH’s continued investment in programs for expectant and parenting youth has led to their request for a rigorous impact and implementation study of such programs, and they have contracted with Mathematica Policy Research to conduct the</w:t>
      </w:r>
      <w:r w:rsidR="00E25543">
        <w:t xml:space="preserve"> Pregnancy Assistance Fund Study</w:t>
      </w:r>
      <w:r>
        <w:t>.</w:t>
      </w:r>
    </w:p>
    <w:p w14:paraId="62D18EC3" w14:textId="77777777" w:rsidR="00D46217" w:rsidRPr="00C4138B" w:rsidRDefault="00D46217" w:rsidP="00D46217">
      <w:pPr>
        <w:pStyle w:val="NormalSS"/>
      </w:pPr>
      <w:r w:rsidRPr="00C4138B">
        <w:t xml:space="preserve">Preliminary </w:t>
      </w:r>
      <w:r>
        <w:t>PAF Study</w:t>
      </w:r>
      <w:r w:rsidRPr="00C4138B">
        <w:t xml:space="preserve"> efforts, including </w:t>
      </w:r>
      <w:r>
        <w:t xml:space="preserve">study design and </w:t>
      </w:r>
      <w:r w:rsidRPr="00C4138B">
        <w:t xml:space="preserve">instrument development, </w:t>
      </w:r>
      <w:r>
        <w:t>are being</w:t>
      </w:r>
      <w:r w:rsidRPr="00C4138B">
        <w:t xml:space="preserve"> conducted through </w:t>
      </w:r>
      <w:r>
        <w:t>a</w:t>
      </w:r>
      <w:r w:rsidRPr="00C4138B">
        <w:t xml:space="preserve"> Feasibility and Design Study (FADS). The purpose of the FADS is to design rigorous impact evaluations in three sites</w:t>
      </w:r>
      <w:r>
        <w:t xml:space="preserve"> that serve pregnant and parenting youth (including Pregnancy Assistance Fund grantees)</w:t>
      </w:r>
      <w:r w:rsidRPr="00C4138B">
        <w:t>, develop data collection materials for all aspects of a</w:t>
      </w:r>
      <w:r>
        <w:t xml:space="preserve">n </w:t>
      </w:r>
      <w:r w:rsidRPr="00C4138B">
        <w:t xml:space="preserve">evaluation, and conduct telephone interviews with grantees about the program design decisions and early implementation experiences. Information collected through the FADS will also be used to provide funding agencies with information to inform the structure and components of programs for expectant and parenting </w:t>
      </w:r>
      <w:r>
        <w:t>youth</w:t>
      </w:r>
      <w:r w:rsidRPr="00C4138B">
        <w:t xml:space="preserve"> and their families, so that </w:t>
      </w:r>
      <w:r>
        <w:t>the five-year PAF</w:t>
      </w:r>
      <w:r w:rsidRPr="00C4138B">
        <w:t xml:space="preserve"> </w:t>
      </w:r>
      <w:r>
        <w:t>Study</w:t>
      </w:r>
      <w:r w:rsidRPr="00C4138B">
        <w:t xml:space="preserve"> will be possible. </w:t>
      </w:r>
    </w:p>
    <w:p w14:paraId="1C5EAC0E" w14:textId="5941788F" w:rsidR="00D46217" w:rsidRDefault="00D46217" w:rsidP="00D46217">
      <w:pPr>
        <w:pStyle w:val="NormalSS"/>
      </w:pPr>
      <w:r w:rsidRPr="00687F29">
        <w:t xml:space="preserve">The objective of the </w:t>
      </w:r>
      <w:r w:rsidRPr="00903ABB">
        <w:t xml:space="preserve">FADS is to </w:t>
      </w:r>
      <w:r w:rsidRPr="00687F29">
        <w:t xml:space="preserve">establish a foundation for </w:t>
      </w:r>
      <w:r>
        <w:t>the PAF</w:t>
      </w:r>
      <w:r w:rsidRPr="00687F29">
        <w:t xml:space="preserve"> </w:t>
      </w:r>
      <w:r>
        <w:t>Study</w:t>
      </w:r>
      <w:r w:rsidR="00D52A8C">
        <w:t>’s</w:t>
      </w:r>
      <w:r>
        <w:t xml:space="preserve"> </w:t>
      </w:r>
      <w:r w:rsidRPr="00687F29">
        <w:t>rigorous impact and implementation evaluation. Specifically, FADS will</w:t>
      </w:r>
      <w:r w:rsidRPr="00903ABB">
        <w:t>: (1) assess design options for implementation and impact evaluation, (2) document how  programs are operationalized in the field, (3) identify and enter into agreements with three sites for the evaluation, (4) provide assistance to sites to support a rigorous evaluation framework, (5) develop all evaluation</w:t>
      </w:r>
      <w:r>
        <w:t xml:space="preserve"> </w:t>
      </w:r>
      <w:r w:rsidRPr="00903ABB">
        <w:t>instruments and obtain clearance, and (6) pilot baseline data collection</w:t>
      </w:r>
      <w:r>
        <w:t xml:space="preserve">. Attachment A provides an overview of the components of the PAF Study, which the FADS work is supporting. </w:t>
      </w:r>
      <w:r w:rsidR="005B384F">
        <w:t>Attachment A contains a description of the three sites: experimental design studies in California and Texas and a quasi-experimental study relying on extant administrative records in Washington, DC.</w:t>
      </w:r>
    </w:p>
    <w:p w14:paraId="76FB470F" w14:textId="77777777" w:rsidR="00D46217" w:rsidRDefault="00D46217" w:rsidP="00D46217">
      <w:pPr>
        <w:pStyle w:val="NormalSS"/>
      </w:pPr>
      <w:r w:rsidRPr="000E4D61">
        <w:rPr>
          <w:b/>
        </w:rPr>
        <w:t>P</w:t>
      </w:r>
      <w:r>
        <w:rPr>
          <w:b/>
        </w:rPr>
        <w:t>revious</w:t>
      </w:r>
      <w:r w:rsidRPr="000E4D61">
        <w:rPr>
          <w:b/>
        </w:rPr>
        <w:t xml:space="preserve"> I</w:t>
      </w:r>
      <w:r>
        <w:rPr>
          <w:b/>
        </w:rPr>
        <w:t>nformation Clearance Request</w:t>
      </w:r>
      <w:r w:rsidRPr="000E4D61">
        <w:rPr>
          <w:b/>
        </w:rPr>
        <w:t>s Approved by OMB.</w:t>
      </w:r>
      <w:r>
        <w:t xml:space="preserve"> OMB has previously approved one ICR related to this evaluation (ICR #</w:t>
      </w:r>
      <w:r>
        <w:rPr>
          <w:rFonts w:ascii="ArialMT" w:hAnsi="ArialMT" w:cs="ArialMT"/>
          <w:sz w:val="20"/>
          <w:szCs w:val="20"/>
        </w:rPr>
        <w:t>201406-0990-001)</w:t>
      </w:r>
      <w:r>
        <w:t>:</w:t>
      </w:r>
    </w:p>
    <w:p w14:paraId="20E21093" w14:textId="77777777" w:rsidR="00D46217" w:rsidRDefault="00D46217" w:rsidP="00D46217">
      <w:pPr>
        <w:pStyle w:val="BulletBlack"/>
      </w:pPr>
      <w:r>
        <w:t>August 30, 2014  – OMB approved</w:t>
      </w:r>
      <w:r w:rsidRPr="007A5EB7">
        <w:t xml:space="preserve"> </w:t>
      </w:r>
      <w:r>
        <w:t xml:space="preserve">the instruments associated with </w:t>
      </w:r>
      <w:r w:rsidRPr="007A5EB7">
        <w:t xml:space="preserve">two </w:t>
      </w:r>
      <w:r>
        <w:t xml:space="preserve">data collection efforts: (1) telephone interviews with all 17 current Pregnancy Assistance Fund grantees; </w:t>
      </w:r>
      <w:r w:rsidRPr="007A5EB7">
        <w:t xml:space="preserve">and (2) collection of baseline data for the </w:t>
      </w:r>
      <w:r>
        <w:t xml:space="preserve">impact study in two sites through a baseline survey (OMB Control # </w:t>
      </w:r>
      <w:r>
        <w:rPr>
          <w:rFonts w:ascii="ArialMT" w:hAnsi="ArialMT" w:cs="ArialMT"/>
          <w:sz w:val="20"/>
          <w:szCs w:val="20"/>
        </w:rPr>
        <w:t>0990-0424</w:t>
      </w:r>
      <w:r>
        <w:t xml:space="preserve">). </w:t>
      </w:r>
      <w:r w:rsidRPr="009121FB">
        <w:t xml:space="preserve"> </w:t>
      </w:r>
    </w:p>
    <w:p w14:paraId="1BA29047" w14:textId="2E582772" w:rsidR="00D46217" w:rsidRDefault="00D46217" w:rsidP="00D46217">
      <w:pPr>
        <w:pStyle w:val="NormalSS"/>
      </w:pPr>
      <w:r w:rsidRPr="000E4D61">
        <w:rPr>
          <w:b/>
        </w:rPr>
        <w:t>Current Information Clearance Request</w:t>
      </w:r>
      <w:r w:rsidRPr="000252DC">
        <w:rPr>
          <w:b/>
        </w:rPr>
        <w:t>.</w:t>
      </w:r>
      <w:r w:rsidRPr="000252DC">
        <w:t xml:space="preserve"> </w:t>
      </w:r>
      <w:r w:rsidR="00B63D15" w:rsidRPr="00CD5336">
        <w:t xml:space="preserve">In this submission, OAH is requesting a revision to the existing approval to add the 12-month follow-up survey instruments to be used in the two impact sites: </w:t>
      </w:r>
      <w:r>
        <w:t xml:space="preserve">(1) </w:t>
      </w:r>
      <w:r w:rsidR="00EF6482">
        <w:t>Pregnancy Assistance Fund</w:t>
      </w:r>
      <w:r>
        <w:t xml:space="preserve"> 12-Month Follow Up Survey – California (Instrument 1), and (2)</w:t>
      </w:r>
      <w:r w:rsidRPr="00814630">
        <w:t xml:space="preserve"> </w:t>
      </w:r>
      <w:r w:rsidR="00EF6482">
        <w:t xml:space="preserve">Pregnancy Assistance Fund </w:t>
      </w:r>
      <w:r w:rsidRPr="00814630">
        <w:t xml:space="preserve">12-Month Follow Up Survey – </w:t>
      </w:r>
      <w:r>
        <w:t xml:space="preserve">Texas (Instrument 2). These surveys are very similar to the baseline survey approved for this evaluation, and the two are nearly identical, except for some minor differences to reflect differences in the interventions. The </w:t>
      </w:r>
      <w:r>
        <w:lastRenderedPageBreak/>
        <w:t xml:space="preserve">California survey contains additional items to measure changes in youth resiliency, a primary focus of the program in California. The Texas survey does not contain such resiliency items, but does contain items measuring parenting and relationship skills, a focus of the program in Texas. </w:t>
      </w:r>
    </w:p>
    <w:p w14:paraId="6541F927" w14:textId="4B8DAD80" w:rsidR="00746C0A" w:rsidRDefault="00977167" w:rsidP="007B41F6">
      <w:pPr>
        <w:pStyle w:val="Heading2Black"/>
      </w:pPr>
      <w:r w:rsidRPr="002A6036">
        <w:t>B1.</w:t>
      </w:r>
      <w:r w:rsidRPr="002A6036">
        <w:tab/>
        <w:t>Respondent Universe and Sampling Methods</w:t>
      </w:r>
      <w:bookmarkEnd w:id="20"/>
      <w:bookmarkEnd w:id="21"/>
      <w:bookmarkEnd w:id="22"/>
    </w:p>
    <w:p w14:paraId="02552BEC" w14:textId="17A26B9A" w:rsidR="00746C0A" w:rsidRPr="00AF3C39" w:rsidRDefault="00ED6419" w:rsidP="00746C0A">
      <w:pPr>
        <w:pStyle w:val="NormalSS"/>
      </w:pPr>
      <w:r w:rsidRPr="00ED6419">
        <w:t xml:space="preserve">There are three sites participating in the PAF Study. Two of these sites (California and Texas) will use an experimental design and primary data collection through surveys of youth, including the 12-month follow-up survey which is the focus of this ICR. </w:t>
      </w:r>
      <w:r w:rsidR="00746C0A">
        <w:t>O</w:t>
      </w:r>
      <w:r w:rsidR="00746C0A" w:rsidRPr="002A6036">
        <w:t xml:space="preserve">AH </w:t>
      </w:r>
      <w:r w:rsidR="00746C0A">
        <w:t>has selected</w:t>
      </w:r>
      <w:r w:rsidR="00746C0A" w:rsidRPr="002A6036">
        <w:t xml:space="preserve"> </w:t>
      </w:r>
      <w:r w:rsidR="00746C0A">
        <w:t>two</w:t>
      </w:r>
      <w:r w:rsidR="00746C0A" w:rsidRPr="002A6036">
        <w:t xml:space="preserve"> program sites to participate in an experimental </w:t>
      </w:r>
      <w:r w:rsidR="00746C0A">
        <w:t>impact study</w:t>
      </w:r>
      <w:r w:rsidR="00746C0A" w:rsidRPr="002A6036">
        <w:t xml:space="preserve">, one of which is a current </w:t>
      </w:r>
      <w:r w:rsidR="00746C0A">
        <w:t>Pregnancy Assistance Fund</w:t>
      </w:r>
      <w:r w:rsidR="00746C0A" w:rsidRPr="002A6036">
        <w:t xml:space="preserve"> grantee. </w:t>
      </w:r>
      <w:r w:rsidR="00746C0A">
        <w:t>OAH has selected a third program site to participate in a quasi-experimental design evaluation</w:t>
      </w:r>
      <w:r>
        <w:t xml:space="preserve">.  </w:t>
      </w:r>
      <w:r w:rsidR="00430463">
        <w:t>This</w:t>
      </w:r>
      <w:r w:rsidRPr="00ED6419">
        <w:t xml:space="preserve"> third site, in Washington, DC, will use a quasi-experimental design and rely on administrative data provided through data use agreements with three local public agencies. Youth will not be surveyed in Washington, DC.  </w:t>
      </w:r>
      <w:r w:rsidR="00746C0A" w:rsidRPr="002A6036">
        <w:t xml:space="preserve">The sites are not meant to be representative of </w:t>
      </w:r>
      <w:r w:rsidR="00746C0A">
        <w:t>all programs for expectant and parenting youth.</w:t>
      </w:r>
      <w:r w:rsidR="00746C0A" w:rsidRPr="002A6036">
        <w:t xml:space="preserve"> Site selection has focused on </w:t>
      </w:r>
      <w:r w:rsidR="00746C0A">
        <w:t>programs</w:t>
      </w:r>
      <w:r w:rsidR="00746C0A" w:rsidRPr="002A6036">
        <w:t xml:space="preserve"> that (1) are large enough to support an impact study, (2) are implementing programs in a way that is amenable to random assignment</w:t>
      </w:r>
      <w:r w:rsidR="00746C0A">
        <w:t xml:space="preserve"> or a quasi-experimental design</w:t>
      </w:r>
      <w:r w:rsidR="00746C0A" w:rsidRPr="002A6036">
        <w:t xml:space="preserve">, and (3) address priority gaps in the existing research literature on evidence-based approaches to assist pregnant and parenting youth. </w:t>
      </w:r>
      <w:r w:rsidR="00746C0A">
        <w:t>The three study sites are described in detail in Appendix A, Overview of the PAF Study</w:t>
      </w:r>
      <w:r w:rsidR="00B05DAB">
        <w:t>. The sample size and statistical power for each site is described below. The sites will be analyzed separately, therefore statistical power analyses are reported separately.</w:t>
      </w:r>
    </w:p>
    <w:p w14:paraId="0845BFBF" w14:textId="4D06C3DE" w:rsidR="00187DEB" w:rsidRPr="002A6036" w:rsidRDefault="007B41F6" w:rsidP="00397CFE">
      <w:pPr>
        <w:pStyle w:val="NormalSS"/>
        <w:rPr>
          <w:color w:val="000000" w:themeColor="text1"/>
        </w:rPr>
      </w:pPr>
      <w:r>
        <w:rPr>
          <w:b/>
          <w:i/>
          <w:color w:val="000000" w:themeColor="text1"/>
        </w:rPr>
        <w:t xml:space="preserve">California. </w:t>
      </w:r>
      <w:r w:rsidR="00187DEB" w:rsidRPr="002A6036">
        <w:rPr>
          <w:color w:val="000000" w:themeColor="text1"/>
        </w:rPr>
        <w:t>The evaluation will involve 12 program providers across the state. Within two of the larger providers, approximately 750 expectant or parenting females will be randomly assigned</w:t>
      </w:r>
      <w:r w:rsidR="00BA06B5">
        <w:rPr>
          <w:color w:val="000000" w:themeColor="text1"/>
        </w:rPr>
        <w:t xml:space="preserve"> as individuals</w:t>
      </w:r>
      <w:r w:rsidR="00187DEB" w:rsidRPr="002A6036">
        <w:rPr>
          <w:color w:val="000000" w:themeColor="text1"/>
        </w:rPr>
        <w:t xml:space="preserve"> to either </w:t>
      </w:r>
      <w:r w:rsidR="00187DEB" w:rsidRPr="002A6036">
        <w:rPr>
          <w:i/>
          <w:color w:val="000000" w:themeColor="text1"/>
        </w:rPr>
        <w:t>AFLP</w:t>
      </w:r>
      <w:r w:rsidR="00187DEB" w:rsidRPr="002A6036">
        <w:rPr>
          <w:color w:val="000000" w:themeColor="text1"/>
        </w:rPr>
        <w:t xml:space="preserve"> </w:t>
      </w:r>
      <w:r w:rsidR="00BA06B5">
        <w:rPr>
          <w:color w:val="000000" w:themeColor="text1"/>
        </w:rPr>
        <w:t xml:space="preserve">(the business as usual condition) </w:t>
      </w:r>
      <w:r w:rsidR="00187DEB" w:rsidRPr="002A6036">
        <w:rPr>
          <w:color w:val="000000" w:themeColor="text1"/>
        </w:rPr>
        <w:t xml:space="preserve">or </w:t>
      </w:r>
      <w:r w:rsidR="00187DEB" w:rsidRPr="002A6036">
        <w:rPr>
          <w:i/>
          <w:color w:val="000000" w:themeColor="text1"/>
        </w:rPr>
        <w:t>AFLP-PYD</w:t>
      </w:r>
      <w:r w:rsidR="00BA06B5">
        <w:rPr>
          <w:color w:val="000000" w:themeColor="text1"/>
        </w:rPr>
        <w:t xml:space="preserve"> (the enhanced treatment condition).  </w:t>
      </w:r>
      <w:r w:rsidR="00187DEB" w:rsidRPr="002A6036">
        <w:rPr>
          <w:color w:val="000000" w:themeColor="text1"/>
        </w:rPr>
        <w:t xml:space="preserve">Across the remaining 10 providers, we will assign clusters to either </w:t>
      </w:r>
      <w:r w:rsidR="00187DEB" w:rsidRPr="002A6036">
        <w:rPr>
          <w:i/>
          <w:color w:val="000000" w:themeColor="text1"/>
        </w:rPr>
        <w:t>AFLP</w:t>
      </w:r>
      <w:r w:rsidR="00187DEB" w:rsidRPr="002A6036">
        <w:rPr>
          <w:color w:val="000000" w:themeColor="text1"/>
        </w:rPr>
        <w:t xml:space="preserve"> or </w:t>
      </w:r>
      <w:r w:rsidR="00187DEB" w:rsidRPr="002A6036">
        <w:rPr>
          <w:i/>
          <w:color w:val="000000" w:themeColor="text1"/>
        </w:rPr>
        <w:t>AFLP-PYD</w:t>
      </w:r>
      <w:r w:rsidR="00187DEB" w:rsidRPr="002A6036">
        <w:rPr>
          <w:color w:val="000000" w:themeColor="text1"/>
        </w:rPr>
        <w:t xml:space="preserve">. A cluster may be an entire provider (for example, among the smallest providers), or specific geographic locations served by larger providers. We expect to randomize a total of 14 clusters, and enroll approximately another 800 expectant and parenting females across them.  Sample enrollment will occur over an 18-month period. </w:t>
      </w:r>
    </w:p>
    <w:p w14:paraId="0845BFC1" w14:textId="0241CA62" w:rsidR="00187DEB" w:rsidRPr="002A6036" w:rsidRDefault="00187DEB" w:rsidP="00397CFE">
      <w:pPr>
        <w:pStyle w:val="NormalSS"/>
        <w:rPr>
          <w:color w:val="000000" w:themeColor="text1"/>
        </w:rPr>
      </w:pPr>
      <w:r w:rsidRPr="002A6036">
        <w:rPr>
          <w:color w:val="000000" w:themeColor="text1"/>
        </w:rPr>
        <w:t>Youth will be surveyed three times – at the time of study enrollment (baseline</w:t>
      </w:r>
      <w:r w:rsidR="00D036FF">
        <w:rPr>
          <w:color w:val="000000" w:themeColor="text1"/>
        </w:rPr>
        <w:t xml:space="preserve"> survey, previously approved </w:t>
      </w:r>
      <w:r w:rsidR="00D036FF" w:rsidRPr="00E61697">
        <w:rPr>
          <w:color w:val="000000" w:themeColor="text1"/>
        </w:rPr>
        <w:t xml:space="preserve">under OMB Control # </w:t>
      </w:r>
      <w:r w:rsidR="00B36D0A">
        <w:rPr>
          <w:color w:val="000000" w:themeColor="text1"/>
        </w:rPr>
        <w:t>0990-0424</w:t>
      </w:r>
      <w:r w:rsidRPr="00E61697">
        <w:rPr>
          <w:color w:val="000000" w:themeColor="text1"/>
        </w:rPr>
        <w:t>),</w:t>
      </w:r>
      <w:r w:rsidRPr="002A6036">
        <w:rPr>
          <w:color w:val="000000" w:themeColor="text1"/>
        </w:rPr>
        <w:t xml:space="preserve"> 12-months later, and 24-months later.</w:t>
      </w:r>
      <w:r w:rsidRPr="002A6036">
        <w:rPr>
          <w:rStyle w:val="FootnoteReference"/>
          <w:color w:val="000000" w:themeColor="text1"/>
        </w:rPr>
        <w:footnoteReference w:id="2"/>
      </w:r>
      <w:r w:rsidRPr="002A6036">
        <w:rPr>
          <w:color w:val="000000" w:themeColor="text1"/>
        </w:rPr>
        <w:t xml:space="preserve"> The primary mode of survey completion for </w:t>
      </w:r>
      <w:r w:rsidR="00D036FF">
        <w:rPr>
          <w:color w:val="000000" w:themeColor="text1"/>
        </w:rPr>
        <w:t xml:space="preserve">the 12-month follow-up survey, the focus of this ICR, </w:t>
      </w:r>
      <w:r w:rsidR="00BA06B5">
        <w:rPr>
          <w:color w:val="000000" w:themeColor="text1"/>
        </w:rPr>
        <w:t>will be a</w:t>
      </w:r>
      <w:r w:rsidR="00D036FF">
        <w:rPr>
          <w:color w:val="000000" w:themeColor="text1"/>
        </w:rPr>
        <w:t xml:space="preserve"> web survey.  Nonrespondents to the web survey will be given an opportunity to complete the survey using CATI. </w:t>
      </w:r>
    </w:p>
    <w:p w14:paraId="0845BFC2" w14:textId="02E6C86C" w:rsidR="00187DEB" w:rsidRPr="002A6036" w:rsidRDefault="00187DEB" w:rsidP="00397CFE">
      <w:pPr>
        <w:pStyle w:val="NormalSS"/>
        <w:rPr>
          <w:color w:val="000000" w:themeColor="text1"/>
        </w:rPr>
      </w:pPr>
      <w:r w:rsidRPr="006434F5">
        <w:t xml:space="preserve">An overall impact will be calculated as a weighted average of the impacts from the two designs. We will use inverse variance weights in our benchmark analysis and sample size weights as a sensitivity analysis. </w:t>
      </w:r>
      <w:r w:rsidRPr="006434F5">
        <w:rPr>
          <w:color w:val="000000" w:themeColor="text1"/>
        </w:rPr>
        <w:t xml:space="preserve"> At the time of the </w:t>
      </w:r>
      <w:r w:rsidR="00D036FF" w:rsidRPr="006434F5">
        <w:rPr>
          <w:color w:val="000000" w:themeColor="text1"/>
        </w:rPr>
        <w:t>12</w:t>
      </w:r>
      <w:r w:rsidRPr="006434F5">
        <w:rPr>
          <w:color w:val="000000" w:themeColor="text1"/>
        </w:rPr>
        <w:t xml:space="preserve">-month follow-up, we expect to retain </w:t>
      </w:r>
      <w:r w:rsidR="00E45733" w:rsidRPr="006434F5">
        <w:rPr>
          <w:color w:val="000000" w:themeColor="text1"/>
        </w:rPr>
        <w:t>90</w:t>
      </w:r>
      <w:r w:rsidRPr="006434F5">
        <w:rPr>
          <w:color w:val="000000" w:themeColor="text1"/>
        </w:rPr>
        <w:t xml:space="preserve"> percent of the sample.  For a prevalence rate of 25 percent (such as a subsequent pregnancy during the follow-up period), we can detect a </w:t>
      </w:r>
      <w:r w:rsidR="006434F5" w:rsidRPr="006434F5">
        <w:rPr>
          <w:color w:val="000000" w:themeColor="text1"/>
        </w:rPr>
        <w:t>6.7</w:t>
      </w:r>
      <w:r w:rsidRPr="006434F5">
        <w:rPr>
          <w:color w:val="000000" w:themeColor="text1"/>
        </w:rPr>
        <w:t xml:space="preserve"> percentage point difference between the two groups; and, for a prevalence rate of 50 percent (such as receiving a diploma during the follow-up period), we can detect a </w:t>
      </w:r>
      <w:r w:rsidR="006434F5" w:rsidRPr="006434F5">
        <w:rPr>
          <w:color w:val="000000" w:themeColor="text1"/>
        </w:rPr>
        <w:t>8.3</w:t>
      </w:r>
      <w:r w:rsidRPr="006434F5">
        <w:rPr>
          <w:color w:val="000000" w:themeColor="text1"/>
        </w:rPr>
        <w:t xml:space="preserve"> percentage point difference between the two groups. Examining impacts by particular sub-groups (such as whether expecting or parenting at program enrollment, or whether primary </w:t>
      </w:r>
      <w:r w:rsidRPr="006434F5">
        <w:rPr>
          <w:color w:val="000000" w:themeColor="text1"/>
        </w:rPr>
        <w:lastRenderedPageBreak/>
        <w:t>language is English or Spanish) will be considered exploratory, as the study is not considered sufficiently powered to detect</w:t>
      </w:r>
      <w:r w:rsidRPr="002A6036">
        <w:rPr>
          <w:color w:val="000000" w:themeColor="text1"/>
        </w:rPr>
        <w:t xml:space="preserve"> impacts on those samples.</w:t>
      </w:r>
      <w:r w:rsidR="00397CFE" w:rsidRPr="002A6036">
        <w:rPr>
          <w:color w:val="000000" w:themeColor="text1"/>
        </w:rPr>
        <w:t xml:space="preserve">  Given the risk profile of the population, the findings from this study will have policy relevance for the field without sub-group analysis.</w:t>
      </w:r>
      <w:r w:rsidRPr="002A6036">
        <w:rPr>
          <w:color w:val="000000" w:themeColor="text1"/>
        </w:rPr>
        <w:t xml:space="preserve"> </w:t>
      </w:r>
    </w:p>
    <w:p w14:paraId="0845BFC3" w14:textId="77777777" w:rsidR="00E15EBE" w:rsidRPr="002A6036" w:rsidRDefault="00E15EBE" w:rsidP="00E15EBE">
      <w:pPr>
        <w:spacing w:before="100" w:beforeAutospacing="1" w:after="320" w:line="240" w:lineRule="auto"/>
        <w:ind w:firstLine="576"/>
      </w:pPr>
      <w:r w:rsidRPr="002A6036">
        <w:t xml:space="preserve">Table B1.1 reports minimum detectible impacts on two illustrative outcomes—one with 50 percent prevalence and one with 25 percent prevalence. Separate estimates are presented for the two components of the evaluation (individual randomization and cluster randomization) as well as for the overall study (in which the overall impact is calculated as </w:t>
      </w:r>
      <w:r w:rsidR="000F33F8" w:rsidRPr="002A6036">
        <w:t>a weighted</w:t>
      </w:r>
      <w:r w:rsidRPr="002A6036">
        <w:t xml:space="preserve"> average of the impacts from the two study components).</w:t>
      </w:r>
    </w:p>
    <w:p w14:paraId="0845BFC4" w14:textId="77777777" w:rsidR="00E15EBE" w:rsidRPr="002A6036" w:rsidRDefault="00E15EBE" w:rsidP="007E7BD0">
      <w:pPr>
        <w:pStyle w:val="MarkforTableHeading"/>
      </w:pPr>
      <w:bookmarkStart w:id="23" w:name="_Toc396896776"/>
      <w:r w:rsidRPr="002A6036">
        <w:t>Table B1.1. Minimum Detectible Impacts for California</w:t>
      </w:r>
      <w:bookmarkEnd w:id="23"/>
    </w:p>
    <w:tbl>
      <w:tblPr>
        <w:tblW w:w="5000" w:type="pct"/>
        <w:tblCellMar>
          <w:left w:w="0" w:type="dxa"/>
          <w:right w:w="0" w:type="dxa"/>
        </w:tblCellMar>
        <w:tblLook w:val="04A0" w:firstRow="1" w:lastRow="0" w:firstColumn="1" w:lastColumn="0" w:noHBand="0" w:noVBand="1"/>
      </w:tblPr>
      <w:tblGrid>
        <w:gridCol w:w="2805"/>
        <w:gridCol w:w="3385"/>
        <w:gridCol w:w="3386"/>
      </w:tblGrid>
      <w:tr w:rsidR="00E15EBE" w:rsidRPr="002A6036" w14:paraId="0845BFC7" w14:textId="77777777" w:rsidTr="00E15EBE">
        <w:tc>
          <w:tcPr>
            <w:tcW w:w="1450"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845BFC5" w14:textId="77777777" w:rsidR="00E15EBE" w:rsidRPr="002A6036" w:rsidRDefault="00E15EBE">
            <w:pPr>
              <w:spacing w:before="100" w:beforeAutospacing="1" w:after="60"/>
              <w:rPr>
                <w:rFonts w:ascii="Calibri" w:eastAsiaTheme="minorHAnsi" w:hAnsi="Calibri"/>
              </w:rPr>
            </w:pPr>
            <w:r w:rsidRPr="002A6036">
              <w:rPr>
                <w:rFonts w:ascii="Arial" w:hAnsi="Arial" w:cs="Arial"/>
                <w:sz w:val="18"/>
                <w:szCs w:val="18"/>
              </w:rPr>
              <w:t> </w:t>
            </w:r>
          </w:p>
        </w:tc>
        <w:tc>
          <w:tcPr>
            <w:tcW w:w="3500" w:type="pct"/>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845BFC6" w14:textId="77777777" w:rsidR="00E15EBE" w:rsidRPr="002A6036" w:rsidRDefault="00E15EBE">
            <w:pPr>
              <w:spacing w:before="100" w:beforeAutospacing="1" w:after="60"/>
              <w:jc w:val="center"/>
              <w:rPr>
                <w:rFonts w:ascii="Calibri" w:eastAsiaTheme="minorHAnsi" w:hAnsi="Calibri"/>
              </w:rPr>
            </w:pPr>
            <w:r w:rsidRPr="002A6036">
              <w:rPr>
                <w:rFonts w:ascii="Arial" w:hAnsi="Arial" w:cs="Arial"/>
                <w:b/>
                <w:bCs/>
                <w:sz w:val="18"/>
                <w:szCs w:val="18"/>
              </w:rPr>
              <w:t>Percentage Point Impacts for Illustrative Binary Outcomes</w:t>
            </w:r>
          </w:p>
        </w:tc>
      </w:tr>
      <w:tr w:rsidR="00E15EBE" w:rsidRPr="002A6036" w14:paraId="0845BFCB" w14:textId="77777777" w:rsidTr="00E15EBE">
        <w:tc>
          <w:tcPr>
            <w:tcW w:w="145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845BFC8" w14:textId="77777777" w:rsidR="00E15EBE" w:rsidRPr="002A6036" w:rsidRDefault="00E15EBE">
            <w:pPr>
              <w:spacing w:before="100" w:beforeAutospacing="1" w:after="60"/>
              <w:rPr>
                <w:rFonts w:ascii="Calibri" w:eastAsiaTheme="minorHAnsi" w:hAnsi="Calibri"/>
                <w:b/>
              </w:rPr>
            </w:pPr>
            <w:r w:rsidRPr="002A6036">
              <w:rPr>
                <w:rFonts w:ascii="Arial" w:hAnsi="Arial" w:cs="Arial"/>
                <w:b/>
                <w:sz w:val="18"/>
                <w:szCs w:val="18"/>
              </w:rPr>
              <w:t>Study Component</w:t>
            </w:r>
          </w:p>
        </w:tc>
        <w:tc>
          <w:tcPr>
            <w:tcW w:w="175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0845BFC9" w14:textId="77777777" w:rsidR="00E15EBE" w:rsidRPr="002A6036" w:rsidRDefault="00E15EBE">
            <w:pPr>
              <w:spacing w:before="100" w:beforeAutospacing="1" w:after="60"/>
              <w:jc w:val="center"/>
              <w:rPr>
                <w:rFonts w:ascii="Calibri" w:eastAsiaTheme="minorHAnsi" w:hAnsi="Calibri"/>
              </w:rPr>
            </w:pPr>
            <w:r w:rsidRPr="002A6036">
              <w:rPr>
                <w:rFonts w:ascii="Arial" w:hAnsi="Arial" w:cs="Arial"/>
                <w:b/>
                <w:bCs/>
                <w:sz w:val="18"/>
                <w:szCs w:val="18"/>
              </w:rPr>
              <w:t>50 percent prevalence rate</w:t>
            </w:r>
          </w:p>
        </w:tc>
        <w:tc>
          <w:tcPr>
            <w:tcW w:w="175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0845BFCA" w14:textId="77777777" w:rsidR="00E15EBE" w:rsidRPr="002A6036" w:rsidRDefault="00E15EBE">
            <w:pPr>
              <w:spacing w:before="100" w:beforeAutospacing="1" w:after="60"/>
              <w:jc w:val="center"/>
              <w:rPr>
                <w:rFonts w:ascii="Calibri" w:eastAsiaTheme="minorHAnsi" w:hAnsi="Calibri"/>
              </w:rPr>
            </w:pPr>
            <w:r w:rsidRPr="002A6036">
              <w:rPr>
                <w:rFonts w:ascii="Arial" w:hAnsi="Arial" w:cs="Arial"/>
                <w:b/>
                <w:bCs/>
                <w:sz w:val="18"/>
                <w:szCs w:val="18"/>
              </w:rPr>
              <w:t>25 percent prevalence rate</w:t>
            </w:r>
          </w:p>
        </w:tc>
      </w:tr>
      <w:tr w:rsidR="00E15EBE" w:rsidRPr="002A6036" w14:paraId="0845BFD0" w14:textId="77777777" w:rsidTr="00E15EBE">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845BFCC" w14:textId="77777777" w:rsidR="00E15EBE" w:rsidRPr="006434F5" w:rsidRDefault="00E15EBE" w:rsidP="00E15EBE">
            <w:pPr>
              <w:spacing w:before="100" w:beforeAutospacing="1" w:after="60"/>
              <w:ind w:firstLine="0"/>
              <w:rPr>
                <w:rFonts w:ascii="Arial" w:hAnsi="Arial" w:cs="Arial"/>
                <w:sz w:val="18"/>
                <w:szCs w:val="18"/>
              </w:rPr>
            </w:pPr>
            <w:r w:rsidRPr="006434F5">
              <w:rPr>
                <w:rFonts w:ascii="Arial" w:hAnsi="Arial" w:cs="Arial"/>
                <w:sz w:val="18"/>
                <w:szCs w:val="18"/>
              </w:rPr>
              <w:t xml:space="preserve">Individual Randomization </w:t>
            </w:r>
          </w:p>
          <w:p w14:paraId="0845BFCD" w14:textId="1E15BAB4" w:rsidR="00E15EBE" w:rsidRPr="006434F5" w:rsidRDefault="00E15EBE" w:rsidP="00E45733">
            <w:pPr>
              <w:spacing w:before="100" w:beforeAutospacing="1" w:after="60"/>
              <w:ind w:firstLine="0"/>
              <w:rPr>
                <w:rFonts w:ascii="Calibri" w:eastAsiaTheme="minorHAnsi" w:hAnsi="Calibri"/>
              </w:rPr>
            </w:pPr>
            <w:r w:rsidRPr="006434F5">
              <w:rPr>
                <w:rFonts w:ascii="Arial" w:hAnsi="Arial" w:cs="Arial"/>
                <w:sz w:val="18"/>
                <w:szCs w:val="18"/>
              </w:rPr>
              <w:t xml:space="preserve">(2 sites; </w:t>
            </w:r>
            <w:r w:rsidR="00E45733" w:rsidRPr="006434F5">
              <w:rPr>
                <w:rFonts w:ascii="Arial" w:hAnsi="Arial" w:cs="Arial"/>
                <w:sz w:val="18"/>
                <w:szCs w:val="18"/>
              </w:rPr>
              <w:t xml:space="preserve">675 </w:t>
            </w:r>
            <w:r w:rsidRPr="006434F5">
              <w:rPr>
                <w:rFonts w:ascii="Arial" w:hAnsi="Arial" w:cs="Arial"/>
                <w:sz w:val="18"/>
                <w:szCs w:val="18"/>
              </w:rPr>
              <w:t>youth)</w:t>
            </w:r>
          </w:p>
        </w:tc>
        <w:tc>
          <w:tcPr>
            <w:tcW w:w="17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45BFCE" w14:textId="29BF53BD" w:rsidR="00E15EBE" w:rsidRPr="006434F5" w:rsidRDefault="006434F5">
            <w:pPr>
              <w:spacing w:before="100" w:beforeAutospacing="1" w:after="60"/>
              <w:jc w:val="center"/>
              <w:rPr>
                <w:rFonts w:ascii="Arial" w:eastAsiaTheme="minorHAnsi" w:hAnsi="Arial" w:cs="Arial"/>
                <w:sz w:val="18"/>
                <w:szCs w:val="18"/>
              </w:rPr>
            </w:pPr>
            <w:r w:rsidRPr="006434F5">
              <w:rPr>
                <w:rFonts w:ascii="Arial" w:eastAsiaTheme="minorHAnsi" w:hAnsi="Arial" w:cs="Arial"/>
                <w:sz w:val="18"/>
                <w:szCs w:val="18"/>
              </w:rPr>
              <w:t>9.6</w:t>
            </w:r>
          </w:p>
        </w:tc>
        <w:tc>
          <w:tcPr>
            <w:tcW w:w="17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45BFCF" w14:textId="5B6750EA" w:rsidR="00E15EBE" w:rsidRPr="006434F5" w:rsidRDefault="006434F5">
            <w:pPr>
              <w:spacing w:before="100" w:beforeAutospacing="1" w:after="60"/>
              <w:jc w:val="center"/>
              <w:rPr>
                <w:rFonts w:ascii="Arial" w:eastAsiaTheme="minorHAnsi" w:hAnsi="Arial" w:cs="Arial"/>
                <w:sz w:val="18"/>
                <w:szCs w:val="18"/>
              </w:rPr>
            </w:pPr>
            <w:r w:rsidRPr="006434F5">
              <w:rPr>
                <w:rFonts w:ascii="Arial" w:eastAsiaTheme="minorHAnsi" w:hAnsi="Arial" w:cs="Arial"/>
                <w:sz w:val="18"/>
                <w:szCs w:val="18"/>
              </w:rPr>
              <w:t>7.8</w:t>
            </w:r>
          </w:p>
        </w:tc>
      </w:tr>
      <w:tr w:rsidR="00E15EBE" w:rsidRPr="002A6036" w14:paraId="0845BFD5" w14:textId="77777777" w:rsidTr="00E15EBE">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845BFD1" w14:textId="77777777" w:rsidR="00E15EBE" w:rsidRPr="006434F5" w:rsidRDefault="00E15EBE" w:rsidP="00E15EBE">
            <w:pPr>
              <w:spacing w:before="100" w:beforeAutospacing="1" w:after="60"/>
              <w:ind w:firstLine="0"/>
              <w:rPr>
                <w:rFonts w:ascii="Arial" w:hAnsi="Arial" w:cs="Arial"/>
                <w:sz w:val="18"/>
                <w:szCs w:val="18"/>
              </w:rPr>
            </w:pPr>
            <w:r w:rsidRPr="006434F5">
              <w:rPr>
                <w:rFonts w:ascii="Arial" w:hAnsi="Arial" w:cs="Arial"/>
                <w:sz w:val="18"/>
                <w:szCs w:val="18"/>
              </w:rPr>
              <w:t xml:space="preserve">Cluster Randomization </w:t>
            </w:r>
          </w:p>
          <w:p w14:paraId="0845BFD2" w14:textId="5671E409" w:rsidR="00E15EBE" w:rsidRPr="006434F5" w:rsidRDefault="00E15EBE" w:rsidP="00E45733">
            <w:pPr>
              <w:spacing w:before="100" w:beforeAutospacing="1" w:after="60"/>
              <w:ind w:firstLine="0"/>
              <w:rPr>
                <w:rFonts w:ascii="Calibri" w:eastAsiaTheme="minorHAnsi" w:hAnsi="Calibri"/>
              </w:rPr>
            </w:pPr>
            <w:r w:rsidRPr="006434F5">
              <w:rPr>
                <w:rFonts w:ascii="Arial" w:hAnsi="Arial" w:cs="Arial"/>
                <w:sz w:val="18"/>
                <w:szCs w:val="18"/>
              </w:rPr>
              <w:t xml:space="preserve">(14 sites; </w:t>
            </w:r>
            <w:r w:rsidR="00E45733" w:rsidRPr="006434F5">
              <w:rPr>
                <w:rFonts w:ascii="Arial" w:hAnsi="Arial" w:cs="Arial"/>
                <w:sz w:val="18"/>
                <w:szCs w:val="18"/>
              </w:rPr>
              <w:t xml:space="preserve">720 </w:t>
            </w:r>
            <w:r w:rsidRPr="006434F5">
              <w:rPr>
                <w:rFonts w:ascii="Arial" w:hAnsi="Arial" w:cs="Arial"/>
                <w:sz w:val="18"/>
                <w:szCs w:val="18"/>
              </w:rPr>
              <w:t>youth)</w:t>
            </w:r>
          </w:p>
        </w:tc>
        <w:tc>
          <w:tcPr>
            <w:tcW w:w="17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45BFD3" w14:textId="51E4A298" w:rsidR="00E15EBE" w:rsidRPr="006434F5" w:rsidRDefault="006434F5">
            <w:pPr>
              <w:spacing w:before="100" w:beforeAutospacing="1" w:after="60"/>
              <w:jc w:val="center"/>
              <w:rPr>
                <w:rFonts w:ascii="Arial" w:eastAsiaTheme="minorHAnsi" w:hAnsi="Arial" w:cs="Arial"/>
                <w:sz w:val="18"/>
                <w:szCs w:val="18"/>
              </w:rPr>
            </w:pPr>
            <w:r w:rsidRPr="006434F5">
              <w:rPr>
                <w:rFonts w:ascii="Arial" w:eastAsiaTheme="minorHAnsi" w:hAnsi="Arial" w:cs="Arial"/>
                <w:sz w:val="18"/>
                <w:szCs w:val="18"/>
              </w:rPr>
              <w:t>17.7</w:t>
            </w:r>
          </w:p>
        </w:tc>
        <w:tc>
          <w:tcPr>
            <w:tcW w:w="17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45BFD4" w14:textId="729F7DBF" w:rsidR="00E15EBE" w:rsidRPr="006434F5" w:rsidRDefault="006434F5">
            <w:pPr>
              <w:spacing w:before="100" w:beforeAutospacing="1" w:after="60"/>
              <w:jc w:val="center"/>
              <w:rPr>
                <w:rFonts w:ascii="Arial" w:eastAsiaTheme="minorHAnsi" w:hAnsi="Arial" w:cs="Arial"/>
                <w:sz w:val="18"/>
                <w:szCs w:val="18"/>
              </w:rPr>
            </w:pPr>
            <w:r w:rsidRPr="006434F5">
              <w:rPr>
                <w:rFonts w:ascii="Arial" w:eastAsiaTheme="minorHAnsi" w:hAnsi="Arial" w:cs="Arial"/>
                <w:sz w:val="18"/>
                <w:szCs w:val="18"/>
              </w:rPr>
              <w:t>14</w:t>
            </w:r>
          </w:p>
        </w:tc>
      </w:tr>
      <w:tr w:rsidR="00E15EBE" w:rsidRPr="002A6036" w14:paraId="0845BFD9" w14:textId="77777777" w:rsidTr="00E15EBE">
        <w:tc>
          <w:tcPr>
            <w:tcW w:w="14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745AC5E" w14:textId="77777777" w:rsidR="00852193" w:rsidRDefault="00852193">
            <w:pPr>
              <w:spacing w:before="100" w:beforeAutospacing="1" w:after="60"/>
              <w:rPr>
                <w:rFonts w:ascii="Arial" w:hAnsi="Arial" w:cs="Arial"/>
                <w:sz w:val="18"/>
                <w:szCs w:val="18"/>
              </w:rPr>
            </w:pPr>
          </w:p>
          <w:p w14:paraId="0845BFD6" w14:textId="77777777" w:rsidR="00E15EBE" w:rsidRPr="002A6036" w:rsidRDefault="00E15EBE">
            <w:pPr>
              <w:spacing w:before="100" w:beforeAutospacing="1" w:after="60"/>
              <w:rPr>
                <w:rFonts w:ascii="Calibri" w:eastAsiaTheme="minorHAnsi" w:hAnsi="Calibri"/>
              </w:rPr>
            </w:pPr>
            <w:r w:rsidRPr="002A6036">
              <w:rPr>
                <w:rFonts w:ascii="Arial" w:hAnsi="Arial" w:cs="Arial"/>
                <w:sz w:val="18"/>
                <w:szCs w:val="18"/>
              </w:rPr>
              <w:t>Full Study</w:t>
            </w:r>
          </w:p>
        </w:tc>
        <w:tc>
          <w:tcPr>
            <w:tcW w:w="17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45BFD7" w14:textId="013E985C" w:rsidR="00E15EBE" w:rsidRPr="006434F5" w:rsidRDefault="006434F5">
            <w:pPr>
              <w:spacing w:before="100" w:beforeAutospacing="1" w:after="60"/>
              <w:jc w:val="center"/>
              <w:rPr>
                <w:rFonts w:ascii="Arial" w:eastAsiaTheme="minorHAnsi" w:hAnsi="Arial" w:cs="Arial"/>
                <w:sz w:val="18"/>
                <w:szCs w:val="18"/>
              </w:rPr>
            </w:pPr>
            <w:r w:rsidRPr="006434F5">
              <w:rPr>
                <w:rFonts w:ascii="Arial" w:eastAsiaTheme="minorHAnsi" w:hAnsi="Arial" w:cs="Arial"/>
                <w:sz w:val="18"/>
                <w:szCs w:val="18"/>
              </w:rPr>
              <w:t>8.3</w:t>
            </w:r>
          </w:p>
        </w:tc>
        <w:tc>
          <w:tcPr>
            <w:tcW w:w="175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45BFD8" w14:textId="2BFDA325" w:rsidR="00E15EBE" w:rsidRPr="006434F5" w:rsidRDefault="006434F5">
            <w:pPr>
              <w:spacing w:before="100" w:beforeAutospacing="1" w:after="60"/>
              <w:jc w:val="center"/>
              <w:rPr>
                <w:rFonts w:ascii="Arial" w:eastAsiaTheme="minorHAnsi" w:hAnsi="Arial" w:cs="Arial"/>
                <w:sz w:val="18"/>
                <w:szCs w:val="18"/>
              </w:rPr>
            </w:pPr>
            <w:r w:rsidRPr="006434F5">
              <w:rPr>
                <w:rFonts w:ascii="Arial" w:eastAsiaTheme="minorHAnsi" w:hAnsi="Arial" w:cs="Arial"/>
                <w:sz w:val="18"/>
                <w:szCs w:val="18"/>
              </w:rPr>
              <w:t>6.7</w:t>
            </w:r>
          </w:p>
        </w:tc>
      </w:tr>
    </w:tbl>
    <w:p w14:paraId="0845BFDA" w14:textId="77777777" w:rsidR="00E15EBE" w:rsidRPr="002A6036" w:rsidRDefault="00E15EBE" w:rsidP="00E15EBE">
      <w:pPr>
        <w:pStyle w:val="tablefootnotecaption0"/>
        <w:spacing w:after="240" w:afterAutospacing="0"/>
        <w:rPr>
          <w:rFonts w:ascii="Garamond" w:eastAsia="Times New Roman" w:hAnsi="Garamond"/>
          <w:sz w:val="16"/>
          <w:szCs w:val="16"/>
        </w:rPr>
      </w:pPr>
      <w:r w:rsidRPr="002A6036">
        <w:rPr>
          <w:rFonts w:ascii="Arial" w:hAnsi="Arial" w:cs="Arial"/>
          <w:sz w:val="16"/>
          <w:szCs w:val="16"/>
        </w:rPr>
        <w:t>Notes:   Sample sizes account for survey nonresponse. Figures assume that the sample is evenly divided between the program and control groups and that covariates explain 20 percent of the variance at the individual level and 40 percent at the cluster level. We assume an ICC of 0.06. The figures also assume a two-tailed t-test with 80 percent power and a 95 percent confidence interval.</w:t>
      </w:r>
      <w:r w:rsidRPr="002A6036">
        <w:rPr>
          <w:rFonts w:ascii="Garamond" w:eastAsia="Times New Roman" w:hAnsi="Garamond"/>
          <w:sz w:val="16"/>
          <w:szCs w:val="16"/>
        </w:rPr>
        <w:t> </w:t>
      </w:r>
    </w:p>
    <w:p w14:paraId="1E10CED9" w14:textId="30FDB4E5" w:rsidR="00852193" w:rsidRDefault="006D6E5B" w:rsidP="006D6E5B">
      <w:pPr>
        <w:tabs>
          <w:tab w:val="clear" w:pos="432"/>
        </w:tabs>
        <w:spacing w:line="240" w:lineRule="auto"/>
        <w:ind w:firstLine="0"/>
        <w:jc w:val="left"/>
        <w:rPr>
          <w:color w:val="000000" w:themeColor="text1"/>
        </w:rPr>
      </w:pPr>
      <w:r>
        <w:tab/>
      </w:r>
      <w:r w:rsidR="00E61697">
        <w:rPr>
          <w:b/>
          <w:i/>
        </w:rPr>
        <w:t xml:space="preserve">Texas. </w:t>
      </w:r>
      <w:r w:rsidR="00187DEB" w:rsidRPr="002A6036">
        <w:t>We expect to enroll and randomize approximately 575 young mot</w:t>
      </w:r>
      <w:r w:rsidR="00E45733">
        <w:t>hers over a 24-30 month period.</w:t>
      </w:r>
      <w:r w:rsidR="00852193">
        <w:t xml:space="preserve">  </w:t>
      </w:r>
      <w:r w:rsidR="000D6985" w:rsidRPr="000D6985">
        <w:rPr>
          <w:color w:val="000000" w:themeColor="text1"/>
        </w:rPr>
        <w:t xml:space="preserve">Youth will be surveyed three times – at the time of study enrollment (baseline survey, previously approved under OMB Control # </w:t>
      </w:r>
      <w:r w:rsidR="00B36D0A">
        <w:rPr>
          <w:color w:val="000000" w:themeColor="text1"/>
        </w:rPr>
        <w:t>0990-0424</w:t>
      </w:r>
      <w:r w:rsidR="000D6985" w:rsidRPr="000D6985">
        <w:rPr>
          <w:color w:val="000000" w:themeColor="text1"/>
        </w:rPr>
        <w:t>), 12-months later, and 24-months later.</w:t>
      </w:r>
      <w:r w:rsidR="000D6985" w:rsidRPr="000D6985">
        <w:rPr>
          <w:color w:val="000000" w:themeColor="text1"/>
          <w:vertAlign w:val="superscript"/>
        </w:rPr>
        <w:footnoteReference w:id="3"/>
      </w:r>
      <w:r w:rsidR="000D6985" w:rsidRPr="000D6985">
        <w:rPr>
          <w:color w:val="000000" w:themeColor="text1"/>
        </w:rPr>
        <w:t xml:space="preserve"> The primary mode of survey completion for the 12-month follow-up survey, the focus of this ICR, </w:t>
      </w:r>
      <w:r w:rsidR="008918DA">
        <w:rPr>
          <w:color w:val="000000" w:themeColor="text1"/>
        </w:rPr>
        <w:t xml:space="preserve">will use </w:t>
      </w:r>
      <w:r w:rsidR="00852193">
        <w:rPr>
          <w:color w:val="000000" w:themeColor="text1"/>
        </w:rPr>
        <w:t xml:space="preserve">a </w:t>
      </w:r>
      <w:r w:rsidR="000D6985" w:rsidRPr="000D6985">
        <w:rPr>
          <w:color w:val="000000" w:themeColor="text1"/>
        </w:rPr>
        <w:t>web survey.  Nonrespondents to the web survey will be given an opportunity to complete the survey using CATI.</w:t>
      </w:r>
    </w:p>
    <w:p w14:paraId="41FBD236" w14:textId="05DC1F18" w:rsidR="000D6985" w:rsidRPr="00E45733" w:rsidRDefault="000D6985" w:rsidP="006D6E5B">
      <w:pPr>
        <w:tabs>
          <w:tab w:val="clear" w:pos="432"/>
        </w:tabs>
        <w:spacing w:line="240" w:lineRule="auto"/>
        <w:ind w:firstLine="0"/>
        <w:jc w:val="left"/>
      </w:pPr>
      <w:r w:rsidRPr="000D6985">
        <w:rPr>
          <w:color w:val="000000" w:themeColor="text1"/>
        </w:rPr>
        <w:t xml:space="preserve"> </w:t>
      </w:r>
    </w:p>
    <w:p w14:paraId="0845BFE5" w14:textId="26F85841" w:rsidR="00187DEB" w:rsidRPr="002A6036" w:rsidRDefault="00187DEB" w:rsidP="00397CFE">
      <w:pPr>
        <w:pStyle w:val="NormalSS"/>
      </w:pPr>
      <w:r w:rsidRPr="006434F5">
        <w:rPr>
          <w:color w:val="000000" w:themeColor="text1"/>
        </w:rPr>
        <w:t xml:space="preserve">At the time of the 24-month follow-up, we expect to retain </w:t>
      </w:r>
      <w:r w:rsidR="00E45733" w:rsidRPr="006434F5">
        <w:rPr>
          <w:color w:val="000000" w:themeColor="text1"/>
        </w:rPr>
        <w:t>90</w:t>
      </w:r>
      <w:r w:rsidR="000D6985" w:rsidRPr="006434F5">
        <w:rPr>
          <w:color w:val="000000" w:themeColor="text1"/>
        </w:rPr>
        <w:t xml:space="preserve"> percent</w:t>
      </w:r>
      <w:r w:rsidRPr="006434F5">
        <w:rPr>
          <w:color w:val="000000" w:themeColor="text1"/>
        </w:rPr>
        <w:t xml:space="preserve"> of</w:t>
      </w:r>
      <w:r w:rsidR="00E45733" w:rsidRPr="006434F5">
        <w:rPr>
          <w:color w:val="000000" w:themeColor="text1"/>
        </w:rPr>
        <w:t xml:space="preserve"> the sample, or 518 youth</w:t>
      </w:r>
      <w:r w:rsidRPr="006434F5">
        <w:rPr>
          <w:color w:val="000000" w:themeColor="text1"/>
        </w:rPr>
        <w:t xml:space="preserve">.  For a prevalence rate of 25 percent (such as a subsequent pregnancy during the follow-up period), we can detect a </w:t>
      </w:r>
      <w:r w:rsidR="006434F5" w:rsidRPr="006434F5">
        <w:rPr>
          <w:color w:val="000000" w:themeColor="text1"/>
        </w:rPr>
        <w:t xml:space="preserve">9 </w:t>
      </w:r>
      <w:r w:rsidRPr="006434F5">
        <w:rPr>
          <w:color w:val="000000" w:themeColor="text1"/>
        </w:rPr>
        <w:t xml:space="preserve">percentage point difference between the two groups; and, for a prevalence rate of 50 percent (such as receiving a diploma during the follow-up period), we can detect a </w:t>
      </w:r>
      <w:r w:rsidR="006434F5" w:rsidRPr="006434F5">
        <w:rPr>
          <w:color w:val="000000" w:themeColor="text1"/>
        </w:rPr>
        <w:t>11</w:t>
      </w:r>
      <w:r w:rsidRPr="006434F5">
        <w:rPr>
          <w:color w:val="000000" w:themeColor="text1"/>
        </w:rPr>
        <w:t xml:space="preserve"> percentage point difference between the two groups. Given the small sample size, we do not anticipate conducting any subgroup analyses. </w:t>
      </w:r>
    </w:p>
    <w:p w14:paraId="0845BFE7" w14:textId="77777777" w:rsidR="00977167" w:rsidRPr="002A6036" w:rsidRDefault="00977167" w:rsidP="00977167">
      <w:pPr>
        <w:pStyle w:val="Heading2Black"/>
      </w:pPr>
      <w:bookmarkStart w:id="24" w:name="_Toc320884920"/>
      <w:bookmarkStart w:id="25" w:name="_Toc324845911"/>
      <w:bookmarkStart w:id="26" w:name="_Toc396921848"/>
      <w:r w:rsidRPr="002A6036">
        <w:lastRenderedPageBreak/>
        <w:t>B2.</w:t>
      </w:r>
      <w:r w:rsidRPr="002A6036">
        <w:tab/>
        <w:t>Procedures for Collection of Information</w:t>
      </w:r>
      <w:bookmarkEnd w:id="24"/>
      <w:bookmarkEnd w:id="25"/>
      <w:bookmarkEnd w:id="26"/>
    </w:p>
    <w:p w14:paraId="0845BFED" w14:textId="39140890" w:rsidR="00977167" w:rsidRPr="002A6036" w:rsidRDefault="00977167" w:rsidP="00977167">
      <w:pPr>
        <w:pStyle w:val="NormalSS"/>
      </w:pPr>
      <w:r w:rsidRPr="002A6036">
        <w:t xml:space="preserve">In each of the two sites selected for the </w:t>
      </w:r>
      <w:r w:rsidR="000D6985">
        <w:t xml:space="preserve">experimental </w:t>
      </w:r>
      <w:r w:rsidRPr="002A6036">
        <w:t>impact study</w:t>
      </w:r>
      <w:r w:rsidR="000D6985">
        <w:t xml:space="preserve"> (California and Texas)</w:t>
      </w:r>
      <w:r w:rsidRPr="002A6036">
        <w:t xml:space="preserve">, all eligible youth will be considered for enrollment in the study (discussed in Section B.1). Each site will be responsible for providing the evaluation team with a list of eligible youth. The evaluation team will then work collaboratively with each site to identify youth for the study and obtain consent. </w:t>
      </w:r>
    </w:p>
    <w:p w14:paraId="0845BFEE" w14:textId="10117DE1" w:rsidR="00977167" w:rsidRPr="002A6036" w:rsidRDefault="00977167" w:rsidP="00977167">
      <w:pPr>
        <w:pStyle w:val="NormalSS"/>
        <w:rPr>
          <w:rFonts w:cs="Garamond"/>
        </w:rPr>
      </w:pPr>
      <w:r w:rsidRPr="002A6036">
        <w:rPr>
          <w:rFonts w:cs="Garamond"/>
        </w:rPr>
        <w:t xml:space="preserve">Mathematica will thoroughly and efficiently train staff to ensure they can properly inform study participants. </w:t>
      </w:r>
      <w:r w:rsidR="000D6985">
        <w:rPr>
          <w:rFonts w:cs="Garamond"/>
        </w:rPr>
        <w:t xml:space="preserve">In California, study </w:t>
      </w:r>
      <w:r w:rsidR="00714CF0">
        <w:rPr>
          <w:rFonts w:cs="Garamond"/>
        </w:rPr>
        <w:t xml:space="preserve">intake will be performed by program staff trained in person on data collection procedures by Mathematica. In Texas, study intake will be performed by professional data collectors working for a subcontractor to Mathematica (Decision Information Resources) and trained by Mathematica. </w:t>
      </w:r>
      <w:r w:rsidRPr="002A6036">
        <w:rPr>
          <w:rFonts w:cs="Garamond"/>
        </w:rPr>
        <w:t xml:space="preserve">We will create a brief study description to ensure that accurate and consistent information is available, and train staff on explaining the study, reviewing the study description, answering questions about the study, and administering consent </w:t>
      </w:r>
      <w:r w:rsidR="00714CF0">
        <w:rPr>
          <w:rFonts w:cs="Garamond"/>
        </w:rPr>
        <w:t xml:space="preserve">and the baseline survey.  This process and consent forms </w:t>
      </w:r>
      <w:r w:rsidR="00714CF0" w:rsidRPr="005F5DE8">
        <w:rPr>
          <w:rFonts w:cs="Garamond"/>
        </w:rPr>
        <w:t xml:space="preserve">have been approved by OMB </w:t>
      </w:r>
      <w:r w:rsidR="00B36D0A" w:rsidRPr="005F5DE8">
        <w:rPr>
          <w:rFonts w:cs="Garamond"/>
        </w:rPr>
        <w:t>on</w:t>
      </w:r>
      <w:r w:rsidR="00B36D0A">
        <w:rPr>
          <w:rFonts w:cs="Garamond"/>
        </w:rPr>
        <w:t xml:space="preserve"> August 30, 2014 (OMB Control # 0990-0424).</w:t>
      </w:r>
    </w:p>
    <w:p w14:paraId="31475CD7" w14:textId="45AA6ADA" w:rsidR="00240899" w:rsidRDefault="000D6985" w:rsidP="00240899">
      <w:pPr>
        <w:pStyle w:val="NormalSS"/>
        <w:rPr>
          <w:rFonts w:cs="Calibri"/>
        </w:rPr>
      </w:pPr>
      <w:r>
        <w:t xml:space="preserve">The follow-up survey will be administered to all consented sample members 12 months after </w:t>
      </w:r>
      <w:r w:rsidR="007C2487">
        <w:t>study enrollment and completion of the baseline survey</w:t>
      </w:r>
      <w:r>
        <w:t xml:space="preserve">. </w:t>
      </w:r>
      <w:r w:rsidR="00BF759E" w:rsidRPr="00254CCF">
        <w:t xml:space="preserve">The data collection plan for the </w:t>
      </w:r>
      <w:r w:rsidR="00BF759E">
        <w:t>follow-up</w:t>
      </w:r>
      <w:r w:rsidR="00BF759E" w:rsidRPr="00254CCF">
        <w:t xml:space="preserve"> survey </w:t>
      </w:r>
      <w:r w:rsidR="00BF759E">
        <w:t xml:space="preserve">is the same across the two sites (California and Texas) and </w:t>
      </w:r>
      <w:r w:rsidR="00BF759E" w:rsidRPr="00254CCF">
        <w:t xml:space="preserve">also reflects sensitivity to issues of efficiency, accuracy, and respondent burden. </w:t>
      </w:r>
      <w:r w:rsidR="006D6E5B" w:rsidRPr="006D6E5B">
        <w:t>As discussed in Part A of this ICR</w:t>
      </w:r>
      <w:r w:rsidR="006D6E5B">
        <w:t xml:space="preserve">, we </w:t>
      </w:r>
      <w:r w:rsidR="00BF759E" w:rsidRPr="00254CCF">
        <w:t xml:space="preserve">will offer </w:t>
      </w:r>
      <w:r w:rsidR="00240899">
        <w:t>two</w:t>
      </w:r>
      <w:r w:rsidR="00BF759E" w:rsidRPr="00254CCF">
        <w:t xml:space="preserve"> modes for completing the </w:t>
      </w:r>
      <w:r w:rsidR="00BF759E">
        <w:t>follow-up</w:t>
      </w:r>
      <w:r w:rsidR="00BF759E" w:rsidRPr="00254CCF">
        <w:t xml:space="preserve"> survey. </w:t>
      </w:r>
      <w:r w:rsidR="00BF759E" w:rsidRPr="00254CCF">
        <w:rPr>
          <w:rFonts w:cs="Calibri"/>
        </w:rPr>
        <w:t xml:space="preserve">These modes </w:t>
      </w:r>
      <w:r w:rsidR="00CD5D4A">
        <w:rPr>
          <w:rFonts w:cs="Calibri"/>
        </w:rPr>
        <w:t xml:space="preserve">will </w:t>
      </w:r>
      <w:r w:rsidR="00BF759E" w:rsidRPr="00254CCF">
        <w:rPr>
          <w:rFonts w:cs="Calibri"/>
        </w:rPr>
        <w:t xml:space="preserve">be </w:t>
      </w:r>
      <w:r w:rsidR="00BF759E">
        <w:rPr>
          <w:rFonts w:cs="Calibri"/>
        </w:rPr>
        <w:t xml:space="preserve">a web-survey that will be smart phone compatible and </w:t>
      </w:r>
      <w:r w:rsidR="00BF759E" w:rsidRPr="00254CCF">
        <w:rPr>
          <w:rFonts w:cs="Calibri"/>
        </w:rPr>
        <w:t>computer-assisted telephone interviewing (CATI)</w:t>
      </w:r>
      <w:r w:rsidR="00CD5D4A">
        <w:rPr>
          <w:rFonts w:cs="Calibri"/>
        </w:rPr>
        <w:t xml:space="preserve">.   </w:t>
      </w:r>
      <w:r w:rsidR="00240899">
        <w:rPr>
          <w:rFonts w:cs="Calibri"/>
        </w:rPr>
        <w:t xml:space="preserve">We will use email and text messages with links to the web survey and toll-free telephone number </w:t>
      </w:r>
      <w:r w:rsidR="00240899" w:rsidRPr="00931CB5">
        <w:rPr>
          <w:rFonts w:cs="Calibri"/>
        </w:rPr>
        <w:t xml:space="preserve">should </w:t>
      </w:r>
      <w:r w:rsidR="00240899">
        <w:rPr>
          <w:rFonts w:cs="Calibri"/>
        </w:rPr>
        <w:t>respondents</w:t>
      </w:r>
      <w:r w:rsidR="00240899" w:rsidRPr="00931CB5">
        <w:rPr>
          <w:rFonts w:cs="Calibri"/>
        </w:rPr>
        <w:t xml:space="preserve"> prefer to complete the survey by telephone or have any issues with the web </w:t>
      </w:r>
      <w:r w:rsidR="00240899">
        <w:rPr>
          <w:rFonts w:cs="Calibri"/>
        </w:rPr>
        <w:t xml:space="preserve">survey. </w:t>
      </w:r>
    </w:p>
    <w:p w14:paraId="6EE37B2C" w14:textId="53294F80" w:rsidR="00BF759E" w:rsidRPr="006F479B" w:rsidRDefault="00240899" w:rsidP="00BF759E">
      <w:pPr>
        <w:pStyle w:val="NormalSS"/>
        <w:rPr>
          <w:rFonts w:cs="Calibri"/>
        </w:rPr>
      </w:pPr>
      <w:r>
        <w:rPr>
          <w:rFonts w:cs="Calibri"/>
        </w:rPr>
        <w:t>For those opting to complete the survey over the web, r</w:t>
      </w:r>
      <w:r w:rsidR="00BF759E">
        <w:rPr>
          <w:rFonts w:cs="Calibri"/>
        </w:rPr>
        <w:t xml:space="preserve">espondents will be provided a unique PIN and </w:t>
      </w:r>
      <w:r w:rsidR="00BF759E" w:rsidRPr="006F479B">
        <w:rPr>
          <w:rFonts w:cs="Calibri"/>
        </w:rPr>
        <w:t>password</w:t>
      </w:r>
      <w:r w:rsidR="00BF759E">
        <w:rPr>
          <w:rFonts w:cs="Calibri"/>
        </w:rPr>
        <w:t xml:space="preserve"> to access the survey from either type of device</w:t>
      </w:r>
      <w:r w:rsidR="00BF759E" w:rsidRPr="006F479B">
        <w:rPr>
          <w:rFonts w:cs="Calibri"/>
        </w:rPr>
        <w:t xml:space="preserve">. </w:t>
      </w:r>
      <w:r w:rsidR="00BF759E">
        <w:rPr>
          <w:rFonts w:cs="Calibri"/>
        </w:rPr>
        <w:t xml:space="preserve">We will advise respondents to complete the survey in a private location. </w:t>
      </w:r>
      <w:r w:rsidR="006D6E5B" w:rsidRPr="006F479B">
        <w:rPr>
          <w:rFonts w:cs="Calibri"/>
        </w:rPr>
        <w:t xml:space="preserve">We will also provide them with a toll-free number to call should they </w:t>
      </w:r>
      <w:r w:rsidR="006D6E5B">
        <w:rPr>
          <w:rFonts w:cs="Calibri"/>
        </w:rPr>
        <w:t xml:space="preserve">prefer to complete the survey by telephone or </w:t>
      </w:r>
      <w:r w:rsidR="006D6E5B" w:rsidRPr="006F479B">
        <w:rPr>
          <w:rFonts w:cs="Calibri"/>
        </w:rPr>
        <w:t>have any issues with the web survey.</w:t>
      </w:r>
      <w:r>
        <w:rPr>
          <w:rFonts w:cs="Calibri"/>
        </w:rPr>
        <w:t xml:space="preserve"> The web survey will also include a link to email the project team with questions or issues.  </w:t>
      </w:r>
    </w:p>
    <w:p w14:paraId="27F93F79" w14:textId="5C9B79B8" w:rsidR="00BF759E" w:rsidRPr="00254CCF" w:rsidRDefault="00240899" w:rsidP="00BF759E">
      <w:pPr>
        <w:pStyle w:val="NormalSS"/>
      </w:pPr>
      <w:r w:rsidRPr="00254CCF">
        <w:t xml:space="preserve">For </w:t>
      </w:r>
      <w:r>
        <w:t xml:space="preserve">those who do not call in or complete the web survey, we will make outbound calls from </w:t>
      </w:r>
      <w:r w:rsidRPr="00E61430">
        <w:t>Mathematica’s Survey Operations Center (SOC)</w:t>
      </w:r>
      <w:r>
        <w:t xml:space="preserve">. </w:t>
      </w:r>
      <w:r w:rsidR="00BF759E">
        <w:t>When a respondent is reached, a SOC telephone interviewer</w:t>
      </w:r>
      <w:r w:rsidR="00BF759E" w:rsidRPr="00E61430">
        <w:t xml:space="preserve"> </w:t>
      </w:r>
      <w:r w:rsidR="00BF759E">
        <w:t xml:space="preserve">will use computer assisted telephone interviewing (CATI) to complete the survey. If a respondent is not reached, the SOC telephone interviewer will leave a message whenever possible and provide a toll-free number the respondents can use to call and complete the CATI survey. </w:t>
      </w:r>
      <w:r w:rsidR="00BF759E" w:rsidRPr="00254CCF">
        <w:t xml:space="preserve">When completing the survey through CATI, the interviewer will </w:t>
      </w:r>
      <w:r w:rsidR="00BF759E">
        <w:t>direct the respondent</w:t>
      </w:r>
      <w:r w:rsidR="00BF759E" w:rsidRPr="00254CCF">
        <w:t xml:space="preserve"> </w:t>
      </w:r>
      <w:r w:rsidR="00BF759E">
        <w:t>to be in</w:t>
      </w:r>
      <w:r w:rsidR="00BF759E" w:rsidRPr="00254CCF">
        <w:t xml:space="preserve"> a secure, private place to respond to the survey questions. </w:t>
      </w:r>
    </w:p>
    <w:p w14:paraId="0845BFF4" w14:textId="2E9C5BB0" w:rsidR="00977167" w:rsidRPr="00BF759E" w:rsidRDefault="005F0716" w:rsidP="00977167">
      <w:pPr>
        <w:pStyle w:val="NormalSS"/>
      </w:pPr>
      <w:r>
        <w:t>Instruments</w:t>
      </w:r>
      <w:r w:rsidR="00977167" w:rsidRPr="002A6036">
        <w:t xml:space="preserve"> </w:t>
      </w:r>
      <w:r w:rsidR="00BF759E">
        <w:t>1 and 2</w:t>
      </w:r>
      <w:r w:rsidR="00977167" w:rsidRPr="002A6036">
        <w:t xml:space="preserve"> </w:t>
      </w:r>
      <w:r>
        <w:t>contain the</w:t>
      </w:r>
      <w:r w:rsidR="00977167" w:rsidRPr="002A6036">
        <w:t xml:space="preserve"> </w:t>
      </w:r>
      <w:r w:rsidR="00BF759E">
        <w:t>12-month</w:t>
      </w:r>
      <w:r w:rsidR="00977167" w:rsidRPr="002A6036">
        <w:t xml:space="preserve"> survey</w:t>
      </w:r>
      <w:r w:rsidR="00BF759E">
        <w:t xml:space="preserve"> for each site separately – California and Texas</w:t>
      </w:r>
      <w:r w:rsidR="00977167" w:rsidRPr="002A6036">
        <w:t xml:space="preserve">. </w:t>
      </w:r>
      <w:r w:rsidR="00BF759E">
        <w:t xml:space="preserve">These surveys are very similar to the baseline survey approved for this evaluation, and the two are nearly identical, except for some minor differences to reflect differences in the interventions. The California survey contains additional items to measure changes in youth resiliency, a primary focus of the program in California. The Texas survey does not contain such resiliency items, but does contain items measuring parenting and relationship skills, a focus of the program in Texas. </w:t>
      </w:r>
      <w:r w:rsidR="00977167" w:rsidRPr="002A6036">
        <w:t xml:space="preserve">A question by question list of sources for the </w:t>
      </w:r>
      <w:r w:rsidR="0022015B">
        <w:t>follow up</w:t>
      </w:r>
      <w:r w:rsidR="00977167" w:rsidRPr="002A6036">
        <w:t xml:space="preserve"> survey is found in Attachment </w:t>
      </w:r>
      <w:r w:rsidR="006D6E5B">
        <w:t>B</w:t>
      </w:r>
      <w:r w:rsidR="00977167" w:rsidRPr="002A6036">
        <w:t>, and a description of the sources referen</w:t>
      </w:r>
      <w:r w:rsidR="00AC3B06" w:rsidRPr="002A6036">
        <w:t xml:space="preserve">ced is found in Attachment </w:t>
      </w:r>
      <w:r w:rsidR="006D6E5B">
        <w:t>C</w:t>
      </w:r>
      <w:r w:rsidR="00AC3B06" w:rsidRPr="002A6036">
        <w:t xml:space="preserve">.  </w:t>
      </w:r>
      <w:r w:rsidR="00977167" w:rsidRPr="002A6036">
        <w:rPr>
          <w:rFonts w:cs="Calibri"/>
        </w:rPr>
        <w:t xml:space="preserve">   </w:t>
      </w:r>
    </w:p>
    <w:p w14:paraId="0845BFF5" w14:textId="77777777" w:rsidR="00977167" w:rsidRPr="002A6036" w:rsidRDefault="00977167" w:rsidP="00977167">
      <w:pPr>
        <w:pStyle w:val="Heading2Black"/>
      </w:pPr>
      <w:bookmarkStart w:id="27" w:name="_Toc320884921"/>
      <w:bookmarkStart w:id="28" w:name="_Toc324845912"/>
      <w:bookmarkStart w:id="29" w:name="_Toc396921849"/>
      <w:r w:rsidRPr="002A6036">
        <w:lastRenderedPageBreak/>
        <w:t>B3.</w:t>
      </w:r>
      <w:r w:rsidRPr="002A6036">
        <w:tab/>
        <w:t>Methods to Maximize Response Rates and Deal with Non-Response</w:t>
      </w:r>
      <w:bookmarkEnd w:id="27"/>
      <w:bookmarkEnd w:id="28"/>
      <w:bookmarkEnd w:id="29"/>
    </w:p>
    <w:p w14:paraId="40BD307F" w14:textId="378B238D" w:rsidR="00881D2A" w:rsidRDefault="00881D2A" w:rsidP="00881D2A">
      <w:pPr>
        <w:pStyle w:val="NormalSS"/>
        <w:rPr>
          <w:rFonts w:cs="Garamond"/>
        </w:rPr>
      </w:pPr>
      <w:r>
        <w:rPr>
          <w:rFonts w:cs="Garamond-Bold"/>
          <w:bCs/>
        </w:rPr>
        <w:t>OAH expects to</w:t>
      </w:r>
      <w:r w:rsidRPr="000C3568">
        <w:rPr>
          <w:rFonts w:cs="Garamond"/>
        </w:rPr>
        <w:t xml:space="preserve"> achieve </w:t>
      </w:r>
      <w:r>
        <w:rPr>
          <w:rFonts w:cs="Garamond"/>
        </w:rPr>
        <w:t xml:space="preserve">a </w:t>
      </w:r>
      <w:r w:rsidRPr="000C3568">
        <w:rPr>
          <w:rFonts w:cs="Garamond"/>
        </w:rPr>
        <w:t>response</w:t>
      </w:r>
      <w:r>
        <w:rPr>
          <w:rFonts w:cs="Garamond"/>
        </w:rPr>
        <w:t xml:space="preserve"> rate of 90 percent for the 12-month follow-up survey. We can expect to achieve these completion rates for several reasons. The first follow-up survey administration will occur at 12 months after study enrollment and the baseline survey. </w:t>
      </w:r>
      <w:r w:rsidRPr="00AB4B33">
        <w:rPr>
          <w:rFonts w:cs="Garamond"/>
        </w:rPr>
        <w:t xml:space="preserve">This timing will ensure contact data are </w:t>
      </w:r>
      <w:r>
        <w:rPr>
          <w:rFonts w:cs="Garamond"/>
        </w:rPr>
        <w:t xml:space="preserve">quite </w:t>
      </w:r>
      <w:r w:rsidRPr="00AB4B33">
        <w:rPr>
          <w:rFonts w:cs="Garamond"/>
        </w:rPr>
        <w:t>current</w:t>
      </w:r>
      <w:r>
        <w:rPr>
          <w:rFonts w:cs="Garamond"/>
        </w:rPr>
        <w:t xml:space="preserve">, which should minimize location problems. </w:t>
      </w:r>
    </w:p>
    <w:p w14:paraId="1085839C" w14:textId="77777777" w:rsidR="00B15368" w:rsidRPr="00B15368" w:rsidRDefault="00B15368" w:rsidP="00B15368">
      <w:pPr>
        <w:pStyle w:val="NormalSS"/>
      </w:pPr>
      <w:r w:rsidRPr="00B15368">
        <w:t xml:space="preserve">Due to the rolling basis of sample enrollment, group-based administration of the 12-month follow-up survey is not possible. Therefore, an advance letter will be sent to sample members, notifying them of the data collection and providing them with the information necessary to complete the survey over the web. Additional telephone, email and text prompts to youth and parents will be conducted as needed. </w:t>
      </w:r>
    </w:p>
    <w:p w14:paraId="34FA4324" w14:textId="54ACBE38" w:rsidR="00881D2A" w:rsidRDefault="00881D2A" w:rsidP="00881D2A">
      <w:pPr>
        <w:pStyle w:val="NormalSS"/>
      </w:pPr>
      <w:r>
        <w:t xml:space="preserve">In addition, </w:t>
      </w:r>
      <w:r>
        <w:rPr>
          <w:bCs/>
        </w:rPr>
        <w:t xml:space="preserve">sites have </w:t>
      </w:r>
      <w:r>
        <w:t xml:space="preserve">willingly offered assistance towards maximizing the response rate; we will invest significant effort in gaining </w:t>
      </w:r>
      <w:r w:rsidR="00CD5D4A">
        <w:t xml:space="preserve">respondents’ </w:t>
      </w:r>
      <w:r w:rsidRPr="00381FE6">
        <w:t>cooperation</w:t>
      </w:r>
      <w:r>
        <w:t xml:space="preserve"> from the beginning of the study</w:t>
      </w:r>
      <w:r w:rsidRPr="00381FE6">
        <w:t xml:space="preserve"> </w:t>
      </w:r>
      <w:r>
        <w:t xml:space="preserve">and </w:t>
      </w:r>
      <w:r w:rsidRPr="00381FE6">
        <w:t>minimizing burden on site</w:t>
      </w:r>
      <w:r>
        <w:t>s during the study enrollment and baseline survey period.  If necessary, at the time of the 12-month follow-up, sites have offered their a</w:t>
      </w:r>
      <w:r w:rsidR="00B15368">
        <w:t>ssistance by providing addresses of youth whom have been most difficult to locate</w:t>
      </w:r>
      <w:r w:rsidRPr="00381FE6">
        <w:t>.</w:t>
      </w:r>
      <w:r>
        <w:t xml:space="preserve"> By applying identical methods for maximizing the response rates of the treatment and control groups, the evaluation team does not anticipate differences in response rates across research groups.</w:t>
      </w:r>
    </w:p>
    <w:p w14:paraId="2B241D69" w14:textId="00E1DB77" w:rsidR="00881D2A" w:rsidRDefault="00881D2A" w:rsidP="00881D2A">
      <w:pPr>
        <w:pStyle w:val="NormalSS"/>
      </w:pPr>
      <w:r>
        <w:t>Additionally,</w:t>
      </w:r>
      <w:r w:rsidR="00B15368">
        <w:t xml:space="preserve"> $25</w:t>
      </w:r>
      <w:r>
        <w:t xml:space="preserve"> gift cards will be provided to respondents to encourage participation in the survey.</w:t>
      </w:r>
      <w:r w:rsidRPr="004C13D8">
        <w:t xml:space="preserve"> </w:t>
      </w:r>
      <w:r w:rsidR="00B15368">
        <w:t xml:space="preserve">This is consistent with other evaluations, such as </w:t>
      </w:r>
      <w:r w:rsidR="00CD5D4A">
        <w:t xml:space="preserve">the Personal Responsibility Education Program </w:t>
      </w:r>
      <w:r w:rsidR="00CD5D4A" w:rsidRPr="00CD5D4A">
        <w:t xml:space="preserve">Multi-Component Evaluation </w:t>
      </w:r>
      <w:r w:rsidR="00CD5D4A">
        <w:t>(</w:t>
      </w:r>
      <w:r w:rsidR="00B15368">
        <w:t>PREP</w:t>
      </w:r>
      <w:r w:rsidR="00CD5D4A">
        <w:t>)</w:t>
      </w:r>
      <w:r w:rsidR="00B15368">
        <w:t xml:space="preserve">, in which respondents are using phone to complete a survey, and is consistent with the amount approved </w:t>
      </w:r>
      <w:r w:rsidR="00CD5D4A">
        <w:t xml:space="preserve">for PAF </w:t>
      </w:r>
      <w:r w:rsidR="00B15368">
        <w:t>on the consent forms approved by OMB on Aug</w:t>
      </w:r>
      <w:r w:rsidR="00B36D0A">
        <w:t>ust 30, 2014 (OMB Control # 0990-0424</w:t>
      </w:r>
      <w:r w:rsidR="00B15368">
        <w:t xml:space="preserve">). </w:t>
      </w:r>
      <w:r>
        <w:t xml:space="preserve"> </w:t>
      </w:r>
    </w:p>
    <w:p w14:paraId="23891EB0" w14:textId="5110F8FF" w:rsidR="00881D2A" w:rsidRDefault="00B15368" w:rsidP="00881D2A">
      <w:pPr>
        <w:pStyle w:val="NormalSS"/>
        <w:rPr>
          <w:rFonts w:cs="Garamond"/>
        </w:rPr>
      </w:pPr>
      <w:r>
        <w:t>As discussed above, the</w:t>
      </w:r>
      <w:r w:rsidR="00881D2A">
        <w:t xml:space="preserve"> evaluation team anticipates high response rates to follow-up surveys. Even so, the team will take steps to understand the nature of any non-response and to account for the threat that it may pose for the validity of the study’s impact estimates</w:t>
      </w:r>
      <w:r w:rsidR="00881D2A" w:rsidRPr="00381FE6">
        <w:t>.</w:t>
      </w:r>
      <w:r w:rsidR="00881D2A">
        <w:t xml:space="preserve"> Using data from the baseline survey, evaluation team members will first test for statistically significant differences across demographic and baseline outcome variables between respondents </w:t>
      </w:r>
      <w:r w:rsidR="00881D2A" w:rsidRPr="00843898">
        <w:t xml:space="preserve">and nonrespondents. </w:t>
      </w:r>
      <w:r w:rsidR="00881D2A">
        <w:t xml:space="preserve">Any </w:t>
      </w:r>
      <w:r w:rsidR="00881D2A" w:rsidRPr="00843898">
        <w:t xml:space="preserve">such differences </w:t>
      </w:r>
      <w:r w:rsidR="00881D2A">
        <w:t xml:space="preserve">will be controlled for in the analyses </w:t>
      </w:r>
      <w:r w:rsidR="00881D2A" w:rsidRPr="00843898">
        <w:t xml:space="preserve">by using </w:t>
      </w:r>
      <w:r w:rsidR="00881D2A">
        <w:t>non-response weights. The team will also test for differences between the research groups in their baseline characteristics and control for these differences using covariates when estimating program impacts</w:t>
      </w:r>
      <w:r w:rsidR="005F0716">
        <w:t xml:space="preserve"> (see Attachment F</w:t>
      </w:r>
      <w:r w:rsidR="00881D2A" w:rsidRPr="00843898">
        <w:t xml:space="preserve">). </w:t>
      </w:r>
    </w:p>
    <w:p w14:paraId="0845BFFA" w14:textId="77777777" w:rsidR="00977167" w:rsidRPr="002A6036" w:rsidRDefault="00977167" w:rsidP="00977167">
      <w:pPr>
        <w:pStyle w:val="Heading2Black"/>
      </w:pPr>
      <w:bookmarkStart w:id="30" w:name="_Toc320884922"/>
      <w:bookmarkStart w:id="31" w:name="_Toc324845913"/>
      <w:bookmarkStart w:id="32" w:name="_Toc396921850"/>
      <w:r w:rsidRPr="002A6036">
        <w:t>B4.</w:t>
      </w:r>
      <w:r w:rsidRPr="002A6036">
        <w:tab/>
        <w:t>Test of Procedures or Methods to be Undertaken</w:t>
      </w:r>
      <w:bookmarkEnd w:id="30"/>
      <w:bookmarkEnd w:id="31"/>
      <w:bookmarkEnd w:id="32"/>
    </w:p>
    <w:p w14:paraId="0845BFFE" w14:textId="142109B4" w:rsidR="00977167" w:rsidRPr="00AC6742" w:rsidRDefault="003C4B8A" w:rsidP="00AC6742">
      <w:pPr>
        <w:pStyle w:val="NormalSS"/>
        <w:shd w:val="clear" w:color="auto" w:fill="FFFFFF" w:themeFill="background1"/>
      </w:pPr>
      <w:r>
        <w:t xml:space="preserve">OAH and other offices within HHS (OPRE, ASPE) have made it a priority to align measures in the baseline and follow-up surveys across evaluations of similar programs and populations. </w:t>
      </w:r>
      <w:r w:rsidR="00977167" w:rsidRPr="002A6036">
        <w:t xml:space="preserve">As discussed in Part A of this information collection request, many of the items included on the </w:t>
      </w:r>
      <w:r w:rsidR="00E45733">
        <w:t xml:space="preserve">12-month </w:t>
      </w:r>
      <w:r>
        <w:t xml:space="preserve">PAF </w:t>
      </w:r>
      <w:r w:rsidR="00E45733">
        <w:t xml:space="preserve">follow up survey are taken from the approved </w:t>
      </w:r>
      <w:r w:rsidR="00977167" w:rsidRPr="002A6036">
        <w:t xml:space="preserve">baseline survey </w:t>
      </w:r>
      <w:r w:rsidR="00E45733">
        <w:t>and</w:t>
      </w:r>
      <w:r w:rsidR="00977167" w:rsidRPr="002A6036">
        <w:t xml:space="preserve"> from similar surveys OMB has already approved for use in the ongoing Evaluation of Adolescent Pregnancy Prevention Approaches (PPA), the Teen Pregnancy Prevention Replication Study</w:t>
      </w:r>
      <w:r w:rsidR="00E45733">
        <w:t>,</w:t>
      </w:r>
      <w:r w:rsidR="00977167" w:rsidRPr="002A6036">
        <w:t xml:space="preserve"> and the Personal Responsibility Education Program (PREP) Multi-Component Evaluation</w:t>
      </w:r>
      <w:r w:rsidR="00977167" w:rsidRPr="002A6036">
        <w:rPr>
          <w:rStyle w:val="FootnoteReference"/>
        </w:rPr>
        <w:footnoteReference w:id="4"/>
      </w:r>
      <w:r w:rsidR="00977167" w:rsidRPr="002A6036">
        <w:t xml:space="preserve">. </w:t>
      </w:r>
      <w:r w:rsidR="00977167" w:rsidRPr="00B36D0A">
        <w:t xml:space="preserve">To date, </w:t>
      </w:r>
      <w:r>
        <w:t xml:space="preserve">10,183 </w:t>
      </w:r>
      <w:r w:rsidR="00977167" w:rsidRPr="00B36D0A">
        <w:t xml:space="preserve">PPA </w:t>
      </w:r>
      <w:r w:rsidR="00E45733" w:rsidRPr="00B36D0A">
        <w:lastRenderedPageBreak/>
        <w:t>follow-up</w:t>
      </w:r>
      <w:r w:rsidR="00977167" w:rsidRPr="00B36D0A">
        <w:t xml:space="preserve"> survey</w:t>
      </w:r>
      <w:r w:rsidR="00E45733" w:rsidRPr="00B36D0A">
        <w:t>s</w:t>
      </w:r>
      <w:r w:rsidR="00977167" w:rsidRPr="00B36D0A">
        <w:t xml:space="preserve"> </w:t>
      </w:r>
      <w:r w:rsidR="00E45733" w:rsidRPr="00B36D0A">
        <w:t>have</w:t>
      </w:r>
      <w:r w:rsidR="00977167" w:rsidRPr="00B36D0A">
        <w:t xml:space="preserve"> been administered</w:t>
      </w:r>
      <w:r>
        <w:t>, 2,061</w:t>
      </w:r>
      <w:r w:rsidR="00977167" w:rsidRPr="00B36D0A">
        <w:t xml:space="preserve"> </w:t>
      </w:r>
      <w:r>
        <w:t>to</w:t>
      </w:r>
      <w:r w:rsidR="00977167" w:rsidRPr="00B36D0A">
        <w:t xml:space="preserve"> expectant and parenting young women; </w:t>
      </w:r>
      <w:r w:rsidR="00977167" w:rsidRPr="00644B1C">
        <w:t xml:space="preserve">the Replication Study </w:t>
      </w:r>
      <w:r w:rsidR="005F5DE8" w:rsidRPr="00644B1C">
        <w:t xml:space="preserve">first </w:t>
      </w:r>
      <w:r w:rsidR="00E45733" w:rsidRPr="00644B1C">
        <w:t xml:space="preserve">follow-up </w:t>
      </w:r>
      <w:r w:rsidR="00B36D0A" w:rsidRPr="00644B1C">
        <w:t>surveys</w:t>
      </w:r>
      <w:r w:rsidR="00977167" w:rsidRPr="00644B1C">
        <w:t xml:space="preserve"> has been administered to </w:t>
      </w:r>
      <w:r w:rsidR="00644B1C" w:rsidRPr="00644B1C">
        <w:t>2,014</w:t>
      </w:r>
      <w:r w:rsidR="00977167" w:rsidRPr="00644B1C">
        <w:t xml:space="preserve"> adolescents; and the PREP </w:t>
      </w:r>
      <w:r w:rsidR="00E45733" w:rsidRPr="00644B1C">
        <w:t>follow-up survey</w:t>
      </w:r>
      <w:r w:rsidR="00977167" w:rsidRPr="00644B1C">
        <w:t xml:space="preserve"> has been administered to 1,</w:t>
      </w:r>
      <w:r w:rsidR="005F5DE8" w:rsidRPr="00644B1C">
        <w:t xml:space="preserve">483 </w:t>
      </w:r>
      <w:r w:rsidR="00977167" w:rsidRPr="00644B1C">
        <w:t xml:space="preserve">youth, including </w:t>
      </w:r>
      <w:r w:rsidR="005F5DE8" w:rsidRPr="00644B1C">
        <w:t>155</w:t>
      </w:r>
      <w:r w:rsidR="00977167" w:rsidRPr="00644B1C">
        <w:t xml:space="preserve"> expectant and parenting young women. </w:t>
      </w:r>
    </w:p>
    <w:p w14:paraId="069357AB" w14:textId="4B60EA1C" w:rsidR="006C6AF9" w:rsidRPr="00977167" w:rsidRDefault="006C6AF9" w:rsidP="00C771FE">
      <w:pPr>
        <w:pStyle w:val="NormalSS"/>
        <w:rPr>
          <w:rFonts w:ascii="Arial" w:hAnsi="Arial" w:cs="Arial"/>
          <w:b/>
        </w:rPr>
        <w:sectPr w:rsidR="006C6AF9" w:rsidRPr="00977167" w:rsidSect="007764EE">
          <w:headerReference w:type="default" r:id="rId14"/>
          <w:footerReference w:type="default" r:id="rId15"/>
          <w:endnotePr>
            <w:numFmt w:val="decimal"/>
          </w:endnotePr>
          <w:pgSz w:w="12240" w:h="15840" w:code="1"/>
          <w:pgMar w:top="1440" w:right="1440" w:bottom="576" w:left="1440" w:header="720" w:footer="576" w:gutter="0"/>
          <w:pgNumType w:start="1"/>
          <w:cols w:space="720"/>
          <w:docGrid w:linePitch="326"/>
        </w:sectPr>
      </w:pPr>
      <w:r w:rsidRPr="002A6036">
        <w:t xml:space="preserve">The </w:t>
      </w:r>
      <w:r w:rsidR="00E72CFB">
        <w:t xml:space="preserve">California </w:t>
      </w:r>
      <w:r>
        <w:t xml:space="preserve">follow up </w:t>
      </w:r>
      <w:r w:rsidRPr="002A6036">
        <w:t xml:space="preserve">survey was pretested with a sample of </w:t>
      </w:r>
      <w:r w:rsidR="00E72CFB">
        <w:t xml:space="preserve">six </w:t>
      </w:r>
      <w:r w:rsidRPr="002A6036">
        <w:t xml:space="preserve">youth participating in a program for parenting teens in </w:t>
      </w:r>
      <w:r>
        <w:t>California</w:t>
      </w:r>
      <w:r w:rsidR="00E72CFB">
        <w:t>. Five youth pretested the Texas version of the instrument.</w:t>
      </w:r>
      <w:r w:rsidRPr="002A6036">
        <w:t xml:space="preserve">  The pretest </w:t>
      </w:r>
      <w:r>
        <w:t>resulted in revision to our</w:t>
      </w:r>
      <w:r w:rsidRPr="002A6036">
        <w:t xml:space="preserve"> burden estimates</w:t>
      </w:r>
      <w:r>
        <w:t xml:space="preserve"> from 30 minutes to 35 minutes</w:t>
      </w:r>
      <w:r w:rsidRPr="002A6036">
        <w:t xml:space="preserve">, and resulted </w:t>
      </w:r>
      <w:r>
        <w:t xml:space="preserve">in minor wording changes. </w:t>
      </w:r>
      <w:r w:rsidRPr="002A6036">
        <w:t xml:space="preserve">The pretest respondents had little trouble completing the instruments and following directions as instructed. Attachment G includes a copy of the pretest memo, which details the pretest procedures and summarizes adjustments made to the </w:t>
      </w:r>
      <w:r>
        <w:t>follow up</w:t>
      </w:r>
      <w:r w:rsidRPr="002A6036">
        <w:t xml:space="preserve"> survey as </w:t>
      </w:r>
      <w:r w:rsidR="00C771FE">
        <w:t xml:space="preserve">a result of </w:t>
      </w:r>
      <w:r w:rsidRPr="002A6036">
        <w:t>the pretest.</w:t>
      </w:r>
      <w:r w:rsidR="00AC6742">
        <w:t xml:space="preserve"> </w:t>
      </w:r>
    </w:p>
    <w:p w14:paraId="0845BFFF" w14:textId="77777777" w:rsidR="00E33FB4" w:rsidRPr="00AF364E" w:rsidRDefault="00E33FB4" w:rsidP="00AC6742">
      <w:pPr>
        <w:pStyle w:val="NormalSS"/>
        <w:ind w:firstLine="0"/>
      </w:pPr>
    </w:p>
    <w:sectPr w:rsidR="00E33FB4" w:rsidRPr="00AF364E" w:rsidSect="007C0CD8">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3EF8E" w14:textId="77777777" w:rsidR="00A934A7" w:rsidRDefault="00A934A7">
      <w:pPr>
        <w:spacing w:line="240" w:lineRule="auto"/>
        <w:ind w:firstLine="0"/>
      </w:pPr>
    </w:p>
  </w:endnote>
  <w:endnote w:type="continuationSeparator" w:id="0">
    <w:p w14:paraId="4F84F706" w14:textId="77777777" w:rsidR="00A934A7" w:rsidRDefault="00A934A7">
      <w:pPr>
        <w:spacing w:line="240" w:lineRule="auto"/>
        <w:ind w:firstLine="0"/>
      </w:pPr>
    </w:p>
  </w:endnote>
  <w:endnote w:type="continuationNotice" w:id="1">
    <w:p w14:paraId="5D10B7B1" w14:textId="77777777" w:rsidR="00A934A7" w:rsidRDefault="00A934A7">
      <w:pPr>
        <w:spacing w:line="240" w:lineRule="auto"/>
        <w:ind w:firstLine="0"/>
      </w:pPr>
    </w:p>
    <w:p w14:paraId="6563F55D" w14:textId="77777777" w:rsidR="00A934A7" w:rsidRDefault="00A934A7"/>
    <w:p w14:paraId="46C8D87C" w14:textId="77777777" w:rsidR="00A934A7" w:rsidRDefault="00A934A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A137AD">
        <w:rPr>
          <w:noProof/>
          <w:snapToGrid w:val="0"/>
          <w:sz w:val="16"/>
        </w:rPr>
        <w:t>https://support.pafeval.com/Projectmanagement/OMB Submissions/Followup Survey OMB/PAF FU Supporting Statement 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C011" w14:textId="77777777" w:rsidR="007764EE" w:rsidRPr="004B75AD" w:rsidRDefault="007764EE" w:rsidP="007764EE">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C015" w14:textId="77777777" w:rsidR="007764EE" w:rsidRDefault="007764EE" w:rsidP="007764EE">
    <w:pPr>
      <w:pStyle w:val="Footer"/>
      <w:tabs>
        <w:tab w:val="clear" w:pos="432"/>
        <w:tab w:val="clear" w:pos="4320"/>
        <w:tab w:val="clear" w:pos="8640"/>
        <w:tab w:val="center" w:pos="4770"/>
        <w:tab w:val="right" w:pos="9360"/>
      </w:tabs>
      <w:spacing w:before="120"/>
      <w:ind w:firstLine="0"/>
      <w:jc w:val="center"/>
      <w:rPr>
        <w:rStyle w:val="PageNumber"/>
        <w:b/>
        <w:sz w:val="17"/>
      </w:rPr>
    </w:pPr>
    <w:r>
      <w:rPr>
        <w:sz w:val="16"/>
      </w:rPr>
      <w:tab/>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C017" w14:textId="77777777" w:rsidR="007764EE" w:rsidRDefault="007764EE" w:rsidP="007764EE">
    <w:pPr>
      <w:pStyle w:val="Footer"/>
      <w:tabs>
        <w:tab w:val="clear" w:pos="432"/>
        <w:tab w:val="clear" w:pos="4320"/>
        <w:tab w:val="clear" w:pos="8640"/>
        <w:tab w:val="center" w:pos="4770"/>
        <w:tab w:val="right" w:pos="9360"/>
      </w:tabs>
      <w:spacing w:before="120"/>
      <w:ind w:firstLine="0"/>
      <w:jc w:val="center"/>
      <w:rPr>
        <w:rStyle w:val="PageNumber"/>
        <w:b/>
        <w:sz w:val="17"/>
      </w:rPr>
    </w:pPr>
    <w:r>
      <w:rPr>
        <w:sz w:val="16"/>
      </w:rPr>
      <w:tab/>
    </w:r>
    <w:r w:rsidR="009F617A">
      <w:rPr>
        <w:rStyle w:val="PageNumber"/>
      </w:rPr>
      <w:fldChar w:fldCharType="begin"/>
    </w:r>
    <w:r>
      <w:rPr>
        <w:rStyle w:val="PageNumber"/>
      </w:rPr>
      <w:instrText xml:space="preserve"> PAGE </w:instrText>
    </w:r>
    <w:r w:rsidR="009F617A">
      <w:rPr>
        <w:rStyle w:val="PageNumber"/>
      </w:rPr>
      <w:fldChar w:fldCharType="separate"/>
    </w:r>
    <w:r w:rsidR="00E50425">
      <w:rPr>
        <w:rStyle w:val="PageNumber"/>
        <w:noProof/>
      </w:rPr>
      <w:t>6</w:t>
    </w:r>
    <w:r w:rsidR="009F617A">
      <w:rPr>
        <w:rStyle w:val="PageNumber"/>
      </w:rPr>
      <w:fldChar w:fldCharType="end"/>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C01A" w14:textId="77777777" w:rsidR="007764EE" w:rsidRDefault="007764E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C01B" w14:textId="77777777" w:rsidR="007764EE" w:rsidRPr="00977167" w:rsidRDefault="007764EE" w:rsidP="00977167">
    <w:pPr>
      <w:pStyle w:val="Footer"/>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C01D" w14:textId="77777777" w:rsidR="007764EE" w:rsidRDefault="007764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77372" w14:textId="77777777" w:rsidR="00A934A7" w:rsidRDefault="00A934A7">
      <w:pPr>
        <w:spacing w:line="240" w:lineRule="auto"/>
        <w:ind w:firstLine="0"/>
      </w:pPr>
      <w:r>
        <w:separator/>
      </w:r>
    </w:p>
  </w:footnote>
  <w:footnote w:type="continuationSeparator" w:id="0">
    <w:p w14:paraId="727CC41A" w14:textId="77777777" w:rsidR="00A934A7" w:rsidRDefault="00A934A7">
      <w:pPr>
        <w:spacing w:line="240" w:lineRule="auto"/>
        <w:ind w:firstLine="0"/>
      </w:pPr>
      <w:r>
        <w:separator/>
      </w:r>
    </w:p>
    <w:p w14:paraId="377C0126" w14:textId="77777777" w:rsidR="00A934A7" w:rsidRDefault="00A934A7">
      <w:pPr>
        <w:spacing w:line="240" w:lineRule="auto"/>
        <w:ind w:firstLine="0"/>
        <w:rPr>
          <w:i/>
        </w:rPr>
      </w:pPr>
      <w:r>
        <w:rPr>
          <w:i/>
        </w:rPr>
        <w:t>(continued)</w:t>
      </w:r>
    </w:p>
  </w:footnote>
  <w:footnote w:type="continuationNotice" w:id="1">
    <w:p w14:paraId="0A1CFBF7" w14:textId="77777777" w:rsidR="00A934A7" w:rsidRDefault="00A934A7">
      <w:pPr>
        <w:pStyle w:val="Footer"/>
      </w:pPr>
    </w:p>
  </w:footnote>
  <w:footnote w:id="2">
    <w:p w14:paraId="0845C01E" w14:textId="45E0D49B" w:rsidR="00187DEB" w:rsidRDefault="00187DEB" w:rsidP="00187DEB">
      <w:pPr>
        <w:pStyle w:val="FootnoteText"/>
      </w:pPr>
      <w:r>
        <w:rPr>
          <w:rStyle w:val="FootnoteReference"/>
        </w:rPr>
        <w:footnoteRef/>
      </w:r>
      <w:r>
        <w:t xml:space="preserve"> The current ICR only pertains to the </w:t>
      </w:r>
      <w:r w:rsidR="00D036FF">
        <w:t>12-month follow-up</w:t>
      </w:r>
      <w:r>
        <w:t xml:space="preserve"> survey. </w:t>
      </w:r>
    </w:p>
  </w:footnote>
  <w:footnote w:id="3">
    <w:p w14:paraId="74BC3F59" w14:textId="77777777" w:rsidR="000D6985" w:rsidRDefault="000D6985" w:rsidP="000D6985">
      <w:pPr>
        <w:pStyle w:val="FootnoteText"/>
      </w:pPr>
      <w:r>
        <w:rPr>
          <w:rStyle w:val="FootnoteReference"/>
        </w:rPr>
        <w:footnoteRef/>
      </w:r>
      <w:r>
        <w:t xml:space="preserve"> The current ICR only pertains to the 12-month follow-up survey. </w:t>
      </w:r>
    </w:p>
  </w:footnote>
  <w:footnote w:id="4">
    <w:p w14:paraId="0845C023" w14:textId="0F7B7C98" w:rsidR="007764EE" w:rsidRDefault="007764EE" w:rsidP="00977167">
      <w:pPr>
        <w:pStyle w:val="FootnoteText"/>
      </w:pPr>
      <w:r>
        <w:rPr>
          <w:rStyle w:val="FootnoteReference"/>
        </w:rPr>
        <w:footnoteRef/>
      </w:r>
      <w:r>
        <w:t xml:space="preserve"> </w:t>
      </w:r>
      <w:r w:rsidRPr="00903ABB">
        <w:t>ACF received initial OMB approval for the PPA baseline survey on July 26, 2010 (OMB Control Number 0970-0360). In summer 2011, oversight of PPA was transferred to the Office of Adolescent Health (OAH) within the Office of the Assistant Secretary, and the project is now tracked with a different OMB Control Number (0990-0382).</w:t>
      </w:r>
      <w:r>
        <w:t xml:space="preserve"> The OMB Control Number for the Teen Pregnancy Prevention Replication Study is 0990-0394. OMB approval for the PREP </w:t>
      </w:r>
      <w:r w:rsidR="00E45733">
        <w:t>follow-up</w:t>
      </w:r>
      <w:r>
        <w:t xml:space="preserve"> survey was received </w:t>
      </w:r>
      <w:r w:rsidRPr="00240899">
        <w:t xml:space="preserve">on </w:t>
      </w:r>
      <w:r w:rsidR="005F0716">
        <w:t>May 8</w:t>
      </w:r>
      <w:r w:rsidRPr="00240899">
        <w:t>, 2013 (</w:t>
      </w:r>
      <w:r>
        <w:t xml:space="preserve">OMB Control Number 0970-0398).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C014" w14:textId="77777777" w:rsidR="007764EE" w:rsidRPr="00977167" w:rsidRDefault="007764EE" w:rsidP="00977167">
    <w:pPr>
      <w:pStyle w:val="Heade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49B5E" w14:textId="42A440F7" w:rsidR="00D46217" w:rsidRPr="00990BFE" w:rsidRDefault="00E25543" w:rsidP="00D46217">
    <w:pPr>
      <w:pStyle w:val="Header"/>
      <w:rPr>
        <w:rFonts w:ascii="Arial" w:hAnsi="Arial" w:cs="Arial"/>
        <w:i w:val="0"/>
        <w:caps/>
        <w:sz w:val="16"/>
        <w:szCs w:val="16"/>
      </w:rPr>
    </w:pPr>
    <w:r>
      <w:rPr>
        <w:rFonts w:ascii="Arial" w:hAnsi="Arial" w:cs="Arial"/>
        <w:i w:val="0"/>
        <w:caps/>
        <w:sz w:val="16"/>
        <w:szCs w:val="16"/>
      </w:rPr>
      <w:t>Pregnancy Assistance Fund Study</w:t>
    </w:r>
    <w:r w:rsidR="00D46217" w:rsidRPr="00990BFE">
      <w:rPr>
        <w:rFonts w:ascii="Arial" w:hAnsi="Arial" w:cs="Arial"/>
        <w:i w:val="0"/>
        <w:caps/>
        <w:sz w:val="16"/>
        <w:szCs w:val="16"/>
      </w:rPr>
      <w:tab/>
    </w:r>
    <w:r w:rsidR="00D46217" w:rsidRPr="00990BFE">
      <w:rPr>
        <w:rFonts w:ascii="Arial" w:hAnsi="Arial" w:cs="Arial"/>
        <w:i w:val="0"/>
        <w:caps/>
        <w:sz w:val="16"/>
        <w:szCs w:val="16"/>
      </w:rPr>
      <w:tab/>
    </w:r>
  </w:p>
  <w:p w14:paraId="0845C016" w14:textId="1D190AA1" w:rsidR="007764EE" w:rsidRPr="00D46217" w:rsidRDefault="007764EE" w:rsidP="00D46217">
    <w:pPr>
      <w:pStyle w:val="Header"/>
      <w:rPr>
        <w:i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C018" w14:textId="77777777" w:rsidR="007764EE" w:rsidRDefault="007764E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C019" w14:textId="77777777" w:rsidR="007764EE" w:rsidRPr="00977167" w:rsidRDefault="007764EE" w:rsidP="00977167">
    <w:pPr>
      <w:pStyle w:val="Header"/>
      <w:rPr>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C01C" w14:textId="77777777" w:rsidR="007764EE" w:rsidRDefault="007764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79D5C3F"/>
    <w:multiLevelType w:val="hybridMultilevel"/>
    <w:tmpl w:val="51881DB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15:restartNumberingAfterBreak="0">
    <w:nsid w:val="4B647524"/>
    <w:multiLevelType w:val="hybridMultilevel"/>
    <w:tmpl w:val="94F03C18"/>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2" w15:restartNumberingAfterBreak="0">
    <w:nsid w:val="57EC5450"/>
    <w:multiLevelType w:val="hybridMultilevel"/>
    <w:tmpl w:val="B020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8"/>
  </w:num>
  <w:num w:numId="3">
    <w:abstractNumId w:val="14"/>
  </w:num>
  <w:num w:numId="4">
    <w:abstractNumId w:val="2"/>
  </w:num>
  <w:num w:numId="5">
    <w:abstractNumId w:val="1"/>
  </w:num>
  <w:num w:numId="6">
    <w:abstractNumId w:val="19"/>
  </w:num>
  <w:num w:numId="7">
    <w:abstractNumId w:val="17"/>
  </w:num>
  <w:num w:numId="8">
    <w:abstractNumId w:val="5"/>
  </w:num>
  <w:num w:numId="9">
    <w:abstractNumId w:val="6"/>
  </w:num>
  <w:num w:numId="10">
    <w:abstractNumId w:val="8"/>
  </w:num>
  <w:num w:numId="11">
    <w:abstractNumId w:val="3"/>
  </w:num>
  <w:num w:numId="12">
    <w:abstractNumId w:val="15"/>
  </w:num>
  <w:num w:numId="13">
    <w:abstractNumId w:val="4"/>
  </w:num>
  <w:num w:numId="14">
    <w:abstractNumId w:val="13"/>
  </w:num>
  <w:num w:numId="15">
    <w:abstractNumId w:val="16"/>
  </w:num>
  <w:num w:numId="16">
    <w:abstractNumId w:val="7"/>
  </w:num>
  <w:num w:numId="17">
    <w:abstractNumId w:val="0"/>
  </w:num>
  <w:num w:numId="18">
    <w:abstractNumId w:val="11"/>
  </w:num>
  <w:num w:numId="19">
    <w:abstractNumId w:val="12"/>
  </w:num>
  <w:num w:numId="2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33B"/>
    <w:rsid w:val="000015FB"/>
    <w:rsid w:val="00005F28"/>
    <w:rsid w:val="00006E1F"/>
    <w:rsid w:val="00007CA0"/>
    <w:rsid w:val="0001119F"/>
    <w:rsid w:val="00012372"/>
    <w:rsid w:val="00012863"/>
    <w:rsid w:val="00017DD1"/>
    <w:rsid w:val="00021A62"/>
    <w:rsid w:val="000252DC"/>
    <w:rsid w:val="000300AF"/>
    <w:rsid w:val="00031C2F"/>
    <w:rsid w:val="00037098"/>
    <w:rsid w:val="00044792"/>
    <w:rsid w:val="00046CA3"/>
    <w:rsid w:val="00046E51"/>
    <w:rsid w:val="00052499"/>
    <w:rsid w:val="00053968"/>
    <w:rsid w:val="00063123"/>
    <w:rsid w:val="00063FEF"/>
    <w:rsid w:val="00066AB9"/>
    <w:rsid w:val="000769A1"/>
    <w:rsid w:val="00076CF0"/>
    <w:rsid w:val="00080DFA"/>
    <w:rsid w:val="000812AE"/>
    <w:rsid w:val="00081D47"/>
    <w:rsid w:val="000844E1"/>
    <w:rsid w:val="00090529"/>
    <w:rsid w:val="000A4439"/>
    <w:rsid w:val="000A544F"/>
    <w:rsid w:val="000B2BD0"/>
    <w:rsid w:val="000B3A77"/>
    <w:rsid w:val="000B7926"/>
    <w:rsid w:val="000B7E70"/>
    <w:rsid w:val="000C0118"/>
    <w:rsid w:val="000C15B4"/>
    <w:rsid w:val="000C21AF"/>
    <w:rsid w:val="000C70DC"/>
    <w:rsid w:val="000C72F8"/>
    <w:rsid w:val="000D6985"/>
    <w:rsid w:val="000D709F"/>
    <w:rsid w:val="000E1D9E"/>
    <w:rsid w:val="000E6D11"/>
    <w:rsid w:val="000F33F8"/>
    <w:rsid w:val="000F6E1F"/>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87DEB"/>
    <w:rsid w:val="001933B1"/>
    <w:rsid w:val="001A07D4"/>
    <w:rsid w:val="001B2F04"/>
    <w:rsid w:val="001B360E"/>
    <w:rsid w:val="001B7611"/>
    <w:rsid w:val="001C6D08"/>
    <w:rsid w:val="001D11DE"/>
    <w:rsid w:val="001D247C"/>
    <w:rsid w:val="001D3C41"/>
    <w:rsid w:val="001D5148"/>
    <w:rsid w:val="001D634E"/>
    <w:rsid w:val="001E045B"/>
    <w:rsid w:val="001E06D6"/>
    <w:rsid w:val="001E0AB2"/>
    <w:rsid w:val="001E0AF6"/>
    <w:rsid w:val="001E466A"/>
    <w:rsid w:val="001F3CFC"/>
    <w:rsid w:val="001F5410"/>
    <w:rsid w:val="00200B10"/>
    <w:rsid w:val="00200CC4"/>
    <w:rsid w:val="002053F3"/>
    <w:rsid w:val="002076D5"/>
    <w:rsid w:val="0022015B"/>
    <w:rsid w:val="00223207"/>
    <w:rsid w:val="00223990"/>
    <w:rsid w:val="0022402B"/>
    <w:rsid w:val="00236122"/>
    <w:rsid w:val="00237F6F"/>
    <w:rsid w:val="00240899"/>
    <w:rsid w:val="00243909"/>
    <w:rsid w:val="00243DEE"/>
    <w:rsid w:val="00244706"/>
    <w:rsid w:val="0025182E"/>
    <w:rsid w:val="002529B7"/>
    <w:rsid w:val="002613D2"/>
    <w:rsid w:val="00264716"/>
    <w:rsid w:val="00267F6C"/>
    <w:rsid w:val="00271B2B"/>
    <w:rsid w:val="00280AB2"/>
    <w:rsid w:val="002812A2"/>
    <w:rsid w:val="0028167D"/>
    <w:rsid w:val="00281C08"/>
    <w:rsid w:val="00282FD0"/>
    <w:rsid w:val="00284557"/>
    <w:rsid w:val="002849EE"/>
    <w:rsid w:val="00286495"/>
    <w:rsid w:val="00287FD7"/>
    <w:rsid w:val="002921C5"/>
    <w:rsid w:val="002942FB"/>
    <w:rsid w:val="002A0847"/>
    <w:rsid w:val="002A1ADA"/>
    <w:rsid w:val="002A28C9"/>
    <w:rsid w:val="002A6036"/>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1227"/>
    <w:rsid w:val="00336A60"/>
    <w:rsid w:val="00342CD8"/>
    <w:rsid w:val="00343A0C"/>
    <w:rsid w:val="00345014"/>
    <w:rsid w:val="00350399"/>
    <w:rsid w:val="00350E63"/>
    <w:rsid w:val="00353544"/>
    <w:rsid w:val="00353E51"/>
    <w:rsid w:val="00354942"/>
    <w:rsid w:val="00354C34"/>
    <w:rsid w:val="0035674B"/>
    <w:rsid w:val="003607F3"/>
    <w:rsid w:val="00362133"/>
    <w:rsid w:val="0037154C"/>
    <w:rsid w:val="00372AB1"/>
    <w:rsid w:val="00374549"/>
    <w:rsid w:val="00381A96"/>
    <w:rsid w:val="00381B5C"/>
    <w:rsid w:val="00386508"/>
    <w:rsid w:val="00394752"/>
    <w:rsid w:val="00397CFE"/>
    <w:rsid w:val="003A1506"/>
    <w:rsid w:val="003A1774"/>
    <w:rsid w:val="003A17E0"/>
    <w:rsid w:val="003A26BB"/>
    <w:rsid w:val="003B1FFC"/>
    <w:rsid w:val="003B303A"/>
    <w:rsid w:val="003C0A5F"/>
    <w:rsid w:val="003C27A1"/>
    <w:rsid w:val="003C4B8A"/>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61C6"/>
    <w:rsid w:val="004178CB"/>
    <w:rsid w:val="00417B7A"/>
    <w:rsid w:val="0042039D"/>
    <w:rsid w:val="0042391D"/>
    <w:rsid w:val="0042461E"/>
    <w:rsid w:val="00430463"/>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A6F2C"/>
    <w:rsid w:val="004B0D54"/>
    <w:rsid w:val="004D40A6"/>
    <w:rsid w:val="004D62CD"/>
    <w:rsid w:val="004E7D79"/>
    <w:rsid w:val="004F0B74"/>
    <w:rsid w:val="004F1553"/>
    <w:rsid w:val="004F493C"/>
    <w:rsid w:val="004F572A"/>
    <w:rsid w:val="004F7785"/>
    <w:rsid w:val="00511E02"/>
    <w:rsid w:val="00514703"/>
    <w:rsid w:val="0052433B"/>
    <w:rsid w:val="00525772"/>
    <w:rsid w:val="00531424"/>
    <w:rsid w:val="00537F22"/>
    <w:rsid w:val="00540582"/>
    <w:rsid w:val="00542523"/>
    <w:rsid w:val="00542590"/>
    <w:rsid w:val="00552FC9"/>
    <w:rsid w:val="00557EB8"/>
    <w:rsid w:val="00557FE1"/>
    <w:rsid w:val="005604DC"/>
    <w:rsid w:val="005637D0"/>
    <w:rsid w:val="0056487B"/>
    <w:rsid w:val="00564CDC"/>
    <w:rsid w:val="00564E98"/>
    <w:rsid w:val="0057141A"/>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B384F"/>
    <w:rsid w:val="005C228F"/>
    <w:rsid w:val="005C272F"/>
    <w:rsid w:val="005D01A8"/>
    <w:rsid w:val="005E1375"/>
    <w:rsid w:val="005E3171"/>
    <w:rsid w:val="005E7695"/>
    <w:rsid w:val="005F0716"/>
    <w:rsid w:val="005F162C"/>
    <w:rsid w:val="005F430F"/>
    <w:rsid w:val="005F53E1"/>
    <w:rsid w:val="005F5DE8"/>
    <w:rsid w:val="00600494"/>
    <w:rsid w:val="006150A8"/>
    <w:rsid w:val="0062522C"/>
    <w:rsid w:val="00626C58"/>
    <w:rsid w:val="00635EC3"/>
    <w:rsid w:val="00636860"/>
    <w:rsid w:val="00637A61"/>
    <w:rsid w:val="0064008B"/>
    <w:rsid w:val="00641AC0"/>
    <w:rsid w:val="006434F5"/>
    <w:rsid w:val="00644B1C"/>
    <w:rsid w:val="00645FA6"/>
    <w:rsid w:val="00647CDC"/>
    <w:rsid w:val="00650C05"/>
    <w:rsid w:val="00656171"/>
    <w:rsid w:val="006571CE"/>
    <w:rsid w:val="00666769"/>
    <w:rsid w:val="00670448"/>
    <w:rsid w:val="006714AC"/>
    <w:rsid w:val="00671E2B"/>
    <w:rsid w:val="00672F90"/>
    <w:rsid w:val="00675D7D"/>
    <w:rsid w:val="0067684B"/>
    <w:rsid w:val="00677BF6"/>
    <w:rsid w:val="0068018B"/>
    <w:rsid w:val="00682BCD"/>
    <w:rsid w:val="0068692D"/>
    <w:rsid w:val="00690B57"/>
    <w:rsid w:val="006959AF"/>
    <w:rsid w:val="006A3DE8"/>
    <w:rsid w:val="006A5367"/>
    <w:rsid w:val="006A65E7"/>
    <w:rsid w:val="006A7614"/>
    <w:rsid w:val="006B0652"/>
    <w:rsid w:val="006B2B5D"/>
    <w:rsid w:val="006B43E8"/>
    <w:rsid w:val="006C1F72"/>
    <w:rsid w:val="006C5B99"/>
    <w:rsid w:val="006C5F78"/>
    <w:rsid w:val="006C6AF9"/>
    <w:rsid w:val="006D413F"/>
    <w:rsid w:val="006D4428"/>
    <w:rsid w:val="006D44FA"/>
    <w:rsid w:val="006D67B8"/>
    <w:rsid w:val="006D6B4E"/>
    <w:rsid w:val="006D6E5B"/>
    <w:rsid w:val="006E2AEF"/>
    <w:rsid w:val="006E3DE1"/>
    <w:rsid w:val="006E7FBB"/>
    <w:rsid w:val="006F053F"/>
    <w:rsid w:val="006F0832"/>
    <w:rsid w:val="006F168E"/>
    <w:rsid w:val="006F2F93"/>
    <w:rsid w:val="006F7F6D"/>
    <w:rsid w:val="00702D34"/>
    <w:rsid w:val="00704E7F"/>
    <w:rsid w:val="00707664"/>
    <w:rsid w:val="00711CA6"/>
    <w:rsid w:val="0071244B"/>
    <w:rsid w:val="00712A21"/>
    <w:rsid w:val="00714CF0"/>
    <w:rsid w:val="00717B10"/>
    <w:rsid w:val="00720A3E"/>
    <w:rsid w:val="00720F11"/>
    <w:rsid w:val="007214EF"/>
    <w:rsid w:val="00723C00"/>
    <w:rsid w:val="00726DD4"/>
    <w:rsid w:val="00730892"/>
    <w:rsid w:val="00731A4C"/>
    <w:rsid w:val="00734434"/>
    <w:rsid w:val="00742342"/>
    <w:rsid w:val="00742C8C"/>
    <w:rsid w:val="00744CFB"/>
    <w:rsid w:val="0074653C"/>
    <w:rsid w:val="00746C0A"/>
    <w:rsid w:val="00747001"/>
    <w:rsid w:val="0074778F"/>
    <w:rsid w:val="00747B99"/>
    <w:rsid w:val="007525FD"/>
    <w:rsid w:val="00754E03"/>
    <w:rsid w:val="00763A57"/>
    <w:rsid w:val="00773734"/>
    <w:rsid w:val="007761AF"/>
    <w:rsid w:val="007764EE"/>
    <w:rsid w:val="0078127B"/>
    <w:rsid w:val="00784BA2"/>
    <w:rsid w:val="007906CE"/>
    <w:rsid w:val="007959C1"/>
    <w:rsid w:val="007A5803"/>
    <w:rsid w:val="007B2015"/>
    <w:rsid w:val="007B2F7F"/>
    <w:rsid w:val="007B41F6"/>
    <w:rsid w:val="007B5799"/>
    <w:rsid w:val="007B62C9"/>
    <w:rsid w:val="007B6D9E"/>
    <w:rsid w:val="007B705F"/>
    <w:rsid w:val="007C0CD8"/>
    <w:rsid w:val="007C1E2F"/>
    <w:rsid w:val="007C21D9"/>
    <w:rsid w:val="007C2487"/>
    <w:rsid w:val="007C3651"/>
    <w:rsid w:val="007C3668"/>
    <w:rsid w:val="007C39E6"/>
    <w:rsid w:val="007C4167"/>
    <w:rsid w:val="007C5524"/>
    <w:rsid w:val="007D1991"/>
    <w:rsid w:val="007D4181"/>
    <w:rsid w:val="007D4918"/>
    <w:rsid w:val="007D4EE1"/>
    <w:rsid w:val="007D64C8"/>
    <w:rsid w:val="007E1553"/>
    <w:rsid w:val="007E4B90"/>
    <w:rsid w:val="007E6625"/>
    <w:rsid w:val="007E7BD0"/>
    <w:rsid w:val="007F0DA1"/>
    <w:rsid w:val="007F1C0F"/>
    <w:rsid w:val="007F2742"/>
    <w:rsid w:val="007F3E0A"/>
    <w:rsid w:val="007F58E6"/>
    <w:rsid w:val="007F686C"/>
    <w:rsid w:val="007F76BA"/>
    <w:rsid w:val="00806376"/>
    <w:rsid w:val="0081259D"/>
    <w:rsid w:val="00813568"/>
    <w:rsid w:val="00815170"/>
    <w:rsid w:val="00815ABB"/>
    <w:rsid w:val="008169DF"/>
    <w:rsid w:val="00816DF1"/>
    <w:rsid w:val="00821DD9"/>
    <w:rsid w:val="00826895"/>
    <w:rsid w:val="00833128"/>
    <w:rsid w:val="00840E7C"/>
    <w:rsid w:val="008421A1"/>
    <w:rsid w:val="008432EE"/>
    <w:rsid w:val="00850CF2"/>
    <w:rsid w:val="00851DFB"/>
    <w:rsid w:val="00852193"/>
    <w:rsid w:val="008540EF"/>
    <w:rsid w:val="00855573"/>
    <w:rsid w:val="00857845"/>
    <w:rsid w:val="0086314C"/>
    <w:rsid w:val="00864D14"/>
    <w:rsid w:val="0086519F"/>
    <w:rsid w:val="00865D38"/>
    <w:rsid w:val="008663FA"/>
    <w:rsid w:val="00873713"/>
    <w:rsid w:val="00874265"/>
    <w:rsid w:val="00881D2A"/>
    <w:rsid w:val="00883BD4"/>
    <w:rsid w:val="008840EE"/>
    <w:rsid w:val="00887A63"/>
    <w:rsid w:val="008918DA"/>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76BB5"/>
    <w:rsid w:val="00977167"/>
    <w:rsid w:val="00980DB0"/>
    <w:rsid w:val="00984B0B"/>
    <w:rsid w:val="00994024"/>
    <w:rsid w:val="00994EDD"/>
    <w:rsid w:val="00997375"/>
    <w:rsid w:val="009A1591"/>
    <w:rsid w:val="009B20BD"/>
    <w:rsid w:val="009B4174"/>
    <w:rsid w:val="009B61A1"/>
    <w:rsid w:val="009C0EAF"/>
    <w:rsid w:val="009C1F87"/>
    <w:rsid w:val="009C4947"/>
    <w:rsid w:val="009C67C5"/>
    <w:rsid w:val="009C7A55"/>
    <w:rsid w:val="009E7EE8"/>
    <w:rsid w:val="009F0F58"/>
    <w:rsid w:val="009F3745"/>
    <w:rsid w:val="009F617A"/>
    <w:rsid w:val="00A01202"/>
    <w:rsid w:val="00A035EF"/>
    <w:rsid w:val="00A0718C"/>
    <w:rsid w:val="00A10ACD"/>
    <w:rsid w:val="00A129F1"/>
    <w:rsid w:val="00A137AD"/>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8709D"/>
    <w:rsid w:val="00A91891"/>
    <w:rsid w:val="00A934A7"/>
    <w:rsid w:val="00A9613A"/>
    <w:rsid w:val="00A973B2"/>
    <w:rsid w:val="00AB0F92"/>
    <w:rsid w:val="00AB567E"/>
    <w:rsid w:val="00AC08A8"/>
    <w:rsid w:val="00AC3943"/>
    <w:rsid w:val="00AC3B06"/>
    <w:rsid w:val="00AC4317"/>
    <w:rsid w:val="00AC5EBF"/>
    <w:rsid w:val="00AC6742"/>
    <w:rsid w:val="00AC6981"/>
    <w:rsid w:val="00AD4163"/>
    <w:rsid w:val="00AE3A26"/>
    <w:rsid w:val="00AF1B2F"/>
    <w:rsid w:val="00AF364E"/>
    <w:rsid w:val="00B05DAB"/>
    <w:rsid w:val="00B13000"/>
    <w:rsid w:val="00B15368"/>
    <w:rsid w:val="00B20019"/>
    <w:rsid w:val="00B21550"/>
    <w:rsid w:val="00B24137"/>
    <w:rsid w:val="00B31FEF"/>
    <w:rsid w:val="00B325E1"/>
    <w:rsid w:val="00B3588C"/>
    <w:rsid w:val="00B36202"/>
    <w:rsid w:val="00B36D0A"/>
    <w:rsid w:val="00B43736"/>
    <w:rsid w:val="00B528FB"/>
    <w:rsid w:val="00B559AA"/>
    <w:rsid w:val="00B564BC"/>
    <w:rsid w:val="00B62E57"/>
    <w:rsid w:val="00B63270"/>
    <w:rsid w:val="00B63D15"/>
    <w:rsid w:val="00B64400"/>
    <w:rsid w:val="00B65228"/>
    <w:rsid w:val="00B70CD9"/>
    <w:rsid w:val="00B71319"/>
    <w:rsid w:val="00B714B7"/>
    <w:rsid w:val="00B82337"/>
    <w:rsid w:val="00B82E71"/>
    <w:rsid w:val="00B83493"/>
    <w:rsid w:val="00B940DD"/>
    <w:rsid w:val="00B95847"/>
    <w:rsid w:val="00B966ED"/>
    <w:rsid w:val="00BA06B5"/>
    <w:rsid w:val="00BA268A"/>
    <w:rsid w:val="00BA3D8F"/>
    <w:rsid w:val="00BA65A5"/>
    <w:rsid w:val="00BB6193"/>
    <w:rsid w:val="00BB6A0B"/>
    <w:rsid w:val="00BB756B"/>
    <w:rsid w:val="00BC15E4"/>
    <w:rsid w:val="00BD1A05"/>
    <w:rsid w:val="00BD1B80"/>
    <w:rsid w:val="00BD4B04"/>
    <w:rsid w:val="00BD5FBC"/>
    <w:rsid w:val="00BE335A"/>
    <w:rsid w:val="00BF187B"/>
    <w:rsid w:val="00BF759E"/>
    <w:rsid w:val="00C012ED"/>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47504"/>
    <w:rsid w:val="00C47E0B"/>
    <w:rsid w:val="00C510A3"/>
    <w:rsid w:val="00C53387"/>
    <w:rsid w:val="00C546B7"/>
    <w:rsid w:val="00C56ED2"/>
    <w:rsid w:val="00C64063"/>
    <w:rsid w:val="00C6623A"/>
    <w:rsid w:val="00C673E2"/>
    <w:rsid w:val="00C70000"/>
    <w:rsid w:val="00C70B6C"/>
    <w:rsid w:val="00C72748"/>
    <w:rsid w:val="00C74089"/>
    <w:rsid w:val="00C758F5"/>
    <w:rsid w:val="00C771FE"/>
    <w:rsid w:val="00C90E85"/>
    <w:rsid w:val="00C92E5D"/>
    <w:rsid w:val="00C93509"/>
    <w:rsid w:val="00C9777C"/>
    <w:rsid w:val="00CA0455"/>
    <w:rsid w:val="00CA4A39"/>
    <w:rsid w:val="00CA4C69"/>
    <w:rsid w:val="00CA58CB"/>
    <w:rsid w:val="00CA5BC7"/>
    <w:rsid w:val="00CB137C"/>
    <w:rsid w:val="00CB4E54"/>
    <w:rsid w:val="00CB6AA7"/>
    <w:rsid w:val="00CC19B2"/>
    <w:rsid w:val="00CC215D"/>
    <w:rsid w:val="00CC3F2F"/>
    <w:rsid w:val="00CC4A3E"/>
    <w:rsid w:val="00CC602E"/>
    <w:rsid w:val="00CC62E0"/>
    <w:rsid w:val="00CD0EB5"/>
    <w:rsid w:val="00CD47A3"/>
    <w:rsid w:val="00CD5336"/>
    <w:rsid w:val="00CD5D4A"/>
    <w:rsid w:val="00CD6D27"/>
    <w:rsid w:val="00CD6F65"/>
    <w:rsid w:val="00CE16E0"/>
    <w:rsid w:val="00CF1131"/>
    <w:rsid w:val="00CF3E4E"/>
    <w:rsid w:val="00CF5581"/>
    <w:rsid w:val="00D036FF"/>
    <w:rsid w:val="00D11C16"/>
    <w:rsid w:val="00D1214E"/>
    <w:rsid w:val="00D14FDB"/>
    <w:rsid w:val="00D150CA"/>
    <w:rsid w:val="00D15D3F"/>
    <w:rsid w:val="00D17F95"/>
    <w:rsid w:val="00D20BD0"/>
    <w:rsid w:val="00D2311D"/>
    <w:rsid w:val="00D27605"/>
    <w:rsid w:val="00D3638A"/>
    <w:rsid w:val="00D36521"/>
    <w:rsid w:val="00D42C39"/>
    <w:rsid w:val="00D451FE"/>
    <w:rsid w:val="00D46217"/>
    <w:rsid w:val="00D50E23"/>
    <w:rsid w:val="00D52A8C"/>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6578"/>
    <w:rsid w:val="00DB783D"/>
    <w:rsid w:val="00DC05C1"/>
    <w:rsid w:val="00DE1DED"/>
    <w:rsid w:val="00DE264C"/>
    <w:rsid w:val="00DE3D66"/>
    <w:rsid w:val="00DE5628"/>
    <w:rsid w:val="00DE6AD2"/>
    <w:rsid w:val="00DE6E1C"/>
    <w:rsid w:val="00DF4385"/>
    <w:rsid w:val="00E008D5"/>
    <w:rsid w:val="00E03491"/>
    <w:rsid w:val="00E04753"/>
    <w:rsid w:val="00E0544B"/>
    <w:rsid w:val="00E12C39"/>
    <w:rsid w:val="00E13871"/>
    <w:rsid w:val="00E15EBE"/>
    <w:rsid w:val="00E16A37"/>
    <w:rsid w:val="00E25543"/>
    <w:rsid w:val="00E25796"/>
    <w:rsid w:val="00E3155F"/>
    <w:rsid w:val="00E33FB4"/>
    <w:rsid w:val="00E35802"/>
    <w:rsid w:val="00E36FE2"/>
    <w:rsid w:val="00E37870"/>
    <w:rsid w:val="00E45733"/>
    <w:rsid w:val="00E50425"/>
    <w:rsid w:val="00E51F41"/>
    <w:rsid w:val="00E5691B"/>
    <w:rsid w:val="00E601F3"/>
    <w:rsid w:val="00E61505"/>
    <w:rsid w:val="00E6158B"/>
    <w:rsid w:val="00E61697"/>
    <w:rsid w:val="00E63ACD"/>
    <w:rsid w:val="00E673D2"/>
    <w:rsid w:val="00E701E0"/>
    <w:rsid w:val="00E72220"/>
    <w:rsid w:val="00E72CFB"/>
    <w:rsid w:val="00E72D56"/>
    <w:rsid w:val="00E74213"/>
    <w:rsid w:val="00E76CD9"/>
    <w:rsid w:val="00E80500"/>
    <w:rsid w:val="00E80549"/>
    <w:rsid w:val="00E85272"/>
    <w:rsid w:val="00E85370"/>
    <w:rsid w:val="00E91E19"/>
    <w:rsid w:val="00E95106"/>
    <w:rsid w:val="00E95F26"/>
    <w:rsid w:val="00EA023E"/>
    <w:rsid w:val="00EA0EBF"/>
    <w:rsid w:val="00EC0B2E"/>
    <w:rsid w:val="00ED1CC5"/>
    <w:rsid w:val="00ED47C6"/>
    <w:rsid w:val="00ED6419"/>
    <w:rsid w:val="00ED74EC"/>
    <w:rsid w:val="00ED79BB"/>
    <w:rsid w:val="00EE0957"/>
    <w:rsid w:val="00EE0E4E"/>
    <w:rsid w:val="00EE27E5"/>
    <w:rsid w:val="00EF0715"/>
    <w:rsid w:val="00EF0B95"/>
    <w:rsid w:val="00EF1732"/>
    <w:rsid w:val="00EF3ABF"/>
    <w:rsid w:val="00EF636A"/>
    <w:rsid w:val="00EF6482"/>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550"/>
    <w:rsid w:val="00F96808"/>
    <w:rsid w:val="00F968DD"/>
    <w:rsid w:val="00FA2139"/>
    <w:rsid w:val="00FA63D5"/>
    <w:rsid w:val="00FA6CE2"/>
    <w:rsid w:val="00FA7F74"/>
    <w:rsid w:val="00FB0335"/>
    <w:rsid w:val="00FB3929"/>
    <w:rsid w:val="00FB6B35"/>
    <w:rsid w:val="00FB6B9E"/>
    <w:rsid w:val="00FC0EF5"/>
    <w:rsid w:val="00FC5611"/>
    <w:rsid w:val="00FC5F8C"/>
    <w:rsid w:val="00FC79B6"/>
    <w:rsid w:val="00FD1CCB"/>
    <w:rsid w:val="00FE130F"/>
    <w:rsid w:val="00FE2767"/>
    <w:rsid w:val="00FE46C2"/>
    <w:rsid w:val="00FF0DCF"/>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845BF7F"/>
  <w15:docId w15:val="{99C00CE8-9666-47C3-940C-6EE49469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578"/>
    <w:pPr>
      <w:tabs>
        <w:tab w:val="left" w:pos="432"/>
      </w:tabs>
      <w:spacing w:line="480" w:lineRule="auto"/>
      <w:ind w:firstLine="432"/>
      <w:jc w:val="both"/>
    </w:pPr>
  </w:style>
  <w:style w:type="paragraph" w:styleId="Heading1">
    <w:name w:val="heading 1"/>
    <w:basedOn w:val="Normal"/>
    <w:next w:val="Normal"/>
    <w:semiHidden/>
    <w:qFormat/>
    <w:rsid w:val="00DB6578"/>
    <w:pPr>
      <w:spacing w:after="840" w:line="240" w:lineRule="auto"/>
      <w:ind w:firstLine="0"/>
      <w:jc w:val="center"/>
      <w:outlineLvl w:val="0"/>
    </w:pPr>
    <w:rPr>
      <w:b/>
      <w:caps/>
    </w:rPr>
  </w:style>
  <w:style w:type="paragraph" w:styleId="Heading2">
    <w:name w:val="heading 2"/>
    <w:basedOn w:val="Normal"/>
    <w:next w:val="Normal"/>
    <w:semiHidden/>
    <w:qFormat/>
    <w:rsid w:val="00DB6578"/>
    <w:pPr>
      <w:keepNext/>
      <w:spacing w:after="240" w:line="240" w:lineRule="auto"/>
      <w:ind w:left="432" w:hanging="432"/>
      <w:outlineLvl w:val="1"/>
    </w:pPr>
    <w:rPr>
      <w:b/>
      <w:caps/>
    </w:rPr>
  </w:style>
  <w:style w:type="paragraph" w:styleId="Heading3">
    <w:name w:val="heading 3"/>
    <w:basedOn w:val="Normal"/>
    <w:next w:val="Normal"/>
    <w:qFormat/>
    <w:rsid w:val="00DB6578"/>
    <w:pPr>
      <w:keepNext/>
      <w:spacing w:after="240" w:line="240" w:lineRule="auto"/>
      <w:ind w:left="432" w:hanging="432"/>
      <w:outlineLvl w:val="2"/>
    </w:pPr>
    <w:rPr>
      <w:b/>
    </w:rPr>
  </w:style>
  <w:style w:type="paragraph" w:styleId="Heading4">
    <w:name w:val="heading 4"/>
    <w:basedOn w:val="Normal"/>
    <w:next w:val="Normal"/>
    <w:qFormat/>
    <w:rsid w:val="00DB6578"/>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DB6578"/>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DB6578"/>
    <w:pPr>
      <w:outlineLvl w:val="5"/>
    </w:pPr>
  </w:style>
  <w:style w:type="paragraph" w:styleId="Heading7">
    <w:name w:val="heading 7"/>
    <w:aliases w:val="Heading 7 (business proposal only)"/>
    <w:basedOn w:val="Normal"/>
    <w:next w:val="Normal"/>
    <w:semiHidden/>
    <w:qFormat/>
    <w:rsid w:val="00DB6578"/>
    <w:pPr>
      <w:outlineLvl w:val="6"/>
    </w:pPr>
  </w:style>
  <w:style w:type="paragraph" w:styleId="Heading8">
    <w:name w:val="heading 8"/>
    <w:aliases w:val="Heading 8 (business proposal only)"/>
    <w:basedOn w:val="Normal"/>
    <w:next w:val="Normal"/>
    <w:semiHidden/>
    <w:qFormat/>
    <w:rsid w:val="00DB6578"/>
    <w:pPr>
      <w:outlineLvl w:val="7"/>
    </w:pPr>
  </w:style>
  <w:style w:type="paragraph" w:styleId="Heading9">
    <w:name w:val="heading 9"/>
    <w:aliases w:val="Heading 9 (business proposal only)"/>
    <w:basedOn w:val="Normal"/>
    <w:next w:val="Normal"/>
    <w:semiHidden/>
    <w:qFormat/>
    <w:rsid w:val="00DB65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DB6578"/>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DB6578"/>
    <w:pPr>
      <w:spacing w:after="240" w:line="240" w:lineRule="auto"/>
    </w:pPr>
  </w:style>
  <w:style w:type="paragraph" w:styleId="Footer">
    <w:name w:val="footer"/>
    <w:basedOn w:val="Normal"/>
    <w:link w:val="FooterChar"/>
    <w:qFormat/>
    <w:rsid w:val="00DB6578"/>
    <w:pPr>
      <w:tabs>
        <w:tab w:val="center" w:pos="4320"/>
        <w:tab w:val="right" w:pos="8640"/>
      </w:tabs>
      <w:spacing w:before="360" w:line="240" w:lineRule="auto"/>
    </w:pPr>
  </w:style>
  <w:style w:type="character" w:styleId="PageNumber">
    <w:name w:val="page number"/>
    <w:basedOn w:val="DefaultParagraphFont"/>
    <w:semiHidden/>
    <w:qFormat/>
    <w:rsid w:val="00DB6578"/>
    <w:rPr>
      <w:rFonts w:ascii="Garamond" w:hAnsi="Garamond"/>
      <w:sz w:val="24"/>
    </w:rPr>
  </w:style>
  <w:style w:type="paragraph" w:customStyle="1" w:styleId="Heading1Black">
    <w:name w:val="Heading 1_Black"/>
    <w:basedOn w:val="Normal"/>
    <w:next w:val="Normal"/>
    <w:qFormat/>
    <w:rsid w:val="00DB6578"/>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B6578"/>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DB6578"/>
    <w:pPr>
      <w:tabs>
        <w:tab w:val="left" w:pos="1872"/>
        <w:tab w:val="right" w:leader="dot" w:pos="9360"/>
      </w:tabs>
      <w:ind w:left="1872" w:right="1080" w:hanging="432"/>
    </w:pPr>
    <w:rPr>
      <w:rFonts w:ascii="Arial" w:hAnsi="Arial"/>
    </w:rPr>
  </w:style>
  <w:style w:type="paragraph" w:styleId="TOC4">
    <w:name w:val="toc 4"/>
    <w:next w:val="Normal"/>
    <w:autoRedefine/>
    <w:qFormat/>
    <w:rsid w:val="00DB6578"/>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DB6578"/>
    <w:pPr>
      <w:spacing w:after="120" w:line="240" w:lineRule="auto"/>
    </w:pPr>
    <w:rPr>
      <w:sz w:val="20"/>
    </w:rPr>
  </w:style>
  <w:style w:type="paragraph" w:customStyle="1" w:styleId="Dash">
    <w:name w:val="Dash"/>
    <w:qFormat/>
    <w:rsid w:val="00DB6578"/>
    <w:pPr>
      <w:numPr>
        <w:numId w:val="8"/>
      </w:numPr>
      <w:tabs>
        <w:tab w:val="left" w:pos="1080"/>
      </w:tabs>
      <w:spacing w:after="120"/>
      <w:ind w:left="1080" w:right="720"/>
      <w:jc w:val="both"/>
    </w:pPr>
  </w:style>
  <w:style w:type="paragraph" w:customStyle="1" w:styleId="DashLAST">
    <w:name w:val="Dash (LAST)"/>
    <w:basedOn w:val="Dash"/>
    <w:next w:val="Normal"/>
    <w:qFormat/>
    <w:rsid w:val="00DB6578"/>
    <w:pPr>
      <w:tabs>
        <w:tab w:val="num" w:pos="1080"/>
      </w:tabs>
      <w:spacing w:after="240"/>
    </w:pPr>
  </w:style>
  <w:style w:type="paragraph" w:customStyle="1" w:styleId="NumberedBullet">
    <w:name w:val="Numbered Bullet"/>
    <w:basedOn w:val="Normal"/>
    <w:qFormat/>
    <w:rsid w:val="00DB6578"/>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DB6578"/>
    <w:pPr>
      <w:tabs>
        <w:tab w:val="clear" w:pos="432"/>
      </w:tabs>
      <w:spacing w:after="240" w:line="240" w:lineRule="auto"/>
      <w:ind w:left="720" w:hanging="720"/>
    </w:pPr>
  </w:style>
  <w:style w:type="character" w:styleId="FootnoteReference">
    <w:name w:val="footnote reference"/>
    <w:basedOn w:val="DefaultParagraphFont"/>
    <w:rsid w:val="00DB6578"/>
    <w:rPr>
      <w:spacing w:val="0"/>
      <w:position w:val="0"/>
      <w:u w:color="000080"/>
      <w:effect w:val="none"/>
      <w:vertAlign w:val="superscript"/>
    </w:rPr>
  </w:style>
  <w:style w:type="paragraph" w:styleId="EndnoteText">
    <w:name w:val="endnote text"/>
    <w:basedOn w:val="Normal"/>
    <w:rsid w:val="00DB6578"/>
    <w:pPr>
      <w:spacing w:after="240" w:line="240" w:lineRule="auto"/>
    </w:pPr>
  </w:style>
  <w:style w:type="character" w:styleId="EndnoteReference">
    <w:name w:val="endnote reference"/>
    <w:basedOn w:val="DefaultParagraphFont"/>
    <w:rsid w:val="00DB6578"/>
    <w:rPr>
      <w:vertAlign w:val="superscript"/>
    </w:rPr>
  </w:style>
  <w:style w:type="paragraph" w:customStyle="1" w:styleId="MarkforTableHeading">
    <w:name w:val="Mark for Table Heading"/>
    <w:basedOn w:val="Normal"/>
    <w:next w:val="Normal"/>
    <w:qFormat/>
    <w:rsid w:val="00DB6578"/>
    <w:pPr>
      <w:keepNext/>
      <w:spacing w:after="60" w:line="240" w:lineRule="auto"/>
      <w:ind w:firstLine="0"/>
    </w:pPr>
    <w:rPr>
      <w:rFonts w:ascii="Arial" w:hAnsi="Arial"/>
      <w:b/>
      <w:sz w:val="18"/>
    </w:rPr>
  </w:style>
  <w:style w:type="paragraph" w:customStyle="1" w:styleId="References">
    <w:name w:val="References"/>
    <w:basedOn w:val="Normal"/>
    <w:qFormat/>
    <w:rsid w:val="00DB6578"/>
    <w:pPr>
      <w:keepLines/>
      <w:spacing w:after="240" w:line="240" w:lineRule="auto"/>
      <w:ind w:left="432" w:hanging="432"/>
    </w:pPr>
  </w:style>
  <w:style w:type="paragraph" w:customStyle="1" w:styleId="MarkforFigureHeading">
    <w:name w:val="Mark for Figure Heading"/>
    <w:basedOn w:val="MarkforTableHeading"/>
    <w:next w:val="Normal"/>
    <w:qFormat/>
    <w:rsid w:val="00DB6578"/>
  </w:style>
  <w:style w:type="paragraph" w:customStyle="1" w:styleId="MarkforExhibitHeading">
    <w:name w:val="Mark for Exhibit Heading"/>
    <w:basedOn w:val="Normal"/>
    <w:next w:val="Normal"/>
    <w:qFormat/>
    <w:rsid w:val="00DB6578"/>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DB6578"/>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DB6578"/>
    <w:rPr>
      <w:vanish/>
      <w:color w:val="FF0000"/>
    </w:rPr>
  </w:style>
  <w:style w:type="paragraph" w:customStyle="1" w:styleId="NumberedBulletLASTSS">
    <w:name w:val="Numbered Bullet (LAST SS)"/>
    <w:basedOn w:val="NumberedBullet"/>
    <w:next w:val="Normal"/>
    <w:qFormat/>
    <w:rsid w:val="00DB6578"/>
    <w:pPr>
      <w:spacing w:after="240"/>
    </w:pPr>
  </w:style>
  <w:style w:type="paragraph" w:styleId="ListParagraph">
    <w:name w:val="List Paragraph"/>
    <w:basedOn w:val="Normal"/>
    <w:uiPriority w:val="34"/>
    <w:rsid w:val="00DB6578"/>
    <w:pPr>
      <w:numPr>
        <w:numId w:val="6"/>
      </w:numPr>
      <w:ind w:left="720" w:hanging="288"/>
      <w:contextualSpacing/>
    </w:pPr>
  </w:style>
  <w:style w:type="paragraph" w:styleId="Header">
    <w:name w:val="header"/>
    <w:basedOn w:val="Normal"/>
    <w:link w:val="HeaderChar"/>
    <w:qFormat/>
    <w:rsid w:val="00DB6578"/>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DB6578"/>
    <w:rPr>
      <w:i/>
      <w:sz w:val="22"/>
    </w:rPr>
  </w:style>
  <w:style w:type="paragraph" w:styleId="BalloonText">
    <w:name w:val="Balloon Text"/>
    <w:basedOn w:val="Normal"/>
    <w:link w:val="BalloonTextChar"/>
    <w:uiPriority w:val="99"/>
    <w:semiHidden/>
    <w:unhideWhenUsed/>
    <w:rsid w:val="00DB65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578"/>
    <w:rPr>
      <w:rFonts w:ascii="Tahoma" w:hAnsi="Tahoma" w:cs="Tahoma"/>
      <w:sz w:val="16"/>
      <w:szCs w:val="16"/>
    </w:rPr>
  </w:style>
  <w:style w:type="paragraph" w:customStyle="1" w:styleId="TableFootnoteCaption">
    <w:name w:val="Table Footnote_Caption"/>
    <w:basedOn w:val="NormalSS"/>
    <w:qFormat/>
    <w:rsid w:val="00DB6578"/>
    <w:pPr>
      <w:spacing w:after="120"/>
      <w:ind w:firstLine="0"/>
    </w:pPr>
    <w:rPr>
      <w:rFonts w:ascii="Arial" w:hAnsi="Arial"/>
      <w:sz w:val="18"/>
    </w:rPr>
  </w:style>
  <w:style w:type="paragraph" w:customStyle="1" w:styleId="TableHeaderCenter">
    <w:name w:val="Table Header Center"/>
    <w:basedOn w:val="NormalSS"/>
    <w:qFormat/>
    <w:rsid w:val="00DB6578"/>
    <w:pPr>
      <w:spacing w:before="120" w:after="60"/>
      <w:ind w:firstLine="0"/>
      <w:jc w:val="center"/>
    </w:pPr>
    <w:rPr>
      <w:rFonts w:ascii="Arial" w:hAnsi="Arial"/>
      <w:sz w:val="18"/>
    </w:rPr>
  </w:style>
  <w:style w:type="paragraph" w:customStyle="1" w:styleId="TableHeaderLeft">
    <w:name w:val="Table Header Left"/>
    <w:basedOn w:val="NormalSS"/>
    <w:qFormat/>
    <w:rsid w:val="00DB6578"/>
    <w:pPr>
      <w:spacing w:before="120" w:after="60"/>
      <w:ind w:firstLine="0"/>
      <w:jc w:val="left"/>
    </w:pPr>
    <w:rPr>
      <w:rFonts w:ascii="Arial" w:hAnsi="Arial"/>
      <w:sz w:val="18"/>
    </w:rPr>
  </w:style>
  <w:style w:type="paragraph" w:customStyle="1" w:styleId="Normalcontinued">
    <w:name w:val="Normal (continued)"/>
    <w:basedOn w:val="Normal"/>
    <w:next w:val="Normal"/>
    <w:qFormat/>
    <w:rsid w:val="00DB6578"/>
    <w:pPr>
      <w:ind w:firstLine="0"/>
    </w:pPr>
  </w:style>
  <w:style w:type="paragraph" w:customStyle="1" w:styleId="NormalSScontinued">
    <w:name w:val="NormalSS (continued)"/>
    <w:basedOn w:val="NormalSS"/>
    <w:next w:val="NormalSS"/>
    <w:qFormat/>
    <w:rsid w:val="00DB6578"/>
    <w:pPr>
      <w:ind w:firstLine="0"/>
    </w:pPr>
  </w:style>
  <w:style w:type="paragraph" w:customStyle="1" w:styleId="TableText">
    <w:name w:val="Table Text"/>
    <w:basedOn w:val="NormalSS"/>
    <w:qFormat/>
    <w:rsid w:val="00DB6578"/>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B6578"/>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DB657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6578"/>
    <w:rPr>
      <w:color w:val="C00000"/>
    </w:rPr>
  </w:style>
  <w:style w:type="paragraph" w:customStyle="1" w:styleId="AcknowledgmentnoTOCBlue">
    <w:name w:val="Acknowledgment no TOC_Blue"/>
    <w:basedOn w:val="AcknowledgmentnoTOCBlack"/>
    <w:next w:val="Normal"/>
    <w:qFormat/>
    <w:rsid w:val="00DB6578"/>
    <w:rPr>
      <w:color w:val="345294"/>
    </w:rPr>
  </w:style>
  <w:style w:type="paragraph" w:customStyle="1" w:styleId="BulletBlack">
    <w:name w:val="Bullet_Black"/>
    <w:basedOn w:val="Normal"/>
    <w:qFormat/>
    <w:rsid w:val="00DB6578"/>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DB6578"/>
    <w:pPr>
      <w:numPr>
        <w:numId w:val="12"/>
      </w:numPr>
      <w:ind w:left="720" w:hanging="288"/>
    </w:pPr>
  </w:style>
  <w:style w:type="paragraph" w:customStyle="1" w:styleId="BulletBlue">
    <w:name w:val="Bullet_Blue"/>
    <w:basedOn w:val="BulletBlack"/>
    <w:qFormat/>
    <w:rsid w:val="00DB6578"/>
    <w:pPr>
      <w:numPr>
        <w:numId w:val="10"/>
      </w:numPr>
      <w:ind w:left="720" w:hanging="288"/>
    </w:pPr>
  </w:style>
  <w:style w:type="paragraph" w:customStyle="1" w:styleId="BulletBlackLastSS">
    <w:name w:val="Bullet_Black (Last SS)"/>
    <w:basedOn w:val="BulletBlack"/>
    <w:next w:val="NormalSS"/>
    <w:qFormat/>
    <w:rsid w:val="00DB6578"/>
    <w:pPr>
      <w:spacing w:after="240"/>
    </w:pPr>
  </w:style>
  <w:style w:type="paragraph" w:customStyle="1" w:styleId="BulletRedLastSS">
    <w:name w:val="Bullet_Red (Last SS)"/>
    <w:basedOn w:val="BulletBlackLastSS"/>
    <w:next w:val="NormalSS"/>
    <w:qFormat/>
    <w:rsid w:val="00DB6578"/>
    <w:pPr>
      <w:numPr>
        <w:numId w:val="13"/>
      </w:numPr>
      <w:ind w:left="720" w:hanging="288"/>
    </w:pPr>
  </w:style>
  <w:style w:type="paragraph" w:customStyle="1" w:styleId="BulletBlueLastSS">
    <w:name w:val="Bullet_Blue (Last SS)"/>
    <w:basedOn w:val="BulletBlackLastSS"/>
    <w:next w:val="NormalSS"/>
    <w:qFormat/>
    <w:rsid w:val="00DB6578"/>
    <w:pPr>
      <w:numPr>
        <w:numId w:val="11"/>
      </w:numPr>
      <w:ind w:left="720" w:hanging="288"/>
    </w:pPr>
  </w:style>
  <w:style w:type="paragraph" w:customStyle="1" w:styleId="BulletBlackLastDS">
    <w:name w:val="Bullet_Black (Last DS)"/>
    <w:basedOn w:val="BulletBlackLastSS"/>
    <w:next w:val="Normal"/>
    <w:qFormat/>
    <w:rsid w:val="00DB6578"/>
    <w:pPr>
      <w:spacing w:after="320"/>
    </w:pPr>
  </w:style>
  <w:style w:type="paragraph" w:customStyle="1" w:styleId="BulletRedLastDS">
    <w:name w:val="Bullet_Red (Last DS)"/>
    <w:basedOn w:val="BulletRedLastSS"/>
    <w:next w:val="Normal"/>
    <w:qFormat/>
    <w:rsid w:val="00DB6578"/>
    <w:pPr>
      <w:spacing w:after="320"/>
    </w:pPr>
  </w:style>
  <w:style w:type="paragraph" w:customStyle="1" w:styleId="BulletBlueLastDS">
    <w:name w:val="Bullet_Blue (Last DS)"/>
    <w:basedOn w:val="BulletBlackLastDS"/>
    <w:next w:val="Normal"/>
    <w:qFormat/>
    <w:rsid w:val="00DB6578"/>
    <w:pPr>
      <w:numPr>
        <w:numId w:val="14"/>
      </w:numPr>
      <w:ind w:left="720" w:hanging="288"/>
    </w:pPr>
  </w:style>
  <w:style w:type="table" w:styleId="TableGrid">
    <w:name w:val="Table Grid"/>
    <w:basedOn w:val="TableNormal"/>
    <w:uiPriority w:val="59"/>
    <w:rsid w:val="00DB65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DB6578"/>
    <w:rPr>
      <w:color w:val="C00000"/>
    </w:rPr>
  </w:style>
  <w:style w:type="paragraph" w:customStyle="1" w:styleId="Heading1Blue">
    <w:name w:val="Heading 1_Blue"/>
    <w:basedOn w:val="Heading1Black"/>
    <w:next w:val="Normal"/>
    <w:qFormat/>
    <w:rsid w:val="00DB6578"/>
    <w:rPr>
      <w:color w:val="345294"/>
    </w:rPr>
  </w:style>
  <w:style w:type="paragraph" w:customStyle="1" w:styleId="Heading2Black">
    <w:name w:val="Heading 2_Black"/>
    <w:basedOn w:val="Normal"/>
    <w:next w:val="Normal"/>
    <w:qFormat/>
    <w:rsid w:val="00DB6578"/>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DB6578"/>
    <w:rPr>
      <w:color w:val="C00000"/>
    </w:rPr>
  </w:style>
  <w:style w:type="paragraph" w:customStyle="1" w:styleId="Heading2Blue">
    <w:name w:val="Heading 2_Blue"/>
    <w:basedOn w:val="Heading2Black"/>
    <w:next w:val="Normal"/>
    <w:qFormat/>
    <w:rsid w:val="00DB6578"/>
    <w:rPr>
      <w:color w:val="345294"/>
    </w:rPr>
  </w:style>
  <w:style w:type="paragraph" w:customStyle="1" w:styleId="Heading2BlackNoTOC">
    <w:name w:val="Heading 2_Black No TOC"/>
    <w:basedOn w:val="Heading2Black"/>
    <w:next w:val="Normal"/>
    <w:qFormat/>
    <w:rsid w:val="00DB6578"/>
    <w:pPr>
      <w:outlineLvl w:val="8"/>
    </w:pPr>
  </w:style>
  <w:style w:type="paragraph" w:customStyle="1" w:styleId="Heading2RedNoTOC">
    <w:name w:val="Heading 2_Red No TOC"/>
    <w:basedOn w:val="Heading2Red"/>
    <w:next w:val="Normal"/>
    <w:qFormat/>
    <w:rsid w:val="00DB6578"/>
    <w:pPr>
      <w:outlineLvl w:val="8"/>
    </w:pPr>
  </w:style>
  <w:style w:type="paragraph" w:customStyle="1" w:styleId="Heading2BlueNoTOC">
    <w:name w:val="Heading 2_Blue No TOC"/>
    <w:basedOn w:val="Heading2Blue"/>
    <w:next w:val="Normal"/>
    <w:qFormat/>
    <w:rsid w:val="00DB6578"/>
    <w:pPr>
      <w:outlineLvl w:val="8"/>
    </w:pPr>
  </w:style>
  <w:style w:type="paragraph" w:customStyle="1" w:styleId="MarkforAttachmentHeadingBlack">
    <w:name w:val="Mark for Attachment Heading_Black"/>
    <w:basedOn w:val="Normal"/>
    <w:next w:val="Normal"/>
    <w:qFormat/>
    <w:rsid w:val="00DB6578"/>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578"/>
    <w:rPr>
      <w:color w:val="C00000"/>
    </w:rPr>
  </w:style>
  <w:style w:type="paragraph" w:customStyle="1" w:styleId="MarkforAttachmentHeadingBlue">
    <w:name w:val="Mark for Attachment Heading_Blue"/>
    <w:basedOn w:val="MarkforAttachmentHeadingBlack"/>
    <w:next w:val="Normal"/>
    <w:qFormat/>
    <w:rsid w:val="00DB6578"/>
    <w:rPr>
      <w:color w:val="345294"/>
    </w:rPr>
  </w:style>
  <w:style w:type="paragraph" w:customStyle="1" w:styleId="MarkforAppendixHeadingBlack">
    <w:name w:val="Mark for Appendix Heading_Black"/>
    <w:basedOn w:val="Normal"/>
    <w:next w:val="Normal"/>
    <w:qFormat/>
    <w:rsid w:val="00DB6578"/>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578"/>
    <w:rPr>
      <w:color w:val="C00000"/>
    </w:rPr>
  </w:style>
  <w:style w:type="paragraph" w:customStyle="1" w:styleId="MarkforAppendixHeadingBlue">
    <w:name w:val="Mark for Appendix Heading_Blue"/>
    <w:basedOn w:val="MarkforAppendixHeadingBlack"/>
    <w:next w:val="Normal"/>
    <w:qFormat/>
    <w:rsid w:val="00DB6578"/>
    <w:rPr>
      <w:color w:val="345294"/>
    </w:rPr>
  </w:style>
  <w:style w:type="paragraph" w:customStyle="1" w:styleId="NumberedBulletLastDS">
    <w:name w:val="Numbered Bullet (Last DS)"/>
    <w:basedOn w:val="NumberedBulletLASTSS"/>
    <w:next w:val="Normal"/>
    <w:qFormat/>
    <w:rsid w:val="00DB6578"/>
    <w:pPr>
      <w:spacing w:after="320"/>
    </w:pPr>
  </w:style>
  <w:style w:type="paragraph" w:customStyle="1" w:styleId="TableSignificanceCaption">
    <w:name w:val="Table Significance_Caption"/>
    <w:basedOn w:val="TableSourceCaption"/>
    <w:qFormat/>
    <w:rsid w:val="00DB6578"/>
    <w:pPr>
      <w:spacing w:after="0"/>
    </w:pPr>
  </w:style>
  <w:style w:type="paragraph" w:customStyle="1" w:styleId="TitleofDocumentVertical">
    <w:name w:val="Title of Document Vertical"/>
    <w:basedOn w:val="Normal"/>
    <w:qFormat/>
    <w:rsid w:val="00DB6578"/>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B6578"/>
    <w:pPr>
      <w:spacing w:before="0" w:after="160"/>
    </w:pPr>
  </w:style>
  <w:style w:type="paragraph" w:customStyle="1" w:styleId="TitleofDocumentNoPhoto">
    <w:name w:val="Title of Document No Photo"/>
    <w:basedOn w:val="TitleofDocumentHorizontal"/>
    <w:qFormat/>
    <w:rsid w:val="00DB6578"/>
  </w:style>
  <w:style w:type="paragraph" w:customStyle="1" w:styleId="TableSpace">
    <w:name w:val="TableSpace"/>
    <w:basedOn w:val="TableSourceCaption"/>
    <w:next w:val="TableFootnoteCaption"/>
    <w:semiHidden/>
    <w:qFormat/>
    <w:rsid w:val="00DB6578"/>
    <w:pPr>
      <w:spacing w:after="0"/>
    </w:pPr>
  </w:style>
  <w:style w:type="table" w:customStyle="1" w:styleId="SMPRTableRed">
    <w:name w:val="SMPR_Table_Red"/>
    <w:basedOn w:val="TableNormal"/>
    <w:uiPriority w:val="99"/>
    <w:rsid w:val="00DB6578"/>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B6578"/>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B6578"/>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DB6578"/>
    <w:pPr>
      <w:numPr>
        <w:numId w:val="15"/>
      </w:numPr>
    </w:pPr>
  </w:style>
  <w:style w:type="paragraph" w:styleId="TOC5">
    <w:name w:val="toc 5"/>
    <w:basedOn w:val="Normal"/>
    <w:next w:val="Normal"/>
    <w:autoRedefine/>
    <w:uiPriority w:val="39"/>
    <w:semiHidden/>
    <w:unhideWhenUsed/>
    <w:rsid w:val="00DB6578"/>
    <w:pPr>
      <w:tabs>
        <w:tab w:val="clear" w:pos="432"/>
      </w:tabs>
      <w:spacing w:after="100"/>
      <w:ind w:left="960"/>
    </w:pPr>
  </w:style>
  <w:style w:type="paragraph" w:styleId="TOC6">
    <w:name w:val="toc 6"/>
    <w:basedOn w:val="Normal"/>
    <w:next w:val="Normal"/>
    <w:autoRedefine/>
    <w:uiPriority w:val="39"/>
    <w:semiHidden/>
    <w:unhideWhenUsed/>
    <w:rsid w:val="00DB6578"/>
    <w:pPr>
      <w:tabs>
        <w:tab w:val="clear" w:pos="432"/>
      </w:tabs>
      <w:spacing w:after="100"/>
      <w:ind w:left="1200"/>
    </w:pPr>
  </w:style>
  <w:style w:type="paragraph" w:styleId="TOC7">
    <w:name w:val="toc 7"/>
    <w:basedOn w:val="Normal"/>
    <w:next w:val="Normal"/>
    <w:autoRedefine/>
    <w:uiPriority w:val="39"/>
    <w:semiHidden/>
    <w:unhideWhenUsed/>
    <w:rsid w:val="00DB6578"/>
    <w:pPr>
      <w:tabs>
        <w:tab w:val="clear" w:pos="432"/>
      </w:tabs>
      <w:spacing w:after="100"/>
      <w:ind w:left="1440"/>
    </w:pPr>
  </w:style>
  <w:style w:type="paragraph" w:styleId="TOC8">
    <w:name w:val="toc 8"/>
    <w:next w:val="Normal"/>
    <w:autoRedefine/>
    <w:uiPriority w:val="39"/>
    <w:rsid w:val="00DB6578"/>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DB6578"/>
    <w:pPr>
      <w:tabs>
        <w:tab w:val="clear" w:pos="432"/>
      </w:tabs>
      <w:spacing w:after="100"/>
      <w:ind w:left="1920"/>
    </w:pPr>
  </w:style>
  <w:style w:type="paragraph" w:customStyle="1" w:styleId="Heading3NoTOC">
    <w:name w:val="Heading 3_No TOC"/>
    <w:basedOn w:val="Heading3"/>
    <w:next w:val="Normal"/>
    <w:qFormat/>
    <w:rsid w:val="00DB6578"/>
    <w:pPr>
      <w:outlineLvl w:val="8"/>
    </w:pPr>
  </w:style>
  <w:style w:type="character" w:customStyle="1" w:styleId="FootnoteTextChar">
    <w:name w:val="Footnote Text Char"/>
    <w:aliases w:val="F1 Char"/>
    <w:basedOn w:val="DefaultParagraphFont"/>
    <w:link w:val="FootnoteText"/>
    <w:rsid w:val="00977167"/>
    <w:rPr>
      <w:sz w:val="20"/>
    </w:rPr>
  </w:style>
  <w:style w:type="character" w:customStyle="1" w:styleId="FooterChar">
    <w:name w:val="Footer Char"/>
    <w:basedOn w:val="DefaultParagraphFont"/>
    <w:link w:val="Footer"/>
    <w:rsid w:val="00977167"/>
  </w:style>
  <w:style w:type="paragraph" w:customStyle="1" w:styleId="Bullet">
    <w:name w:val="Bullet"/>
    <w:qFormat/>
    <w:rsid w:val="00187DEB"/>
    <w:pPr>
      <w:tabs>
        <w:tab w:val="left" w:pos="360"/>
      </w:tabs>
      <w:spacing w:after="120"/>
      <w:ind w:left="720" w:right="360" w:hanging="288"/>
      <w:jc w:val="both"/>
    </w:pPr>
    <w:rPr>
      <w:rFonts w:ascii="Times New Roman" w:hAnsi="Times New Roman"/>
    </w:rPr>
  </w:style>
  <w:style w:type="character" w:styleId="Hyperlink">
    <w:name w:val="Hyperlink"/>
    <w:basedOn w:val="DefaultParagraphFont"/>
    <w:uiPriority w:val="99"/>
    <w:semiHidden/>
    <w:unhideWhenUsed/>
    <w:rsid w:val="00187DEB"/>
    <w:rPr>
      <w:color w:val="0000FF"/>
      <w:u w:val="single"/>
    </w:rPr>
  </w:style>
  <w:style w:type="character" w:styleId="Emphasis">
    <w:name w:val="Emphasis"/>
    <w:basedOn w:val="DefaultParagraphFont"/>
    <w:uiPriority w:val="20"/>
    <w:qFormat/>
    <w:rsid w:val="00187DEB"/>
    <w:rPr>
      <w:i/>
      <w:iCs/>
    </w:rPr>
  </w:style>
  <w:style w:type="paragraph" w:customStyle="1" w:styleId="markfortableheading0">
    <w:name w:val="markfortableheading"/>
    <w:basedOn w:val="Normal"/>
    <w:rsid w:val="00E15EBE"/>
    <w:pPr>
      <w:tabs>
        <w:tab w:val="clear" w:pos="432"/>
      </w:tabs>
      <w:spacing w:before="100" w:beforeAutospacing="1" w:after="100" w:afterAutospacing="1" w:line="240" w:lineRule="auto"/>
      <w:ind w:firstLine="0"/>
      <w:jc w:val="left"/>
    </w:pPr>
    <w:rPr>
      <w:rFonts w:ascii="Times New Roman" w:eastAsiaTheme="minorHAnsi" w:hAnsi="Times New Roman"/>
    </w:rPr>
  </w:style>
  <w:style w:type="paragraph" w:customStyle="1" w:styleId="tablefootnotecaption0">
    <w:name w:val="tablefootnotecaption"/>
    <w:basedOn w:val="Normal"/>
    <w:rsid w:val="00E15EBE"/>
    <w:pPr>
      <w:tabs>
        <w:tab w:val="clear" w:pos="432"/>
      </w:tabs>
      <w:spacing w:before="100" w:beforeAutospacing="1" w:after="100" w:afterAutospacing="1" w:line="240" w:lineRule="auto"/>
      <w:ind w:firstLine="0"/>
      <w:jc w:val="left"/>
    </w:pPr>
    <w:rPr>
      <w:rFonts w:ascii="Times New Roman" w:eastAsiaTheme="minorHAnsi" w:hAnsi="Times New Roman"/>
    </w:rPr>
  </w:style>
  <w:style w:type="paragraph" w:styleId="DocumentMap">
    <w:name w:val="Document Map"/>
    <w:basedOn w:val="Normal"/>
    <w:link w:val="DocumentMapChar"/>
    <w:uiPriority w:val="99"/>
    <w:semiHidden/>
    <w:unhideWhenUsed/>
    <w:rsid w:val="00DB657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B6578"/>
    <w:rPr>
      <w:rFonts w:ascii="Tahoma" w:hAnsi="Tahoma" w:cs="Tahoma"/>
      <w:sz w:val="16"/>
      <w:szCs w:val="16"/>
    </w:rPr>
  </w:style>
  <w:style w:type="paragraph" w:styleId="CommentText">
    <w:name w:val="annotation text"/>
    <w:basedOn w:val="Normal"/>
    <w:link w:val="CommentTextChar"/>
    <w:uiPriority w:val="99"/>
    <w:unhideWhenUsed/>
    <w:rsid w:val="00D46217"/>
    <w:pPr>
      <w:spacing w:line="240" w:lineRule="auto"/>
    </w:pPr>
    <w:rPr>
      <w:sz w:val="20"/>
      <w:szCs w:val="20"/>
    </w:rPr>
  </w:style>
  <w:style w:type="character" w:customStyle="1" w:styleId="CommentTextChar">
    <w:name w:val="Comment Text Char"/>
    <w:basedOn w:val="DefaultParagraphFont"/>
    <w:link w:val="CommentText"/>
    <w:uiPriority w:val="99"/>
    <w:rsid w:val="00D46217"/>
    <w:rPr>
      <w:sz w:val="20"/>
      <w:szCs w:val="20"/>
    </w:rPr>
  </w:style>
  <w:style w:type="character" w:styleId="CommentReference">
    <w:name w:val="annotation reference"/>
    <w:basedOn w:val="DefaultParagraphFont"/>
    <w:uiPriority w:val="99"/>
    <w:semiHidden/>
    <w:unhideWhenUsed/>
    <w:rsid w:val="00D46217"/>
    <w:rPr>
      <w:sz w:val="16"/>
      <w:szCs w:val="16"/>
    </w:rPr>
  </w:style>
  <w:style w:type="character" w:customStyle="1" w:styleId="NormalSSChar">
    <w:name w:val="NormalSS Char"/>
    <w:basedOn w:val="DefaultParagraphFont"/>
    <w:link w:val="NormalSS"/>
    <w:rsid w:val="00D46217"/>
  </w:style>
  <w:style w:type="paragraph" w:styleId="CommentSubject">
    <w:name w:val="annotation subject"/>
    <w:basedOn w:val="CommentText"/>
    <w:next w:val="CommentText"/>
    <w:link w:val="CommentSubjectChar"/>
    <w:uiPriority w:val="99"/>
    <w:semiHidden/>
    <w:unhideWhenUsed/>
    <w:rsid w:val="008918DA"/>
    <w:rPr>
      <w:b/>
      <w:bCs/>
    </w:rPr>
  </w:style>
  <w:style w:type="character" w:customStyle="1" w:styleId="CommentSubjectChar">
    <w:name w:val="Comment Subject Char"/>
    <w:basedOn w:val="CommentTextChar"/>
    <w:link w:val="CommentSubject"/>
    <w:uiPriority w:val="99"/>
    <w:semiHidden/>
    <w:rsid w:val="008918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9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5C97E-FA58-4F4A-BD07-E41AB3767D18}">
  <ds:schemaRefs>
    <ds:schemaRef ds:uri="http://purl.org/dc/elements/1.1/"/>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85FFA779-53D8-47C0-9266-F21C86524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7F934F6-9487-4C66-AA8A-7FA11FB230DE}">
  <ds:schemaRefs>
    <ds:schemaRef ds:uri="http://schemas.microsoft.com/sharepoint/v3/contenttype/forms"/>
  </ds:schemaRefs>
</ds:datastoreItem>
</file>

<file path=customXml/itemProps4.xml><?xml version="1.0" encoding="utf-8"?>
<ds:datastoreItem xmlns:ds="http://schemas.openxmlformats.org/officeDocument/2006/customXml" ds:itemID="{679A0DB8-24F1-4E23-9FC6-3811FE8A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2980</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JWalzer</cp:lastModifiedBy>
  <cp:revision>7</cp:revision>
  <cp:lastPrinted>2015-03-26T21:20:00Z</cp:lastPrinted>
  <dcterms:created xsi:type="dcterms:W3CDTF">2015-07-08T20:32:00Z</dcterms:created>
  <dcterms:modified xsi:type="dcterms:W3CDTF">2015-07-15T15:36:00Z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