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38515" w14:textId="77777777" w:rsidR="006869D4" w:rsidRDefault="006869D4" w:rsidP="00F95454">
      <w:pPr>
        <w:pStyle w:val="NoSpacing"/>
        <w:spacing w:before="120" w:after="120"/>
        <w:mirrorIndents/>
        <w:jc w:val="center"/>
        <w:rPr>
          <w:b/>
        </w:rPr>
      </w:pPr>
      <w:bookmarkStart w:id="0" w:name="_GoBack"/>
      <w:bookmarkEnd w:id="0"/>
    </w:p>
    <w:p w14:paraId="7CBCF531" w14:textId="77777777" w:rsidR="00D70EC7" w:rsidRPr="00D70EC7" w:rsidRDefault="00D70EC7" w:rsidP="00F95454">
      <w:pPr>
        <w:widowControl w:val="0"/>
        <w:spacing w:before="120" w:after="120"/>
        <w:mirrorIndents/>
        <w:jc w:val="center"/>
        <w:rPr>
          <w:b/>
        </w:rPr>
      </w:pPr>
      <w:r w:rsidRPr="00D70EC7">
        <w:rPr>
          <w:b/>
        </w:rPr>
        <w:t>The Data to Care (D2C) Public Health Strategy: Successes, Challenges, and Lessons Learned in Identifying, Linking, and Reengaging Persons Diagnosed with HIV to Medical Care</w:t>
      </w:r>
    </w:p>
    <w:p w14:paraId="2D4C5522" w14:textId="05EFB390" w:rsidR="00E227E6" w:rsidRPr="00412543" w:rsidRDefault="00E227E6" w:rsidP="00F95454">
      <w:pPr>
        <w:pStyle w:val="NoSpacing"/>
        <w:spacing w:before="120" w:after="120"/>
        <w:mirrorIndents/>
        <w:jc w:val="center"/>
      </w:pPr>
      <w:r w:rsidRPr="00412543">
        <w:t>Gen</w:t>
      </w:r>
      <w:r w:rsidR="001F2D33" w:rsidRPr="00412543">
        <w:t>eric</w:t>
      </w:r>
      <w:r w:rsidRPr="00412543">
        <w:t xml:space="preserve"> Information Collection under OMB #0920-</w:t>
      </w:r>
      <w:r w:rsidR="001F2D33" w:rsidRPr="00412543">
        <w:t>1091</w:t>
      </w:r>
    </w:p>
    <w:p w14:paraId="646ACD0B" w14:textId="77777777" w:rsidR="00E227E6" w:rsidRDefault="00E227E6" w:rsidP="00F95454">
      <w:pPr>
        <w:pStyle w:val="NoSpacing"/>
        <w:spacing w:before="120" w:after="120"/>
        <w:mirrorIndents/>
        <w:jc w:val="center"/>
        <w:rPr>
          <w:b/>
        </w:rPr>
      </w:pPr>
    </w:p>
    <w:p w14:paraId="70491B13" w14:textId="77777777" w:rsidR="00E227E6" w:rsidRDefault="00E227E6" w:rsidP="00F95454">
      <w:pPr>
        <w:pStyle w:val="NoSpacing"/>
        <w:spacing w:before="120" w:after="120"/>
        <w:mirrorIndents/>
        <w:jc w:val="center"/>
        <w:rPr>
          <w:b/>
        </w:rPr>
      </w:pPr>
    </w:p>
    <w:p w14:paraId="3FA0A050" w14:textId="77777777" w:rsidR="0098673D" w:rsidRDefault="0098673D" w:rsidP="00F95454">
      <w:pPr>
        <w:pStyle w:val="NoSpacing"/>
        <w:spacing w:before="120" w:after="120"/>
        <w:mirrorIndents/>
        <w:jc w:val="center"/>
        <w:rPr>
          <w:b/>
        </w:rPr>
      </w:pPr>
    </w:p>
    <w:p w14:paraId="1032F302" w14:textId="77777777" w:rsidR="0098673D" w:rsidRDefault="0098673D" w:rsidP="00F95454">
      <w:pPr>
        <w:pStyle w:val="NoSpacing"/>
        <w:spacing w:before="120" w:after="120"/>
        <w:mirrorIndents/>
        <w:jc w:val="center"/>
        <w:rPr>
          <w:b/>
        </w:rPr>
      </w:pPr>
    </w:p>
    <w:p w14:paraId="0DA15451" w14:textId="77777777" w:rsidR="0098673D" w:rsidRPr="00412543" w:rsidRDefault="0098673D" w:rsidP="00F95454">
      <w:pPr>
        <w:pStyle w:val="NoSpacing"/>
        <w:spacing w:before="120" w:after="120"/>
        <w:mirrorIndents/>
        <w:jc w:val="center"/>
      </w:pPr>
      <w:r w:rsidRPr="00412543">
        <w:t>Section A: Supporting Statement</w:t>
      </w:r>
    </w:p>
    <w:p w14:paraId="012C70EF" w14:textId="77777777" w:rsidR="0098673D" w:rsidRDefault="0098673D" w:rsidP="00F95454">
      <w:pPr>
        <w:pStyle w:val="NoSpacing"/>
        <w:spacing w:before="120" w:after="120"/>
        <w:mirrorIndents/>
        <w:jc w:val="center"/>
        <w:rPr>
          <w:b/>
        </w:rPr>
      </w:pPr>
    </w:p>
    <w:p w14:paraId="20F53B92" w14:textId="77777777" w:rsidR="0098673D" w:rsidRDefault="0098673D" w:rsidP="00F95454">
      <w:pPr>
        <w:pStyle w:val="NoSpacing"/>
        <w:spacing w:before="120" w:after="120"/>
        <w:mirrorIndents/>
        <w:jc w:val="center"/>
        <w:rPr>
          <w:b/>
        </w:rPr>
      </w:pPr>
    </w:p>
    <w:p w14:paraId="7AFB1319" w14:textId="77777777" w:rsidR="00053671" w:rsidRDefault="00053671" w:rsidP="00F95454">
      <w:pPr>
        <w:pStyle w:val="NoSpacing"/>
        <w:spacing w:before="120" w:after="120"/>
        <w:mirrorIndents/>
        <w:jc w:val="center"/>
        <w:rPr>
          <w:b/>
        </w:rPr>
      </w:pPr>
    </w:p>
    <w:p w14:paraId="04EE08F6" w14:textId="77777777" w:rsidR="00053671" w:rsidRDefault="00053671" w:rsidP="00F95454">
      <w:pPr>
        <w:pStyle w:val="NoSpacing"/>
        <w:spacing w:before="120" w:after="120"/>
        <w:mirrorIndents/>
        <w:jc w:val="center"/>
        <w:rPr>
          <w:b/>
        </w:rPr>
      </w:pPr>
    </w:p>
    <w:p w14:paraId="09B6F01D" w14:textId="2D75E932" w:rsidR="005A0F49" w:rsidRPr="00412543" w:rsidRDefault="001C516C" w:rsidP="00F95454">
      <w:pPr>
        <w:pStyle w:val="NoSpacing"/>
        <w:spacing w:before="120" w:after="120"/>
        <w:mirrorIndents/>
        <w:jc w:val="center"/>
      </w:pPr>
      <w:r>
        <w:t>March 13</w:t>
      </w:r>
      <w:r w:rsidR="008E5022">
        <w:t xml:space="preserve">, </w:t>
      </w:r>
      <w:r w:rsidR="00412543" w:rsidRPr="00412543">
        <w:t xml:space="preserve"> 2018</w:t>
      </w:r>
    </w:p>
    <w:p w14:paraId="3ADA8582" w14:textId="77777777" w:rsidR="00053671" w:rsidRDefault="00053671" w:rsidP="00F95454">
      <w:pPr>
        <w:pStyle w:val="NoSpacing"/>
        <w:spacing w:before="120" w:after="120"/>
        <w:mirrorIndents/>
        <w:jc w:val="center"/>
        <w:rPr>
          <w:b/>
        </w:rPr>
      </w:pPr>
    </w:p>
    <w:p w14:paraId="6C409248" w14:textId="77777777" w:rsidR="00053671" w:rsidRDefault="00053671" w:rsidP="00F95454">
      <w:pPr>
        <w:pStyle w:val="NoSpacing"/>
        <w:spacing w:before="120" w:after="120"/>
        <w:mirrorIndents/>
        <w:jc w:val="center"/>
        <w:rPr>
          <w:b/>
        </w:rPr>
      </w:pPr>
    </w:p>
    <w:p w14:paraId="0438CDFE" w14:textId="77777777" w:rsidR="00053671" w:rsidRDefault="00053671" w:rsidP="00F95454">
      <w:pPr>
        <w:pStyle w:val="NoSpacing"/>
        <w:spacing w:before="120" w:after="120"/>
        <w:mirrorIndents/>
        <w:jc w:val="center"/>
        <w:rPr>
          <w:b/>
        </w:rPr>
      </w:pPr>
      <w:r>
        <w:rPr>
          <w:b/>
        </w:rPr>
        <w:t>CONTACT</w:t>
      </w:r>
    </w:p>
    <w:p w14:paraId="12434A3D" w14:textId="7DA5FF4A" w:rsidR="00053671" w:rsidRPr="00603813" w:rsidRDefault="001F2D33" w:rsidP="00F95454">
      <w:pPr>
        <w:spacing w:before="120" w:after="120"/>
        <w:mirrorIndents/>
        <w:jc w:val="center"/>
        <w:rPr>
          <w:shd w:val="clear" w:color="auto" w:fill="FFFFFF"/>
        </w:rPr>
      </w:pPr>
      <w:r>
        <w:rPr>
          <w:bCs/>
          <w:shd w:val="clear" w:color="auto" w:fill="FFFFFF"/>
        </w:rPr>
        <w:t>James</w:t>
      </w:r>
      <w:r w:rsidR="00AC254E">
        <w:rPr>
          <w:bCs/>
          <w:shd w:val="clear" w:color="auto" w:fill="FFFFFF"/>
        </w:rPr>
        <w:t xml:space="preserve"> W.</w:t>
      </w:r>
      <w:r>
        <w:rPr>
          <w:bCs/>
          <w:shd w:val="clear" w:color="auto" w:fill="FFFFFF"/>
        </w:rPr>
        <w:t xml:space="preserve"> Carey</w:t>
      </w:r>
      <w:r w:rsidR="00053671" w:rsidRPr="00603813">
        <w:rPr>
          <w:bCs/>
          <w:shd w:val="clear" w:color="auto" w:fill="FFFFFF"/>
        </w:rPr>
        <w:t>, PhD</w:t>
      </w:r>
      <w:r w:rsidR="00AC254E">
        <w:t>, MPH</w:t>
      </w:r>
      <w:r w:rsidR="00053671" w:rsidRPr="00603813">
        <w:br/>
      </w:r>
      <w:r>
        <w:t>Project Officer</w:t>
      </w:r>
    </w:p>
    <w:p w14:paraId="35C162D9" w14:textId="0B0D355E" w:rsidR="004657BF" w:rsidRDefault="00053671" w:rsidP="00F95454">
      <w:pPr>
        <w:pStyle w:val="NoSpacing"/>
        <w:spacing w:before="120" w:after="120"/>
        <w:mirrorIndents/>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1600 Clifton Road, NE, Mailstop E-37</w:t>
      </w:r>
      <w:r w:rsidRPr="00603813">
        <w:br/>
      </w:r>
      <w:r w:rsidRPr="00603813">
        <w:rPr>
          <w:shd w:val="clear" w:color="auto" w:fill="FFFFFF"/>
        </w:rPr>
        <w:t>Atlanta, GA 30333</w:t>
      </w:r>
      <w:r w:rsidRPr="00603813">
        <w:br/>
      </w:r>
      <w:r w:rsidRPr="00603813">
        <w:rPr>
          <w:shd w:val="clear" w:color="auto" w:fill="FFFFFF"/>
        </w:rPr>
        <w:t xml:space="preserve">Phone: </w:t>
      </w:r>
      <w:r w:rsidR="004657BF">
        <w:rPr>
          <w:shd w:val="clear" w:color="auto" w:fill="FFFFFF"/>
        </w:rPr>
        <w:t>404-639-</w:t>
      </w:r>
      <w:r w:rsidR="004657BF" w:rsidRPr="004657BF">
        <w:rPr>
          <w:shd w:val="clear" w:color="auto" w:fill="FFFFFF"/>
        </w:rPr>
        <w:t>1903</w:t>
      </w:r>
    </w:p>
    <w:p w14:paraId="3A83CC25" w14:textId="6796FDE3" w:rsidR="00053671" w:rsidRDefault="00053671" w:rsidP="00F95454">
      <w:pPr>
        <w:pStyle w:val="NoSpacing"/>
        <w:spacing w:before="120" w:after="120"/>
        <w:mirrorIndents/>
        <w:jc w:val="center"/>
      </w:pPr>
      <w:r w:rsidRPr="00603813">
        <w:rPr>
          <w:shd w:val="clear" w:color="auto" w:fill="FFFFFF"/>
        </w:rPr>
        <w:t>Fax: 404-639-1950</w:t>
      </w:r>
      <w:r w:rsidRPr="00603813">
        <w:br/>
      </w:r>
      <w:r w:rsidRPr="00603813">
        <w:rPr>
          <w:shd w:val="clear" w:color="auto" w:fill="FFFFFF"/>
        </w:rPr>
        <w:t>E-mail:</w:t>
      </w:r>
      <w:r w:rsidRPr="00603813">
        <w:t> </w:t>
      </w:r>
      <w:r w:rsidR="004657BF">
        <w:t>jfc9</w:t>
      </w:r>
      <w:r w:rsidR="00542640">
        <w:t>@cdc.gov</w:t>
      </w:r>
    </w:p>
    <w:p w14:paraId="6D3B73F1" w14:textId="77777777" w:rsidR="00542640" w:rsidRDefault="00542640" w:rsidP="00F95454">
      <w:pPr>
        <w:pStyle w:val="NoSpacing"/>
        <w:spacing w:before="120" w:after="120"/>
        <w:mirrorIndents/>
        <w:jc w:val="center"/>
        <w:rPr>
          <w:b/>
        </w:rPr>
      </w:pPr>
    </w:p>
    <w:p w14:paraId="1CDBCFDA" w14:textId="77777777" w:rsidR="00542640" w:rsidRDefault="00542640" w:rsidP="00F95454">
      <w:pPr>
        <w:pStyle w:val="NoSpacing"/>
        <w:spacing w:before="120" w:after="120"/>
        <w:mirrorIndents/>
        <w:jc w:val="center"/>
        <w:rPr>
          <w:b/>
        </w:rPr>
      </w:pPr>
    </w:p>
    <w:p w14:paraId="37C195DE" w14:textId="77777777" w:rsidR="00542640" w:rsidRDefault="00542640" w:rsidP="00F95454">
      <w:pPr>
        <w:pStyle w:val="NoSpacing"/>
        <w:spacing w:before="120" w:after="120"/>
        <w:mirrorIndents/>
        <w:jc w:val="center"/>
        <w:rPr>
          <w:b/>
        </w:rPr>
      </w:pPr>
    </w:p>
    <w:p w14:paraId="189F3DEB" w14:textId="77777777" w:rsidR="00542640" w:rsidRDefault="00542640" w:rsidP="00F95454">
      <w:pPr>
        <w:pStyle w:val="NoSpacing"/>
        <w:spacing w:before="120" w:after="120"/>
        <w:mirrorIndents/>
        <w:jc w:val="center"/>
        <w:rPr>
          <w:b/>
        </w:rPr>
      </w:pPr>
    </w:p>
    <w:p w14:paraId="301712CD" w14:textId="77777777" w:rsidR="00542640" w:rsidRDefault="00542640" w:rsidP="00F95454">
      <w:pPr>
        <w:spacing w:before="120" w:after="120"/>
        <w:mirrorIndents/>
        <w:rPr>
          <w:rFonts w:eastAsiaTheme="minorHAnsi" w:cstheme="minorBidi"/>
          <w:b/>
          <w:szCs w:val="22"/>
        </w:rPr>
      </w:pPr>
      <w:r>
        <w:rPr>
          <w:b/>
        </w:rPr>
        <w:br w:type="page"/>
      </w:r>
    </w:p>
    <w:p w14:paraId="0038FF52" w14:textId="77777777" w:rsidR="00542640" w:rsidRDefault="00542640" w:rsidP="003B3841">
      <w:pPr>
        <w:pStyle w:val="NoSpacing"/>
        <w:pBdr>
          <w:bottom w:val="single" w:sz="4" w:space="1" w:color="auto"/>
        </w:pBdr>
        <w:mirrorIndents/>
        <w:rPr>
          <w:b/>
        </w:rPr>
      </w:pPr>
      <w:r w:rsidRPr="00E2574F">
        <w:rPr>
          <w:b/>
        </w:rPr>
        <w:lastRenderedPageBreak/>
        <w:t>TABLE OF CONTENTS</w:t>
      </w:r>
    </w:p>
    <w:p w14:paraId="25A78CC9" w14:textId="77777777" w:rsidR="00542640" w:rsidRDefault="00542640" w:rsidP="003B3841">
      <w:pPr>
        <w:pStyle w:val="NoSpacing"/>
        <w:mirrorIndents/>
        <w:rPr>
          <w:b/>
        </w:rPr>
      </w:pPr>
    </w:p>
    <w:sdt>
      <w:sdtPr>
        <w:id w:val="1602600070"/>
        <w:docPartObj>
          <w:docPartGallery w:val="Table of Contents"/>
          <w:docPartUnique/>
        </w:docPartObj>
      </w:sdtPr>
      <w:sdtEndPr>
        <w:rPr>
          <w:b/>
          <w:bCs/>
          <w:noProof/>
        </w:rPr>
      </w:sdtEndPr>
      <w:sdtContent>
        <w:p w14:paraId="166B3B02" w14:textId="5DAC6957" w:rsidR="006C655A" w:rsidRDefault="00B12EA3"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r w:rsidRPr="00B12EA3">
            <w:fldChar w:fldCharType="begin"/>
          </w:r>
          <w:r w:rsidRPr="00B12EA3">
            <w:instrText xml:space="preserve"> TOC \o "1-3" \h \z \u </w:instrText>
          </w:r>
          <w:r w:rsidRPr="00B12EA3">
            <w:fldChar w:fldCharType="separate"/>
          </w:r>
          <w:hyperlink w:anchor="_Toc448296072" w:history="1">
            <w:r w:rsidR="006C655A" w:rsidRPr="00CF5A5B">
              <w:rPr>
                <w:rStyle w:val="Hyperlink"/>
                <w:noProof/>
              </w:rPr>
              <w:t>1.</w:t>
            </w:r>
            <w:r w:rsidR="006C655A">
              <w:rPr>
                <w:rFonts w:asciiTheme="minorHAnsi" w:eastAsiaTheme="minorEastAsia" w:hAnsiTheme="minorHAnsi" w:cstheme="minorBidi"/>
                <w:noProof/>
                <w:sz w:val="22"/>
                <w:szCs w:val="22"/>
              </w:rPr>
              <w:tab/>
            </w:r>
            <w:r w:rsidR="006C655A" w:rsidRPr="00CF5A5B">
              <w:rPr>
                <w:rStyle w:val="Hyperlink"/>
                <w:noProof/>
              </w:rPr>
              <w:t>Circumstances Making the Collection of Information Necessary</w:t>
            </w:r>
            <w:r w:rsidR="006C655A">
              <w:rPr>
                <w:noProof/>
                <w:webHidden/>
              </w:rPr>
              <w:tab/>
            </w:r>
            <w:r w:rsidR="006C655A">
              <w:rPr>
                <w:noProof/>
                <w:webHidden/>
              </w:rPr>
              <w:fldChar w:fldCharType="begin"/>
            </w:r>
            <w:r w:rsidR="006C655A">
              <w:rPr>
                <w:noProof/>
                <w:webHidden/>
              </w:rPr>
              <w:instrText xml:space="preserve"> PAGEREF _Toc448296072 \h </w:instrText>
            </w:r>
            <w:r w:rsidR="006C655A">
              <w:rPr>
                <w:noProof/>
                <w:webHidden/>
              </w:rPr>
            </w:r>
            <w:r w:rsidR="006C655A">
              <w:rPr>
                <w:noProof/>
                <w:webHidden/>
              </w:rPr>
              <w:fldChar w:fldCharType="separate"/>
            </w:r>
            <w:r w:rsidR="00D62D1E">
              <w:rPr>
                <w:noProof/>
                <w:webHidden/>
              </w:rPr>
              <w:t>3</w:t>
            </w:r>
            <w:r w:rsidR="006C655A">
              <w:rPr>
                <w:noProof/>
                <w:webHidden/>
              </w:rPr>
              <w:fldChar w:fldCharType="end"/>
            </w:r>
          </w:hyperlink>
        </w:p>
        <w:p w14:paraId="2AC37EA4" w14:textId="264B04D6" w:rsidR="006C655A" w:rsidRDefault="00537EB1"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3" w:history="1">
            <w:r w:rsidR="006C655A" w:rsidRPr="00CF5A5B">
              <w:rPr>
                <w:rStyle w:val="Hyperlink"/>
                <w:noProof/>
              </w:rPr>
              <w:t>2.</w:t>
            </w:r>
            <w:r w:rsidR="006C655A">
              <w:rPr>
                <w:rFonts w:asciiTheme="minorHAnsi" w:eastAsiaTheme="minorEastAsia" w:hAnsiTheme="minorHAnsi" w:cstheme="minorBidi"/>
                <w:noProof/>
                <w:sz w:val="22"/>
                <w:szCs w:val="22"/>
              </w:rPr>
              <w:tab/>
            </w:r>
            <w:r w:rsidR="006C655A" w:rsidRPr="00CF5A5B">
              <w:rPr>
                <w:rStyle w:val="Hyperlink"/>
                <w:noProof/>
              </w:rPr>
              <w:t>Purpose and Use of the Information Collection</w:t>
            </w:r>
            <w:r w:rsidR="006C655A">
              <w:rPr>
                <w:noProof/>
                <w:webHidden/>
              </w:rPr>
              <w:tab/>
            </w:r>
            <w:r w:rsidR="006C655A">
              <w:rPr>
                <w:noProof/>
                <w:webHidden/>
              </w:rPr>
              <w:fldChar w:fldCharType="begin"/>
            </w:r>
            <w:r w:rsidR="006C655A">
              <w:rPr>
                <w:noProof/>
                <w:webHidden/>
              </w:rPr>
              <w:instrText xml:space="preserve"> PAGEREF _Toc448296073 \h </w:instrText>
            </w:r>
            <w:r w:rsidR="006C655A">
              <w:rPr>
                <w:noProof/>
                <w:webHidden/>
              </w:rPr>
            </w:r>
            <w:r w:rsidR="006C655A">
              <w:rPr>
                <w:noProof/>
                <w:webHidden/>
              </w:rPr>
              <w:fldChar w:fldCharType="separate"/>
            </w:r>
            <w:r w:rsidR="00D62D1E">
              <w:rPr>
                <w:noProof/>
                <w:webHidden/>
              </w:rPr>
              <w:t>3</w:t>
            </w:r>
            <w:r w:rsidR="006C655A">
              <w:rPr>
                <w:noProof/>
                <w:webHidden/>
              </w:rPr>
              <w:fldChar w:fldCharType="end"/>
            </w:r>
          </w:hyperlink>
        </w:p>
        <w:p w14:paraId="28DE14EC" w14:textId="6B2D077A" w:rsidR="006C655A" w:rsidRDefault="00537EB1"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4" w:history="1">
            <w:r w:rsidR="006C655A" w:rsidRPr="00CF5A5B">
              <w:rPr>
                <w:rStyle w:val="Hyperlink"/>
                <w:noProof/>
              </w:rPr>
              <w:t>3.</w:t>
            </w:r>
            <w:r w:rsidR="006C655A">
              <w:rPr>
                <w:rFonts w:asciiTheme="minorHAnsi" w:eastAsiaTheme="minorEastAsia" w:hAnsiTheme="minorHAnsi" w:cstheme="minorBidi"/>
                <w:noProof/>
                <w:sz w:val="22"/>
                <w:szCs w:val="22"/>
              </w:rPr>
              <w:tab/>
            </w:r>
            <w:r w:rsidR="006C655A" w:rsidRPr="00CF5A5B">
              <w:rPr>
                <w:rStyle w:val="Hyperlink"/>
                <w:noProof/>
              </w:rPr>
              <w:t>Use of Improved Information Technology and Burden Reduction</w:t>
            </w:r>
            <w:r w:rsidR="006C655A">
              <w:rPr>
                <w:noProof/>
                <w:webHidden/>
              </w:rPr>
              <w:tab/>
            </w:r>
            <w:r w:rsidR="006C655A">
              <w:rPr>
                <w:noProof/>
                <w:webHidden/>
              </w:rPr>
              <w:fldChar w:fldCharType="begin"/>
            </w:r>
            <w:r w:rsidR="006C655A">
              <w:rPr>
                <w:noProof/>
                <w:webHidden/>
              </w:rPr>
              <w:instrText xml:space="preserve"> PAGEREF _Toc448296074 \h </w:instrText>
            </w:r>
            <w:r w:rsidR="006C655A">
              <w:rPr>
                <w:noProof/>
                <w:webHidden/>
              </w:rPr>
            </w:r>
            <w:r w:rsidR="006C655A">
              <w:rPr>
                <w:noProof/>
                <w:webHidden/>
              </w:rPr>
              <w:fldChar w:fldCharType="separate"/>
            </w:r>
            <w:r w:rsidR="00D62D1E">
              <w:rPr>
                <w:noProof/>
                <w:webHidden/>
              </w:rPr>
              <w:t>5</w:t>
            </w:r>
            <w:r w:rsidR="006C655A">
              <w:rPr>
                <w:noProof/>
                <w:webHidden/>
              </w:rPr>
              <w:fldChar w:fldCharType="end"/>
            </w:r>
          </w:hyperlink>
        </w:p>
        <w:p w14:paraId="6AD5762D" w14:textId="3984C9DC" w:rsidR="006C655A" w:rsidRDefault="00537EB1"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5" w:history="1">
            <w:r w:rsidR="006C655A" w:rsidRPr="00CF5A5B">
              <w:rPr>
                <w:rStyle w:val="Hyperlink"/>
                <w:noProof/>
              </w:rPr>
              <w:t>4.</w:t>
            </w:r>
            <w:r w:rsidR="006C655A">
              <w:rPr>
                <w:rFonts w:asciiTheme="minorHAnsi" w:eastAsiaTheme="minorEastAsia" w:hAnsiTheme="minorHAnsi" w:cstheme="minorBidi"/>
                <w:noProof/>
                <w:sz w:val="22"/>
                <w:szCs w:val="22"/>
              </w:rPr>
              <w:tab/>
            </w:r>
            <w:r w:rsidR="006C655A" w:rsidRPr="00CF5A5B">
              <w:rPr>
                <w:rStyle w:val="Hyperlink"/>
                <w:noProof/>
              </w:rPr>
              <w:t>Efforts to Identify Duplication and Use of Similar Information</w:t>
            </w:r>
            <w:r w:rsidR="006C655A">
              <w:rPr>
                <w:noProof/>
                <w:webHidden/>
              </w:rPr>
              <w:tab/>
            </w:r>
            <w:r w:rsidR="006C655A">
              <w:rPr>
                <w:noProof/>
                <w:webHidden/>
              </w:rPr>
              <w:fldChar w:fldCharType="begin"/>
            </w:r>
            <w:r w:rsidR="006C655A">
              <w:rPr>
                <w:noProof/>
                <w:webHidden/>
              </w:rPr>
              <w:instrText xml:space="preserve"> PAGEREF _Toc448296075 \h </w:instrText>
            </w:r>
            <w:r w:rsidR="006C655A">
              <w:rPr>
                <w:noProof/>
                <w:webHidden/>
              </w:rPr>
            </w:r>
            <w:r w:rsidR="006C655A">
              <w:rPr>
                <w:noProof/>
                <w:webHidden/>
              </w:rPr>
              <w:fldChar w:fldCharType="separate"/>
            </w:r>
            <w:r w:rsidR="00D62D1E">
              <w:rPr>
                <w:noProof/>
                <w:webHidden/>
              </w:rPr>
              <w:t>6</w:t>
            </w:r>
            <w:r w:rsidR="006C655A">
              <w:rPr>
                <w:noProof/>
                <w:webHidden/>
              </w:rPr>
              <w:fldChar w:fldCharType="end"/>
            </w:r>
          </w:hyperlink>
        </w:p>
        <w:p w14:paraId="1A239163" w14:textId="0840E29F" w:rsidR="006C655A" w:rsidRDefault="00537EB1"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6" w:history="1">
            <w:r w:rsidR="006C655A" w:rsidRPr="00CF5A5B">
              <w:rPr>
                <w:rStyle w:val="Hyperlink"/>
                <w:noProof/>
              </w:rPr>
              <w:t>5.</w:t>
            </w:r>
            <w:r w:rsidR="006C655A">
              <w:rPr>
                <w:rFonts w:asciiTheme="minorHAnsi" w:eastAsiaTheme="minorEastAsia" w:hAnsiTheme="minorHAnsi" w:cstheme="minorBidi"/>
                <w:noProof/>
                <w:sz w:val="22"/>
                <w:szCs w:val="22"/>
              </w:rPr>
              <w:tab/>
            </w:r>
            <w:r w:rsidR="006C655A" w:rsidRPr="00CF5A5B">
              <w:rPr>
                <w:rStyle w:val="Hyperlink"/>
                <w:noProof/>
              </w:rPr>
              <w:t>Impact on Small Businesses or Other Small Entities</w:t>
            </w:r>
            <w:r w:rsidR="006C655A">
              <w:rPr>
                <w:noProof/>
                <w:webHidden/>
              </w:rPr>
              <w:tab/>
            </w:r>
            <w:r w:rsidR="006C655A">
              <w:rPr>
                <w:noProof/>
                <w:webHidden/>
              </w:rPr>
              <w:fldChar w:fldCharType="begin"/>
            </w:r>
            <w:r w:rsidR="006C655A">
              <w:rPr>
                <w:noProof/>
                <w:webHidden/>
              </w:rPr>
              <w:instrText xml:space="preserve"> PAGEREF _Toc448296076 \h </w:instrText>
            </w:r>
            <w:r w:rsidR="006C655A">
              <w:rPr>
                <w:noProof/>
                <w:webHidden/>
              </w:rPr>
            </w:r>
            <w:r w:rsidR="006C655A">
              <w:rPr>
                <w:noProof/>
                <w:webHidden/>
              </w:rPr>
              <w:fldChar w:fldCharType="separate"/>
            </w:r>
            <w:r w:rsidR="00D62D1E">
              <w:rPr>
                <w:noProof/>
                <w:webHidden/>
              </w:rPr>
              <w:t>7</w:t>
            </w:r>
            <w:r w:rsidR="006C655A">
              <w:rPr>
                <w:noProof/>
                <w:webHidden/>
              </w:rPr>
              <w:fldChar w:fldCharType="end"/>
            </w:r>
          </w:hyperlink>
        </w:p>
        <w:p w14:paraId="618D5250" w14:textId="60DA8DBB" w:rsidR="006C655A" w:rsidRDefault="00537EB1"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7" w:history="1">
            <w:r w:rsidR="006C655A" w:rsidRPr="00CF5A5B">
              <w:rPr>
                <w:rStyle w:val="Hyperlink"/>
                <w:noProof/>
              </w:rPr>
              <w:t>6.</w:t>
            </w:r>
            <w:r w:rsidR="006C655A">
              <w:rPr>
                <w:rFonts w:asciiTheme="minorHAnsi" w:eastAsiaTheme="minorEastAsia" w:hAnsiTheme="minorHAnsi" w:cstheme="minorBidi"/>
                <w:noProof/>
                <w:sz w:val="22"/>
                <w:szCs w:val="22"/>
              </w:rPr>
              <w:tab/>
            </w:r>
            <w:r w:rsidR="006C655A" w:rsidRPr="00CF5A5B">
              <w:rPr>
                <w:rStyle w:val="Hyperlink"/>
                <w:noProof/>
              </w:rPr>
              <w:t>Consequences of Collecting the Information Less Frequently</w:t>
            </w:r>
            <w:r w:rsidR="006C655A">
              <w:rPr>
                <w:noProof/>
                <w:webHidden/>
              </w:rPr>
              <w:tab/>
            </w:r>
            <w:r w:rsidR="006C655A">
              <w:rPr>
                <w:noProof/>
                <w:webHidden/>
              </w:rPr>
              <w:fldChar w:fldCharType="begin"/>
            </w:r>
            <w:r w:rsidR="006C655A">
              <w:rPr>
                <w:noProof/>
                <w:webHidden/>
              </w:rPr>
              <w:instrText xml:space="preserve"> PAGEREF _Toc448296077 \h </w:instrText>
            </w:r>
            <w:r w:rsidR="006C655A">
              <w:rPr>
                <w:noProof/>
                <w:webHidden/>
              </w:rPr>
            </w:r>
            <w:r w:rsidR="006C655A">
              <w:rPr>
                <w:noProof/>
                <w:webHidden/>
              </w:rPr>
              <w:fldChar w:fldCharType="separate"/>
            </w:r>
            <w:r w:rsidR="00D62D1E">
              <w:rPr>
                <w:noProof/>
                <w:webHidden/>
              </w:rPr>
              <w:t>7</w:t>
            </w:r>
            <w:r w:rsidR="006C655A">
              <w:rPr>
                <w:noProof/>
                <w:webHidden/>
              </w:rPr>
              <w:fldChar w:fldCharType="end"/>
            </w:r>
          </w:hyperlink>
        </w:p>
        <w:p w14:paraId="059BAE9E" w14:textId="24B7DF9E" w:rsidR="006C655A" w:rsidRDefault="00537EB1"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8" w:history="1">
            <w:r w:rsidR="006C655A" w:rsidRPr="00CF5A5B">
              <w:rPr>
                <w:rStyle w:val="Hyperlink"/>
                <w:noProof/>
              </w:rPr>
              <w:t>7.</w:t>
            </w:r>
            <w:r w:rsidR="006C655A">
              <w:rPr>
                <w:rFonts w:asciiTheme="minorHAnsi" w:eastAsiaTheme="minorEastAsia" w:hAnsiTheme="minorHAnsi" w:cstheme="minorBidi"/>
                <w:noProof/>
                <w:sz w:val="22"/>
                <w:szCs w:val="22"/>
              </w:rPr>
              <w:tab/>
            </w:r>
            <w:r w:rsidR="006C655A" w:rsidRPr="00CF5A5B">
              <w:rPr>
                <w:rStyle w:val="Hyperlink"/>
                <w:noProof/>
              </w:rPr>
              <w:t>Special Circumstances Relating to the Guidelines of 5 CFR 1320.5</w:t>
            </w:r>
            <w:r w:rsidR="006C655A">
              <w:rPr>
                <w:noProof/>
                <w:webHidden/>
              </w:rPr>
              <w:tab/>
            </w:r>
            <w:r w:rsidR="006C655A">
              <w:rPr>
                <w:noProof/>
                <w:webHidden/>
              </w:rPr>
              <w:fldChar w:fldCharType="begin"/>
            </w:r>
            <w:r w:rsidR="006C655A">
              <w:rPr>
                <w:noProof/>
                <w:webHidden/>
              </w:rPr>
              <w:instrText xml:space="preserve"> PAGEREF _Toc448296078 \h </w:instrText>
            </w:r>
            <w:r w:rsidR="006C655A">
              <w:rPr>
                <w:noProof/>
                <w:webHidden/>
              </w:rPr>
            </w:r>
            <w:r w:rsidR="006C655A">
              <w:rPr>
                <w:noProof/>
                <w:webHidden/>
              </w:rPr>
              <w:fldChar w:fldCharType="separate"/>
            </w:r>
            <w:r w:rsidR="00D62D1E">
              <w:rPr>
                <w:noProof/>
                <w:webHidden/>
              </w:rPr>
              <w:t>7</w:t>
            </w:r>
            <w:r w:rsidR="006C655A">
              <w:rPr>
                <w:noProof/>
                <w:webHidden/>
              </w:rPr>
              <w:fldChar w:fldCharType="end"/>
            </w:r>
          </w:hyperlink>
        </w:p>
        <w:p w14:paraId="408697EC" w14:textId="3640CBD3" w:rsidR="006C655A" w:rsidRDefault="00537EB1"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79" w:history="1">
            <w:r w:rsidR="006C655A" w:rsidRPr="00CF5A5B">
              <w:rPr>
                <w:rStyle w:val="Hyperlink"/>
                <w:noProof/>
              </w:rPr>
              <w:t>8.</w:t>
            </w:r>
            <w:r w:rsidR="006C655A">
              <w:rPr>
                <w:rFonts w:asciiTheme="minorHAnsi" w:eastAsiaTheme="minorEastAsia" w:hAnsiTheme="minorHAnsi" w:cstheme="minorBidi"/>
                <w:noProof/>
                <w:sz w:val="22"/>
                <w:szCs w:val="22"/>
              </w:rPr>
              <w:tab/>
            </w:r>
            <w:r w:rsidR="006C655A" w:rsidRPr="00CF5A5B">
              <w:rPr>
                <w:rStyle w:val="Hyperlink"/>
                <w:noProof/>
              </w:rPr>
              <w:t>Comments in Response to the Federal Register Notice and Efforts to Consult Outside the Agency</w:t>
            </w:r>
            <w:r w:rsidR="006C655A">
              <w:rPr>
                <w:noProof/>
                <w:webHidden/>
              </w:rPr>
              <w:tab/>
            </w:r>
            <w:r w:rsidR="006C655A">
              <w:rPr>
                <w:noProof/>
                <w:webHidden/>
              </w:rPr>
              <w:fldChar w:fldCharType="begin"/>
            </w:r>
            <w:r w:rsidR="006C655A">
              <w:rPr>
                <w:noProof/>
                <w:webHidden/>
              </w:rPr>
              <w:instrText xml:space="preserve"> PAGEREF _Toc448296079 \h </w:instrText>
            </w:r>
            <w:r w:rsidR="006C655A">
              <w:rPr>
                <w:noProof/>
                <w:webHidden/>
              </w:rPr>
            </w:r>
            <w:r w:rsidR="006C655A">
              <w:rPr>
                <w:noProof/>
                <w:webHidden/>
              </w:rPr>
              <w:fldChar w:fldCharType="separate"/>
            </w:r>
            <w:r w:rsidR="00D62D1E">
              <w:rPr>
                <w:noProof/>
                <w:webHidden/>
              </w:rPr>
              <w:t>7</w:t>
            </w:r>
            <w:r w:rsidR="006C655A">
              <w:rPr>
                <w:noProof/>
                <w:webHidden/>
              </w:rPr>
              <w:fldChar w:fldCharType="end"/>
            </w:r>
          </w:hyperlink>
        </w:p>
        <w:p w14:paraId="067F1F3D" w14:textId="112B3714" w:rsidR="006C655A" w:rsidRDefault="00537EB1" w:rsidP="003B3841">
          <w:pPr>
            <w:pStyle w:val="TOC1"/>
            <w:tabs>
              <w:tab w:val="left" w:pos="480"/>
              <w:tab w:val="right" w:leader="dot" w:pos="10070"/>
            </w:tabs>
            <w:spacing w:after="0"/>
            <w:mirrorIndents/>
            <w:rPr>
              <w:rFonts w:asciiTheme="minorHAnsi" w:eastAsiaTheme="minorEastAsia" w:hAnsiTheme="minorHAnsi" w:cstheme="minorBidi"/>
              <w:noProof/>
              <w:sz w:val="22"/>
              <w:szCs w:val="22"/>
            </w:rPr>
          </w:pPr>
          <w:hyperlink w:anchor="_Toc448296080" w:history="1">
            <w:r w:rsidR="006C655A" w:rsidRPr="00CF5A5B">
              <w:rPr>
                <w:rStyle w:val="Hyperlink"/>
                <w:noProof/>
              </w:rPr>
              <w:t>9.</w:t>
            </w:r>
            <w:r w:rsidR="006C655A">
              <w:rPr>
                <w:rFonts w:asciiTheme="minorHAnsi" w:eastAsiaTheme="minorEastAsia" w:hAnsiTheme="minorHAnsi" w:cstheme="minorBidi"/>
                <w:noProof/>
                <w:sz w:val="22"/>
                <w:szCs w:val="22"/>
              </w:rPr>
              <w:tab/>
            </w:r>
            <w:r w:rsidR="006C655A" w:rsidRPr="00CF5A5B">
              <w:rPr>
                <w:rStyle w:val="Hyperlink"/>
                <w:noProof/>
              </w:rPr>
              <w:t>Explanation of Any Payment or Gift to Respondents</w:t>
            </w:r>
            <w:r w:rsidR="006C655A">
              <w:rPr>
                <w:noProof/>
                <w:webHidden/>
              </w:rPr>
              <w:tab/>
            </w:r>
            <w:r w:rsidR="006C655A">
              <w:rPr>
                <w:noProof/>
                <w:webHidden/>
              </w:rPr>
              <w:fldChar w:fldCharType="begin"/>
            </w:r>
            <w:r w:rsidR="006C655A">
              <w:rPr>
                <w:noProof/>
                <w:webHidden/>
              </w:rPr>
              <w:instrText xml:space="preserve"> PAGEREF _Toc448296080 \h </w:instrText>
            </w:r>
            <w:r w:rsidR="006C655A">
              <w:rPr>
                <w:noProof/>
                <w:webHidden/>
              </w:rPr>
            </w:r>
            <w:r w:rsidR="006C655A">
              <w:rPr>
                <w:noProof/>
                <w:webHidden/>
              </w:rPr>
              <w:fldChar w:fldCharType="separate"/>
            </w:r>
            <w:r w:rsidR="00D62D1E">
              <w:rPr>
                <w:noProof/>
                <w:webHidden/>
              </w:rPr>
              <w:t>8</w:t>
            </w:r>
            <w:r w:rsidR="006C655A">
              <w:rPr>
                <w:noProof/>
                <w:webHidden/>
              </w:rPr>
              <w:fldChar w:fldCharType="end"/>
            </w:r>
          </w:hyperlink>
        </w:p>
        <w:p w14:paraId="55DE2D38" w14:textId="31B7EDD7" w:rsidR="006C655A" w:rsidRDefault="00537EB1"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1" w:history="1">
            <w:r w:rsidR="006C655A" w:rsidRPr="00CF5A5B">
              <w:rPr>
                <w:rStyle w:val="Hyperlink"/>
                <w:noProof/>
              </w:rPr>
              <w:t>10.</w:t>
            </w:r>
            <w:r w:rsidR="006C655A">
              <w:rPr>
                <w:rFonts w:asciiTheme="minorHAnsi" w:eastAsiaTheme="minorEastAsia" w:hAnsiTheme="minorHAnsi" w:cstheme="minorBidi"/>
                <w:noProof/>
                <w:sz w:val="22"/>
                <w:szCs w:val="22"/>
              </w:rPr>
              <w:tab/>
            </w:r>
            <w:r w:rsidR="006C655A" w:rsidRPr="00CF5A5B">
              <w:rPr>
                <w:rStyle w:val="Hyperlink"/>
                <w:noProof/>
              </w:rPr>
              <w:t>Protection of the Privacy and Confidentiality of Information Provided by Respondents</w:t>
            </w:r>
            <w:r w:rsidR="006C655A">
              <w:rPr>
                <w:noProof/>
                <w:webHidden/>
              </w:rPr>
              <w:tab/>
            </w:r>
            <w:r w:rsidR="006C655A">
              <w:rPr>
                <w:noProof/>
                <w:webHidden/>
              </w:rPr>
              <w:fldChar w:fldCharType="begin"/>
            </w:r>
            <w:r w:rsidR="006C655A">
              <w:rPr>
                <w:noProof/>
                <w:webHidden/>
              </w:rPr>
              <w:instrText xml:space="preserve"> PAGEREF _Toc448296081 \h </w:instrText>
            </w:r>
            <w:r w:rsidR="006C655A">
              <w:rPr>
                <w:noProof/>
                <w:webHidden/>
              </w:rPr>
            </w:r>
            <w:r w:rsidR="006C655A">
              <w:rPr>
                <w:noProof/>
                <w:webHidden/>
              </w:rPr>
              <w:fldChar w:fldCharType="separate"/>
            </w:r>
            <w:r w:rsidR="00D62D1E">
              <w:rPr>
                <w:noProof/>
                <w:webHidden/>
              </w:rPr>
              <w:t>9</w:t>
            </w:r>
            <w:r w:rsidR="006C655A">
              <w:rPr>
                <w:noProof/>
                <w:webHidden/>
              </w:rPr>
              <w:fldChar w:fldCharType="end"/>
            </w:r>
          </w:hyperlink>
        </w:p>
        <w:p w14:paraId="477990D0" w14:textId="6ED81B64" w:rsidR="006C655A" w:rsidRDefault="00537EB1"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2" w:history="1">
            <w:r w:rsidR="006C655A" w:rsidRPr="00CF5A5B">
              <w:rPr>
                <w:rStyle w:val="Hyperlink"/>
                <w:noProof/>
              </w:rPr>
              <w:t>11.</w:t>
            </w:r>
            <w:r w:rsidR="006C655A">
              <w:rPr>
                <w:rFonts w:asciiTheme="minorHAnsi" w:eastAsiaTheme="minorEastAsia" w:hAnsiTheme="minorHAnsi" w:cstheme="minorBidi"/>
                <w:noProof/>
                <w:sz w:val="22"/>
                <w:szCs w:val="22"/>
              </w:rPr>
              <w:tab/>
            </w:r>
            <w:r w:rsidR="006C655A" w:rsidRPr="00CF5A5B">
              <w:rPr>
                <w:rStyle w:val="Hyperlink"/>
                <w:noProof/>
              </w:rPr>
              <w:t>Institutional Review Board (IRB) and Justification for Sensitive Questions</w:t>
            </w:r>
            <w:r w:rsidR="006C655A">
              <w:rPr>
                <w:noProof/>
                <w:webHidden/>
              </w:rPr>
              <w:tab/>
            </w:r>
            <w:r w:rsidR="006C655A">
              <w:rPr>
                <w:noProof/>
                <w:webHidden/>
              </w:rPr>
              <w:fldChar w:fldCharType="begin"/>
            </w:r>
            <w:r w:rsidR="006C655A">
              <w:rPr>
                <w:noProof/>
                <w:webHidden/>
              </w:rPr>
              <w:instrText xml:space="preserve"> PAGEREF _Toc448296082 \h </w:instrText>
            </w:r>
            <w:r w:rsidR="006C655A">
              <w:rPr>
                <w:noProof/>
                <w:webHidden/>
              </w:rPr>
            </w:r>
            <w:r w:rsidR="006C655A">
              <w:rPr>
                <w:noProof/>
                <w:webHidden/>
              </w:rPr>
              <w:fldChar w:fldCharType="separate"/>
            </w:r>
            <w:r w:rsidR="00D62D1E">
              <w:rPr>
                <w:noProof/>
                <w:webHidden/>
              </w:rPr>
              <w:t>9</w:t>
            </w:r>
            <w:r w:rsidR="006C655A">
              <w:rPr>
                <w:noProof/>
                <w:webHidden/>
              </w:rPr>
              <w:fldChar w:fldCharType="end"/>
            </w:r>
          </w:hyperlink>
        </w:p>
        <w:p w14:paraId="1DB562BE" w14:textId="739FBEF1" w:rsidR="006C655A" w:rsidRDefault="00537EB1"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3" w:history="1">
            <w:r w:rsidR="006C655A" w:rsidRPr="00CF5A5B">
              <w:rPr>
                <w:rStyle w:val="Hyperlink"/>
                <w:noProof/>
              </w:rPr>
              <w:t>12.</w:t>
            </w:r>
            <w:r w:rsidR="006C655A">
              <w:rPr>
                <w:rFonts w:asciiTheme="minorHAnsi" w:eastAsiaTheme="minorEastAsia" w:hAnsiTheme="minorHAnsi" w:cstheme="minorBidi"/>
                <w:noProof/>
                <w:sz w:val="22"/>
                <w:szCs w:val="22"/>
              </w:rPr>
              <w:tab/>
            </w:r>
            <w:r w:rsidR="006C655A" w:rsidRPr="00CF5A5B">
              <w:rPr>
                <w:rStyle w:val="Hyperlink"/>
                <w:noProof/>
              </w:rPr>
              <w:t>Estimates of Annualized Burden Hours and Costs</w:t>
            </w:r>
            <w:r w:rsidR="006C655A">
              <w:rPr>
                <w:noProof/>
                <w:webHidden/>
              </w:rPr>
              <w:tab/>
            </w:r>
            <w:r w:rsidR="006C655A">
              <w:rPr>
                <w:noProof/>
                <w:webHidden/>
              </w:rPr>
              <w:fldChar w:fldCharType="begin"/>
            </w:r>
            <w:r w:rsidR="006C655A">
              <w:rPr>
                <w:noProof/>
                <w:webHidden/>
              </w:rPr>
              <w:instrText xml:space="preserve"> PAGEREF _Toc448296083 \h </w:instrText>
            </w:r>
            <w:r w:rsidR="006C655A">
              <w:rPr>
                <w:noProof/>
                <w:webHidden/>
              </w:rPr>
            </w:r>
            <w:r w:rsidR="006C655A">
              <w:rPr>
                <w:noProof/>
                <w:webHidden/>
              </w:rPr>
              <w:fldChar w:fldCharType="separate"/>
            </w:r>
            <w:r w:rsidR="00D62D1E">
              <w:rPr>
                <w:noProof/>
                <w:webHidden/>
              </w:rPr>
              <w:t>9</w:t>
            </w:r>
            <w:r w:rsidR="006C655A">
              <w:rPr>
                <w:noProof/>
                <w:webHidden/>
              </w:rPr>
              <w:fldChar w:fldCharType="end"/>
            </w:r>
          </w:hyperlink>
        </w:p>
        <w:p w14:paraId="186522B5" w14:textId="526D07E1" w:rsidR="006C655A" w:rsidRDefault="00537EB1"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6" w:history="1">
            <w:r w:rsidR="006C655A" w:rsidRPr="00CF5A5B">
              <w:rPr>
                <w:rStyle w:val="Hyperlink"/>
                <w:noProof/>
              </w:rPr>
              <w:t>13.</w:t>
            </w:r>
            <w:r w:rsidR="006C655A">
              <w:rPr>
                <w:rFonts w:asciiTheme="minorHAnsi" w:eastAsiaTheme="minorEastAsia" w:hAnsiTheme="minorHAnsi" w:cstheme="minorBidi"/>
                <w:noProof/>
                <w:sz w:val="22"/>
                <w:szCs w:val="22"/>
              </w:rPr>
              <w:tab/>
            </w:r>
            <w:r w:rsidR="006C655A" w:rsidRPr="00CF5A5B">
              <w:rPr>
                <w:rStyle w:val="Hyperlink"/>
                <w:noProof/>
              </w:rPr>
              <w:t>Estimates of Other Total Annual Cost Burden to Respondents and Record Keepers</w:t>
            </w:r>
            <w:r w:rsidR="006C655A">
              <w:rPr>
                <w:noProof/>
                <w:webHidden/>
              </w:rPr>
              <w:tab/>
            </w:r>
            <w:r w:rsidR="006C655A">
              <w:rPr>
                <w:noProof/>
                <w:webHidden/>
              </w:rPr>
              <w:fldChar w:fldCharType="begin"/>
            </w:r>
            <w:r w:rsidR="006C655A">
              <w:rPr>
                <w:noProof/>
                <w:webHidden/>
              </w:rPr>
              <w:instrText xml:space="preserve"> PAGEREF _Toc448296086 \h </w:instrText>
            </w:r>
            <w:r w:rsidR="006C655A">
              <w:rPr>
                <w:noProof/>
                <w:webHidden/>
              </w:rPr>
            </w:r>
            <w:r w:rsidR="006C655A">
              <w:rPr>
                <w:noProof/>
                <w:webHidden/>
              </w:rPr>
              <w:fldChar w:fldCharType="separate"/>
            </w:r>
            <w:r w:rsidR="00D62D1E">
              <w:rPr>
                <w:noProof/>
                <w:webHidden/>
              </w:rPr>
              <w:t>10</w:t>
            </w:r>
            <w:r w:rsidR="006C655A">
              <w:rPr>
                <w:noProof/>
                <w:webHidden/>
              </w:rPr>
              <w:fldChar w:fldCharType="end"/>
            </w:r>
          </w:hyperlink>
        </w:p>
        <w:p w14:paraId="7AF1389E" w14:textId="3BD424F8" w:rsidR="006C655A" w:rsidRDefault="00537EB1"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7" w:history="1">
            <w:r w:rsidR="006C655A" w:rsidRPr="00CF5A5B">
              <w:rPr>
                <w:rStyle w:val="Hyperlink"/>
                <w:noProof/>
              </w:rPr>
              <w:t>14.</w:t>
            </w:r>
            <w:r w:rsidR="006C655A">
              <w:rPr>
                <w:rFonts w:asciiTheme="minorHAnsi" w:eastAsiaTheme="minorEastAsia" w:hAnsiTheme="minorHAnsi" w:cstheme="minorBidi"/>
                <w:noProof/>
                <w:sz w:val="22"/>
                <w:szCs w:val="22"/>
              </w:rPr>
              <w:tab/>
            </w:r>
            <w:r w:rsidR="006C655A" w:rsidRPr="00CF5A5B">
              <w:rPr>
                <w:rStyle w:val="Hyperlink"/>
                <w:noProof/>
              </w:rPr>
              <w:t>Annualized Cost to the Federal Government</w:t>
            </w:r>
            <w:r w:rsidR="006C655A">
              <w:rPr>
                <w:noProof/>
                <w:webHidden/>
              </w:rPr>
              <w:tab/>
            </w:r>
            <w:r w:rsidR="006C655A">
              <w:rPr>
                <w:noProof/>
                <w:webHidden/>
              </w:rPr>
              <w:fldChar w:fldCharType="begin"/>
            </w:r>
            <w:r w:rsidR="006C655A">
              <w:rPr>
                <w:noProof/>
                <w:webHidden/>
              </w:rPr>
              <w:instrText xml:space="preserve"> PAGEREF _Toc448296087 \h </w:instrText>
            </w:r>
            <w:r w:rsidR="006C655A">
              <w:rPr>
                <w:noProof/>
                <w:webHidden/>
              </w:rPr>
            </w:r>
            <w:r w:rsidR="006C655A">
              <w:rPr>
                <w:noProof/>
                <w:webHidden/>
              </w:rPr>
              <w:fldChar w:fldCharType="separate"/>
            </w:r>
            <w:r w:rsidR="00D62D1E">
              <w:rPr>
                <w:noProof/>
                <w:webHidden/>
              </w:rPr>
              <w:t>10</w:t>
            </w:r>
            <w:r w:rsidR="006C655A">
              <w:rPr>
                <w:noProof/>
                <w:webHidden/>
              </w:rPr>
              <w:fldChar w:fldCharType="end"/>
            </w:r>
          </w:hyperlink>
        </w:p>
        <w:p w14:paraId="1315EE73" w14:textId="549B1CF4" w:rsidR="006C655A" w:rsidRDefault="00537EB1"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8" w:history="1">
            <w:r w:rsidR="006C655A" w:rsidRPr="00CF5A5B">
              <w:rPr>
                <w:rStyle w:val="Hyperlink"/>
                <w:noProof/>
              </w:rPr>
              <w:t>15.</w:t>
            </w:r>
            <w:r w:rsidR="006C655A">
              <w:rPr>
                <w:rFonts w:asciiTheme="minorHAnsi" w:eastAsiaTheme="minorEastAsia" w:hAnsiTheme="minorHAnsi" w:cstheme="minorBidi"/>
                <w:noProof/>
                <w:sz w:val="22"/>
                <w:szCs w:val="22"/>
              </w:rPr>
              <w:tab/>
            </w:r>
            <w:r w:rsidR="006C655A" w:rsidRPr="00CF5A5B">
              <w:rPr>
                <w:rStyle w:val="Hyperlink"/>
                <w:noProof/>
              </w:rPr>
              <w:t>Explanation for Program Changes or Adjustments</w:t>
            </w:r>
            <w:r w:rsidR="006C655A">
              <w:rPr>
                <w:noProof/>
                <w:webHidden/>
              </w:rPr>
              <w:tab/>
            </w:r>
            <w:r w:rsidR="006C655A">
              <w:rPr>
                <w:noProof/>
                <w:webHidden/>
              </w:rPr>
              <w:fldChar w:fldCharType="begin"/>
            </w:r>
            <w:r w:rsidR="006C655A">
              <w:rPr>
                <w:noProof/>
                <w:webHidden/>
              </w:rPr>
              <w:instrText xml:space="preserve"> PAGEREF _Toc448296088 \h </w:instrText>
            </w:r>
            <w:r w:rsidR="006C655A">
              <w:rPr>
                <w:noProof/>
                <w:webHidden/>
              </w:rPr>
            </w:r>
            <w:r w:rsidR="006C655A">
              <w:rPr>
                <w:noProof/>
                <w:webHidden/>
              </w:rPr>
              <w:fldChar w:fldCharType="separate"/>
            </w:r>
            <w:r w:rsidR="00D62D1E">
              <w:rPr>
                <w:noProof/>
                <w:webHidden/>
              </w:rPr>
              <w:t>11</w:t>
            </w:r>
            <w:r w:rsidR="006C655A">
              <w:rPr>
                <w:noProof/>
                <w:webHidden/>
              </w:rPr>
              <w:fldChar w:fldCharType="end"/>
            </w:r>
          </w:hyperlink>
        </w:p>
        <w:p w14:paraId="4B697EBA" w14:textId="5DB294D4" w:rsidR="006C655A" w:rsidRDefault="00537EB1"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89" w:history="1">
            <w:r w:rsidR="006C655A" w:rsidRPr="00CF5A5B">
              <w:rPr>
                <w:rStyle w:val="Hyperlink"/>
                <w:noProof/>
              </w:rPr>
              <w:t>16.</w:t>
            </w:r>
            <w:r w:rsidR="006C655A">
              <w:rPr>
                <w:rFonts w:asciiTheme="minorHAnsi" w:eastAsiaTheme="minorEastAsia" w:hAnsiTheme="minorHAnsi" w:cstheme="minorBidi"/>
                <w:noProof/>
                <w:sz w:val="22"/>
                <w:szCs w:val="22"/>
              </w:rPr>
              <w:tab/>
            </w:r>
            <w:r w:rsidR="006C655A" w:rsidRPr="00CF5A5B">
              <w:rPr>
                <w:rStyle w:val="Hyperlink"/>
                <w:noProof/>
              </w:rPr>
              <w:t>Plans for Tabulation and Publication and Project Time Schedule</w:t>
            </w:r>
            <w:r w:rsidR="006C655A">
              <w:rPr>
                <w:noProof/>
                <w:webHidden/>
              </w:rPr>
              <w:tab/>
            </w:r>
            <w:r w:rsidR="006C655A">
              <w:rPr>
                <w:noProof/>
                <w:webHidden/>
              </w:rPr>
              <w:fldChar w:fldCharType="begin"/>
            </w:r>
            <w:r w:rsidR="006C655A">
              <w:rPr>
                <w:noProof/>
                <w:webHidden/>
              </w:rPr>
              <w:instrText xml:space="preserve"> PAGEREF _Toc448296089 \h </w:instrText>
            </w:r>
            <w:r w:rsidR="006C655A">
              <w:rPr>
                <w:noProof/>
                <w:webHidden/>
              </w:rPr>
            </w:r>
            <w:r w:rsidR="006C655A">
              <w:rPr>
                <w:noProof/>
                <w:webHidden/>
              </w:rPr>
              <w:fldChar w:fldCharType="separate"/>
            </w:r>
            <w:r w:rsidR="00D62D1E">
              <w:rPr>
                <w:noProof/>
                <w:webHidden/>
              </w:rPr>
              <w:t>11</w:t>
            </w:r>
            <w:r w:rsidR="006C655A">
              <w:rPr>
                <w:noProof/>
                <w:webHidden/>
              </w:rPr>
              <w:fldChar w:fldCharType="end"/>
            </w:r>
          </w:hyperlink>
        </w:p>
        <w:p w14:paraId="292F9451" w14:textId="27048134" w:rsidR="006C655A" w:rsidRDefault="00537EB1"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90" w:history="1">
            <w:r w:rsidR="006C655A" w:rsidRPr="00CF5A5B">
              <w:rPr>
                <w:rStyle w:val="Hyperlink"/>
                <w:noProof/>
              </w:rPr>
              <w:t>17.</w:t>
            </w:r>
            <w:r w:rsidR="006C655A">
              <w:rPr>
                <w:rFonts w:asciiTheme="minorHAnsi" w:eastAsiaTheme="minorEastAsia" w:hAnsiTheme="minorHAnsi" w:cstheme="minorBidi"/>
                <w:noProof/>
                <w:sz w:val="22"/>
                <w:szCs w:val="22"/>
              </w:rPr>
              <w:tab/>
            </w:r>
            <w:r w:rsidR="006C655A" w:rsidRPr="00CF5A5B">
              <w:rPr>
                <w:rStyle w:val="Hyperlink"/>
                <w:noProof/>
              </w:rPr>
              <w:t>Reason(s) Display of OMB Expiration Date is Inappropriate</w:t>
            </w:r>
            <w:r w:rsidR="006C655A">
              <w:rPr>
                <w:noProof/>
                <w:webHidden/>
              </w:rPr>
              <w:tab/>
            </w:r>
            <w:r w:rsidR="006C655A">
              <w:rPr>
                <w:noProof/>
                <w:webHidden/>
              </w:rPr>
              <w:fldChar w:fldCharType="begin"/>
            </w:r>
            <w:r w:rsidR="006C655A">
              <w:rPr>
                <w:noProof/>
                <w:webHidden/>
              </w:rPr>
              <w:instrText xml:space="preserve"> PAGEREF _Toc448296090 \h </w:instrText>
            </w:r>
            <w:r w:rsidR="006C655A">
              <w:rPr>
                <w:noProof/>
                <w:webHidden/>
              </w:rPr>
            </w:r>
            <w:r w:rsidR="006C655A">
              <w:rPr>
                <w:noProof/>
                <w:webHidden/>
              </w:rPr>
              <w:fldChar w:fldCharType="separate"/>
            </w:r>
            <w:r w:rsidR="00D62D1E">
              <w:rPr>
                <w:noProof/>
                <w:webHidden/>
              </w:rPr>
              <w:t>12</w:t>
            </w:r>
            <w:r w:rsidR="006C655A">
              <w:rPr>
                <w:noProof/>
                <w:webHidden/>
              </w:rPr>
              <w:fldChar w:fldCharType="end"/>
            </w:r>
          </w:hyperlink>
        </w:p>
        <w:p w14:paraId="2159ACBD" w14:textId="72DD68DA" w:rsidR="006C655A" w:rsidRDefault="00537EB1" w:rsidP="003B3841">
          <w:pPr>
            <w:pStyle w:val="TOC1"/>
            <w:tabs>
              <w:tab w:val="left" w:pos="660"/>
              <w:tab w:val="right" w:leader="dot" w:pos="10070"/>
            </w:tabs>
            <w:spacing w:after="0"/>
            <w:mirrorIndents/>
            <w:rPr>
              <w:rFonts w:asciiTheme="minorHAnsi" w:eastAsiaTheme="minorEastAsia" w:hAnsiTheme="minorHAnsi" w:cstheme="minorBidi"/>
              <w:noProof/>
              <w:sz w:val="22"/>
              <w:szCs w:val="22"/>
            </w:rPr>
          </w:pPr>
          <w:hyperlink w:anchor="_Toc448296091" w:history="1">
            <w:r w:rsidR="006C655A" w:rsidRPr="00CF5A5B">
              <w:rPr>
                <w:rStyle w:val="Hyperlink"/>
                <w:noProof/>
              </w:rPr>
              <w:t>18.</w:t>
            </w:r>
            <w:r w:rsidR="006C655A">
              <w:rPr>
                <w:rFonts w:asciiTheme="minorHAnsi" w:eastAsiaTheme="minorEastAsia" w:hAnsiTheme="minorHAnsi" w:cstheme="minorBidi"/>
                <w:noProof/>
                <w:sz w:val="22"/>
                <w:szCs w:val="22"/>
              </w:rPr>
              <w:tab/>
            </w:r>
            <w:r w:rsidR="006C655A" w:rsidRPr="00CF5A5B">
              <w:rPr>
                <w:rStyle w:val="Hyperlink"/>
                <w:noProof/>
              </w:rPr>
              <w:t>Exceptions to Certification for Paperwork Reduction Act Submissions</w:t>
            </w:r>
            <w:r w:rsidR="006C655A">
              <w:rPr>
                <w:noProof/>
                <w:webHidden/>
              </w:rPr>
              <w:tab/>
            </w:r>
            <w:r w:rsidR="006C655A">
              <w:rPr>
                <w:noProof/>
                <w:webHidden/>
              </w:rPr>
              <w:fldChar w:fldCharType="begin"/>
            </w:r>
            <w:r w:rsidR="006C655A">
              <w:rPr>
                <w:noProof/>
                <w:webHidden/>
              </w:rPr>
              <w:instrText xml:space="preserve"> PAGEREF _Toc448296091 \h </w:instrText>
            </w:r>
            <w:r w:rsidR="006C655A">
              <w:rPr>
                <w:noProof/>
                <w:webHidden/>
              </w:rPr>
            </w:r>
            <w:r w:rsidR="006C655A">
              <w:rPr>
                <w:noProof/>
                <w:webHidden/>
              </w:rPr>
              <w:fldChar w:fldCharType="separate"/>
            </w:r>
            <w:r w:rsidR="00D62D1E">
              <w:rPr>
                <w:noProof/>
                <w:webHidden/>
              </w:rPr>
              <w:t>12</w:t>
            </w:r>
            <w:r w:rsidR="006C655A">
              <w:rPr>
                <w:noProof/>
                <w:webHidden/>
              </w:rPr>
              <w:fldChar w:fldCharType="end"/>
            </w:r>
          </w:hyperlink>
        </w:p>
        <w:p w14:paraId="084482D0" w14:textId="330C5F8B" w:rsidR="006C655A" w:rsidRDefault="00537EB1" w:rsidP="003B3841">
          <w:pPr>
            <w:pStyle w:val="TOC1"/>
            <w:tabs>
              <w:tab w:val="right" w:leader="dot" w:pos="10070"/>
            </w:tabs>
            <w:spacing w:after="0"/>
            <w:mirrorIndents/>
            <w:rPr>
              <w:rFonts w:asciiTheme="minorHAnsi" w:eastAsiaTheme="minorEastAsia" w:hAnsiTheme="minorHAnsi" w:cstheme="minorBidi"/>
              <w:noProof/>
              <w:sz w:val="22"/>
              <w:szCs w:val="22"/>
            </w:rPr>
          </w:pPr>
          <w:hyperlink w:anchor="_Toc448296092" w:history="1">
            <w:r w:rsidR="006C655A" w:rsidRPr="00CF5A5B">
              <w:rPr>
                <w:rStyle w:val="Hyperlink"/>
                <w:noProof/>
              </w:rPr>
              <w:t>References:</w:t>
            </w:r>
            <w:r w:rsidR="006C655A">
              <w:rPr>
                <w:noProof/>
                <w:webHidden/>
              </w:rPr>
              <w:tab/>
            </w:r>
            <w:r w:rsidR="006C655A">
              <w:rPr>
                <w:noProof/>
                <w:webHidden/>
              </w:rPr>
              <w:fldChar w:fldCharType="begin"/>
            </w:r>
            <w:r w:rsidR="006C655A">
              <w:rPr>
                <w:noProof/>
                <w:webHidden/>
              </w:rPr>
              <w:instrText xml:space="preserve"> PAGEREF _Toc448296092 \h </w:instrText>
            </w:r>
            <w:r w:rsidR="006C655A">
              <w:rPr>
                <w:noProof/>
                <w:webHidden/>
              </w:rPr>
            </w:r>
            <w:r w:rsidR="006C655A">
              <w:rPr>
                <w:noProof/>
                <w:webHidden/>
              </w:rPr>
              <w:fldChar w:fldCharType="separate"/>
            </w:r>
            <w:r w:rsidR="00D62D1E">
              <w:rPr>
                <w:noProof/>
                <w:webHidden/>
              </w:rPr>
              <w:t>12</w:t>
            </w:r>
            <w:r w:rsidR="006C655A">
              <w:rPr>
                <w:noProof/>
                <w:webHidden/>
              </w:rPr>
              <w:fldChar w:fldCharType="end"/>
            </w:r>
          </w:hyperlink>
        </w:p>
        <w:p w14:paraId="1BBE6876" w14:textId="77777777" w:rsidR="00B12EA3" w:rsidRDefault="00B12EA3" w:rsidP="003B3841">
          <w:pPr>
            <w:mirrorIndents/>
          </w:pPr>
          <w:r w:rsidRPr="00B12EA3">
            <w:rPr>
              <w:bCs/>
              <w:noProof/>
            </w:rPr>
            <w:fldChar w:fldCharType="end"/>
          </w:r>
        </w:p>
      </w:sdtContent>
    </w:sdt>
    <w:p w14:paraId="054F860B" w14:textId="56D5F962" w:rsidR="009221FF" w:rsidRDefault="009221FF" w:rsidP="003B3841">
      <w:pPr>
        <w:pStyle w:val="NoSpacing"/>
        <w:pBdr>
          <w:bottom w:val="single" w:sz="4" w:space="1" w:color="auto"/>
        </w:pBdr>
        <w:mirrorIndents/>
        <w:rPr>
          <w:b/>
        </w:rPr>
      </w:pPr>
      <w:r>
        <w:rPr>
          <w:b/>
        </w:rPr>
        <w:t>EXHIBITS</w:t>
      </w:r>
    </w:p>
    <w:p w14:paraId="0B9738F4" w14:textId="77777777" w:rsidR="009221FF" w:rsidRPr="009221FF" w:rsidRDefault="009221FF" w:rsidP="003B3841">
      <w:pPr>
        <w:pStyle w:val="NoSpacing"/>
        <w:mirrorIndents/>
        <w:rPr>
          <w:b/>
        </w:rPr>
      </w:pPr>
    </w:p>
    <w:p w14:paraId="495A81B6" w14:textId="433BED4C" w:rsidR="00CF44C9" w:rsidRDefault="009221FF" w:rsidP="003B3841">
      <w:pPr>
        <w:pStyle w:val="TableofFigures"/>
        <w:tabs>
          <w:tab w:val="right" w:leader="dot" w:pos="10070"/>
        </w:tabs>
        <w:mirrorIndents/>
        <w:rPr>
          <w:rFonts w:asciiTheme="minorHAnsi" w:eastAsiaTheme="minorEastAsia" w:hAnsiTheme="minorHAnsi" w:cstheme="minorBidi"/>
          <w:noProof/>
          <w:sz w:val="22"/>
          <w:szCs w:val="22"/>
        </w:rPr>
      </w:pPr>
      <w:r>
        <w:rPr>
          <w:b/>
        </w:rPr>
        <w:fldChar w:fldCharType="begin"/>
      </w:r>
      <w:r>
        <w:rPr>
          <w:b/>
        </w:rPr>
        <w:instrText xml:space="preserve"> TOC \h \z \c "Exhibit" </w:instrText>
      </w:r>
      <w:r>
        <w:rPr>
          <w:b/>
        </w:rPr>
        <w:fldChar w:fldCharType="separate"/>
      </w:r>
      <w:hyperlink w:anchor="_Toc449541622" w:history="1">
        <w:r w:rsidR="00CF44C9" w:rsidRPr="00702F75">
          <w:rPr>
            <w:rStyle w:val="Hyperlink"/>
            <w:noProof/>
          </w:rPr>
          <w:t>Exhibit 2.1: Overview of Key Variables</w:t>
        </w:r>
        <w:r w:rsidR="00CF44C9">
          <w:rPr>
            <w:noProof/>
            <w:webHidden/>
          </w:rPr>
          <w:tab/>
        </w:r>
        <w:r w:rsidR="00CF44C9">
          <w:rPr>
            <w:noProof/>
            <w:webHidden/>
          </w:rPr>
          <w:fldChar w:fldCharType="begin"/>
        </w:r>
        <w:r w:rsidR="00CF44C9">
          <w:rPr>
            <w:noProof/>
            <w:webHidden/>
          </w:rPr>
          <w:instrText xml:space="preserve"> PAGEREF _Toc449541622 \h </w:instrText>
        </w:r>
        <w:r w:rsidR="00CF44C9">
          <w:rPr>
            <w:noProof/>
            <w:webHidden/>
          </w:rPr>
        </w:r>
        <w:r w:rsidR="00CF44C9">
          <w:rPr>
            <w:noProof/>
            <w:webHidden/>
          </w:rPr>
          <w:fldChar w:fldCharType="separate"/>
        </w:r>
        <w:r w:rsidR="00D62D1E">
          <w:rPr>
            <w:noProof/>
            <w:webHidden/>
          </w:rPr>
          <w:t>6</w:t>
        </w:r>
        <w:r w:rsidR="00CF44C9">
          <w:rPr>
            <w:noProof/>
            <w:webHidden/>
          </w:rPr>
          <w:fldChar w:fldCharType="end"/>
        </w:r>
      </w:hyperlink>
    </w:p>
    <w:p w14:paraId="302EED39" w14:textId="11E8F2C0" w:rsidR="00CF44C9" w:rsidRDefault="00537EB1" w:rsidP="003B3841">
      <w:pPr>
        <w:pStyle w:val="TableofFigures"/>
        <w:tabs>
          <w:tab w:val="right" w:leader="dot" w:pos="10070"/>
        </w:tabs>
        <w:mirrorIndents/>
        <w:rPr>
          <w:rFonts w:asciiTheme="minorHAnsi" w:eastAsiaTheme="minorEastAsia" w:hAnsiTheme="minorHAnsi" w:cstheme="minorBidi"/>
          <w:noProof/>
          <w:sz w:val="22"/>
          <w:szCs w:val="22"/>
        </w:rPr>
      </w:pPr>
      <w:hyperlink w:anchor="_Toc449541623" w:history="1">
        <w:r w:rsidR="00CF44C9" w:rsidRPr="00702F75">
          <w:rPr>
            <w:rStyle w:val="Hyperlink"/>
            <w:noProof/>
          </w:rPr>
          <w:t>Exhibit 12.1: Estimated Annualized Burden Hours</w:t>
        </w:r>
        <w:r w:rsidR="00CF44C9">
          <w:rPr>
            <w:noProof/>
            <w:webHidden/>
          </w:rPr>
          <w:tab/>
        </w:r>
        <w:r w:rsidR="00CF44C9">
          <w:rPr>
            <w:noProof/>
            <w:webHidden/>
          </w:rPr>
          <w:fldChar w:fldCharType="begin"/>
        </w:r>
        <w:r w:rsidR="00CF44C9">
          <w:rPr>
            <w:noProof/>
            <w:webHidden/>
          </w:rPr>
          <w:instrText xml:space="preserve"> PAGEREF _Toc449541623 \h </w:instrText>
        </w:r>
        <w:r w:rsidR="00CF44C9">
          <w:rPr>
            <w:noProof/>
            <w:webHidden/>
          </w:rPr>
        </w:r>
        <w:r w:rsidR="00CF44C9">
          <w:rPr>
            <w:noProof/>
            <w:webHidden/>
          </w:rPr>
          <w:fldChar w:fldCharType="separate"/>
        </w:r>
        <w:r w:rsidR="00D62D1E">
          <w:rPr>
            <w:noProof/>
            <w:webHidden/>
          </w:rPr>
          <w:t>10</w:t>
        </w:r>
        <w:r w:rsidR="00CF44C9">
          <w:rPr>
            <w:noProof/>
            <w:webHidden/>
          </w:rPr>
          <w:fldChar w:fldCharType="end"/>
        </w:r>
      </w:hyperlink>
    </w:p>
    <w:p w14:paraId="134F6FD6" w14:textId="30B56A7F" w:rsidR="00CF44C9" w:rsidRDefault="00537EB1" w:rsidP="003B3841">
      <w:pPr>
        <w:pStyle w:val="TableofFigures"/>
        <w:tabs>
          <w:tab w:val="right" w:leader="dot" w:pos="10070"/>
        </w:tabs>
        <w:mirrorIndents/>
        <w:rPr>
          <w:rFonts w:asciiTheme="minorHAnsi" w:eastAsiaTheme="minorEastAsia" w:hAnsiTheme="minorHAnsi" w:cstheme="minorBidi"/>
          <w:noProof/>
          <w:sz w:val="22"/>
          <w:szCs w:val="22"/>
        </w:rPr>
      </w:pPr>
      <w:hyperlink w:anchor="_Toc449541624" w:history="1">
        <w:r w:rsidR="00CF44C9" w:rsidRPr="00702F75">
          <w:rPr>
            <w:rStyle w:val="Hyperlink"/>
            <w:noProof/>
          </w:rPr>
          <w:t>Exhibit 12.2: Estimated Annualized Burden Costs</w:t>
        </w:r>
        <w:r w:rsidR="00CF44C9">
          <w:rPr>
            <w:noProof/>
            <w:webHidden/>
          </w:rPr>
          <w:tab/>
        </w:r>
        <w:r w:rsidR="00CF44C9">
          <w:rPr>
            <w:noProof/>
            <w:webHidden/>
          </w:rPr>
          <w:fldChar w:fldCharType="begin"/>
        </w:r>
        <w:r w:rsidR="00CF44C9">
          <w:rPr>
            <w:noProof/>
            <w:webHidden/>
          </w:rPr>
          <w:instrText xml:space="preserve"> PAGEREF _Toc449541624 \h </w:instrText>
        </w:r>
        <w:r w:rsidR="00CF44C9">
          <w:rPr>
            <w:noProof/>
            <w:webHidden/>
          </w:rPr>
        </w:r>
        <w:r w:rsidR="00CF44C9">
          <w:rPr>
            <w:noProof/>
            <w:webHidden/>
          </w:rPr>
          <w:fldChar w:fldCharType="separate"/>
        </w:r>
        <w:r w:rsidR="00D62D1E">
          <w:rPr>
            <w:noProof/>
            <w:webHidden/>
          </w:rPr>
          <w:t>10</w:t>
        </w:r>
        <w:r w:rsidR="00CF44C9">
          <w:rPr>
            <w:noProof/>
            <w:webHidden/>
          </w:rPr>
          <w:fldChar w:fldCharType="end"/>
        </w:r>
      </w:hyperlink>
    </w:p>
    <w:p w14:paraId="69822D32" w14:textId="3AC34D33" w:rsidR="00CF44C9" w:rsidRDefault="00537EB1" w:rsidP="003B3841">
      <w:pPr>
        <w:pStyle w:val="TableofFigures"/>
        <w:tabs>
          <w:tab w:val="right" w:leader="dot" w:pos="10070"/>
        </w:tabs>
        <w:mirrorIndents/>
        <w:rPr>
          <w:rFonts w:asciiTheme="minorHAnsi" w:eastAsiaTheme="minorEastAsia" w:hAnsiTheme="minorHAnsi" w:cstheme="minorBidi"/>
          <w:noProof/>
          <w:sz w:val="22"/>
          <w:szCs w:val="22"/>
        </w:rPr>
      </w:pPr>
      <w:hyperlink w:anchor="_Toc449541625" w:history="1">
        <w:r w:rsidR="00CF44C9" w:rsidRPr="00702F75">
          <w:rPr>
            <w:rStyle w:val="Hyperlink"/>
            <w:noProof/>
          </w:rPr>
          <w:t>Exhibit 14.1: Annualized Cost to the Government</w:t>
        </w:r>
        <w:r w:rsidR="00CF44C9">
          <w:rPr>
            <w:noProof/>
            <w:webHidden/>
          </w:rPr>
          <w:tab/>
        </w:r>
        <w:r w:rsidR="00CF44C9">
          <w:rPr>
            <w:noProof/>
            <w:webHidden/>
          </w:rPr>
          <w:fldChar w:fldCharType="begin"/>
        </w:r>
        <w:r w:rsidR="00CF44C9">
          <w:rPr>
            <w:noProof/>
            <w:webHidden/>
          </w:rPr>
          <w:instrText xml:space="preserve"> PAGEREF _Toc449541625 \h </w:instrText>
        </w:r>
        <w:r w:rsidR="00CF44C9">
          <w:rPr>
            <w:noProof/>
            <w:webHidden/>
          </w:rPr>
        </w:r>
        <w:r w:rsidR="00CF44C9">
          <w:rPr>
            <w:noProof/>
            <w:webHidden/>
          </w:rPr>
          <w:fldChar w:fldCharType="separate"/>
        </w:r>
        <w:r w:rsidR="00D62D1E">
          <w:rPr>
            <w:noProof/>
            <w:webHidden/>
          </w:rPr>
          <w:t>11</w:t>
        </w:r>
        <w:r w:rsidR="00CF44C9">
          <w:rPr>
            <w:noProof/>
            <w:webHidden/>
          </w:rPr>
          <w:fldChar w:fldCharType="end"/>
        </w:r>
      </w:hyperlink>
    </w:p>
    <w:p w14:paraId="420CC9CE" w14:textId="717566CE" w:rsidR="00CF44C9" w:rsidRDefault="00537EB1" w:rsidP="003B3841">
      <w:pPr>
        <w:pStyle w:val="TableofFigures"/>
        <w:tabs>
          <w:tab w:val="right" w:leader="dot" w:pos="10070"/>
        </w:tabs>
        <w:mirrorIndents/>
        <w:rPr>
          <w:rFonts w:asciiTheme="minorHAnsi" w:eastAsiaTheme="minorEastAsia" w:hAnsiTheme="minorHAnsi" w:cstheme="minorBidi"/>
          <w:noProof/>
          <w:sz w:val="22"/>
          <w:szCs w:val="22"/>
        </w:rPr>
      </w:pPr>
      <w:hyperlink w:anchor="_Toc449541626" w:history="1">
        <w:r w:rsidR="00CF44C9" w:rsidRPr="00702F75">
          <w:rPr>
            <w:rStyle w:val="Hyperlink"/>
            <w:noProof/>
          </w:rPr>
          <w:t>Exhibit 16.1: Project Time Schedule</w:t>
        </w:r>
        <w:r w:rsidR="00CF44C9">
          <w:rPr>
            <w:noProof/>
            <w:webHidden/>
          </w:rPr>
          <w:tab/>
        </w:r>
        <w:r w:rsidR="00CF44C9">
          <w:rPr>
            <w:noProof/>
            <w:webHidden/>
          </w:rPr>
          <w:fldChar w:fldCharType="begin"/>
        </w:r>
        <w:r w:rsidR="00CF44C9">
          <w:rPr>
            <w:noProof/>
            <w:webHidden/>
          </w:rPr>
          <w:instrText xml:space="preserve"> PAGEREF _Toc449541626 \h </w:instrText>
        </w:r>
        <w:r w:rsidR="00CF44C9">
          <w:rPr>
            <w:noProof/>
            <w:webHidden/>
          </w:rPr>
        </w:r>
        <w:r w:rsidR="00CF44C9">
          <w:rPr>
            <w:noProof/>
            <w:webHidden/>
          </w:rPr>
          <w:fldChar w:fldCharType="separate"/>
        </w:r>
        <w:r w:rsidR="00D62D1E">
          <w:rPr>
            <w:noProof/>
            <w:webHidden/>
          </w:rPr>
          <w:t>11</w:t>
        </w:r>
        <w:r w:rsidR="00CF44C9">
          <w:rPr>
            <w:noProof/>
            <w:webHidden/>
          </w:rPr>
          <w:fldChar w:fldCharType="end"/>
        </w:r>
      </w:hyperlink>
    </w:p>
    <w:p w14:paraId="3FB7760C" w14:textId="1846C216" w:rsidR="003B3841" w:rsidRDefault="009221FF" w:rsidP="003B3841">
      <w:pPr>
        <w:pStyle w:val="NoSpacing"/>
        <w:mirrorIndents/>
        <w:rPr>
          <w:b/>
        </w:rPr>
      </w:pPr>
      <w:r>
        <w:fldChar w:fldCharType="end"/>
      </w:r>
    </w:p>
    <w:p w14:paraId="2D50569E" w14:textId="2B3F8AAA" w:rsidR="00347120" w:rsidRPr="00C46977" w:rsidRDefault="00347120" w:rsidP="003B3841">
      <w:pPr>
        <w:pStyle w:val="NoSpacing"/>
        <w:pBdr>
          <w:bottom w:val="single" w:sz="4" w:space="1" w:color="auto"/>
        </w:pBdr>
        <w:mirrorIndents/>
        <w:rPr>
          <w:b/>
        </w:rPr>
      </w:pPr>
      <w:r w:rsidRPr="00C46977">
        <w:rPr>
          <w:b/>
        </w:rPr>
        <w:t>LIST OF ATTACHMENTS</w:t>
      </w:r>
    </w:p>
    <w:p w14:paraId="09F5260B" w14:textId="77777777" w:rsidR="00347120" w:rsidRDefault="00347120" w:rsidP="003B3841">
      <w:pPr>
        <w:pStyle w:val="NoSpacing"/>
        <w:mirrorIndents/>
      </w:pPr>
    </w:p>
    <w:p w14:paraId="792DF4DC" w14:textId="27853818" w:rsidR="009951A9" w:rsidRPr="00D96359" w:rsidRDefault="009951A9" w:rsidP="003B3841">
      <w:pPr>
        <w:pStyle w:val="NoSpacing"/>
        <w:tabs>
          <w:tab w:val="left" w:pos="360"/>
        </w:tabs>
        <w:mirrorIndents/>
      </w:pPr>
      <w:r w:rsidRPr="00D96359">
        <w:rPr>
          <w:b/>
        </w:rPr>
        <w:t>Attachment 1</w:t>
      </w:r>
      <w:r w:rsidR="00D96359" w:rsidRPr="00D96359">
        <w:t xml:space="preserve"> </w:t>
      </w:r>
      <w:r w:rsidR="00D74C3B">
        <w:t xml:space="preserve">D2C </w:t>
      </w:r>
      <w:r w:rsidR="00D96359" w:rsidRPr="00D96359">
        <w:t>Recruitment Flyers</w:t>
      </w:r>
    </w:p>
    <w:p w14:paraId="7032D2FF" w14:textId="1C2F9B95" w:rsidR="00E72740" w:rsidRPr="00D96359" w:rsidRDefault="009951A9" w:rsidP="003B3841">
      <w:pPr>
        <w:pStyle w:val="NoSpacing"/>
        <w:tabs>
          <w:tab w:val="left" w:pos="360"/>
        </w:tabs>
        <w:mirrorIndents/>
      </w:pPr>
      <w:r w:rsidRPr="00D96359">
        <w:rPr>
          <w:b/>
        </w:rPr>
        <w:t>Attachment 2</w:t>
      </w:r>
      <w:r w:rsidR="00347120" w:rsidRPr="00D96359">
        <w:rPr>
          <w:b/>
        </w:rPr>
        <w:t xml:space="preserve"> </w:t>
      </w:r>
      <w:r w:rsidR="00D74C3B" w:rsidRPr="00D74C3B">
        <w:t>D2C</w:t>
      </w:r>
      <w:r w:rsidR="00D74C3B">
        <w:rPr>
          <w:b/>
        </w:rPr>
        <w:t xml:space="preserve"> </w:t>
      </w:r>
      <w:r w:rsidR="00D96359" w:rsidRPr="00D96359">
        <w:t>Informed</w:t>
      </w:r>
      <w:r w:rsidR="00D96359" w:rsidRPr="00D96359">
        <w:rPr>
          <w:b/>
        </w:rPr>
        <w:t xml:space="preserve"> </w:t>
      </w:r>
      <w:r w:rsidR="00CF44C9" w:rsidRPr="00D96359">
        <w:t>Consent Form</w:t>
      </w:r>
      <w:r w:rsidR="00B470EB">
        <w:t>s</w:t>
      </w:r>
    </w:p>
    <w:p w14:paraId="79606E93" w14:textId="30F9BE5E" w:rsidR="00D96359" w:rsidRPr="00D96359" w:rsidRDefault="00D96359" w:rsidP="003B3841">
      <w:pPr>
        <w:pStyle w:val="NoSpacing"/>
        <w:tabs>
          <w:tab w:val="left" w:pos="360"/>
        </w:tabs>
        <w:mirrorIndents/>
        <w:rPr>
          <w:b/>
        </w:rPr>
      </w:pPr>
      <w:r w:rsidRPr="00D96359">
        <w:rPr>
          <w:b/>
        </w:rPr>
        <w:t>Attachment 3a</w:t>
      </w:r>
      <w:r w:rsidRPr="00D96359">
        <w:t xml:space="preserve"> </w:t>
      </w:r>
      <w:r w:rsidR="002368E4">
        <w:t>D2C Client</w:t>
      </w:r>
      <w:r w:rsidR="002368E4" w:rsidRPr="00D96359">
        <w:t xml:space="preserve"> </w:t>
      </w:r>
      <w:r w:rsidRPr="00D96359">
        <w:t>Screener</w:t>
      </w:r>
      <w:r w:rsidR="009951A9" w:rsidRPr="00D96359">
        <w:tab/>
      </w:r>
    </w:p>
    <w:p w14:paraId="7E34262B" w14:textId="7DB005DB" w:rsidR="00347120" w:rsidRPr="00D96359" w:rsidRDefault="00D96359" w:rsidP="003B3841">
      <w:pPr>
        <w:pStyle w:val="NoSpacing"/>
        <w:tabs>
          <w:tab w:val="left" w:pos="360"/>
        </w:tabs>
        <w:mirrorIndents/>
      </w:pPr>
      <w:r w:rsidRPr="00D96359">
        <w:rPr>
          <w:b/>
        </w:rPr>
        <w:t>Attachment</w:t>
      </w:r>
      <w:r w:rsidRPr="00D96359">
        <w:t xml:space="preserve"> </w:t>
      </w:r>
      <w:r w:rsidR="009951A9" w:rsidRPr="00D96359">
        <w:rPr>
          <w:b/>
        </w:rPr>
        <w:t>3</w:t>
      </w:r>
      <w:r w:rsidRPr="00D96359">
        <w:rPr>
          <w:b/>
        </w:rPr>
        <w:t>b</w:t>
      </w:r>
      <w:r w:rsidR="00347120" w:rsidRPr="00D96359">
        <w:t xml:space="preserve"> </w:t>
      </w:r>
      <w:r w:rsidR="003E478F" w:rsidRPr="00D96359">
        <w:t xml:space="preserve">D2C Client Interview Guide </w:t>
      </w:r>
    </w:p>
    <w:p w14:paraId="2E3DB2B0" w14:textId="13011F93" w:rsidR="00347120" w:rsidRPr="00D96359" w:rsidRDefault="00D96359" w:rsidP="003B3841">
      <w:pPr>
        <w:pStyle w:val="NoSpacing"/>
        <w:tabs>
          <w:tab w:val="left" w:pos="360"/>
        </w:tabs>
        <w:mirrorIndents/>
      </w:pPr>
      <w:r w:rsidRPr="00D96359">
        <w:rPr>
          <w:b/>
        </w:rPr>
        <w:t>Attachment</w:t>
      </w:r>
      <w:r w:rsidRPr="00D96359">
        <w:t xml:space="preserve"> </w:t>
      </w:r>
      <w:r w:rsidR="009951A9" w:rsidRPr="00D96359">
        <w:rPr>
          <w:b/>
        </w:rPr>
        <w:t>3</w:t>
      </w:r>
      <w:r w:rsidRPr="00D96359">
        <w:rPr>
          <w:b/>
        </w:rPr>
        <w:t>c</w:t>
      </w:r>
      <w:r w:rsidR="00CF5EFA" w:rsidRPr="00D96359">
        <w:t xml:space="preserve"> </w:t>
      </w:r>
      <w:r w:rsidR="003E478F" w:rsidRPr="00D96359">
        <w:t>D2C Program Staff Interview Guide</w:t>
      </w:r>
    </w:p>
    <w:p w14:paraId="0546CF9D" w14:textId="3F961F56" w:rsidR="00347120" w:rsidRDefault="009951A9" w:rsidP="003B3841">
      <w:pPr>
        <w:pStyle w:val="NoSpacing"/>
        <w:tabs>
          <w:tab w:val="left" w:pos="360"/>
        </w:tabs>
        <w:mirrorIndents/>
      </w:pPr>
      <w:r w:rsidRPr="00D96359">
        <w:rPr>
          <w:b/>
        </w:rPr>
        <w:t>Attachment 4</w:t>
      </w:r>
      <w:r w:rsidR="00D96359" w:rsidRPr="00D96359">
        <w:rPr>
          <w:b/>
        </w:rPr>
        <w:t>a</w:t>
      </w:r>
      <w:r w:rsidR="00347120" w:rsidRPr="00D96359">
        <w:t xml:space="preserve"> </w:t>
      </w:r>
      <w:r w:rsidR="00D96359" w:rsidRPr="00D96359">
        <w:t>CDC</w:t>
      </w:r>
      <w:r w:rsidR="00CF44C9" w:rsidRPr="00D96359">
        <w:t xml:space="preserve"> IRB Approval</w:t>
      </w:r>
    </w:p>
    <w:p w14:paraId="7F387B58" w14:textId="6933BBAA" w:rsidR="00D96359" w:rsidRDefault="00D96359" w:rsidP="003B3841">
      <w:pPr>
        <w:pStyle w:val="NoSpacing"/>
        <w:tabs>
          <w:tab w:val="left" w:pos="360"/>
        </w:tabs>
        <w:mirrorIndents/>
      </w:pPr>
      <w:r w:rsidRPr="00D96359">
        <w:rPr>
          <w:b/>
        </w:rPr>
        <w:t>Attachment 4b</w:t>
      </w:r>
      <w:r>
        <w:t xml:space="preserve"> Emory University </w:t>
      </w:r>
      <w:r w:rsidR="00D74C3B">
        <w:t xml:space="preserve">IRB </w:t>
      </w:r>
      <w:r>
        <w:t>Determination</w:t>
      </w:r>
    </w:p>
    <w:p w14:paraId="682388CC" w14:textId="5BCC1070" w:rsidR="009B5C38" w:rsidRDefault="009B5C38" w:rsidP="003B3841">
      <w:pPr>
        <w:pStyle w:val="NoSpacing"/>
        <w:tabs>
          <w:tab w:val="left" w:pos="360"/>
        </w:tabs>
        <w:mirrorIndents/>
      </w:pPr>
      <w:r w:rsidRPr="009B5C38">
        <w:rPr>
          <w:b/>
        </w:rPr>
        <w:t>Attachment 5</w:t>
      </w:r>
      <w:r>
        <w:t xml:space="preserve"> </w:t>
      </w:r>
      <w:r w:rsidR="00D74C3B">
        <w:t xml:space="preserve">D2C </w:t>
      </w:r>
      <w:r>
        <w:t>Data Use Plan</w:t>
      </w:r>
    </w:p>
    <w:p w14:paraId="1250C48D" w14:textId="5F3B833D" w:rsidR="005B5D5C" w:rsidRPr="00DC56F1" w:rsidRDefault="005B5D5C" w:rsidP="003B3841">
      <w:pPr>
        <w:pStyle w:val="NoSpacing"/>
        <w:tabs>
          <w:tab w:val="left" w:pos="360"/>
        </w:tabs>
        <w:mirrorIndents/>
      </w:pPr>
      <w:r w:rsidRPr="00DC56F1">
        <w:rPr>
          <w:b/>
        </w:rPr>
        <w:t>Attachment 6</w:t>
      </w:r>
      <w:r w:rsidR="00DC56F1" w:rsidRPr="00DC56F1">
        <w:rPr>
          <w:b/>
        </w:rPr>
        <w:t xml:space="preserve"> </w:t>
      </w:r>
      <w:r w:rsidR="00DC56F1" w:rsidRPr="00DC56F1">
        <w:t xml:space="preserve">Privacy </w:t>
      </w:r>
      <w:r w:rsidR="00D74C3B">
        <w:t>Impact Assessment Approvals</w:t>
      </w:r>
    </w:p>
    <w:p w14:paraId="171B3D85" w14:textId="3BB2022A" w:rsidR="005B5D5C" w:rsidRDefault="005B5D5C" w:rsidP="003B3841">
      <w:pPr>
        <w:pStyle w:val="NoSpacing"/>
        <w:tabs>
          <w:tab w:val="left" w:pos="360"/>
        </w:tabs>
        <w:mirrorIndents/>
      </w:pPr>
    </w:p>
    <w:p w14:paraId="57FEAA20" w14:textId="1C850E91" w:rsidR="005B3D89" w:rsidRDefault="005B3D89" w:rsidP="003B3841">
      <w:pPr>
        <w:pStyle w:val="NoSpacing"/>
        <w:tabs>
          <w:tab w:val="left" w:pos="360"/>
        </w:tabs>
        <w:mirrorIndents/>
      </w:pPr>
    </w:p>
    <w:p w14:paraId="6E137FD1" w14:textId="3666E127" w:rsidR="00542640" w:rsidRDefault="00542640" w:rsidP="003B3841">
      <w:pPr>
        <w:mirrorIndents/>
        <w:rPr>
          <w:b/>
        </w:rPr>
      </w:pPr>
    </w:p>
    <w:p w14:paraId="55181C2A" w14:textId="77777777" w:rsidR="00200D2C" w:rsidRPr="00E2574F" w:rsidRDefault="00200D2C" w:rsidP="003B3841">
      <w:pPr>
        <w:mirrorIndents/>
        <w:rPr>
          <w:b/>
        </w:rPr>
      </w:pPr>
    </w:p>
    <w:tbl>
      <w:tblPr>
        <w:tblStyle w:val="TableGrid"/>
        <w:tblW w:w="0" w:type="auto"/>
        <w:tblLook w:val="04A0" w:firstRow="1" w:lastRow="0" w:firstColumn="1" w:lastColumn="0" w:noHBand="0" w:noVBand="1"/>
      </w:tblPr>
      <w:tblGrid>
        <w:gridCol w:w="10070"/>
      </w:tblGrid>
      <w:tr w:rsidR="00B12EA3" w14:paraId="04906BCF" w14:textId="77777777" w:rsidTr="00E2574F">
        <w:trPr>
          <w:trHeight w:val="3860"/>
        </w:trPr>
        <w:tc>
          <w:tcPr>
            <w:tcW w:w="10070" w:type="dxa"/>
          </w:tcPr>
          <w:p w14:paraId="7D1B57C1" w14:textId="4A2AAABA" w:rsidR="00810B9E" w:rsidRPr="00FB7AA8" w:rsidRDefault="00B12EA3" w:rsidP="00F95454">
            <w:pPr>
              <w:pStyle w:val="NoSpacing"/>
              <w:numPr>
                <w:ilvl w:val="0"/>
                <w:numId w:val="1"/>
              </w:numPr>
              <w:spacing w:before="120" w:after="120"/>
              <w:mirrorIndents/>
              <w:rPr>
                <w:b/>
              </w:rPr>
            </w:pPr>
            <w:r w:rsidRPr="00FB7AA8">
              <w:rPr>
                <w:b/>
              </w:rPr>
              <w:lastRenderedPageBreak/>
              <w:t xml:space="preserve">Goals of the study: </w:t>
            </w:r>
            <w:r w:rsidR="00B328D6" w:rsidRPr="00FB7AA8">
              <w:t xml:space="preserve">The </w:t>
            </w:r>
            <w:r w:rsidR="00FB7AA8" w:rsidRPr="00FB7AA8">
              <w:t>goal</w:t>
            </w:r>
            <w:r w:rsidR="00B328D6" w:rsidRPr="00FB7AA8">
              <w:t xml:space="preserve"> of this</w:t>
            </w:r>
            <w:r w:rsidR="005248A5" w:rsidRPr="00FB7AA8">
              <w:t xml:space="preserve"> </w:t>
            </w:r>
            <w:r w:rsidR="004657BF" w:rsidRPr="00FB7AA8">
              <w:t>qualitative</w:t>
            </w:r>
            <w:r w:rsidR="004D5389" w:rsidRPr="00FB7AA8">
              <w:t xml:space="preserve"> </w:t>
            </w:r>
            <w:r w:rsidR="004E3544" w:rsidRPr="00FB7AA8">
              <w:t>research</w:t>
            </w:r>
            <w:r w:rsidR="00B343E9" w:rsidRPr="00FB7AA8">
              <w:t xml:space="preserve"> </w:t>
            </w:r>
            <w:r w:rsidR="00965E71" w:rsidRPr="00FB7AA8">
              <w:t xml:space="preserve">study </w:t>
            </w:r>
            <w:r w:rsidR="00FB7AA8" w:rsidRPr="00FB7AA8">
              <w:t>is to identify approaches that have been effective in implementing D</w:t>
            </w:r>
            <w:r w:rsidR="004C581B">
              <w:t>ata to Care (D2C)</w:t>
            </w:r>
            <w:r w:rsidR="00FB7AA8" w:rsidRPr="00FB7AA8">
              <w:t xml:space="preserve"> programs and how health departments use D2C strategies to link and (re)engage </w:t>
            </w:r>
            <w:r w:rsidR="004C581B">
              <w:t>persons living with HIV (</w:t>
            </w:r>
            <w:r w:rsidR="00FB7AA8" w:rsidRPr="00FB7AA8">
              <w:t>PLWH</w:t>
            </w:r>
            <w:r w:rsidR="004C581B">
              <w:t>)</w:t>
            </w:r>
            <w:r w:rsidR="00FB7AA8" w:rsidRPr="00FB7AA8">
              <w:t xml:space="preserve"> in care</w:t>
            </w:r>
            <w:r w:rsidR="00731B24" w:rsidRPr="00FB7AA8">
              <w:t>.</w:t>
            </w:r>
          </w:p>
          <w:p w14:paraId="1D02776F" w14:textId="4F3661A6" w:rsidR="00B12EA3" w:rsidRPr="00AC05E8" w:rsidRDefault="00B12EA3" w:rsidP="00AC05E8">
            <w:pPr>
              <w:pStyle w:val="NoSpacing"/>
              <w:numPr>
                <w:ilvl w:val="0"/>
                <w:numId w:val="1"/>
              </w:numPr>
              <w:spacing w:before="120" w:after="120"/>
              <w:mirrorIndents/>
              <w:rPr>
                <w:b/>
              </w:rPr>
            </w:pPr>
            <w:r w:rsidRPr="00FB7AA8">
              <w:rPr>
                <w:b/>
              </w:rPr>
              <w:t>Intended use:</w:t>
            </w:r>
            <w:r w:rsidR="00B328D6" w:rsidRPr="00FB7AA8">
              <w:rPr>
                <w:b/>
              </w:rPr>
              <w:t xml:space="preserve"> </w:t>
            </w:r>
            <w:r w:rsidR="00AC05E8">
              <w:rPr>
                <w:rFonts w:cs="Times New Roman"/>
                <w:szCs w:val="24"/>
              </w:rPr>
              <w:t>Study outcomes will be communicated</w:t>
            </w:r>
            <w:r w:rsidR="00AC05E8" w:rsidRPr="00342435">
              <w:rPr>
                <w:rFonts w:cs="Times New Roman"/>
                <w:szCs w:val="24"/>
              </w:rPr>
              <w:t xml:space="preserve"> to </w:t>
            </w:r>
            <w:r w:rsidR="00AC05E8">
              <w:rPr>
                <w:rFonts w:cs="Times New Roman"/>
                <w:szCs w:val="24"/>
              </w:rPr>
              <w:t>local stakeholders</w:t>
            </w:r>
            <w:r w:rsidR="00AC05E8" w:rsidRPr="00342435">
              <w:rPr>
                <w:rFonts w:cs="Times New Roman"/>
                <w:szCs w:val="24"/>
              </w:rPr>
              <w:t xml:space="preserve"> and organizations in </w:t>
            </w:r>
            <w:r w:rsidR="00AC05E8" w:rsidRPr="007B2EBE">
              <w:rPr>
                <w:rFonts w:cs="Times New Roman"/>
                <w:szCs w:val="24"/>
              </w:rPr>
              <w:t xml:space="preserve">positions to consider and implement site-specific improvements in </w:t>
            </w:r>
            <w:r w:rsidR="00AC05E8">
              <w:rPr>
                <w:rFonts w:cs="Times New Roman"/>
                <w:szCs w:val="24"/>
              </w:rPr>
              <w:t xml:space="preserve">their </w:t>
            </w:r>
            <w:r w:rsidR="00AC05E8" w:rsidRPr="007B2EBE">
              <w:rPr>
                <w:rFonts w:cs="Times New Roman"/>
                <w:szCs w:val="24"/>
              </w:rPr>
              <w:t>HIV</w:t>
            </w:r>
            <w:r w:rsidR="00AC05E8">
              <w:rPr>
                <w:rFonts w:cs="Times New Roman"/>
                <w:szCs w:val="24"/>
              </w:rPr>
              <w:t xml:space="preserve"> Data to Care programs</w:t>
            </w:r>
            <w:r w:rsidR="00AC05E8" w:rsidRPr="00FB7AA8">
              <w:t>; the results of this study are not intended to be generalized to the larger population.</w:t>
            </w:r>
            <w:r w:rsidR="00AC05E8" w:rsidRPr="00AC05E8">
              <w:rPr>
                <w:rFonts w:cs="Times New Roman"/>
                <w:szCs w:val="24"/>
              </w:rPr>
              <w:t xml:space="preserve"> </w:t>
            </w:r>
            <w:r w:rsidR="00AC05E8">
              <w:t>The results also</w:t>
            </w:r>
            <w:r w:rsidR="00FB7AA8">
              <w:t xml:space="preserve"> will </w:t>
            </w:r>
            <w:r w:rsidR="00FB7AA8" w:rsidRPr="00FB7AA8">
              <w:t>provide CDC an increased understanding of the factors that contribute to effective D2C programs</w:t>
            </w:r>
            <w:r w:rsidR="00731B24" w:rsidRPr="00FB7AA8">
              <w:t>.</w:t>
            </w:r>
          </w:p>
          <w:p w14:paraId="02AC9B98" w14:textId="5F6E5A7D" w:rsidR="00810B9E" w:rsidRPr="00FB7AA8" w:rsidRDefault="00B12EA3" w:rsidP="00F95454">
            <w:pPr>
              <w:pStyle w:val="NoSpacing"/>
              <w:numPr>
                <w:ilvl w:val="0"/>
                <w:numId w:val="1"/>
              </w:numPr>
              <w:spacing w:before="120" w:after="120"/>
              <w:mirrorIndents/>
              <w:rPr>
                <w:b/>
              </w:rPr>
            </w:pPr>
            <w:r w:rsidRPr="00FB7AA8">
              <w:rPr>
                <w:b/>
              </w:rPr>
              <w:t>Methods to be used to collect data:</w:t>
            </w:r>
            <w:r w:rsidR="00A34D13" w:rsidRPr="00FB7AA8">
              <w:rPr>
                <w:b/>
              </w:rPr>
              <w:t xml:space="preserve"> </w:t>
            </w:r>
            <w:r w:rsidR="00A34D13" w:rsidRPr="00FB7AA8">
              <w:t xml:space="preserve">Data will be collected </w:t>
            </w:r>
            <w:r w:rsidR="003E2A65" w:rsidRPr="00FB7AA8">
              <w:t xml:space="preserve">from </w:t>
            </w:r>
            <w:r w:rsidR="00FB7AA8" w:rsidRPr="00FB7AA8">
              <w:t>90</w:t>
            </w:r>
            <w:r w:rsidR="009A2571" w:rsidRPr="00FB7AA8">
              <w:t xml:space="preserve"> individuals through </w:t>
            </w:r>
            <w:r w:rsidR="00731B24" w:rsidRPr="00FB7AA8">
              <w:t>semi-structured</w:t>
            </w:r>
            <w:r w:rsidR="009A2571" w:rsidRPr="00FB7AA8">
              <w:t>, qualitative</w:t>
            </w:r>
            <w:r w:rsidR="00F353ED" w:rsidRPr="00FB7AA8">
              <w:t xml:space="preserve"> </w:t>
            </w:r>
            <w:r w:rsidR="004B25CE">
              <w:t>in-depth</w:t>
            </w:r>
            <w:r w:rsidR="009A2571" w:rsidRPr="00FB7AA8">
              <w:t xml:space="preserve"> interviews</w:t>
            </w:r>
            <w:r w:rsidR="004B25CE">
              <w:t xml:space="preserve"> (IDIs)</w:t>
            </w:r>
            <w:r w:rsidR="00731B24" w:rsidRPr="00FB7AA8">
              <w:t>.</w:t>
            </w:r>
          </w:p>
          <w:p w14:paraId="205F61C7" w14:textId="384C7C56" w:rsidR="00CB62C5" w:rsidRPr="00FB7AA8" w:rsidRDefault="00B12EA3" w:rsidP="00F95454">
            <w:pPr>
              <w:pStyle w:val="NoSpacing"/>
              <w:numPr>
                <w:ilvl w:val="0"/>
                <w:numId w:val="1"/>
              </w:numPr>
              <w:spacing w:before="120" w:after="120"/>
              <w:mirrorIndents/>
              <w:rPr>
                <w:b/>
              </w:rPr>
            </w:pPr>
            <w:r w:rsidRPr="00FB7AA8">
              <w:rPr>
                <w:b/>
              </w:rPr>
              <w:t>The subpopulation to be studied:</w:t>
            </w:r>
            <w:r w:rsidR="00207534" w:rsidRPr="00FB7AA8">
              <w:rPr>
                <w:b/>
              </w:rPr>
              <w:t xml:space="preserve"> </w:t>
            </w:r>
            <w:r w:rsidR="00CB62C5" w:rsidRPr="00FB7AA8">
              <w:t xml:space="preserve">We will target </w:t>
            </w:r>
            <w:r w:rsidR="00FB7AA8" w:rsidRPr="00FB7AA8">
              <w:t>60 PLWH who previously have received D2C services and 30 health department/D2C program personnel (i.e., health department staff, healthcare providers)</w:t>
            </w:r>
            <w:r w:rsidR="003E2A65" w:rsidRPr="00FB7AA8">
              <w:t>.</w:t>
            </w:r>
            <w:r w:rsidR="00CB62C5" w:rsidRPr="00FB7AA8">
              <w:t xml:space="preserve"> Participants will </w:t>
            </w:r>
            <w:r w:rsidR="00BF4C06" w:rsidRPr="00FB7AA8">
              <w:t>be from</w:t>
            </w:r>
            <w:r w:rsidR="00CB62C5" w:rsidRPr="00FB7AA8">
              <w:t xml:space="preserve"> </w:t>
            </w:r>
            <w:r w:rsidR="00FB7AA8" w:rsidRPr="00FB7AA8">
              <w:t>Florida, Louisiana, and Virginia</w:t>
            </w:r>
            <w:r w:rsidR="00CB62C5" w:rsidRPr="00FB7AA8">
              <w:t>.</w:t>
            </w:r>
          </w:p>
          <w:p w14:paraId="67C82716" w14:textId="2EEEB1FA" w:rsidR="00B12EA3" w:rsidRPr="00B12EA3" w:rsidRDefault="00B12EA3" w:rsidP="004B25CE">
            <w:pPr>
              <w:pStyle w:val="NoSpacing"/>
              <w:numPr>
                <w:ilvl w:val="0"/>
                <w:numId w:val="1"/>
              </w:numPr>
              <w:spacing w:before="120" w:after="120"/>
              <w:mirrorIndents/>
              <w:rPr>
                <w:b/>
              </w:rPr>
            </w:pPr>
            <w:r w:rsidRPr="00FB7AA8">
              <w:rPr>
                <w:b/>
              </w:rPr>
              <w:t>How data will be analyzed:</w:t>
            </w:r>
            <w:r w:rsidR="003539FB" w:rsidRPr="00FB7AA8">
              <w:rPr>
                <w:b/>
              </w:rPr>
              <w:t xml:space="preserve"> </w:t>
            </w:r>
            <w:r w:rsidR="003E2A65" w:rsidRPr="00FB7AA8">
              <w:rPr>
                <w:noProof/>
                <w:szCs w:val="24"/>
              </w:rPr>
              <w:t xml:space="preserve">Qualitative coding of </w:t>
            </w:r>
            <w:r w:rsidR="00FB7AA8" w:rsidRPr="00FB7AA8">
              <w:rPr>
                <w:noProof/>
                <w:szCs w:val="24"/>
              </w:rPr>
              <w:t>90</w:t>
            </w:r>
            <w:r w:rsidR="003E2A65" w:rsidRPr="00FB7AA8">
              <w:rPr>
                <w:noProof/>
                <w:szCs w:val="24"/>
              </w:rPr>
              <w:t xml:space="preserve"> </w:t>
            </w:r>
            <w:r w:rsidR="004B25CE">
              <w:rPr>
                <w:noProof/>
                <w:szCs w:val="24"/>
              </w:rPr>
              <w:t>IDI</w:t>
            </w:r>
            <w:r w:rsidR="00CB62C5" w:rsidRPr="00FB7AA8">
              <w:rPr>
                <w:noProof/>
                <w:szCs w:val="24"/>
              </w:rPr>
              <w:t xml:space="preserve"> transcripts using computer-</w:t>
            </w:r>
            <w:r w:rsidR="003E2A65" w:rsidRPr="00FB7AA8">
              <w:rPr>
                <w:noProof/>
                <w:szCs w:val="24"/>
              </w:rPr>
              <w:t>assisted qualitative data analysis software.</w:t>
            </w:r>
          </w:p>
        </w:tc>
      </w:tr>
    </w:tbl>
    <w:p w14:paraId="33849E7F" w14:textId="77777777" w:rsidR="00B12EA3" w:rsidRDefault="00B12EA3" w:rsidP="00F95454">
      <w:pPr>
        <w:pStyle w:val="NoSpacing"/>
        <w:spacing w:before="120" w:after="120"/>
        <w:mirrorIndents/>
      </w:pPr>
    </w:p>
    <w:p w14:paraId="6B0500C1" w14:textId="77777777" w:rsidR="00F734ED" w:rsidRPr="00F734ED" w:rsidRDefault="00F734ED" w:rsidP="00F95454">
      <w:pPr>
        <w:pStyle w:val="NoSpacing"/>
        <w:spacing w:before="120" w:after="120"/>
        <w:mirrorIndents/>
        <w:rPr>
          <w:b/>
        </w:rPr>
      </w:pPr>
      <w:r w:rsidRPr="00F734ED">
        <w:rPr>
          <w:b/>
        </w:rPr>
        <w:t>Supporting Statement</w:t>
      </w:r>
    </w:p>
    <w:p w14:paraId="32E1ACF3" w14:textId="2F1C42DA" w:rsidR="00B12EA3" w:rsidRPr="00E90840" w:rsidRDefault="00F734ED" w:rsidP="00F95454">
      <w:pPr>
        <w:pStyle w:val="NoSpacing"/>
        <w:spacing w:before="120" w:after="120"/>
        <w:mirrorIndents/>
        <w:rPr>
          <w:b/>
        </w:rPr>
      </w:pPr>
      <w:r w:rsidRPr="00F734ED">
        <w:rPr>
          <w:b/>
        </w:rPr>
        <w:t xml:space="preserve">A. </w:t>
      </w:r>
      <w:r w:rsidRPr="00F734ED">
        <w:rPr>
          <w:b/>
          <w:u w:val="single"/>
        </w:rPr>
        <w:t>Justification</w:t>
      </w:r>
    </w:p>
    <w:p w14:paraId="16B4B2A2" w14:textId="21511C47" w:rsidR="00B12EA3" w:rsidRDefault="00B12EA3" w:rsidP="00F95454">
      <w:pPr>
        <w:pStyle w:val="Heading1"/>
        <w:spacing w:before="120" w:after="120"/>
        <w:mirrorIndents/>
      </w:pPr>
      <w:bookmarkStart w:id="1" w:name="_Toc448296072"/>
      <w:r w:rsidRPr="00B12EA3">
        <w:t>Circumstances Making the Collection of Information Necessary</w:t>
      </w:r>
      <w:bookmarkEnd w:id="1"/>
    </w:p>
    <w:p w14:paraId="5F472E7A" w14:textId="5B3D4516" w:rsidR="00067E1B" w:rsidRPr="009A38A1" w:rsidRDefault="00067E1B" w:rsidP="009636FA">
      <w:pPr>
        <w:widowControl w:val="0"/>
        <w:spacing w:before="120" w:after="120"/>
        <w:mirrorIndents/>
        <w:rPr>
          <w:b/>
        </w:rPr>
      </w:pPr>
      <w:r w:rsidRPr="00067E1B">
        <w:t>The Centers for Disease Control and Prevention’s</w:t>
      </w:r>
      <w:r w:rsidR="00F94AE4">
        <w:t xml:space="preserve"> (CDC)</w:t>
      </w:r>
      <w:r w:rsidRPr="00067E1B">
        <w:t xml:space="preserve"> Division of HIV/AIDS Prevention, (DHA</w:t>
      </w:r>
      <w:r w:rsidR="00F15707">
        <w:t>P) requests OMB approval for a qualitative</w:t>
      </w:r>
      <w:r w:rsidR="00F94AE4">
        <w:t xml:space="preserve"> extramural</w:t>
      </w:r>
      <w:r w:rsidRPr="00067E1B">
        <w:t xml:space="preserve"> research study entitled, “</w:t>
      </w:r>
      <w:r w:rsidR="009A38A1" w:rsidRPr="009A38A1">
        <w:t>The Data to Care (D2C) Public Health Strategy: Successes, Challenges, and Lessons Learned in Identifying, Linking, and Reengaging Persons Diagnosed with HIV to Medical Care</w:t>
      </w:r>
      <w:r w:rsidRPr="00067E1B">
        <w:t xml:space="preserve">” under </w:t>
      </w:r>
      <w:r w:rsidR="00BF4C06">
        <w:t>the Using Qualitative Methods to Understand Issues in HIV Prevention, Care and Treatment in the United States</w:t>
      </w:r>
      <w:r w:rsidRPr="00067E1B">
        <w:t xml:space="preserve"> Generic Clearance (OMB #0920-</w:t>
      </w:r>
      <w:r w:rsidR="00F15707">
        <w:t>1091</w:t>
      </w:r>
      <w:r w:rsidRPr="00067E1B">
        <w:t xml:space="preserve">, expires </w:t>
      </w:r>
      <w:r w:rsidR="00F15707">
        <w:t>12/</w:t>
      </w:r>
      <w:r>
        <w:t>31</w:t>
      </w:r>
      <w:r w:rsidR="00F15707">
        <w:t>/2018</w:t>
      </w:r>
      <w:r w:rsidRPr="00067E1B">
        <w:t>).</w:t>
      </w:r>
      <w:r w:rsidR="00F94AE4">
        <w:t xml:space="preserve"> </w:t>
      </w:r>
      <w:r w:rsidR="007325ED">
        <w:t xml:space="preserve">CDC will sponsor this </w:t>
      </w:r>
      <w:r w:rsidR="00582903">
        <w:t>data collection activity</w:t>
      </w:r>
      <w:r w:rsidR="005E6F8D">
        <w:t>.</w:t>
      </w:r>
      <w:r w:rsidR="00582903">
        <w:t xml:space="preserve"> </w:t>
      </w:r>
      <w:r w:rsidR="005E6F8D">
        <w:t>D</w:t>
      </w:r>
      <w:r w:rsidR="007325ED">
        <w:t xml:space="preserve">ata collection will be carried out by </w:t>
      </w:r>
      <w:r w:rsidR="00582903">
        <w:t xml:space="preserve">the CDC’s </w:t>
      </w:r>
      <w:r w:rsidR="007325ED">
        <w:t>contractor, Research Support Services</w:t>
      </w:r>
      <w:r w:rsidR="00582903">
        <w:t>, in conjunction with its subcontracting partners, Emory University and IMPAQ International</w:t>
      </w:r>
      <w:r w:rsidR="007325ED">
        <w:t xml:space="preserve">. </w:t>
      </w:r>
    </w:p>
    <w:p w14:paraId="182A465C" w14:textId="5B689E3C" w:rsidR="003A6A6C" w:rsidRDefault="003A6A6C" w:rsidP="009636FA">
      <w:pPr>
        <w:pStyle w:val="Normal1"/>
        <w:spacing w:before="120" w:after="120"/>
      </w:pPr>
      <w:bookmarkStart w:id="2" w:name="_Toc448296073"/>
      <w:r w:rsidRPr="009636FA">
        <w:t xml:space="preserve">This project will conduct detailed case studies of the </w:t>
      </w:r>
      <w:r w:rsidR="00624CE1" w:rsidRPr="009636FA">
        <w:t xml:space="preserve">approaches that have been </w:t>
      </w:r>
      <w:r w:rsidR="009636FA" w:rsidRPr="009636FA">
        <w:t>successful</w:t>
      </w:r>
      <w:r w:rsidR="00624CE1" w:rsidRPr="009636FA">
        <w:t xml:space="preserve"> in implementing</w:t>
      </w:r>
      <w:r w:rsidRPr="009636FA">
        <w:t xml:space="preserve"> </w:t>
      </w:r>
      <w:r w:rsidR="00624CE1" w:rsidRPr="009636FA">
        <w:t>D2C programs</w:t>
      </w:r>
      <w:r w:rsidRPr="009636FA">
        <w:t xml:space="preserve"> in </w:t>
      </w:r>
      <w:r w:rsidR="009636FA" w:rsidRPr="009636FA">
        <w:t>five jurisdictions across three states in the United States</w:t>
      </w:r>
      <w:r w:rsidR="009636FA">
        <w:t xml:space="preserve"> </w:t>
      </w:r>
      <w:r w:rsidR="009636FA" w:rsidRPr="009636FA">
        <w:t>from the perspective of D2C program staff and the D2C client</w:t>
      </w:r>
      <w:r w:rsidR="009636FA">
        <w:t>s</w:t>
      </w:r>
      <w:r w:rsidRPr="009636FA">
        <w:t xml:space="preserve">. </w:t>
      </w:r>
      <w:r w:rsidR="009636FA" w:rsidRPr="009636FA">
        <w:t>This study</w:t>
      </w:r>
      <w:r w:rsidRPr="009636FA">
        <w:t xml:space="preserve"> will yield four separate reports that present a comprehensive picture of jurisdictional efforts, successes, and needs concerning </w:t>
      </w:r>
      <w:r w:rsidR="009636FA" w:rsidRPr="009636FA">
        <w:t>D2C programs</w:t>
      </w:r>
      <w:r w:rsidRPr="009636FA">
        <w:t>.</w:t>
      </w:r>
      <w:r w:rsidR="009636FA">
        <w:t xml:space="preserve"> </w:t>
      </w:r>
      <w:r w:rsidRPr="009636FA">
        <w:rPr>
          <w:rFonts w:eastAsia="Calibri"/>
        </w:rPr>
        <w:t>By learning from the experiences of program staff running D2C programs, and the experiences of D2C clients, t</w:t>
      </w:r>
      <w:r w:rsidRPr="009636FA">
        <w:rPr>
          <w:rFonts w:eastAsia="Calibri"/>
          <w:bCs/>
        </w:rPr>
        <w:t>he proposed study will offer</w:t>
      </w:r>
      <w:r w:rsidRPr="009636FA">
        <w:t xml:space="preserve"> </w:t>
      </w:r>
      <w:r w:rsidRPr="009636FA">
        <w:rPr>
          <w:rFonts w:eastAsia="Calibri"/>
          <w:bCs/>
        </w:rPr>
        <w:t xml:space="preserve">a unique perspective on how D2C programs function and the impact they have on client’s lives. The results will help inform design of new D2C programs and strengthen current D2C programs, as well as provide effective linkage and reengagement services to </w:t>
      </w:r>
      <w:r w:rsidR="009636FA">
        <w:t>persons living with HIV (</w:t>
      </w:r>
      <w:r w:rsidRPr="009636FA">
        <w:rPr>
          <w:rFonts w:eastAsia="Calibri"/>
          <w:bCs/>
        </w:rPr>
        <w:t>PLWH</w:t>
      </w:r>
      <w:r w:rsidR="009636FA">
        <w:rPr>
          <w:rFonts w:eastAsia="Calibri"/>
          <w:bCs/>
        </w:rPr>
        <w:t>)</w:t>
      </w:r>
      <w:r w:rsidRPr="009636FA">
        <w:rPr>
          <w:rFonts w:eastAsia="Calibri"/>
          <w:bCs/>
        </w:rPr>
        <w:t xml:space="preserve"> who historically have had difficulties obtaining HIV medical care.</w:t>
      </w:r>
    </w:p>
    <w:p w14:paraId="270E1903" w14:textId="1FEA9421" w:rsidR="0082377F" w:rsidRPr="00B148B5" w:rsidRDefault="0082377F" w:rsidP="009636FA">
      <w:pPr>
        <w:pStyle w:val="Normal1"/>
        <w:spacing w:before="120" w:after="120"/>
        <w:mirrorIndents/>
      </w:pPr>
      <w:r>
        <w:t xml:space="preserve">It is essential for </w:t>
      </w:r>
      <w:r w:rsidR="009636FA">
        <w:t>PLWH</w:t>
      </w:r>
      <w:r>
        <w:t xml:space="preserve"> to become engaged in medical care and begin treatment as quickly as possible after they learn their HIV diagnosis. Once in medical care, PLWH are prescribed antiretroviral treatment (ART). ART helps by reducing HIV viral load in the bloodstream, thereby protecting the patient’s </w:t>
      </w:r>
      <w:r w:rsidRPr="00B148B5">
        <w:t>immune system from deterioration and reducing transmission of the virus to uninfected persons by as much as 90%.</w:t>
      </w:r>
      <w:r w:rsidR="00BF2B6F" w:rsidRPr="00B148B5">
        <w:t xml:space="preserve"> (1-10)</w:t>
      </w:r>
      <w:r w:rsidRPr="00B148B5">
        <w:t xml:space="preserve"> However, not all PLWH are linked to and engaged in care and receiving ART.</w:t>
      </w:r>
      <w:r w:rsidR="00BF2B6F" w:rsidRPr="00B148B5">
        <w:t xml:space="preserve"> (10)</w:t>
      </w:r>
      <w:r w:rsidRPr="00B148B5">
        <w:t xml:space="preserve"> When PLWH are not in care, not only does it adversely affect their health, but it becomes more difficult to reach national HIV public health goals for reducing the number of new HIV infections.</w:t>
      </w:r>
      <w:r w:rsidR="003A6A6C">
        <w:t xml:space="preserve"> </w:t>
      </w:r>
      <w:r w:rsidR="00BF2B6F" w:rsidRPr="00B148B5">
        <w:t>(1,2)</w:t>
      </w:r>
      <w:r w:rsidRPr="00B148B5">
        <w:t xml:space="preserve"> </w:t>
      </w:r>
    </w:p>
    <w:p w14:paraId="55DE5DB2" w14:textId="498180B8" w:rsidR="003C12D1" w:rsidRDefault="0082377F" w:rsidP="009636FA">
      <w:pPr>
        <w:pStyle w:val="Normal1"/>
        <w:spacing w:before="120" w:after="120"/>
        <w:mirrorIndents/>
        <w:rPr>
          <w:rFonts w:eastAsia="Calibri"/>
          <w:color w:val="000000" w:themeColor="text1"/>
        </w:rPr>
      </w:pPr>
      <w:r w:rsidRPr="00B148B5">
        <w:rPr>
          <w:rFonts w:eastAsia="Calibri"/>
        </w:rPr>
        <w:t>“Data to Care” (D2C) is a public health strategy that uses data within state and local public health surveillance databases to identify PLWH who do not appear to be receiving HIV medical care.</w:t>
      </w:r>
      <w:r w:rsidR="00BF2B6F" w:rsidRPr="00B148B5">
        <w:rPr>
          <w:rFonts w:eastAsia="Calibri"/>
        </w:rPr>
        <w:t xml:space="preserve"> (11)</w:t>
      </w:r>
      <w:r w:rsidRPr="00B148B5">
        <w:rPr>
          <w:rFonts w:eastAsia="Calibri"/>
        </w:rPr>
        <w:t xml:space="preserve"> After verifying  PLWH who are truly out of care and still residing in the jurisdiction, health department or affiliated non-governmental personnel reach out to these PLWH to help link them to medical care for the first time, or to reengage them if they have fallen out of care.</w:t>
      </w:r>
      <w:r w:rsidRPr="00B148B5">
        <w:t xml:space="preserve"> Over the past few years, a small number of state and local public health departments in different parts of the United States have implemented D2C programs. </w:t>
      </w:r>
      <w:r w:rsidR="00276C85" w:rsidRPr="00B148B5">
        <w:t xml:space="preserve">(12-16) </w:t>
      </w:r>
      <w:r w:rsidR="003C12D1" w:rsidRPr="00B148B5">
        <w:rPr>
          <w:rFonts w:eastAsia="Calibri"/>
        </w:rPr>
        <w:t>However, to date there only have been a few studies that report the perspectives from program staff and PLWH clients about s</w:t>
      </w:r>
      <w:r w:rsidR="00276C85" w:rsidRPr="00B148B5">
        <w:rPr>
          <w:rFonts w:eastAsia="Calibri"/>
        </w:rPr>
        <w:t>ervices provided by D2C program</w:t>
      </w:r>
      <w:r w:rsidR="003C12D1" w:rsidRPr="00B148B5">
        <w:rPr>
          <w:rFonts w:eastAsia="Calibri"/>
          <w:color w:val="000000" w:themeColor="text1"/>
        </w:rPr>
        <w:t xml:space="preserve">. </w:t>
      </w:r>
      <w:r w:rsidR="00276C85" w:rsidRPr="00B148B5">
        <w:rPr>
          <w:rFonts w:eastAsia="Calibri"/>
          <w:color w:val="000000" w:themeColor="text1"/>
        </w:rPr>
        <w:t>(16, 17)</w:t>
      </w:r>
    </w:p>
    <w:p w14:paraId="62E24C59" w14:textId="2071914E" w:rsidR="0082377F" w:rsidRDefault="0082377F" w:rsidP="009636FA">
      <w:pPr>
        <w:pStyle w:val="Normal1"/>
        <w:spacing w:before="120" w:after="120"/>
        <w:mirrorIndents/>
      </w:pPr>
      <w:r>
        <w:t>In 2018, all U.S. state health department HIV control programs will begin receiving new federal funds from the Centers for Disease Control and Prevention (CDC) to implement, expand and support D2C efforts. However, there is insufficient knowledge regarding the factors that promote or hinder effective and efficient implementation of D2C programs. These factors may include the specific structure and function of local D2C programs, as well as the personal circumstances that affect the ability of PLWH to access and remain in medical care. Because all HIV control programs in state health departments soon will be asked to implement D2C programs, there is an urgent need to learn from existing D2C programs the successes, challenges, and what does and does not work when designing and implementing D2C programs.</w:t>
      </w:r>
    </w:p>
    <w:p w14:paraId="3FE01695" w14:textId="77777777" w:rsidR="00F95454" w:rsidRDefault="00F95454" w:rsidP="00F95454">
      <w:pPr>
        <w:pStyle w:val="Normal1"/>
        <w:spacing w:before="120" w:after="120"/>
        <w:mirrorIndents/>
      </w:pPr>
    </w:p>
    <w:p w14:paraId="24BFF15F" w14:textId="152EED82" w:rsidR="00CC6AB1" w:rsidRDefault="00CC6AB1" w:rsidP="00F95454">
      <w:pPr>
        <w:pStyle w:val="Heading1"/>
        <w:spacing w:before="120" w:after="120"/>
        <w:mirrorIndents/>
      </w:pPr>
      <w:r w:rsidRPr="00B12EA3">
        <w:t>Purpose and Use of the Information Collection</w:t>
      </w:r>
      <w:bookmarkEnd w:id="2"/>
    </w:p>
    <w:p w14:paraId="30D1CDC2" w14:textId="09441EB2" w:rsidR="0082377F" w:rsidRPr="002F7FB4" w:rsidRDefault="0082377F" w:rsidP="00F95454">
      <w:pPr>
        <w:pStyle w:val="Normal1"/>
        <w:spacing w:before="120" w:after="120"/>
        <w:mirrorIndents/>
      </w:pPr>
      <w:r w:rsidRPr="00624CE1">
        <w:t>The purpose of this information collection is to identify approaches that have been effective in implementing D2C programs and how health departments use</w:t>
      </w:r>
      <w:r>
        <w:t xml:space="preserve"> D2C strategies to link and (re)engage PLWH in care. The study will take place in five </w:t>
      </w:r>
      <w:r w:rsidR="00973A03">
        <w:t>jurisdictions</w:t>
      </w:r>
      <w:r>
        <w:t xml:space="preserve"> within Louisiana, Florida, and Virginia, three states that have existing D2C programs. </w:t>
      </w:r>
      <w:r w:rsidR="00CA7D49">
        <w:rPr>
          <w:rFonts w:cs="Times New Roman"/>
        </w:rPr>
        <w:t xml:space="preserve">Study outcomes will be </w:t>
      </w:r>
      <w:r w:rsidR="0023115C">
        <w:rPr>
          <w:rFonts w:cs="Times New Roman"/>
        </w:rPr>
        <w:t>shared with</w:t>
      </w:r>
      <w:r w:rsidR="00CA7D49" w:rsidRPr="00342435">
        <w:rPr>
          <w:rFonts w:cs="Times New Roman"/>
        </w:rPr>
        <w:t xml:space="preserve"> </w:t>
      </w:r>
      <w:r w:rsidR="00CA7D49">
        <w:rPr>
          <w:rFonts w:cs="Times New Roman"/>
        </w:rPr>
        <w:t>local stakeholders</w:t>
      </w:r>
      <w:r w:rsidR="00CA7D49" w:rsidRPr="00342435">
        <w:rPr>
          <w:rFonts w:cs="Times New Roman"/>
        </w:rPr>
        <w:t xml:space="preserve"> and organizations </w:t>
      </w:r>
      <w:r w:rsidR="0023115C">
        <w:rPr>
          <w:rFonts w:cs="Times New Roman"/>
        </w:rPr>
        <w:t xml:space="preserve">who </w:t>
      </w:r>
      <w:r w:rsidR="0087762E">
        <w:rPr>
          <w:rFonts w:cs="Times New Roman"/>
        </w:rPr>
        <w:t>may</w:t>
      </w:r>
      <w:r w:rsidR="0023115C">
        <w:rPr>
          <w:rFonts w:cs="Times New Roman"/>
        </w:rPr>
        <w:t xml:space="preserve"> use the results </w:t>
      </w:r>
      <w:r w:rsidR="00CA7D49" w:rsidRPr="007B2EBE">
        <w:rPr>
          <w:rFonts w:cs="Times New Roman"/>
        </w:rPr>
        <w:t xml:space="preserve">implement site-specific improvements in </w:t>
      </w:r>
      <w:r w:rsidR="00CA7D49">
        <w:rPr>
          <w:rFonts w:cs="Times New Roman"/>
        </w:rPr>
        <w:t xml:space="preserve">their </w:t>
      </w:r>
      <w:r w:rsidR="00CA7D49" w:rsidRPr="007B2EBE">
        <w:rPr>
          <w:rFonts w:cs="Times New Roman"/>
        </w:rPr>
        <w:t>HIV</w:t>
      </w:r>
      <w:r w:rsidR="00CA7D49">
        <w:rPr>
          <w:rFonts w:cs="Times New Roman"/>
        </w:rPr>
        <w:t xml:space="preserve"> Data to Care programs</w:t>
      </w:r>
      <w:r w:rsidR="00CA7D49" w:rsidRPr="00FB7AA8">
        <w:t>.</w:t>
      </w:r>
      <w:r w:rsidR="00CA7D49" w:rsidRPr="00AC05E8">
        <w:rPr>
          <w:rFonts w:cs="Times New Roman"/>
        </w:rPr>
        <w:t xml:space="preserve"> </w:t>
      </w:r>
    </w:p>
    <w:p w14:paraId="1F5A07F3" w14:textId="1CC68109" w:rsidR="001319BD" w:rsidRPr="003A6A6C" w:rsidRDefault="00582903" w:rsidP="00F95454">
      <w:pPr>
        <w:spacing w:before="120" w:after="120"/>
        <w:mirrorIndents/>
      </w:pPr>
      <w:r w:rsidRPr="0082377F">
        <w:t xml:space="preserve">The qualitative data collected through this study will be used to </w:t>
      </w:r>
      <w:r w:rsidR="004D028F" w:rsidRPr="0082377F">
        <w:t>generate separate</w:t>
      </w:r>
      <w:r w:rsidRPr="0082377F">
        <w:t xml:space="preserve"> reports that present a comprehensive picture of jurisdictional efforts, successes, and needs concerning </w:t>
      </w:r>
      <w:r w:rsidR="0082377F" w:rsidRPr="0082377F">
        <w:t>D2C services</w:t>
      </w:r>
      <w:r w:rsidR="00AC05E8">
        <w:t xml:space="preserve"> in the study locations</w:t>
      </w:r>
      <w:r w:rsidRPr="0082377F">
        <w:t xml:space="preserve">. </w:t>
      </w:r>
      <w:r w:rsidR="00AC05E8" w:rsidRPr="004B315D">
        <w:t xml:space="preserve">Results from </w:t>
      </w:r>
      <w:r w:rsidR="00AC05E8">
        <w:t xml:space="preserve">this </w:t>
      </w:r>
      <w:r w:rsidR="00AC05E8" w:rsidRPr="004B315D">
        <w:t xml:space="preserve">data collection will be communicated to relevant public health officials and community stakeholders in the study locations. </w:t>
      </w:r>
      <w:r w:rsidR="00AC05E8">
        <w:t xml:space="preserve">These public health officials and stakeholders include personnel involved with </w:t>
      </w:r>
      <w:r w:rsidR="00D84695">
        <w:t xml:space="preserve">implementing </w:t>
      </w:r>
      <w:r w:rsidR="00AC05E8">
        <w:t xml:space="preserve">local </w:t>
      </w:r>
      <w:r w:rsidR="00AC05E8" w:rsidRPr="004B315D">
        <w:t xml:space="preserve">HIV </w:t>
      </w:r>
      <w:r w:rsidR="00AC05E8">
        <w:t>D2C programs</w:t>
      </w:r>
      <w:r w:rsidR="00AC05E8" w:rsidRPr="004B315D">
        <w:t xml:space="preserve">. These local public health officials and community stakeholders will use the study results to guide strategies to further strengthen their local HIV </w:t>
      </w:r>
      <w:r w:rsidR="00AC05E8">
        <w:t>D2C programs</w:t>
      </w:r>
      <w:r w:rsidR="00AC05E8" w:rsidRPr="004B315D">
        <w:t xml:space="preserve"> within their regions.</w:t>
      </w:r>
      <w:r w:rsidR="00AC05E8">
        <w:t xml:space="preserve">  The results also will </w:t>
      </w:r>
      <w:r w:rsidR="00AC05E8" w:rsidRPr="00FB7AA8">
        <w:t>provide CDC an increased understanding of the factors that contribute to effective D2C programs</w:t>
      </w:r>
      <w:r w:rsidR="00AC05E8">
        <w:t xml:space="preserve">. </w:t>
      </w:r>
      <w:r w:rsidR="001319BD">
        <w:rPr>
          <w:rFonts w:eastAsia="Calibri"/>
          <w:bCs/>
        </w:rPr>
        <w:t>Study findings will provide a much-needed understanding of D2C from the perspective of PLWH clients who have received D2C services</w:t>
      </w:r>
      <w:r w:rsidR="00D84695">
        <w:rPr>
          <w:rFonts w:eastAsia="Calibri"/>
          <w:bCs/>
        </w:rPr>
        <w:t>, as well as from the point of view of personnel who implement D2C programs in different geographic locations</w:t>
      </w:r>
      <w:r w:rsidR="001319BD">
        <w:rPr>
          <w:rFonts w:eastAsia="Calibri"/>
          <w:bCs/>
        </w:rPr>
        <w:t>.</w:t>
      </w:r>
    </w:p>
    <w:p w14:paraId="26CBB214" w14:textId="66466C4B" w:rsidR="008D5F8D" w:rsidRDefault="007667E1" w:rsidP="00F95454">
      <w:pPr>
        <w:spacing w:before="120" w:after="120"/>
        <w:mirrorIndents/>
      </w:pPr>
      <w:r>
        <w:t xml:space="preserve">A total of </w:t>
      </w:r>
      <w:r w:rsidR="00BC7371">
        <w:t>90</w:t>
      </w:r>
      <w:r w:rsidR="001319BD" w:rsidRPr="001319BD">
        <w:t xml:space="preserve"> participants, including </w:t>
      </w:r>
      <w:r w:rsidR="00B11437">
        <w:t xml:space="preserve">30 </w:t>
      </w:r>
      <w:r w:rsidR="001319BD" w:rsidRPr="001319BD">
        <w:t xml:space="preserve">D2C program </w:t>
      </w:r>
      <w:r w:rsidR="00D70265" w:rsidRPr="001319BD">
        <w:t>staff</w:t>
      </w:r>
      <w:r w:rsidR="001319BD" w:rsidRPr="001319BD">
        <w:t xml:space="preserve"> and </w:t>
      </w:r>
      <w:r w:rsidR="00B11437">
        <w:t xml:space="preserve">60 </w:t>
      </w:r>
      <w:r w:rsidR="008D5F8D">
        <w:t>D2C clients</w:t>
      </w:r>
      <w:r w:rsidR="001319BD" w:rsidRPr="001319BD">
        <w:t xml:space="preserve"> </w:t>
      </w:r>
      <w:r w:rsidR="00ED75FB" w:rsidRPr="001319BD">
        <w:t>will be recruite</w:t>
      </w:r>
      <w:r w:rsidR="00240E62">
        <w:t>d for</w:t>
      </w:r>
      <w:r w:rsidR="00150BF0">
        <w:t xml:space="preserve"> in-depth interviews</w:t>
      </w:r>
      <w:r w:rsidR="00240E62">
        <w:t xml:space="preserve"> </w:t>
      </w:r>
      <w:r w:rsidR="00150BF0">
        <w:t>(</w:t>
      </w:r>
      <w:r w:rsidR="00240E62">
        <w:t>IDIs</w:t>
      </w:r>
      <w:r w:rsidR="00150BF0">
        <w:t>)</w:t>
      </w:r>
      <w:r w:rsidR="00240E62">
        <w:t xml:space="preserve"> </w:t>
      </w:r>
      <w:r w:rsidR="00ED75FB" w:rsidRPr="001319BD">
        <w:t xml:space="preserve">across all </w:t>
      </w:r>
      <w:r w:rsidR="001319BD" w:rsidRPr="001319BD">
        <w:t>sites.</w:t>
      </w:r>
      <w:r w:rsidR="00FE2976">
        <w:t xml:space="preserve"> Contractor staff</w:t>
      </w:r>
      <w:r w:rsidR="00F83380">
        <w:t xml:space="preserve"> will identify eligible </w:t>
      </w:r>
      <w:r w:rsidR="001319BD">
        <w:t xml:space="preserve">D2C program </w:t>
      </w:r>
      <w:r w:rsidR="008D5F8D">
        <w:t>staff</w:t>
      </w:r>
      <w:r w:rsidR="001319BD">
        <w:t xml:space="preserve"> </w:t>
      </w:r>
      <w:r w:rsidR="00FD2FD5">
        <w:t xml:space="preserve">by examining lists D2C </w:t>
      </w:r>
      <w:r w:rsidR="001319BD">
        <w:t>program personnel</w:t>
      </w:r>
      <w:r w:rsidR="00F83380">
        <w:t>.</w:t>
      </w:r>
      <w:r w:rsidR="001319BD" w:rsidRPr="003638C5">
        <w:rPr>
          <w:rStyle w:val="Normal1Char"/>
        </w:rPr>
        <w:t xml:space="preserve"> </w:t>
      </w:r>
      <w:r w:rsidR="00FD2FD5">
        <w:rPr>
          <w:rStyle w:val="Normal1Char"/>
        </w:rPr>
        <w:t>The program staff may include h</w:t>
      </w:r>
      <w:r w:rsidR="008D5F8D" w:rsidRPr="003638C5">
        <w:rPr>
          <w:rStyle w:val="Normal1Char"/>
        </w:rPr>
        <w:t xml:space="preserve">ealth department personnel or other </w:t>
      </w:r>
      <w:r w:rsidR="008D5F8D">
        <w:rPr>
          <w:rStyle w:val="Normal1Char"/>
        </w:rPr>
        <w:t xml:space="preserve">program </w:t>
      </w:r>
      <w:r w:rsidR="008D5F8D" w:rsidRPr="003638C5">
        <w:rPr>
          <w:rStyle w:val="Normal1Char"/>
        </w:rPr>
        <w:t xml:space="preserve">staff </w:t>
      </w:r>
      <w:r w:rsidR="008D5F8D">
        <w:rPr>
          <w:rStyle w:val="Normal1Char"/>
        </w:rPr>
        <w:t>involved</w:t>
      </w:r>
      <w:r w:rsidR="008D5F8D" w:rsidRPr="003638C5">
        <w:rPr>
          <w:rStyle w:val="Normal1Char"/>
        </w:rPr>
        <w:t xml:space="preserve"> in D2C programs</w:t>
      </w:r>
      <w:r w:rsidR="00FD2FD5">
        <w:rPr>
          <w:rStyle w:val="Normal1Char"/>
        </w:rPr>
        <w:t>. They</w:t>
      </w:r>
      <w:r w:rsidR="008D5F8D" w:rsidRPr="003638C5">
        <w:rPr>
          <w:rStyle w:val="Normal1Char"/>
        </w:rPr>
        <w:t xml:space="preserve"> </w:t>
      </w:r>
      <w:r w:rsidR="00FD2FD5">
        <w:rPr>
          <w:rStyle w:val="Normal1Char"/>
        </w:rPr>
        <w:t>will have</w:t>
      </w:r>
      <w:r w:rsidR="008D5F8D" w:rsidRPr="003638C5">
        <w:rPr>
          <w:rStyle w:val="Normal1Char"/>
        </w:rPr>
        <w:t xml:space="preserve"> knowledge of D2C funding, implementation, partnerships, and evaluation </w:t>
      </w:r>
      <w:r w:rsidR="008D5F8D">
        <w:rPr>
          <w:rStyle w:val="Normal1Char"/>
        </w:rPr>
        <w:t>as well as</w:t>
      </w:r>
      <w:r w:rsidR="008D5F8D" w:rsidRPr="003638C5">
        <w:rPr>
          <w:rStyle w:val="Normal1Char"/>
        </w:rPr>
        <w:t xml:space="preserve"> organizational successes and challenges </w:t>
      </w:r>
      <w:r w:rsidR="008D5F8D">
        <w:rPr>
          <w:rStyle w:val="Normal1Char"/>
        </w:rPr>
        <w:t xml:space="preserve">in </w:t>
      </w:r>
      <w:r w:rsidR="008D5F8D" w:rsidRPr="003638C5">
        <w:rPr>
          <w:rStyle w:val="Normal1Char"/>
        </w:rPr>
        <w:t xml:space="preserve">meeting D2C goals. </w:t>
      </w:r>
      <w:r w:rsidR="008D5F8D">
        <w:rPr>
          <w:rStyle w:val="Normal1Char"/>
        </w:rPr>
        <w:t xml:space="preserve">For programs that draw clients from surveillance data and from local partners, we will make a special effort to recruit and track program personnel from both program types. </w:t>
      </w:r>
      <w:r w:rsidR="008D5F8D" w:rsidRPr="003638C5">
        <w:rPr>
          <w:rStyle w:val="Normal1Char"/>
        </w:rPr>
        <w:t>Once project clearances have been obtained, we</w:t>
      </w:r>
      <w:r w:rsidR="008D5F8D">
        <w:t xml:space="preserve"> will request name and contact information for all staff on the list, and will use that list to recruit</w:t>
      </w:r>
      <w:r w:rsidR="00FD2FD5">
        <w:t xml:space="preserve"> participants in the program staff sample</w:t>
      </w:r>
      <w:r w:rsidR="008D5F8D">
        <w:t xml:space="preserve">. Participation in this study will not impact D2C program personnel job performance, and there is no requirement to participate in this study as a function of job performance. </w:t>
      </w:r>
      <w:r w:rsidR="005E2979">
        <w:t xml:space="preserve">No screening tool is needed for D2C program staff participants because they </w:t>
      </w:r>
      <w:r w:rsidR="00E50DA8">
        <w:t>will</w:t>
      </w:r>
      <w:r w:rsidR="005E2979">
        <w:t xml:space="preserve"> be purposively recruited based on the roles they play in implementing the local D2C programs.</w:t>
      </w:r>
    </w:p>
    <w:p w14:paraId="69A352A2" w14:textId="49F59D5A" w:rsidR="00775675" w:rsidRDefault="001319BD" w:rsidP="00B64D28">
      <w:pPr>
        <w:pStyle w:val="Heading1"/>
        <w:numPr>
          <w:ilvl w:val="0"/>
          <w:numId w:val="0"/>
        </w:numPr>
        <w:spacing w:before="120" w:after="120"/>
        <w:mirrorIndents/>
      </w:pPr>
      <w:r w:rsidRPr="00B64D28">
        <w:rPr>
          <w:b w:val="0"/>
        </w:rPr>
        <w:t xml:space="preserve">Recruitment of D2C clients will be accomplished by referral from D2C program staff at each site. </w:t>
      </w:r>
      <w:r w:rsidR="005E2979" w:rsidRPr="00B64D28">
        <w:rPr>
          <w:b w:val="0"/>
        </w:rPr>
        <w:t>D2C program</w:t>
      </w:r>
      <w:r w:rsidRPr="00B64D28">
        <w:rPr>
          <w:b w:val="0"/>
        </w:rPr>
        <w:t xml:space="preserve"> staff will have study information as well as a set of study recruitment flyers with unique ID numbers to distribute to</w:t>
      </w:r>
      <w:r w:rsidR="006B0C20">
        <w:rPr>
          <w:b w:val="0"/>
        </w:rPr>
        <w:t xml:space="preserve"> their</w:t>
      </w:r>
      <w:r w:rsidRPr="00B64D28">
        <w:rPr>
          <w:b w:val="0"/>
        </w:rPr>
        <w:t xml:space="preserve"> D2C clients </w:t>
      </w:r>
      <w:r w:rsidR="00772A65" w:rsidRPr="00A12ABA">
        <w:rPr>
          <w:b w:val="0"/>
        </w:rPr>
        <w:t>(</w:t>
      </w:r>
      <w:r w:rsidR="00772A65" w:rsidRPr="00B64D28">
        <w:t>Attachment 1</w:t>
      </w:r>
      <w:r w:rsidRPr="00A12ABA">
        <w:rPr>
          <w:b w:val="0"/>
        </w:rPr>
        <w:t>)</w:t>
      </w:r>
      <w:r w:rsidRPr="00B64D28">
        <w:rPr>
          <w:b w:val="0"/>
        </w:rPr>
        <w:t>.</w:t>
      </w:r>
      <w:r w:rsidRPr="00A12ABA">
        <w:rPr>
          <w:b w:val="0"/>
        </w:rPr>
        <w:t xml:space="preserve"> </w:t>
      </w:r>
      <w:r w:rsidR="00155815" w:rsidRPr="00A12ABA">
        <w:rPr>
          <w:b w:val="0"/>
        </w:rPr>
        <w:t xml:space="preserve">The D2C program staff will share </w:t>
      </w:r>
      <w:r w:rsidR="00831EA0">
        <w:rPr>
          <w:b w:val="0"/>
        </w:rPr>
        <w:t xml:space="preserve">this </w:t>
      </w:r>
      <w:r w:rsidR="00155815" w:rsidRPr="00A12ABA">
        <w:rPr>
          <w:b w:val="0"/>
        </w:rPr>
        <w:t xml:space="preserve">study information with </w:t>
      </w:r>
      <w:r w:rsidR="00574FA6" w:rsidRPr="00B64D28">
        <w:rPr>
          <w:b w:val="0"/>
        </w:rPr>
        <w:t xml:space="preserve">their program’s </w:t>
      </w:r>
      <w:r w:rsidR="00155815" w:rsidRPr="00A12ABA">
        <w:rPr>
          <w:b w:val="0"/>
        </w:rPr>
        <w:t>D2C clients</w:t>
      </w:r>
      <w:r w:rsidR="00B64D28">
        <w:rPr>
          <w:b w:val="0"/>
        </w:rPr>
        <w:t xml:space="preserve">, and give them </w:t>
      </w:r>
      <w:r w:rsidR="007442C3">
        <w:rPr>
          <w:b w:val="0"/>
        </w:rPr>
        <w:t>a copy of one of the flyers</w:t>
      </w:r>
      <w:r w:rsidR="00155815" w:rsidRPr="00A12ABA">
        <w:rPr>
          <w:b w:val="0"/>
        </w:rPr>
        <w:t xml:space="preserve">. </w:t>
      </w:r>
      <w:r w:rsidR="00B76486" w:rsidRPr="00B64D28">
        <w:rPr>
          <w:b w:val="0"/>
        </w:rPr>
        <w:t xml:space="preserve">This information includes details on how a client can contact study </w:t>
      </w:r>
      <w:r w:rsidR="0081086B" w:rsidRPr="00B64D28">
        <w:rPr>
          <w:b w:val="0"/>
        </w:rPr>
        <w:t>staff, if they are interested in being a participant</w:t>
      </w:r>
      <w:r w:rsidR="00B76486" w:rsidRPr="00B64D28">
        <w:rPr>
          <w:b w:val="0"/>
        </w:rPr>
        <w:t xml:space="preserve">. However, the </w:t>
      </w:r>
      <w:r w:rsidR="00574FA6" w:rsidRPr="00B64D28">
        <w:rPr>
          <w:b w:val="0"/>
        </w:rPr>
        <w:t xml:space="preserve">D2C program staff will never learn which of their clients contacted study </w:t>
      </w:r>
      <w:r w:rsidR="0081086B" w:rsidRPr="00B64D28">
        <w:rPr>
          <w:b w:val="0"/>
        </w:rPr>
        <w:t>staff after referral</w:t>
      </w:r>
      <w:r w:rsidR="00574FA6" w:rsidRPr="00B64D28">
        <w:rPr>
          <w:b w:val="0"/>
        </w:rPr>
        <w:t xml:space="preserve">. </w:t>
      </w:r>
      <w:r w:rsidR="0081086B" w:rsidRPr="00B64D28">
        <w:rPr>
          <w:b w:val="0"/>
        </w:rPr>
        <w:t xml:space="preserve">Likewise, </w:t>
      </w:r>
      <w:r w:rsidR="00574FA6" w:rsidRPr="00B64D28">
        <w:rPr>
          <w:b w:val="0"/>
        </w:rPr>
        <w:t xml:space="preserve">D2C program staff also will never learn which of their clients </w:t>
      </w:r>
      <w:r w:rsidR="00B76486" w:rsidRPr="00B64D28">
        <w:rPr>
          <w:b w:val="0"/>
        </w:rPr>
        <w:t xml:space="preserve">subsequently </w:t>
      </w:r>
      <w:r w:rsidR="00574FA6" w:rsidRPr="00B64D28">
        <w:rPr>
          <w:b w:val="0"/>
        </w:rPr>
        <w:t>became enrolled as participants in the study.</w:t>
      </w:r>
      <w:r w:rsidR="00B64D28">
        <w:rPr>
          <w:b w:val="0"/>
        </w:rPr>
        <w:t xml:space="preserve"> </w:t>
      </w:r>
      <w:r w:rsidR="00A732A6">
        <w:rPr>
          <w:b w:val="0"/>
        </w:rPr>
        <w:t xml:space="preserve">Finally, to help protect participant identities, </w:t>
      </w:r>
      <w:r w:rsidR="002F4995" w:rsidRPr="00B64D28">
        <w:rPr>
          <w:b w:val="0"/>
        </w:rPr>
        <w:t>CDC staff will never learn the identities of either the D2C program staff or clients enrolled in the study.</w:t>
      </w:r>
      <w:r w:rsidR="00775675">
        <w:t xml:space="preserve"> </w:t>
      </w:r>
      <w:r w:rsidR="00775675" w:rsidRPr="00B64D28">
        <w:rPr>
          <w:b w:val="0"/>
        </w:rPr>
        <w:t xml:space="preserve">(For </w:t>
      </w:r>
      <w:r w:rsidR="00882365">
        <w:rPr>
          <w:b w:val="0"/>
        </w:rPr>
        <w:t xml:space="preserve">additional </w:t>
      </w:r>
      <w:r w:rsidR="00AD617D">
        <w:rPr>
          <w:b w:val="0"/>
        </w:rPr>
        <w:t xml:space="preserve">details </w:t>
      </w:r>
      <w:r w:rsidR="00775675">
        <w:rPr>
          <w:b w:val="0"/>
        </w:rPr>
        <w:t>on how we protect the identities of study participants</w:t>
      </w:r>
      <w:r w:rsidR="00775675" w:rsidRPr="00B64D28">
        <w:rPr>
          <w:b w:val="0"/>
        </w:rPr>
        <w:t>, see</w:t>
      </w:r>
      <w:r w:rsidR="00775675">
        <w:rPr>
          <w:b w:val="0"/>
        </w:rPr>
        <w:t xml:space="preserve"> the</w:t>
      </w:r>
      <w:r w:rsidR="00775675" w:rsidRPr="00B64D28">
        <w:rPr>
          <w:b w:val="0"/>
        </w:rPr>
        <w:t xml:space="preserve"> </w:t>
      </w:r>
      <w:r w:rsidR="00775675" w:rsidRPr="00B12EA3">
        <w:t>Protection of the Privacy and Confidentiality of Information Provided by Respondents</w:t>
      </w:r>
      <w:r w:rsidR="00775675" w:rsidRPr="00B64D28">
        <w:rPr>
          <w:b w:val="0"/>
        </w:rPr>
        <w:t xml:space="preserve"> section included </w:t>
      </w:r>
      <w:r w:rsidR="00775675">
        <w:rPr>
          <w:b w:val="0"/>
        </w:rPr>
        <w:t xml:space="preserve">below </w:t>
      </w:r>
      <w:r w:rsidR="00775675" w:rsidRPr="00B64D28">
        <w:rPr>
          <w:b w:val="0"/>
        </w:rPr>
        <w:t>in this document.)</w:t>
      </w:r>
    </w:p>
    <w:p w14:paraId="1A006A32" w14:textId="1457BB27" w:rsidR="00574FA6" w:rsidRDefault="00574FA6" w:rsidP="00574FA6">
      <w:pPr>
        <w:spacing w:before="120" w:after="120"/>
        <w:mirrorIndents/>
      </w:pPr>
    </w:p>
    <w:p w14:paraId="336192A7" w14:textId="6C1F629F" w:rsidR="001B4A66" w:rsidRPr="004F71D7" w:rsidRDefault="00155815" w:rsidP="00F95454">
      <w:pPr>
        <w:spacing w:before="120" w:after="120"/>
        <w:mirrorIndents/>
        <w:rPr>
          <w:highlight w:val="yellow"/>
        </w:rPr>
      </w:pPr>
      <w:r w:rsidRPr="00B64D28">
        <w:t xml:space="preserve">If a </w:t>
      </w:r>
      <w:r w:rsidR="0081086B">
        <w:t xml:space="preserve">D2C </w:t>
      </w:r>
      <w:r w:rsidRPr="00B64D28">
        <w:t>client is interested in being a study participant, they will c</w:t>
      </w:r>
      <w:r w:rsidR="00D05089">
        <w:t>all</w:t>
      </w:r>
      <w:r w:rsidRPr="00B64D28">
        <w:t xml:space="preserve"> study </w:t>
      </w:r>
      <w:r w:rsidR="0081086B">
        <w:t xml:space="preserve">staff </w:t>
      </w:r>
      <w:r w:rsidR="00D05FAB">
        <w:t xml:space="preserve">from the contractor team, </w:t>
      </w:r>
      <w:r w:rsidR="0081086B">
        <w:t xml:space="preserve">using the information provided in the recruitment flyers </w:t>
      </w:r>
      <w:r w:rsidR="0081086B" w:rsidRPr="00B64D28">
        <w:rPr>
          <w:b/>
        </w:rPr>
        <w:t>(Attachment 1)</w:t>
      </w:r>
      <w:r w:rsidRPr="00B64D28">
        <w:t>.</w:t>
      </w:r>
      <w:r w:rsidR="00574FA6">
        <w:t xml:space="preserve"> </w:t>
      </w:r>
      <w:r w:rsidRPr="00B64D28">
        <w:t xml:space="preserve">Study </w:t>
      </w:r>
      <w:r w:rsidR="0081086B">
        <w:t>staff</w:t>
      </w:r>
      <w:r w:rsidRPr="00B64D28">
        <w:t xml:space="preserve"> </w:t>
      </w:r>
      <w:r w:rsidR="004C581B" w:rsidRPr="004334AB">
        <w:t>will screen</w:t>
      </w:r>
      <w:r>
        <w:t xml:space="preserve"> potential D2C client participants</w:t>
      </w:r>
      <w:r w:rsidR="004C581B" w:rsidRPr="004334AB">
        <w:t xml:space="preserve"> for </w:t>
      </w:r>
      <w:r>
        <w:t xml:space="preserve">study </w:t>
      </w:r>
      <w:r w:rsidR="004C581B" w:rsidRPr="004334AB">
        <w:t>eligibility</w:t>
      </w:r>
      <w:r w:rsidR="0011632B">
        <w:t xml:space="preserve"> with</w:t>
      </w:r>
      <w:r w:rsidR="00D74C3B">
        <w:t xml:space="preserve"> </w:t>
      </w:r>
      <w:r w:rsidR="005E2979" w:rsidRPr="00B64D28">
        <w:t xml:space="preserve">the </w:t>
      </w:r>
      <w:r w:rsidR="005E2979">
        <w:t xml:space="preserve">D2C client </w:t>
      </w:r>
      <w:r w:rsidR="005E2979" w:rsidRPr="00B64D28">
        <w:t>screening</w:t>
      </w:r>
      <w:r w:rsidR="005E2979">
        <w:t xml:space="preserve"> tool </w:t>
      </w:r>
      <w:r w:rsidR="0011632B">
        <w:t>(</w:t>
      </w:r>
      <w:r w:rsidR="004C581B">
        <w:rPr>
          <w:b/>
        </w:rPr>
        <w:t>Attachment 3a</w:t>
      </w:r>
      <w:r w:rsidR="0011632B">
        <w:rPr>
          <w:b/>
        </w:rPr>
        <w:t>)</w:t>
      </w:r>
      <w:r w:rsidR="004C581B" w:rsidRPr="00B64D28">
        <w:t>.</w:t>
      </w:r>
      <w:r w:rsidR="004C581B">
        <w:rPr>
          <w:b/>
        </w:rPr>
        <w:t xml:space="preserve"> </w:t>
      </w:r>
      <w:r>
        <w:t xml:space="preserve">Eligible </w:t>
      </w:r>
      <w:r w:rsidR="0081086B">
        <w:t xml:space="preserve">client </w:t>
      </w:r>
      <w:r>
        <w:t>p</w:t>
      </w:r>
      <w:r w:rsidR="001B4A66" w:rsidRPr="009A4982">
        <w:t>articipants who choose to enroll in the study will be sch</w:t>
      </w:r>
      <w:r w:rsidR="00240E62">
        <w:t xml:space="preserve">eduled for an </w:t>
      </w:r>
      <w:r>
        <w:t>interview</w:t>
      </w:r>
      <w:r w:rsidR="001B4A66" w:rsidRPr="009A4982">
        <w:t xml:space="preserve"> </w:t>
      </w:r>
      <w:r w:rsidR="008D5F8D" w:rsidRPr="008D5F8D">
        <w:rPr>
          <w:b/>
        </w:rPr>
        <w:t>(Attachment 3b)</w:t>
      </w:r>
      <w:r w:rsidR="008D5F8D">
        <w:t xml:space="preserve"> </w:t>
      </w:r>
      <w:r w:rsidR="001B4A66" w:rsidRPr="009A4982">
        <w:t xml:space="preserve">at a time and location that is convenient to them. At </w:t>
      </w:r>
      <w:r w:rsidR="00C17EE7">
        <w:t xml:space="preserve">the </w:t>
      </w:r>
      <w:r w:rsidR="00B64D28">
        <w:t>beginning</w:t>
      </w:r>
      <w:r w:rsidR="00B64D28" w:rsidRPr="009A4982">
        <w:t xml:space="preserve"> of</w:t>
      </w:r>
      <w:r w:rsidR="001B4A66" w:rsidRPr="009A4982">
        <w:t xml:space="preserve"> </w:t>
      </w:r>
      <w:r w:rsidR="008320F7">
        <w:t>each</w:t>
      </w:r>
      <w:r w:rsidR="001B4A66" w:rsidRPr="009A4982">
        <w:t xml:space="preserve"> interview</w:t>
      </w:r>
      <w:r w:rsidR="0081086B">
        <w:t xml:space="preserve"> with D2C program staff or clients</w:t>
      </w:r>
      <w:r w:rsidR="00C17EE7">
        <w:t xml:space="preserve"> and before any data collection starts</w:t>
      </w:r>
      <w:r w:rsidR="001B4A66" w:rsidRPr="009A4982">
        <w:t xml:space="preserve">, </w:t>
      </w:r>
      <w:r w:rsidR="00C17EE7">
        <w:t xml:space="preserve">study </w:t>
      </w:r>
      <w:r w:rsidR="001B4A66" w:rsidRPr="009A4982">
        <w:t>staff will review the study procedures</w:t>
      </w:r>
      <w:r w:rsidR="0045429A">
        <w:t xml:space="preserve"> with each participant</w:t>
      </w:r>
      <w:r w:rsidR="00C17EE7">
        <w:t>. P</w:t>
      </w:r>
      <w:r w:rsidR="001B4A66" w:rsidRPr="009A4982">
        <w:t>articipants will</w:t>
      </w:r>
      <w:r w:rsidR="00C17EE7">
        <w:t xml:space="preserve"> be asked to</w:t>
      </w:r>
      <w:r w:rsidR="001B4A66" w:rsidRPr="009A4982">
        <w:t xml:space="preserve"> complete </w:t>
      </w:r>
      <w:r w:rsidR="00D70D00">
        <w:t>a</w:t>
      </w:r>
      <w:r w:rsidR="00C17EE7">
        <w:t>n</w:t>
      </w:r>
      <w:r w:rsidR="001B4A66" w:rsidRPr="009A4982">
        <w:t xml:space="preserve"> informed consent</w:t>
      </w:r>
      <w:r w:rsidR="00C17EE7">
        <w:t xml:space="preserve"> form</w:t>
      </w:r>
      <w:r w:rsidR="001B4A66" w:rsidRPr="009A4982">
        <w:t xml:space="preserve"> </w:t>
      </w:r>
      <w:r w:rsidR="001B4A66" w:rsidRPr="00E70C71">
        <w:rPr>
          <w:b/>
        </w:rPr>
        <w:t>(</w:t>
      </w:r>
      <w:r w:rsidR="001B4A66" w:rsidRPr="009A4982">
        <w:rPr>
          <w:b/>
        </w:rPr>
        <w:t>Attachment 2</w:t>
      </w:r>
      <w:r w:rsidR="001B4A66" w:rsidRPr="009A4982">
        <w:t xml:space="preserve">). </w:t>
      </w:r>
      <w:r w:rsidR="002525F3" w:rsidRPr="00C24A59">
        <w:t>There are</w:t>
      </w:r>
      <w:r w:rsidR="00D74C3B">
        <w:t xml:space="preserve"> two </w:t>
      </w:r>
      <w:r w:rsidR="00D70D00">
        <w:t>consent forms</w:t>
      </w:r>
      <w:r w:rsidR="002525F3">
        <w:t>; o</w:t>
      </w:r>
      <w:r w:rsidR="00D45E08">
        <w:t xml:space="preserve">ne </w:t>
      </w:r>
      <w:r w:rsidR="00D70D00">
        <w:t xml:space="preserve">for </w:t>
      </w:r>
      <w:r>
        <w:t xml:space="preserve">eligible </w:t>
      </w:r>
      <w:r w:rsidR="00D70D00">
        <w:t xml:space="preserve">D2C clients </w:t>
      </w:r>
      <w:r w:rsidR="00D45E08">
        <w:t xml:space="preserve">and </w:t>
      </w:r>
      <w:r w:rsidR="002525F3">
        <w:t xml:space="preserve">one </w:t>
      </w:r>
      <w:r w:rsidR="00D70D00">
        <w:t xml:space="preserve">for </w:t>
      </w:r>
      <w:r>
        <w:t xml:space="preserve">eligible </w:t>
      </w:r>
      <w:r w:rsidR="00D70D00">
        <w:t xml:space="preserve">D2C program staff. </w:t>
      </w:r>
      <w:r w:rsidR="00ED3A5B">
        <w:t>The wording of these forms has been reviewed and approved by the CDC IRB (</w:t>
      </w:r>
      <w:r w:rsidR="00ED3A5B" w:rsidRPr="00D96359">
        <w:rPr>
          <w:b/>
        </w:rPr>
        <w:t>Attachment 4a</w:t>
      </w:r>
      <w:r w:rsidR="00ED3A5B" w:rsidRPr="00B64D28">
        <w:t>).</w:t>
      </w:r>
    </w:p>
    <w:p w14:paraId="6ECDB82D" w14:textId="0CB5AD43" w:rsidR="00150BF0" w:rsidRDefault="001B4A66" w:rsidP="00F95454">
      <w:pPr>
        <w:spacing w:before="120" w:after="120"/>
        <w:mirrorIndents/>
      </w:pPr>
      <w:r w:rsidRPr="001319BD">
        <w:t xml:space="preserve">We will use qualitative </w:t>
      </w:r>
      <w:r w:rsidR="00150BF0">
        <w:t>interview guides</w:t>
      </w:r>
      <w:r w:rsidRPr="001319BD">
        <w:t xml:space="preserve"> to collect information for this </w:t>
      </w:r>
      <w:r w:rsidRPr="009A4982">
        <w:t>study</w:t>
      </w:r>
      <w:r w:rsidR="00C24A59">
        <w:t>, one for D2C clients, and the other for D2C program staff</w:t>
      </w:r>
      <w:r w:rsidR="000E1128" w:rsidRPr="009A4982">
        <w:t xml:space="preserve"> (</w:t>
      </w:r>
      <w:r w:rsidR="009A4982" w:rsidRPr="009A4982">
        <w:rPr>
          <w:b/>
        </w:rPr>
        <w:t>Attachments 3</w:t>
      </w:r>
      <w:r w:rsidR="000E1128" w:rsidRPr="009A4982">
        <w:rPr>
          <w:b/>
        </w:rPr>
        <w:t>b</w:t>
      </w:r>
      <w:r w:rsidR="009A4982" w:rsidRPr="009A4982">
        <w:rPr>
          <w:b/>
        </w:rPr>
        <w:t>-c</w:t>
      </w:r>
      <w:r w:rsidR="000E1128" w:rsidRPr="00E70C71">
        <w:rPr>
          <w:b/>
        </w:rPr>
        <w:t>)</w:t>
      </w:r>
      <w:r w:rsidRPr="009A4982">
        <w:t>.</w:t>
      </w:r>
      <w:r w:rsidR="000E1128" w:rsidRPr="009A4982">
        <w:t xml:space="preserve"> </w:t>
      </w:r>
      <w:r w:rsidR="00150BF0">
        <w:t>Both types of i</w:t>
      </w:r>
      <w:r w:rsidR="000E1128" w:rsidRPr="00F42159">
        <w:t>nterviews include a short, structured response section to collect participant</w:t>
      </w:r>
      <w:r w:rsidR="00334FDA" w:rsidRPr="00F42159">
        <w:t>s’</w:t>
      </w:r>
      <w:r w:rsidR="000E1128" w:rsidRPr="00F42159">
        <w:t xml:space="preserve"> demographic information. </w:t>
      </w:r>
      <w:r w:rsidR="00F42159">
        <w:t xml:space="preserve">For D2C </w:t>
      </w:r>
      <w:r w:rsidR="00F42159" w:rsidRPr="00F42159">
        <w:t>program staff, t</w:t>
      </w:r>
      <w:r w:rsidR="00F72954" w:rsidRPr="00F42159">
        <w:t xml:space="preserve">he </w:t>
      </w:r>
      <w:r w:rsidR="000E1128" w:rsidRPr="00F42159">
        <w:t xml:space="preserve">interviews will primarily include open-ended questions designed to elicit information on </w:t>
      </w:r>
      <w:bookmarkStart w:id="3" w:name="_Toc448296074"/>
      <w:r w:rsidR="00F42159" w:rsidRPr="00F42159">
        <w:t xml:space="preserve">the landscape of HIV care in the jurisdiction, identifying and working with the out of care population in their jurisdiction, D2C activities, implementation and competing priorities, factors that have facilitated or impeded D2C implementation, factors that have facilitated or impeded </w:t>
      </w:r>
      <w:r w:rsidR="00377FA8">
        <w:t>D2C client</w:t>
      </w:r>
      <w:r w:rsidR="00F42159" w:rsidRPr="00F42159">
        <w:t>’s linkage to and maintenance in care, and their recommendations for change and lessons learned</w:t>
      </w:r>
      <w:r w:rsidR="00F72954" w:rsidRPr="00F42159">
        <w:t>.</w:t>
      </w:r>
      <w:r w:rsidR="00F42159" w:rsidRPr="00F42159">
        <w:t xml:space="preserve"> For </w:t>
      </w:r>
      <w:r w:rsidR="00377FA8">
        <w:t>D2C clients</w:t>
      </w:r>
      <w:r w:rsidR="00F42159" w:rsidRPr="00F42159">
        <w:t xml:space="preserve">, the interviews will include open-ended questions that cover facilitators and barriers to engagement in care, D2C experience, maintenance in care, and questions about the D2C program and out of care </w:t>
      </w:r>
      <w:r w:rsidR="00F42159" w:rsidRPr="008B7B1C">
        <w:t xml:space="preserve">population. </w:t>
      </w:r>
    </w:p>
    <w:p w14:paraId="052AC805" w14:textId="4DF29868" w:rsidR="00F72954" w:rsidRDefault="00F72954" w:rsidP="00F95454">
      <w:pPr>
        <w:spacing w:before="120" w:after="120"/>
        <w:mirrorIndents/>
      </w:pPr>
      <w:r w:rsidRPr="008B7B1C">
        <w:t>Key variables</w:t>
      </w:r>
      <w:r w:rsidR="008B7B1C" w:rsidRPr="008B7B1C">
        <w:t xml:space="preserve"> to be explored through the </w:t>
      </w:r>
      <w:r w:rsidRPr="008B7B1C">
        <w:t xml:space="preserve">participant interviews are described in Exhibit </w:t>
      </w:r>
      <w:r w:rsidR="00C91C02" w:rsidRPr="008B7B1C">
        <w:t>2.1</w:t>
      </w:r>
      <w:r w:rsidRPr="008B7B1C">
        <w:t xml:space="preserve"> below. All data collection</w:t>
      </w:r>
      <w:r w:rsidRPr="00F42159">
        <w:t xml:space="preserve"> instruments have been approved by </w:t>
      </w:r>
      <w:r w:rsidRPr="009A4982">
        <w:t xml:space="preserve">the </w:t>
      </w:r>
      <w:r w:rsidR="00F42159" w:rsidRPr="009A4982">
        <w:t>CDC</w:t>
      </w:r>
      <w:r w:rsidRPr="009A4982">
        <w:t xml:space="preserve"> IRB</w:t>
      </w:r>
      <w:r w:rsidRPr="00316981">
        <w:rPr>
          <w:b/>
        </w:rPr>
        <w:t xml:space="preserve"> (Attachment 4</w:t>
      </w:r>
      <w:r w:rsidR="009A4982" w:rsidRPr="00316981">
        <w:rPr>
          <w:b/>
        </w:rPr>
        <w:t>a</w:t>
      </w:r>
      <w:r w:rsidRPr="00316981">
        <w:rPr>
          <w:b/>
        </w:rPr>
        <w:t>)</w:t>
      </w:r>
      <w:r w:rsidRPr="00316981">
        <w:t>.</w:t>
      </w:r>
    </w:p>
    <w:p w14:paraId="24B744D8" w14:textId="77777777" w:rsidR="00412543" w:rsidRDefault="00412543">
      <w:pPr>
        <w:spacing w:after="200" w:line="276" w:lineRule="auto"/>
        <w:rPr>
          <w:b/>
          <w:bCs/>
          <w:sz w:val="20"/>
          <w:szCs w:val="20"/>
        </w:rPr>
      </w:pPr>
      <w:bookmarkStart w:id="4" w:name="_Toc449541622"/>
      <w:r>
        <w:br w:type="page"/>
      </w:r>
    </w:p>
    <w:p w14:paraId="1A7585C2" w14:textId="53FBDEC2" w:rsidR="00F72954" w:rsidRPr="00973A03" w:rsidRDefault="00C91C02" w:rsidP="00973A03">
      <w:pPr>
        <w:pStyle w:val="Caption"/>
        <w:mirrorIndents/>
      </w:pPr>
      <w:r w:rsidRPr="00973A03">
        <w:t xml:space="preserve">Exhibit </w:t>
      </w:r>
      <w:r w:rsidR="00537EB1">
        <w:fldChar w:fldCharType="begin"/>
      </w:r>
      <w:r w:rsidR="00537EB1">
        <w:instrText xml:space="preserve"> STYLEREF 1 \s </w:instrText>
      </w:r>
      <w:r w:rsidR="00537EB1">
        <w:fldChar w:fldCharType="separate"/>
      </w:r>
      <w:r w:rsidR="00D62D1E">
        <w:rPr>
          <w:noProof/>
        </w:rPr>
        <w:t>0</w:t>
      </w:r>
      <w:r w:rsidR="00537EB1">
        <w:rPr>
          <w:noProof/>
        </w:rPr>
        <w:fldChar w:fldCharType="end"/>
      </w:r>
      <w:r w:rsidRPr="00973A03">
        <w:t>.</w:t>
      </w:r>
      <w:r w:rsidR="00537EB1">
        <w:fldChar w:fldCharType="begin"/>
      </w:r>
      <w:r w:rsidR="00537EB1">
        <w:instrText xml:space="preserve"> SEQ Exhibit \* ARABIC \s 1 </w:instrText>
      </w:r>
      <w:r w:rsidR="00537EB1">
        <w:fldChar w:fldCharType="separate"/>
      </w:r>
      <w:r w:rsidR="00D62D1E">
        <w:rPr>
          <w:noProof/>
        </w:rPr>
        <w:t>1</w:t>
      </w:r>
      <w:r w:rsidR="00537EB1">
        <w:rPr>
          <w:noProof/>
        </w:rPr>
        <w:fldChar w:fldCharType="end"/>
      </w:r>
      <w:r w:rsidRPr="00973A03">
        <w:t>: Overview of Key Variables</w:t>
      </w:r>
      <w:bookmarkEnd w:id="4"/>
    </w:p>
    <w:tbl>
      <w:tblPr>
        <w:tblStyle w:val="TableGrid"/>
        <w:tblW w:w="0" w:type="auto"/>
        <w:tblLook w:val="04A0" w:firstRow="1" w:lastRow="0" w:firstColumn="1" w:lastColumn="0" w:noHBand="0" w:noVBand="1"/>
      </w:tblPr>
      <w:tblGrid>
        <w:gridCol w:w="4888"/>
        <w:gridCol w:w="4888"/>
      </w:tblGrid>
      <w:tr w:rsidR="00F72954" w:rsidRPr="00973A03" w14:paraId="174053D7" w14:textId="2EB751E6" w:rsidTr="00F72954">
        <w:tc>
          <w:tcPr>
            <w:tcW w:w="4888" w:type="dxa"/>
          </w:tcPr>
          <w:p w14:paraId="32C8A612" w14:textId="1A94BB21" w:rsidR="00F72954" w:rsidRPr="00973A03" w:rsidRDefault="00743F22" w:rsidP="00973A03">
            <w:pPr>
              <w:pStyle w:val="ListParagraph"/>
              <w:spacing w:after="0" w:line="240" w:lineRule="auto"/>
              <w:ind w:left="360"/>
              <w:contextualSpacing w:val="0"/>
              <w:mirrorIndents/>
              <w:jc w:val="center"/>
              <w:rPr>
                <w:rFonts w:ascii="Times New Roman" w:hAnsi="Times New Roman"/>
                <w:b/>
                <w:sz w:val="20"/>
                <w:szCs w:val="20"/>
              </w:rPr>
            </w:pPr>
            <w:r w:rsidRPr="00973A03">
              <w:rPr>
                <w:rFonts w:ascii="Times New Roman" w:hAnsi="Times New Roman"/>
                <w:b/>
                <w:sz w:val="20"/>
                <w:szCs w:val="20"/>
                <w:lang w:val="en-US"/>
              </w:rPr>
              <w:t xml:space="preserve">D2C </w:t>
            </w:r>
            <w:r w:rsidR="00BB0F3A" w:rsidRPr="00973A03">
              <w:rPr>
                <w:rFonts w:ascii="Times New Roman" w:hAnsi="Times New Roman"/>
                <w:b/>
                <w:sz w:val="20"/>
                <w:szCs w:val="20"/>
                <w:lang w:val="en-US"/>
              </w:rPr>
              <w:t>Prog</w:t>
            </w:r>
            <w:r w:rsidR="003344F5" w:rsidRPr="00973A03">
              <w:rPr>
                <w:rFonts w:ascii="Times New Roman" w:hAnsi="Times New Roman"/>
                <w:b/>
                <w:sz w:val="20"/>
                <w:szCs w:val="20"/>
                <w:lang w:val="en-US"/>
              </w:rPr>
              <w:t>ram</w:t>
            </w:r>
            <w:r w:rsidR="00BB0F3A" w:rsidRPr="00973A03">
              <w:rPr>
                <w:rFonts w:ascii="Times New Roman" w:hAnsi="Times New Roman"/>
                <w:b/>
                <w:sz w:val="20"/>
                <w:szCs w:val="20"/>
                <w:lang w:val="en-US"/>
              </w:rPr>
              <w:t xml:space="preserve"> Staff</w:t>
            </w:r>
            <w:r w:rsidR="00BB0F3A" w:rsidRPr="00973A03">
              <w:rPr>
                <w:rFonts w:ascii="Times New Roman" w:hAnsi="Times New Roman"/>
                <w:b/>
                <w:sz w:val="20"/>
                <w:szCs w:val="20"/>
              </w:rPr>
              <w:t xml:space="preserve"> (Att</w:t>
            </w:r>
            <w:r w:rsidR="009C5D88" w:rsidRPr="00973A03">
              <w:rPr>
                <w:rFonts w:ascii="Times New Roman" w:hAnsi="Times New Roman"/>
                <w:b/>
                <w:sz w:val="20"/>
                <w:szCs w:val="20"/>
                <w:lang w:val="en-US"/>
              </w:rPr>
              <w:t>.</w:t>
            </w:r>
            <w:r w:rsidR="00BB0F3A" w:rsidRPr="00973A03">
              <w:rPr>
                <w:rFonts w:ascii="Times New Roman" w:hAnsi="Times New Roman"/>
                <w:b/>
                <w:sz w:val="20"/>
                <w:szCs w:val="20"/>
              </w:rPr>
              <w:t xml:space="preserve"> 3b</w:t>
            </w:r>
            <w:r w:rsidR="00F72954" w:rsidRPr="00973A03">
              <w:rPr>
                <w:rFonts w:ascii="Times New Roman" w:hAnsi="Times New Roman"/>
                <w:b/>
                <w:sz w:val="20"/>
                <w:szCs w:val="20"/>
              </w:rPr>
              <w:t>)</w:t>
            </w:r>
          </w:p>
        </w:tc>
        <w:tc>
          <w:tcPr>
            <w:tcW w:w="4888" w:type="dxa"/>
          </w:tcPr>
          <w:p w14:paraId="5697C3D3" w14:textId="2BBE5484" w:rsidR="00F72954" w:rsidRPr="00973A03" w:rsidRDefault="002368E4" w:rsidP="00973A03">
            <w:pPr>
              <w:mirrorIndents/>
              <w:jc w:val="center"/>
              <w:rPr>
                <w:b/>
                <w:sz w:val="20"/>
                <w:szCs w:val="20"/>
              </w:rPr>
            </w:pPr>
            <w:r w:rsidRPr="00973A03">
              <w:rPr>
                <w:b/>
                <w:sz w:val="20"/>
                <w:szCs w:val="20"/>
              </w:rPr>
              <w:t xml:space="preserve">D2C Program Clients </w:t>
            </w:r>
            <w:r w:rsidR="00BB0F3A" w:rsidRPr="00973A03">
              <w:rPr>
                <w:b/>
                <w:sz w:val="20"/>
                <w:szCs w:val="20"/>
              </w:rPr>
              <w:t>(Att</w:t>
            </w:r>
            <w:r w:rsidR="009C5D88" w:rsidRPr="00973A03">
              <w:rPr>
                <w:b/>
                <w:sz w:val="20"/>
                <w:szCs w:val="20"/>
              </w:rPr>
              <w:t>.</w:t>
            </w:r>
            <w:r w:rsidR="00BB0F3A" w:rsidRPr="00973A03">
              <w:rPr>
                <w:b/>
                <w:sz w:val="20"/>
                <w:szCs w:val="20"/>
              </w:rPr>
              <w:t xml:space="preserve"> 3c</w:t>
            </w:r>
            <w:r w:rsidR="00F72954" w:rsidRPr="00973A03">
              <w:rPr>
                <w:b/>
                <w:sz w:val="20"/>
                <w:szCs w:val="20"/>
              </w:rPr>
              <w:t>)</w:t>
            </w:r>
          </w:p>
        </w:tc>
      </w:tr>
      <w:tr w:rsidR="00F72954" w:rsidRPr="00973A03" w14:paraId="5097009E" w14:textId="5F849DB8" w:rsidTr="00F72954">
        <w:tc>
          <w:tcPr>
            <w:tcW w:w="4888" w:type="dxa"/>
          </w:tcPr>
          <w:p w14:paraId="3B707FF9" w14:textId="0354F05A" w:rsidR="00743F22" w:rsidRPr="00973A03" w:rsidRDefault="00743F22" w:rsidP="00973A03">
            <w:pPr>
              <w:pStyle w:val="ListParagraph"/>
              <w:numPr>
                <w:ilvl w:val="0"/>
                <w:numId w:val="15"/>
              </w:numPr>
              <w:spacing w:after="0" w:line="240" w:lineRule="auto"/>
              <w:ind w:left="332" w:hanging="270"/>
              <w:contextualSpacing w:val="0"/>
              <w:mirrorIndents/>
              <w:rPr>
                <w:rFonts w:ascii="Times New Roman" w:hAnsi="Times New Roman"/>
                <w:sz w:val="20"/>
                <w:szCs w:val="20"/>
              </w:rPr>
            </w:pPr>
            <w:r w:rsidRPr="00973A03">
              <w:rPr>
                <w:rFonts w:ascii="Times New Roman" w:hAnsi="Times New Roman"/>
                <w:sz w:val="20"/>
                <w:szCs w:val="20"/>
              </w:rPr>
              <w:t>Landscape o</w:t>
            </w:r>
            <w:r w:rsidR="00BB0F3A" w:rsidRPr="00973A03">
              <w:rPr>
                <w:rFonts w:ascii="Times New Roman" w:hAnsi="Times New Roman"/>
                <w:sz w:val="20"/>
                <w:szCs w:val="20"/>
              </w:rPr>
              <w:t>f HIV care in the jurisdiction.</w:t>
            </w:r>
          </w:p>
          <w:p w14:paraId="386C54D8" w14:textId="0DD80812" w:rsidR="00743F22" w:rsidRPr="00973A03" w:rsidRDefault="00743F22" w:rsidP="00973A03">
            <w:pPr>
              <w:pStyle w:val="ListParagraph"/>
              <w:numPr>
                <w:ilvl w:val="0"/>
                <w:numId w:val="15"/>
              </w:numPr>
              <w:spacing w:after="0" w:line="240" w:lineRule="auto"/>
              <w:ind w:left="332" w:hanging="270"/>
              <w:contextualSpacing w:val="0"/>
              <w:mirrorIndents/>
              <w:rPr>
                <w:rFonts w:ascii="Times New Roman" w:hAnsi="Times New Roman"/>
                <w:sz w:val="20"/>
                <w:szCs w:val="20"/>
              </w:rPr>
            </w:pPr>
            <w:r w:rsidRPr="00973A03">
              <w:rPr>
                <w:rFonts w:ascii="Times New Roman" w:hAnsi="Times New Roman"/>
                <w:sz w:val="20"/>
                <w:szCs w:val="20"/>
              </w:rPr>
              <w:t>Identifying and working with the out of care po</w:t>
            </w:r>
            <w:r w:rsidR="00BB0F3A" w:rsidRPr="00973A03">
              <w:rPr>
                <w:rFonts w:ascii="Times New Roman" w:hAnsi="Times New Roman"/>
                <w:sz w:val="20"/>
                <w:szCs w:val="20"/>
              </w:rPr>
              <w:t>pulation in their jurisdiction.</w:t>
            </w:r>
          </w:p>
          <w:p w14:paraId="5EB8F1BF" w14:textId="0FA61B35" w:rsidR="00743F22" w:rsidRPr="00973A03" w:rsidRDefault="00743F22" w:rsidP="00973A03">
            <w:pPr>
              <w:pStyle w:val="ListParagraph"/>
              <w:numPr>
                <w:ilvl w:val="0"/>
                <w:numId w:val="15"/>
              </w:numPr>
              <w:spacing w:after="0" w:line="240" w:lineRule="auto"/>
              <w:ind w:left="332" w:hanging="270"/>
              <w:contextualSpacing w:val="0"/>
              <w:mirrorIndents/>
              <w:rPr>
                <w:rFonts w:ascii="Times New Roman" w:hAnsi="Times New Roman"/>
                <w:sz w:val="20"/>
                <w:szCs w:val="20"/>
              </w:rPr>
            </w:pPr>
            <w:r w:rsidRPr="00973A03">
              <w:rPr>
                <w:rFonts w:ascii="Times New Roman" w:hAnsi="Times New Roman"/>
                <w:sz w:val="20"/>
                <w:szCs w:val="20"/>
              </w:rPr>
              <w:t>D2C activities, implementation and competing priorities</w:t>
            </w:r>
            <w:r w:rsidR="00BB0F3A" w:rsidRPr="00973A03">
              <w:rPr>
                <w:rFonts w:ascii="Times New Roman" w:hAnsi="Times New Roman"/>
                <w:sz w:val="20"/>
                <w:szCs w:val="20"/>
              </w:rPr>
              <w:t>.</w:t>
            </w:r>
          </w:p>
          <w:p w14:paraId="1D05071B" w14:textId="798BFAA3" w:rsidR="00743F22" w:rsidRPr="00973A03" w:rsidRDefault="00743F22" w:rsidP="00973A03">
            <w:pPr>
              <w:pStyle w:val="ListParagraph"/>
              <w:numPr>
                <w:ilvl w:val="0"/>
                <w:numId w:val="15"/>
              </w:numPr>
              <w:spacing w:after="0" w:line="240" w:lineRule="auto"/>
              <w:ind w:left="332" w:hanging="270"/>
              <w:contextualSpacing w:val="0"/>
              <w:mirrorIndents/>
              <w:rPr>
                <w:rFonts w:ascii="Times New Roman" w:hAnsi="Times New Roman"/>
                <w:sz w:val="20"/>
                <w:szCs w:val="20"/>
              </w:rPr>
            </w:pPr>
            <w:r w:rsidRPr="00973A03">
              <w:rPr>
                <w:rFonts w:ascii="Times New Roman" w:hAnsi="Times New Roman"/>
                <w:sz w:val="20"/>
                <w:szCs w:val="20"/>
              </w:rPr>
              <w:t>Factors that have facilitated or impeded D2C implementation</w:t>
            </w:r>
            <w:r w:rsidR="00BB0F3A" w:rsidRPr="00973A03">
              <w:rPr>
                <w:rFonts w:ascii="Times New Roman" w:hAnsi="Times New Roman"/>
                <w:sz w:val="20"/>
                <w:szCs w:val="20"/>
              </w:rPr>
              <w:t>.</w:t>
            </w:r>
          </w:p>
          <w:p w14:paraId="19757B33" w14:textId="4FF914F9" w:rsidR="00743F22" w:rsidRPr="00973A03" w:rsidRDefault="00743F22" w:rsidP="00973A03">
            <w:pPr>
              <w:pStyle w:val="ListParagraph"/>
              <w:numPr>
                <w:ilvl w:val="0"/>
                <w:numId w:val="15"/>
              </w:numPr>
              <w:spacing w:after="0" w:line="240" w:lineRule="auto"/>
              <w:ind w:left="332" w:hanging="270"/>
              <w:contextualSpacing w:val="0"/>
              <w:mirrorIndents/>
              <w:rPr>
                <w:rFonts w:ascii="Times New Roman" w:hAnsi="Times New Roman"/>
                <w:sz w:val="20"/>
                <w:szCs w:val="20"/>
              </w:rPr>
            </w:pPr>
            <w:r w:rsidRPr="00973A03">
              <w:rPr>
                <w:rFonts w:ascii="Times New Roman" w:hAnsi="Times New Roman"/>
                <w:sz w:val="20"/>
                <w:szCs w:val="20"/>
              </w:rPr>
              <w:t xml:space="preserve">Factors that have facilitated or impeded PLWH’s linkage to and maintenance in care, and their recommendations for change and lessons learned. </w:t>
            </w:r>
          </w:p>
          <w:p w14:paraId="48DAB482" w14:textId="23A35B19" w:rsidR="00BB0F3A" w:rsidRPr="00973A03" w:rsidRDefault="00743F22" w:rsidP="00973A03">
            <w:pPr>
              <w:pStyle w:val="ListParagraph"/>
              <w:numPr>
                <w:ilvl w:val="0"/>
                <w:numId w:val="15"/>
              </w:numPr>
              <w:spacing w:after="0" w:line="240" w:lineRule="auto"/>
              <w:ind w:left="332" w:hanging="270"/>
              <w:contextualSpacing w:val="0"/>
              <w:mirrorIndents/>
              <w:rPr>
                <w:sz w:val="20"/>
                <w:szCs w:val="20"/>
              </w:rPr>
            </w:pPr>
            <w:r w:rsidRPr="00973A03">
              <w:rPr>
                <w:rFonts w:ascii="Times New Roman" w:hAnsi="Times New Roman"/>
                <w:sz w:val="20"/>
                <w:szCs w:val="20"/>
              </w:rPr>
              <w:t>Lessons learned about strategies that have yielded greatest success in linking PLWH to care and maintaining them in care</w:t>
            </w:r>
            <w:r w:rsidR="00BB0F3A" w:rsidRPr="00973A03">
              <w:rPr>
                <w:rFonts w:ascii="Times New Roman" w:hAnsi="Times New Roman"/>
                <w:sz w:val="20"/>
                <w:szCs w:val="20"/>
                <w:lang w:val="en-US"/>
              </w:rPr>
              <w:t>.</w:t>
            </w:r>
          </w:p>
        </w:tc>
        <w:tc>
          <w:tcPr>
            <w:tcW w:w="4888" w:type="dxa"/>
          </w:tcPr>
          <w:p w14:paraId="6ED89B0B" w14:textId="4D2E22FF" w:rsidR="00743F22" w:rsidRPr="00973A03" w:rsidRDefault="00743F22" w:rsidP="00973A03">
            <w:pPr>
              <w:pStyle w:val="ListParagraph"/>
              <w:numPr>
                <w:ilvl w:val="0"/>
                <w:numId w:val="11"/>
              </w:numPr>
              <w:spacing w:after="0" w:line="240" w:lineRule="auto"/>
              <w:ind w:left="314" w:hanging="270"/>
              <w:contextualSpacing w:val="0"/>
              <w:mirrorIndents/>
              <w:rPr>
                <w:rFonts w:ascii="Times New Roman" w:hAnsi="Times New Roman"/>
                <w:sz w:val="20"/>
                <w:szCs w:val="20"/>
              </w:rPr>
            </w:pPr>
            <w:r w:rsidRPr="00973A03">
              <w:rPr>
                <w:rFonts w:ascii="Times New Roman" w:hAnsi="Times New Roman"/>
                <w:sz w:val="20"/>
                <w:szCs w:val="20"/>
              </w:rPr>
              <w:t>Individual, social, and structural domains that influence linkage to and retention in care</w:t>
            </w:r>
            <w:r w:rsidR="00BB0F3A" w:rsidRPr="00973A03">
              <w:rPr>
                <w:rFonts w:ascii="Times New Roman" w:hAnsi="Times New Roman"/>
                <w:sz w:val="20"/>
                <w:szCs w:val="20"/>
              </w:rPr>
              <w:t>.</w:t>
            </w:r>
          </w:p>
          <w:p w14:paraId="32492E19" w14:textId="535A7E34" w:rsidR="00743F22" w:rsidRPr="00973A03" w:rsidRDefault="00743F22" w:rsidP="00973A03">
            <w:pPr>
              <w:pStyle w:val="ListParagraph"/>
              <w:numPr>
                <w:ilvl w:val="0"/>
                <w:numId w:val="11"/>
              </w:numPr>
              <w:spacing w:after="0" w:line="240" w:lineRule="auto"/>
              <w:ind w:left="314" w:hanging="270"/>
              <w:contextualSpacing w:val="0"/>
              <w:mirrorIndents/>
              <w:rPr>
                <w:rFonts w:ascii="Times New Roman" w:hAnsi="Times New Roman"/>
                <w:sz w:val="20"/>
                <w:szCs w:val="20"/>
              </w:rPr>
            </w:pPr>
            <w:r w:rsidRPr="00973A03">
              <w:rPr>
                <w:rFonts w:ascii="Times New Roman" w:hAnsi="Times New Roman"/>
                <w:sz w:val="20"/>
                <w:szCs w:val="20"/>
              </w:rPr>
              <w:t xml:space="preserve">General treatment history, sociodemographics, and sexual risk behaviors. </w:t>
            </w:r>
          </w:p>
          <w:p w14:paraId="02BFDE70" w14:textId="77777777" w:rsidR="00743F22" w:rsidRPr="00973A03" w:rsidRDefault="00743F22" w:rsidP="00973A03">
            <w:pPr>
              <w:pStyle w:val="ListParagraph"/>
              <w:numPr>
                <w:ilvl w:val="0"/>
                <w:numId w:val="11"/>
              </w:numPr>
              <w:spacing w:after="0" w:line="240" w:lineRule="auto"/>
              <w:ind w:left="314" w:hanging="270"/>
              <w:contextualSpacing w:val="0"/>
              <w:mirrorIndents/>
              <w:rPr>
                <w:rFonts w:ascii="Times New Roman" w:hAnsi="Times New Roman"/>
                <w:sz w:val="20"/>
                <w:szCs w:val="20"/>
              </w:rPr>
            </w:pPr>
            <w:r w:rsidRPr="00973A03">
              <w:rPr>
                <w:rFonts w:ascii="Times New Roman" w:hAnsi="Times New Roman"/>
                <w:sz w:val="20"/>
                <w:szCs w:val="20"/>
              </w:rPr>
              <w:t>HIV treatment history and insurance status.</w:t>
            </w:r>
          </w:p>
          <w:p w14:paraId="38A8898B" w14:textId="4FA43922" w:rsidR="00743F22" w:rsidRPr="00973A03" w:rsidRDefault="00743F22" w:rsidP="00973A03">
            <w:pPr>
              <w:pStyle w:val="ListParagraph"/>
              <w:numPr>
                <w:ilvl w:val="0"/>
                <w:numId w:val="11"/>
              </w:numPr>
              <w:spacing w:after="0" w:line="240" w:lineRule="auto"/>
              <w:ind w:left="314" w:hanging="270"/>
              <w:contextualSpacing w:val="0"/>
              <w:mirrorIndents/>
              <w:rPr>
                <w:rFonts w:ascii="Times New Roman" w:hAnsi="Times New Roman"/>
                <w:sz w:val="20"/>
                <w:szCs w:val="20"/>
              </w:rPr>
            </w:pPr>
            <w:r w:rsidRPr="00973A03">
              <w:rPr>
                <w:rFonts w:ascii="Times New Roman" w:hAnsi="Times New Roman"/>
                <w:sz w:val="20"/>
                <w:szCs w:val="20"/>
              </w:rPr>
              <w:t>Facilitators and barriers to engagement in care</w:t>
            </w:r>
            <w:r w:rsidR="00BB0F3A" w:rsidRPr="00973A03">
              <w:rPr>
                <w:rFonts w:ascii="Times New Roman" w:hAnsi="Times New Roman"/>
                <w:sz w:val="20"/>
                <w:szCs w:val="20"/>
                <w:lang w:val="en-US"/>
              </w:rPr>
              <w:t>.</w:t>
            </w:r>
          </w:p>
          <w:p w14:paraId="49ED7768" w14:textId="0E36AD04" w:rsidR="00743F22" w:rsidRPr="00973A03" w:rsidRDefault="00743F22" w:rsidP="00973A03">
            <w:pPr>
              <w:pStyle w:val="ListParagraph"/>
              <w:numPr>
                <w:ilvl w:val="0"/>
                <w:numId w:val="11"/>
              </w:numPr>
              <w:spacing w:after="0" w:line="240" w:lineRule="auto"/>
              <w:ind w:left="314" w:hanging="270"/>
              <w:contextualSpacing w:val="0"/>
              <w:mirrorIndents/>
              <w:rPr>
                <w:rFonts w:ascii="Times New Roman" w:hAnsi="Times New Roman"/>
                <w:sz w:val="20"/>
                <w:szCs w:val="20"/>
              </w:rPr>
            </w:pPr>
            <w:r w:rsidRPr="00973A03">
              <w:rPr>
                <w:rFonts w:ascii="Times New Roman" w:hAnsi="Times New Roman"/>
                <w:sz w:val="20"/>
                <w:szCs w:val="20"/>
              </w:rPr>
              <w:t>D2C experience, maintenance in care, and questions about the D2C program and out of care population</w:t>
            </w:r>
            <w:r w:rsidR="00BB0F3A" w:rsidRPr="00973A03">
              <w:rPr>
                <w:rFonts w:ascii="Times New Roman" w:hAnsi="Times New Roman"/>
                <w:sz w:val="20"/>
                <w:szCs w:val="20"/>
                <w:lang w:val="en-US"/>
              </w:rPr>
              <w:t>.</w:t>
            </w:r>
          </w:p>
          <w:p w14:paraId="5DA9A7CB" w14:textId="1B95EFFA" w:rsidR="00F72954" w:rsidRPr="00973A03" w:rsidRDefault="00F72954" w:rsidP="00973A03">
            <w:pPr>
              <w:pStyle w:val="ListParagraph"/>
              <w:spacing w:after="0" w:line="240" w:lineRule="auto"/>
              <w:ind w:left="152"/>
              <w:contextualSpacing w:val="0"/>
              <w:mirrorIndents/>
              <w:rPr>
                <w:sz w:val="20"/>
                <w:szCs w:val="20"/>
              </w:rPr>
            </w:pPr>
          </w:p>
        </w:tc>
      </w:tr>
    </w:tbl>
    <w:p w14:paraId="32E4AA00" w14:textId="77777777" w:rsidR="00F72954" w:rsidRDefault="00F72954" w:rsidP="00F95454">
      <w:pPr>
        <w:spacing w:before="120" w:after="120"/>
        <w:mirrorIndents/>
      </w:pPr>
    </w:p>
    <w:p w14:paraId="607EBA2E" w14:textId="650FCE14" w:rsidR="00CC6AB1" w:rsidRDefault="00CC6AB1" w:rsidP="00F95454">
      <w:pPr>
        <w:pStyle w:val="Heading1"/>
        <w:spacing w:before="120" w:after="120"/>
        <w:mirrorIndents/>
      </w:pPr>
      <w:r w:rsidRPr="00B12EA3">
        <w:t>Use of Improved Information Technology and Burden Reduction</w:t>
      </w:r>
      <w:bookmarkEnd w:id="3"/>
    </w:p>
    <w:p w14:paraId="54CD4506" w14:textId="20FB5072" w:rsidR="00E06F4F" w:rsidRDefault="00933271" w:rsidP="00F95454">
      <w:pPr>
        <w:spacing w:before="120" w:after="120"/>
        <w:mirrorIndents/>
      </w:pPr>
      <w:r w:rsidRPr="00F42159">
        <w:t xml:space="preserve">The contracting team </w:t>
      </w:r>
      <w:r w:rsidR="002F4995">
        <w:t xml:space="preserve">will screen potential </w:t>
      </w:r>
      <w:r w:rsidR="00823552">
        <w:t xml:space="preserve">D2C client </w:t>
      </w:r>
      <w:r w:rsidR="002F4995">
        <w:t xml:space="preserve">participants by telephone, Study staff from the contracting team </w:t>
      </w:r>
      <w:r w:rsidRPr="00F42159">
        <w:t xml:space="preserve">will conduct individual </w:t>
      </w:r>
      <w:r w:rsidR="00200B70">
        <w:t>IDIs</w:t>
      </w:r>
      <w:r w:rsidRPr="00F42159">
        <w:t xml:space="preserve"> at a time and location that is convenient to the participants. Telephone interviews or visual remote interviews (such as web or Skype interviews) are not a good vehicle for developing the necessary rapport between interviewer and </w:t>
      </w:r>
      <w:r w:rsidR="00591E48">
        <w:t xml:space="preserve">D2C client </w:t>
      </w:r>
      <w:r w:rsidR="003C10A5">
        <w:t>participant</w:t>
      </w:r>
      <w:r w:rsidRPr="00F42159">
        <w:t xml:space="preserve"> for a successful qualitative interview on a sensitive topic. Body language and facial cues are critical to understand where additional probing may be needed or should stop, and telephone or web interviews limit the interviewer’s abi</w:t>
      </w:r>
      <w:r w:rsidRPr="00C5458E">
        <w:t>lity to read both. Thus, the contracting team will conduct the i</w:t>
      </w:r>
      <w:r w:rsidR="00240E62">
        <w:t>ndividual IDIs</w:t>
      </w:r>
      <w:r w:rsidRPr="00C5458E">
        <w:t xml:space="preserve"> in person.</w:t>
      </w:r>
      <w:r w:rsidR="00F42159" w:rsidRPr="00C5458E">
        <w:t xml:space="preserve"> </w:t>
      </w:r>
    </w:p>
    <w:p w14:paraId="11A6A2D2" w14:textId="77777777" w:rsidR="00E06F4F" w:rsidRDefault="00E06F4F" w:rsidP="00F95454">
      <w:pPr>
        <w:spacing w:before="120" w:after="120"/>
        <w:mirrorIndents/>
      </w:pPr>
      <w:r>
        <w:t>A member of the study contractor team will invite D2C program staff to participate, either by telephone or by email. When possible, the contractor team will conduct face-to-face interviews with the D2C program staff participants. However, this may not always be possible because of busy work schedules for the D2C program staff. In those situations, some program staff may be conducted by phone instead of face-to-face.</w:t>
      </w:r>
    </w:p>
    <w:p w14:paraId="6A8EFB70" w14:textId="04E67CE5" w:rsidR="006775DC" w:rsidRDefault="00E06F4F" w:rsidP="00F95454">
      <w:pPr>
        <w:spacing w:before="120" w:after="120"/>
        <w:mirrorIndents/>
      </w:pPr>
      <w:r>
        <w:t>D2C client and D2C program staff will all be asked to provide a signed consent form prior to doing the interview. Two versions of the form will be used for the two groups (</w:t>
      </w:r>
      <w:r w:rsidRPr="00B64D28">
        <w:rPr>
          <w:b/>
        </w:rPr>
        <w:t>Attachment 2</w:t>
      </w:r>
      <w:r>
        <w:t xml:space="preserve">). </w:t>
      </w:r>
      <w:r w:rsidR="00933271" w:rsidRPr="00C5458E">
        <w:t>After asking for and re</w:t>
      </w:r>
      <w:r w:rsidR="00674DC2">
        <w:t xml:space="preserve">ceiving </w:t>
      </w:r>
      <w:r w:rsidR="00A63A65">
        <w:t>signed consent forms</w:t>
      </w:r>
      <w:r w:rsidR="00674DC2">
        <w:t xml:space="preserve"> from the participant</w:t>
      </w:r>
      <w:r w:rsidR="00933271" w:rsidRPr="00C5458E">
        <w:t xml:space="preserve">, the contracting team will audio-record the interviews and transcribe recordings after the interview. This limits the burden on the </w:t>
      </w:r>
      <w:r w:rsidR="00C03F9D">
        <w:t>participant</w:t>
      </w:r>
      <w:r w:rsidR="00933271" w:rsidRPr="00C5458E">
        <w:t xml:space="preserve"> (no additional burden after completing the interview) and allows the interviewer to focus on building and maintaining rapport with the </w:t>
      </w:r>
      <w:r w:rsidR="00C03F9D">
        <w:t>participant</w:t>
      </w:r>
      <w:r w:rsidR="00933271" w:rsidRPr="00C5458E">
        <w:t>.</w:t>
      </w:r>
    </w:p>
    <w:p w14:paraId="77A42E3E" w14:textId="77777777" w:rsidR="005E6F8D" w:rsidRDefault="005E6F8D" w:rsidP="00F95454">
      <w:pPr>
        <w:spacing w:before="120" w:after="120"/>
        <w:mirrorIndents/>
        <w:jc w:val="both"/>
      </w:pPr>
    </w:p>
    <w:p w14:paraId="0F163E5C" w14:textId="22597E96" w:rsidR="00CC6AB1" w:rsidRDefault="00CC6AB1" w:rsidP="00F95454">
      <w:pPr>
        <w:pStyle w:val="Heading1"/>
        <w:spacing w:before="120" w:after="120"/>
        <w:mirrorIndents/>
      </w:pPr>
      <w:bookmarkStart w:id="5" w:name="_Toc448296075"/>
      <w:r w:rsidRPr="00B12EA3">
        <w:t>Efforts to Identify Duplication and Use of Similar Information</w:t>
      </w:r>
      <w:bookmarkEnd w:id="5"/>
    </w:p>
    <w:p w14:paraId="6C5766A6" w14:textId="632287AC" w:rsidR="00933271" w:rsidRPr="003A6A6C" w:rsidRDefault="00082EA9" w:rsidP="003A6A6C">
      <w:pPr>
        <w:tabs>
          <w:tab w:val="left" w:pos="720"/>
        </w:tabs>
        <w:spacing w:before="120" w:after="120"/>
        <w:mirrorIndents/>
        <w:rPr>
          <w:rFonts w:eastAsia="Calibri"/>
        </w:rPr>
      </w:pPr>
      <w:r w:rsidRPr="00A04495">
        <w:t xml:space="preserve">This study will </w:t>
      </w:r>
      <w:r w:rsidR="003A6A6C">
        <w:t xml:space="preserve">gather information about </w:t>
      </w:r>
      <w:r w:rsidR="00A04495" w:rsidRPr="00A04495">
        <w:t>approaches that have been effective in implementing D2C programs and how health departments use D2C strategies to link and (re)engage PLWH in care</w:t>
      </w:r>
      <w:r w:rsidRPr="00A04495">
        <w:t xml:space="preserve">. </w:t>
      </w:r>
      <w:r w:rsidR="00A04495" w:rsidRPr="00A04495">
        <w:rPr>
          <w:rFonts w:eastAsia="Calibri"/>
        </w:rPr>
        <w:t>With very</w:t>
      </w:r>
      <w:r w:rsidR="00B148B5">
        <w:rPr>
          <w:rFonts w:eastAsia="Calibri"/>
        </w:rPr>
        <w:t xml:space="preserve"> few exceptions,</w:t>
      </w:r>
      <w:r w:rsidR="00A04495">
        <w:rPr>
          <w:rFonts w:eastAsia="Calibri"/>
        </w:rPr>
        <w:t xml:space="preserve"> there is insufficient information on how </w:t>
      </w:r>
      <w:r w:rsidR="00C03F9D">
        <w:rPr>
          <w:rFonts w:eastAsia="Calibri"/>
        </w:rPr>
        <w:t>D2C clients</w:t>
      </w:r>
      <w:r w:rsidR="00A04495">
        <w:rPr>
          <w:rFonts w:eastAsia="Calibri"/>
        </w:rPr>
        <w:t xml:space="preserve"> or D2C program staff view the strengths and challenges of their local D2C </w:t>
      </w:r>
      <w:r w:rsidR="00A04495" w:rsidRPr="00B148B5">
        <w:rPr>
          <w:rFonts w:eastAsia="Calibri"/>
        </w:rPr>
        <w:t>programs,</w:t>
      </w:r>
      <w:r w:rsidR="00276C85" w:rsidRPr="00B148B5">
        <w:rPr>
          <w:rFonts w:eastAsia="Calibri"/>
        </w:rPr>
        <w:t xml:space="preserve"> (16) d</w:t>
      </w:r>
      <w:r w:rsidR="00A04495" w:rsidRPr="00B148B5">
        <w:rPr>
          <w:rFonts w:eastAsia="Calibri"/>
        </w:rPr>
        <w:t>ata</w:t>
      </w:r>
      <w:r w:rsidR="00A04495">
        <w:rPr>
          <w:rFonts w:eastAsia="Calibri"/>
        </w:rPr>
        <w:t xml:space="preserve"> crucial to developing sustainable D2C programs. </w:t>
      </w:r>
      <w:r w:rsidR="003A6A6C">
        <w:rPr>
          <w:rFonts w:eastAsia="Calibri"/>
        </w:rPr>
        <w:t>Therefore, i</w:t>
      </w:r>
      <w:r w:rsidR="00A04495">
        <w:rPr>
          <w:rFonts w:eastAsia="Calibri"/>
        </w:rPr>
        <w:t xml:space="preserve">t would be beneficial for CDC and new D2C programs to learn successes, challenges, and lessons learned from well-established D2C programs. </w:t>
      </w:r>
      <w:r w:rsidR="00815C35" w:rsidRPr="00A04495">
        <w:t>While we expect that some of the factors associate</w:t>
      </w:r>
      <w:r w:rsidR="00DC0C2E" w:rsidRPr="00A04495">
        <w:t>d</w:t>
      </w:r>
      <w:r w:rsidR="00815C35" w:rsidRPr="00A04495">
        <w:t xml:space="preserve"> with </w:t>
      </w:r>
      <w:r w:rsidR="00A04495" w:rsidRPr="00A04495">
        <w:t>D2C programs</w:t>
      </w:r>
      <w:r w:rsidR="00815C35" w:rsidRPr="00A04495">
        <w:t xml:space="preserve"> will be </w:t>
      </w:r>
      <w:r w:rsidR="00DC0C2E" w:rsidRPr="00A04495">
        <w:t xml:space="preserve">similar across all </w:t>
      </w:r>
      <w:r w:rsidR="007F7EDD" w:rsidRPr="00A04495">
        <w:t xml:space="preserve">the </w:t>
      </w:r>
      <w:r w:rsidR="00DC0C2E" w:rsidRPr="00A04495">
        <w:t xml:space="preserve">sites, </w:t>
      </w:r>
      <w:r w:rsidR="00815C35" w:rsidRPr="00A04495">
        <w:t xml:space="preserve">we also expect that many of the findings will be unique to each jurisdiction. </w:t>
      </w:r>
      <w:r w:rsidR="00A04495" w:rsidRPr="00A04495">
        <w:t xml:space="preserve">Thus, </w:t>
      </w:r>
      <w:r w:rsidR="003A6A6C">
        <w:t xml:space="preserve">The Agency </w:t>
      </w:r>
      <w:r w:rsidR="00933271" w:rsidRPr="00A04495">
        <w:t>believes this informa</w:t>
      </w:r>
      <w:r w:rsidR="003A6A6C">
        <w:t xml:space="preserve">tion is not captured elsewhere, and that </w:t>
      </w:r>
      <w:r w:rsidR="00933271" w:rsidRPr="00A04495">
        <w:t>no other data collection effort has been conducted or has been planned to collect similar information for this population</w:t>
      </w:r>
      <w:r w:rsidR="00815C35" w:rsidRPr="00A04495">
        <w:t xml:space="preserve"> in these jurisdictions</w:t>
      </w:r>
      <w:r w:rsidR="00933271" w:rsidRPr="00A04495">
        <w:t xml:space="preserve">. </w:t>
      </w:r>
      <w:r w:rsidR="003A6A6C">
        <w:t xml:space="preserve">Additionally, the Agency </w:t>
      </w:r>
      <w:r w:rsidR="00DC0C2E" w:rsidRPr="00A04495">
        <w:t xml:space="preserve">conducted a review of similar studies and determined that this study is collecting unique information. </w:t>
      </w:r>
      <w:r w:rsidR="00933271" w:rsidRPr="00A04495">
        <w:t xml:space="preserve">Therefore, our evaluation requires the collection of this new primary data. There would be no reason for another Federal Agency to evaluate </w:t>
      </w:r>
      <w:r w:rsidR="00582903" w:rsidRPr="00A04495">
        <w:t>these research questions</w:t>
      </w:r>
      <w:r w:rsidR="00933271" w:rsidRPr="00A04495">
        <w:t>.</w:t>
      </w:r>
    </w:p>
    <w:p w14:paraId="3697F9FB" w14:textId="77777777" w:rsidR="00F95454" w:rsidRDefault="00F95454" w:rsidP="00F95454">
      <w:pPr>
        <w:spacing w:before="120" w:after="120"/>
        <w:mirrorIndents/>
      </w:pPr>
    </w:p>
    <w:p w14:paraId="45B921C7" w14:textId="5E59F610" w:rsidR="00CC6AB1" w:rsidRDefault="00CC6AB1" w:rsidP="00F95454">
      <w:pPr>
        <w:pStyle w:val="Heading1"/>
        <w:spacing w:before="120" w:after="120"/>
        <w:mirrorIndents/>
      </w:pPr>
      <w:bookmarkStart w:id="6" w:name="_Toc448296076"/>
      <w:r w:rsidRPr="00B12EA3">
        <w:t>Impact on Small Businesses or Other Small Entities</w:t>
      </w:r>
      <w:bookmarkEnd w:id="6"/>
    </w:p>
    <w:p w14:paraId="544AD443" w14:textId="27F4F996" w:rsidR="00CC6AB1" w:rsidRDefault="00CC6AB1" w:rsidP="00F95454">
      <w:pPr>
        <w:spacing w:before="120" w:after="120"/>
        <w:mirrorIndents/>
      </w:pPr>
      <w:r w:rsidRPr="00F42159">
        <w:t xml:space="preserve">This </w:t>
      </w:r>
      <w:r w:rsidR="00E368ED" w:rsidRPr="00F42159">
        <w:t xml:space="preserve">information </w:t>
      </w:r>
      <w:r w:rsidRPr="00F42159">
        <w:t>collection does not involve burden to small businesses or other small entities.</w:t>
      </w:r>
    </w:p>
    <w:p w14:paraId="7C17A669" w14:textId="77777777" w:rsidR="00F95454" w:rsidRDefault="00F95454" w:rsidP="00F95454">
      <w:pPr>
        <w:spacing w:before="120" w:after="120"/>
        <w:mirrorIndents/>
      </w:pPr>
    </w:p>
    <w:p w14:paraId="55BE02A1" w14:textId="1A42ADD3" w:rsidR="00CC6AB1" w:rsidRDefault="00CC6AB1" w:rsidP="00F95454">
      <w:pPr>
        <w:pStyle w:val="Heading1"/>
        <w:spacing w:before="120" w:after="120"/>
        <w:mirrorIndents/>
      </w:pPr>
      <w:bookmarkStart w:id="7" w:name="_Toc448296077"/>
      <w:r w:rsidRPr="00F9622C">
        <w:t>Consequences</w:t>
      </w:r>
      <w:r w:rsidRPr="00B12EA3">
        <w:t xml:space="preserve"> of Collecting the Information Less Frequently</w:t>
      </w:r>
      <w:bookmarkEnd w:id="7"/>
    </w:p>
    <w:p w14:paraId="03741B81" w14:textId="06714D51" w:rsidR="00A51C29" w:rsidRDefault="007F7EDD" w:rsidP="00F95454">
      <w:pPr>
        <w:spacing w:before="120" w:after="120"/>
        <w:mirrorIndents/>
        <w:rPr>
          <w:bCs/>
          <w:lang w:bidi="en-US"/>
        </w:rPr>
      </w:pPr>
      <w:r w:rsidRPr="00A04495">
        <w:rPr>
          <w:bCs/>
        </w:rPr>
        <w:t xml:space="preserve">This information collection </w:t>
      </w:r>
      <w:r w:rsidR="00DC0C2E" w:rsidRPr="00A04495">
        <w:rPr>
          <w:bCs/>
        </w:rPr>
        <w:t xml:space="preserve">will provide the primary qualitative data needed to understand </w:t>
      </w:r>
      <w:r w:rsidR="00A04495" w:rsidRPr="00A04495">
        <w:t>how health departments use D2C to link and (re)engage PLWH in care</w:t>
      </w:r>
      <w:r w:rsidR="002C3AE2" w:rsidRPr="00A04495">
        <w:rPr>
          <w:bCs/>
        </w:rPr>
        <w:t xml:space="preserve">. If this case study were not conducted, it would not be possible to form an in-depth contextual understanding </w:t>
      </w:r>
      <w:r w:rsidR="002C3AE2" w:rsidRPr="00A04495">
        <w:rPr>
          <w:bCs/>
          <w:lang w:bidi="en-US"/>
        </w:rPr>
        <w:t>of local jurisdictional needs for</w:t>
      </w:r>
      <w:r w:rsidR="000747AC">
        <w:rPr>
          <w:bCs/>
          <w:lang w:bidi="en-US"/>
        </w:rPr>
        <w:t xml:space="preserve"> </w:t>
      </w:r>
      <w:r w:rsidR="00F83380">
        <w:rPr>
          <w:bCs/>
          <w:lang w:bidi="en-US"/>
        </w:rPr>
        <w:t>improving D2C programs</w:t>
      </w:r>
      <w:r w:rsidR="002C3AE2" w:rsidRPr="00A04495">
        <w:rPr>
          <w:bCs/>
          <w:lang w:bidi="en-US"/>
        </w:rPr>
        <w:t>.</w:t>
      </w:r>
      <w:r w:rsidR="00582903" w:rsidRPr="00A04495">
        <w:rPr>
          <w:bCs/>
          <w:lang w:bidi="en-US"/>
        </w:rPr>
        <w:t xml:space="preserve"> </w:t>
      </w:r>
      <w:r w:rsidR="00E344D5" w:rsidRPr="00A04495">
        <w:rPr>
          <w:bCs/>
          <w:lang w:bidi="en-US"/>
        </w:rPr>
        <w:t xml:space="preserve">Collecting this type of jurisdiction-specific information is important, as </w:t>
      </w:r>
      <w:r w:rsidR="007F1E53" w:rsidRPr="00A04495">
        <w:rPr>
          <w:bCs/>
          <w:lang w:bidi="en-US"/>
        </w:rPr>
        <w:t>it will allow</w:t>
      </w:r>
      <w:r w:rsidR="00E344D5" w:rsidRPr="00A04495">
        <w:rPr>
          <w:bCs/>
          <w:lang w:bidi="en-US"/>
        </w:rPr>
        <w:t xml:space="preserve"> us to provide feedback to heal</w:t>
      </w:r>
      <w:r w:rsidR="00E344D5" w:rsidRPr="00565EDB">
        <w:rPr>
          <w:bCs/>
          <w:lang w:bidi="en-US"/>
        </w:rPr>
        <w:t xml:space="preserve">th department staff and other stakeholders that is relevant to the local context and can be used to </w:t>
      </w:r>
      <w:r w:rsidR="00A04495" w:rsidRPr="00565EDB">
        <w:rPr>
          <w:bCs/>
          <w:lang w:bidi="en-US"/>
        </w:rPr>
        <w:t xml:space="preserve">develop and </w:t>
      </w:r>
      <w:r w:rsidR="00E344D5" w:rsidRPr="00565EDB">
        <w:rPr>
          <w:bCs/>
          <w:lang w:bidi="en-US"/>
        </w:rPr>
        <w:t xml:space="preserve">tailor </w:t>
      </w:r>
      <w:r w:rsidR="00A04495" w:rsidRPr="00565EDB">
        <w:rPr>
          <w:bCs/>
          <w:lang w:bidi="en-US"/>
        </w:rPr>
        <w:t>D2C programs</w:t>
      </w:r>
      <w:r w:rsidR="00E344D5" w:rsidRPr="00565EDB">
        <w:rPr>
          <w:bCs/>
          <w:lang w:bidi="en-US"/>
        </w:rPr>
        <w:t xml:space="preserve">. </w:t>
      </w:r>
      <w:r w:rsidR="002C3AE2" w:rsidRPr="00565EDB">
        <w:rPr>
          <w:bCs/>
          <w:lang w:bidi="en-US"/>
        </w:rPr>
        <w:t xml:space="preserve">The </w:t>
      </w:r>
      <w:r w:rsidR="004C581B">
        <w:rPr>
          <w:bCs/>
          <w:lang w:bidi="en-US"/>
        </w:rPr>
        <w:t xml:space="preserve">total </w:t>
      </w:r>
      <w:r w:rsidR="002C3AE2" w:rsidRPr="00565EDB">
        <w:rPr>
          <w:bCs/>
          <w:lang w:bidi="en-US"/>
        </w:rPr>
        <w:t xml:space="preserve">length of data collection </w:t>
      </w:r>
      <w:r w:rsidR="004F56DE" w:rsidRPr="00565EDB">
        <w:rPr>
          <w:bCs/>
          <w:lang w:bidi="en-US"/>
        </w:rPr>
        <w:t>is 3-4 months and data will only be collected once.</w:t>
      </w:r>
    </w:p>
    <w:p w14:paraId="660C26E5" w14:textId="77777777" w:rsidR="00316981" w:rsidRDefault="00316981" w:rsidP="00F95454">
      <w:pPr>
        <w:spacing w:before="120" w:after="120"/>
        <w:mirrorIndents/>
      </w:pPr>
    </w:p>
    <w:p w14:paraId="19581741" w14:textId="36DB443F" w:rsidR="00CC6AB1" w:rsidRDefault="00CC6AB1" w:rsidP="00F95454">
      <w:pPr>
        <w:pStyle w:val="Heading1"/>
        <w:spacing w:before="120" w:after="120"/>
        <w:mirrorIndents/>
      </w:pPr>
      <w:bookmarkStart w:id="8" w:name="_Toc448296078"/>
      <w:r w:rsidRPr="00B12EA3">
        <w:t>Special Circumstances Relating to the Guidelines of 5 CFR 1320.5</w:t>
      </w:r>
      <w:bookmarkEnd w:id="8"/>
    </w:p>
    <w:p w14:paraId="5C965F8D" w14:textId="41137467" w:rsidR="00CC6AB1" w:rsidRDefault="00CC6AB1" w:rsidP="00F95454">
      <w:pPr>
        <w:spacing w:before="120" w:after="120"/>
        <w:mirrorIndents/>
      </w:pPr>
      <w:r w:rsidRPr="00A04495">
        <w:t>This data collection effort does not involve any special circumstances.</w:t>
      </w:r>
    </w:p>
    <w:p w14:paraId="226566BE" w14:textId="77777777" w:rsidR="00F95454" w:rsidRPr="00D467C4" w:rsidRDefault="00F95454" w:rsidP="00F95454">
      <w:pPr>
        <w:spacing w:before="120" w:after="120"/>
        <w:mirrorIndents/>
      </w:pPr>
    </w:p>
    <w:p w14:paraId="0FDC9E36" w14:textId="109020A0" w:rsidR="00CC6AB1" w:rsidRDefault="00CC6AB1" w:rsidP="00F95454">
      <w:pPr>
        <w:pStyle w:val="Heading1"/>
        <w:spacing w:before="120" w:after="120"/>
        <w:mirrorIndents/>
      </w:pPr>
      <w:bookmarkStart w:id="9" w:name="_Toc448296079"/>
      <w:r w:rsidRPr="00B12EA3">
        <w:t>Comments in Response to the Federal Register Notice and Efforts to Consult Outside the Agency</w:t>
      </w:r>
      <w:bookmarkEnd w:id="9"/>
    </w:p>
    <w:p w14:paraId="74F8AA59" w14:textId="3B1A9AEB" w:rsidR="00CC6AB1" w:rsidRPr="00973A03" w:rsidRDefault="00CC6AB1" w:rsidP="00F95454">
      <w:pPr>
        <w:spacing w:before="120" w:after="120"/>
        <w:mirrorIndents/>
      </w:pPr>
      <w:r w:rsidRPr="00973A03">
        <w:t>A 60 day FRN notice to solicit public comments was published for the Generic umbrella collection (0920-</w:t>
      </w:r>
      <w:r w:rsidR="00D329C3" w:rsidRPr="00973A03">
        <w:t>1091</w:t>
      </w:r>
      <w:r w:rsidRPr="00973A03">
        <w:t xml:space="preserve">) in the Federal Register on </w:t>
      </w:r>
      <w:r w:rsidR="00F15707" w:rsidRPr="00973A03">
        <w:t>02/24/2015</w:t>
      </w:r>
      <w:r w:rsidRPr="00973A03">
        <w:t>, Volume 80, Number</w:t>
      </w:r>
      <w:r w:rsidR="00F15707" w:rsidRPr="00973A03">
        <w:t xml:space="preserve"> 36</w:t>
      </w:r>
      <w:r w:rsidRPr="00973A03">
        <w:t xml:space="preserve">, Page Number </w:t>
      </w:r>
      <w:r w:rsidR="00F15707" w:rsidRPr="00973A03">
        <w:t>9727</w:t>
      </w:r>
      <w:r w:rsidRPr="00973A03">
        <w:t>-</w:t>
      </w:r>
      <w:r w:rsidR="00F15707" w:rsidRPr="00973A03">
        <w:t>9728</w:t>
      </w:r>
      <w:r w:rsidRPr="00973A03">
        <w:t>.   No public comments were received.</w:t>
      </w:r>
    </w:p>
    <w:p w14:paraId="5700D26F" w14:textId="5E874EDC" w:rsidR="00C1216F" w:rsidRPr="003A6A6C" w:rsidRDefault="00C1216F" w:rsidP="00F95454">
      <w:pPr>
        <w:spacing w:before="120" w:after="120"/>
        <w:mirrorIndents/>
      </w:pPr>
      <w:r w:rsidRPr="003A6A6C">
        <w:t xml:space="preserve">In addition, Emory University, </w:t>
      </w:r>
      <w:r w:rsidR="00F15707" w:rsidRPr="003A6A6C">
        <w:t>Research Support Services</w:t>
      </w:r>
      <w:r w:rsidRPr="003A6A6C">
        <w:t xml:space="preserve">, </w:t>
      </w:r>
      <w:r w:rsidR="00441432" w:rsidRPr="003A6A6C">
        <w:t xml:space="preserve">and </w:t>
      </w:r>
      <w:r w:rsidR="00F15707" w:rsidRPr="003A6A6C">
        <w:t>IMPAQ International</w:t>
      </w:r>
      <w:r w:rsidR="00A71916" w:rsidRPr="003A6A6C">
        <w:t xml:space="preserve"> were consulted for the development of this study. There were no unresolved issues associated with the consultation process. </w:t>
      </w:r>
      <w:r w:rsidR="00A71916" w:rsidRPr="00973A03">
        <w:t>Aside from the official 60 day public comment period</w:t>
      </w:r>
      <w:r w:rsidR="0014691A" w:rsidRPr="00973A03">
        <w:t xml:space="preserve"> for the Generic data collection</w:t>
      </w:r>
      <w:r w:rsidR="00A71916" w:rsidRPr="00973A03">
        <w:t xml:space="preserve">, there were no other public contacts or opportunities for public comment on this </w:t>
      </w:r>
      <w:r w:rsidR="007F7EDD" w:rsidRPr="00973A03">
        <w:t>information collection</w:t>
      </w:r>
      <w:r w:rsidR="00A71916" w:rsidRPr="00973A03">
        <w:t>.</w:t>
      </w:r>
      <w:r w:rsidR="00A71916" w:rsidRPr="003A6A6C">
        <w:t xml:space="preserve"> </w:t>
      </w:r>
    </w:p>
    <w:tbl>
      <w:tblPr>
        <w:tblStyle w:val="TableGrid"/>
        <w:tblW w:w="0" w:type="auto"/>
        <w:tblLook w:val="04A0" w:firstRow="1" w:lastRow="0" w:firstColumn="1" w:lastColumn="0" w:noHBand="0" w:noVBand="1"/>
      </w:tblPr>
      <w:tblGrid>
        <w:gridCol w:w="5035"/>
        <w:gridCol w:w="5035"/>
      </w:tblGrid>
      <w:tr w:rsidR="00A71916" w14:paraId="4ADCB37A" w14:textId="77777777" w:rsidTr="00A71916">
        <w:tc>
          <w:tcPr>
            <w:tcW w:w="5035" w:type="dxa"/>
          </w:tcPr>
          <w:p w14:paraId="7DC8396B" w14:textId="195208E1" w:rsidR="00A71916" w:rsidRPr="00F94F35" w:rsidRDefault="009501CD" w:rsidP="00F95454">
            <w:pPr>
              <w:mirrorIndents/>
            </w:pPr>
            <w:r w:rsidRPr="00F94F35">
              <w:t xml:space="preserve">Paula Frew, </w:t>
            </w:r>
            <w:r w:rsidR="00E26604">
              <w:t>Emory Team Lead</w:t>
            </w:r>
          </w:p>
          <w:p w14:paraId="054FC5A5" w14:textId="286B6B41" w:rsidR="009501CD" w:rsidRPr="00F94F35" w:rsidRDefault="009501CD" w:rsidP="00F95454">
            <w:pPr>
              <w:mirrorIndents/>
            </w:pPr>
            <w:r w:rsidRPr="00F94F35">
              <w:t>Emory University</w:t>
            </w:r>
            <w:r w:rsidR="00334FDA" w:rsidRPr="00F94F35">
              <w:t xml:space="preserve"> Rollins School of Public Health</w:t>
            </w:r>
          </w:p>
          <w:p w14:paraId="2576CB2F" w14:textId="76DF2B44" w:rsidR="00334FDA" w:rsidRPr="00F94F35" w:rsidRDefault="00334FDA" w:rsidP="00F95454">
            <w:pPr>
              <w:mirrorIndents/>
            </w:pPr>
            <w:r w:rsidRPr="00F94F35">
              <w:t>1518 Clifton Rd</w:t>
            </w:r>
          </w:p>
          <w:p w14:paraId="6A8BC078" w14:textId="2980CF6E" w:rsidR="00334FDA" w:rsidRPr="00F94F35" w:rsidRDefault="00334FDA" w:rsidP="00F95454">
            <w:pPr>
              <w:mirrorIndents/>
            </w:pPr>
            <w:r w:rsidRPr="00F94F35">
              <w:t>Atlanta, GA 30322</w:t>
            </w:r>
          </w:p>
          <w:p w14:paraId="1207F669" w14:textId="1DE3C5DD" w:rsidR="009501CD" w:rsidRPr="00F94F35" w:rsidRDefault="004B5036" w:rsidP="00F95454">
            <w:pPr>
              <w:mirrorIndents/>
            </w:pPr>
            <w:r>
              <w:t xml:space="preserve">Phone: </w:t>
            </w:r>
            <w:r w:rsidR="00334FDA" w:rsidRPr="00F94F35">
              <w:t>404-712-8546</w:t>
            </w:r>
          </w:p>
          <w:p w14:paraId="055A2B75" w14:textId="67ACB181" w:rsidR="00334FDA" w:rsidRPr="00F94F35" w:rsidRDefault="00537EB1" w:rsidP="00F95454">
            <w:pPr>
              <w:mirrorIndents/>
            </w:pPr>
            <w:hyperlink r:id="rId9" w:history="1">
              <w:r w:rsidR="00334FDA" w:rsidRPr="00F94F35">
                <w:rPr>
                  <w:rStyle w:val="Hyperlink"/>
                </w:rPr>
                <w:t>pfrew@emory.edu</w:t>
              </w:r>
            </w:hyperlink>
            <w:r w:rsidR="00334FDA" w:rsidRPr="00F94F35">
              <w:t xml:space="preserve"> </w:t>
            </w:r>
          </w:p>
        </w:tc>
        <w:tc>
          <w:tcPr>
            <w:tcW w:w="5035" w:type="dxa"/>
          </w:tcPr>
          <w:p w14:paraId="5091DA48" w14:textId="3549E86D" w:rsidR="00A71916" w:rsidRPr="00F94F35" w:rsidRDefault="00026DB7" w:rsidP="00F95454">
            <w:pPr>
              <w:mirrorIndents/>
            </w:pPr>
            <w:r w:rsidRPr="00F94F35">
              <w:t xml:space="preserve">Laura Randall, </w:t>
            </w:r>
            <w:r w:rsidR="004713DD">
              <w:t>Project Manager</w:t>
            </w:r>
          </w:p>
          <w:p w14:paraId="066FD879" w14:textId="77777777" w:rsidR="00026DB7" w:rsidRPr="00F94F35" w:rsidRDefault="00026DB7" w:rsidP="00F95454">
            <w:pPr>
              <w:mirrorIndents/>
            </w:pPr>
            <w:r w:rsidRPr="00F94F35">
              <w:t>Emory University Rollins School of Public Health</w:t>
            </w:r>
          </w:p>
          <w:p w14:paraId="4FF57B7B" w14:textId="77777777" w:rsidR="00026DB7" w:rsidRPr="00F94F35" w:rsidRDefault="00026DB7" w:rsidP="00F95454">
            <w:pPr>
              <w:mirrorIndents/>
            </w:pPr>
            <w:r w:rsidRPr="00F94F35">
              <w:t>1518 Clifton Rd</w:t>
            </w:r>
          </w:p>
          <w:p w14:paraId="62D7600E" w14:textId="08717D06" w:rsidR="00026DB7" w:rsidRDefault="00026DB7" w:rsidP="00F95454">
            <w:pPr>
              <w:mirrorIndents/>
            </w:pPr>
            <w:r w:rsidRPr="00F94F35">
              <w:t>Atlanta, GA 30322</w:t>
            </w:r>
          </w:p>
          <w:p w14:paraId="04D606A1" w14:textId="3E17722B" w:rsidR="004B5036" w:rsidRPr="00F94F35" w:rsidRDefault="004B5036" w:rsidP="00F95454">
            <w:pPr>
              <w:mirrorIndents/>
            </w:pPr>
            <w:r>
              <w:t>Phone: 404-727-2994</w:t>
            </w:r>
          </w:p>
          <w:p w14:paraId="6F41D030" w14:textId="6536A35B" w:rsidR="00026DB7" w:rsidRPr="00F94F35" w:rsidRDefault="00537EB1" w:rsidP="00F95454">
            <w:pPr>
              <w:mirrorIndents/>
            </w:pPr>
            <w:hyperlink r:id="rId10" w:history="1">
              <w:r w:rsidR="00026DB7" w:rsidRPr="00F94F35">
                <w:rPr>
                  <w:rStyle w:val="Hyperlink"/>
                </w:rPr>
                <w:t>laura.randall@emory.edu</w:t>
              </w:r>
            </w:hyperlink>
            <w:r w:rsidR="00026DB7" w:rsidRPr="00F94F35">
              <w:t xml:space="preserve"> </w:t>
            </w:r>
          </w:p>
        </w:tc>
      </w:tr>
      <w:tr w:rsidR="00A71916" w14:paraId="7B26C142" w14:textId="77777777" w:rsidTr="004B5036">
        <w:trPr>
          <w:trHeight w:val="1664"/>
        </w:trPr>
        <w:tc>
          <w:tcPr>
            <w:tcW w:w="5035" w:type="dxa"/>
          </w:tcPr>
          <w:p w14:paraId="6FB6C701" w14:textId="7B8CF5FD" w:rsidR="00026DB7" w:rsidRPr="00F94F35" w:rsidRDefault="00026DB7" w:rsidP="00F95454">
            <w:pPr>
              <w:mirrorIndents/>
              <w:rPr>
                <w:color w:val="000000"/>
              </w:rPr>
            </w:pPr>
            <w:r w:rsidRPr="00F94F35">
              <w:rPr>
                <w:color w:val="000000"/>
              </w:rPr>
              <w:t xml:space="preserve">Alisu Schoua-Glusberg, Project Director </w:t>
            </w:r>
          </w:p>
          <w:p w14:paraId="51FD60C8" w14:textId="77777777" w:rsidR="00026DB7" w:rsidRPr="00F94F35" w:rsidRDefault="00026DB7" w:rsidP="00F95454">
            <w:pPr>
              <w:mirrorIndents/>
              <w:rPr>
                <w:color w:val="000000"/>
              </w:rPr>
            </w:pPr>
            <w:r w:rsidRPr="00F94F35">
              <w:rPr>
                <w:color w:val="000000"/>
              </w:rPr>
              <w:t xml:space="preserve">Research Support Services, Inc. </w:t>
            </w:r>
          </w:p>
          <w:p w14:paraId="0076B665" w14:textId="77777777" w:rsidR="00026DB7" w:rsidRPr="00F94F35" w:rsidRDefault="00026DB7" w:rsidP="00F95454">
            <w:pPr>
              <w:mirrorIndents/>
              <w:rPr>
                <w:color w:val="000000"/>
              </w:rPr>
            </w:pPr>
            <w:r w:rsidRPr="00F94F35">
              <w:rPr>
                <w:color w:val="000000"/>
              </w:rPr>
              <w:t xml:space="preserve">906 Ridge Ave. </w:t>
            </w:r>
          </w:p>
          <w:p w14:paraId="653FFD15" w14:textId="77777777" w:rsidR="00026DB7" w:rsidRPr="00F94F35" w:rsidRDefault="00026DB7" w:rsidP="00F95454">
            <w:pPr>
              <w:mirrorIndents/>
              <w:rPr>
                <w:color w:val="000000"/>
              </w:rPr>
            </w:pPr>
            <w:r w:rsidRPr="00F94F35">
              <w:rPr>
                <w:color w:val="000000"/>
              </w:rPr>
              <w:t>Evanston, IL 60202-1720</w:t>
            </w:r>
          </w:p>
          <w:p w14:paraId="62DCF7E7" w14:textId="77777777" w:rsidR="00026DB7" w:rsidRPr="00F94F35" w:rsidRDefault="00026DB7" w:rsidP="00F95454">
            <w:pPr>
              <w:mirrorIndents/>
              <w:rPr>
                <w:color w:val="000000"/>
              </w:rPr>
            </w:pPr>
            <w:r w:rsidRPr="00F94F35">
              <w:rPr>
                <w:color w:val="000000"/>
              </w:rPr>
              <w:t>Phone:  847-864-5677</w:t>
            </w:r>
          </w:p>
          <w:p w14:paraId="0FDE3AD8" w14:textId="14D0ACC9" w:rsidR="00A71916" w:rsidRPr="00F94F35" w:rsidRDefault="00537EB1" w:rsidP="00F95454">
            <w:pPr>
              <w:mirrorIndents/>
              <w:rPr>
                <w:color w:val="000000"/>
              </w:rPr>
            </w:pPr>
            <w:hyperlink r:id="rId11" w:history="1">
              <w:r w:rsidR="00026DB7" w:rsidRPr="00F94F35">
                <w:rPr>
                  <w:rStyle w:val="Hyperlink"/>
                </w:rPr>
                <w:t>alisu@researchsupportservices.com</w:t>
              </w:r>
            </w:hyperlink>
            <w:r w:rsidR="00026DB7" w:rsidRPr="00F94F35">
              <w:rPr>
                <w:color w:val="000000"/>
              </w:rPr>
              <w:t xml:space="preserve"> </w:t>
            </w:r>
          </w:p>
        </w:tc>
        <w:tc>
          <w:tcPr>
            <w:tcW w:w="5035" w:type="dxa"/>
          </w:tcPr>
          <w:p w14:paraId="4E7DE7C3" w14:textId="210315A7" w:rsidR="00A71916" w:rsidRPr="00F94F35" w:rsidRDefault="00A04495" w:rsidP="00F95454">
            <w:pPr>
              <w:mirrorIndents/>
            </w:pPr>
            <w:r w:rsidRPr="00F94F35">
              <w:t>Casey Tesfaye, Project Manager</w:t>
            </w:r>
          </w:p>
          <w:p w14:paraId="3E811F16" w14:textId="77777777" w:rsidR="00A04495" w:rsidRPr="00F94F35" w:rsidRDefault="00A04495" w:rsidP="00F95454">
            <w:pPr>
              <w:mirrorIndents/>
              <w:rPr>
                <w:color w:val="000000"/>
              </w:rPr>
            </w:pPr>
            <w:r w:rsidRPr="00F94F35">
              <w:rPr>
                <w:color w:val="000000"/>
              </w:rPr>
              <w:t xml:space="preserve">Research Support Services, Inc. </w:t>
            </w:r>
          </w:p>
          <w:p w14:paraId="7A9257E5" w14:textId="77777777" w:rsidR="00A04495" w:rsidRPr="00F94F35" w:rsidRDefault="00A04495" w:rsidP="00F95454">
            <w:pPr>
              <w:mirrorIndents/>
              <w:rPr>
                <w:color w:val="000000"/>
              </w:rPr>
            </w:pPr>
            <w:r w:rsidRPr="00F94F35">
              <w:rPr>
                <w:color w:val="000000"/>
              </w:rPr>
              <w:t xml:space="preserve">906 Ridge Ave. </w:t>
            </w:r>
          </w:p>
          <w:p w14:paraId="5B42E247" w14:textId="77777777" w:rsidR="00A04495" w:rsidRPr="00F94F35" w:rsidRDefault="00A04495" w:rsidP="00F95454">
            <w:pPr>
              <w:mirrorIndents/>
              <w:rPr>
                <w:color w:val="000000"/>
              </w:rPr>
            </w:pPr>
            <w:r w:rsidRPr="00F94F35">
              <w:rPr>
                <w:color w:val="000000"/>
              </w:rPr>
              <w:t>Evanston, IL 60202-1720</w:t>
            </w:r>
          </w:p>
          <w:p w14:paraId="5660BBA0" w14:textId="04DB0DF2" w:rsidR="00A04495" w:rsidRPr="00F94F35" w:rsidRDefault="004B5036" w:rsidP="00F95454">
            <w:pPr>
              <w:mirrorIndents/>
            </w:pPr>
            <w:r>
              <w:t>Phone: 847-864-5677</w:t>
            </w:r>
          </w:p>
          <w:p w14:paraId="5B843D0B" w14:textId="4D04207C" w:rsidR="00F94F35" w:rsidRPr="00F94F35" w:rsidRDefault="00537EB1" w:rsidP="00F95454">
            <w:pPr>
              <w:mirrorIndents/>
            </w:pPr>
            <w:hyperlink r:id="rId12" w:history="1">
              <w:r w:rsidR="00F94F35" w:rsidRPr="00F94F35">
                <w:rPr>
                  <w:rStyle w:val="Hyperlink"/>
                </w:rPr>
                <w:t>casey@reserachsupportservices.com</w:t>
              </w:r>
            </w:hyperlink>
          </w:p>
        </w:tc>
      </w:tr>
      <w:tr w:rsidR="00A71916" w14:paraId="5565D9E1" w14:textId="77777777" w:rsidTr="00A71916">
        <w:tc>
          <w:tcPr>
            <w:tcW w:w="5035" w:type="dxa"/>
          </w:tcPr>
          <w:p w14:paraId="6DF13B79" w14:textId="77777777" w:rsidR="00F94F35" w:rsidRPr="00F94F35" w:rsidRDefault="00F94F35" w:rsidP="00F95454">
            <w:pPr>
              <w:mirrorIndents/>
            </w:pPr>
            <w:r w:rsidRPr="00F94F35">
              <w:t>Bryan Gale, Project Manager</w:t>
            </w:r>
          </w:p>
          <w:p w14:paraId="5BFC1BEF" w14:textId="77777777" w:rsidR="00F94F35" w:rsidRPr="00F94F35" w:rsidRDefault="00F94F35" w:rsidP="00F95454">
            <w:pPr>
              <w:mirrorIndents/>
              <w:rPr>
                <w:color w:val="000000"/>
              </w:rPr>
            </w:pPr>
            <w:r w:rsidRPr="00F94F35">
              <w:rPr>
                <w:color w:val="000000"/>
              </w:rPr>
              <w:t xml:space="preserve">IMPAQ International </w:t>
            </w:r>
          </w:p>
          <w:p w14:paraId="71C88F9D" w14:textId="77777777" w:rsidR="00F94F35" w:rsidRPr="00F94F35" w:rsidRDefault="00F94F35" w:rsidP="00F95454">
            <w:pPr>
              <w:mirrorIndents/>
              <w:rPr>
                <w:color w:val="000000"/>
              </w:rPr>
            </w:pPr>
            <w:r w:rsidRPr="00F94F35">
              <w:rPr>
                <w:color w:val="000000"/>
              </w:rPr>
              <w:t>10420 Little Patuxent Parkway, Suite 300</w:t>
            </w:r>
          </w:p>
          <w:p w14:paraId="7766E382" w14:textId="54E4DF28" w:rsidR="00F94F35" w:rsidRDefault="00F94F35" w:rsidP="00F95454">
            <w:pPr>
              <w:mirrorIndents/>
              <w:rPr>
                <w:color w:val="000000"/>
              </w:rPr>
            </w:pPr>
            <w:r w:rsidRPr="00F94F35">
              <w:rPr>
                <w:color w:val="000000"/>
              </w:rPr>
              <w:t>Columbia, MD 21044</w:t>
            </w:r>
          </w:p>
          <w:p w14:paraId="6B51EF73" w14:textId="64F2DA7D" w:rsidR="004B5036" w:rsidRPr="00F94F35" w:rsidRDefault="004B5036" w:rsidP="00F95454">
            <w:pPr>
              <w:mirrorIndents/>
              <w:rPr>
                <w:color w:val="000000"/>
              </w:rPr>
            </w:pPr>
            <w:r>
              <w:rPr>
                <w:color w:val="000000"/>
              </w:rPr>
              <w:t>443-259-5186</w:t>
            </w:r>
          </w:p>
          <w:p w14:paraId="18D10142" w14:textId="4A792A7F" w:rsidR="00F94F35" w:rsidRPr="00F94F35" w:rsidRDefault="00537EB1" w:rsidP="00F95454">
            <w:pPr>
              <w:mirrorIndents/>
            </w:pPr>
            <w:hyperlink r:id="rId13" w:history="1">
              <w:r w:rsidR="00F94F35" w:rsidRPr="00F94F35">
                <w:rPr>
                  <w:rStyle w:val="Hyperlink"/>
                </w:rPr>
                <w:t>bglae@impaqint.com</w:t>
              </w:r>
            </w:hyperlink>
          </w:p>
        </w:tc>
        <w:tc>
          <w:tcPr>
            <w:tcW w:w="5035" w:type="dxa"/>
          </w:tcPr>
          <w:p w14:paraId="2F304BC0" w14:textId="77777777" w:rsidR="00026DB7" w:rsidRPr="00F94F35" w:rsidRDefault="00026DB7" w:rsidP="00F95454">
            <w:pPr>
              <w:mirrorIndents/>
            </w:pPr>
            <w:r w:rsidRPr="00F94F35">
              <w:t>Valerie Betley, Senior Research Analyst</w:t>
            </w:r>
          </w:p>
          <w:p w14:paraId="6AD6CCFB" w14:textId="77777777" w:rsidR="00026DB7" w:rsidRPr="00F94F35" w:rsidRDefault="00026DB7" w:rsidP="00F95454">
            <w:pPr>
              <w:mirrorIndents/>
              <w:rPr>
                <w:color w:val="000000"/>
              </w:rPr>
            </w:pPr>
            <w:r w:rsidRPr="00F94F35">
              <w:rPr>
                <w:color w:val="000000"/>
              </w:rPr>
              <w:t xml:space="preserve">IMPAQ International </w:t>
            </w:r>
          </w:p>
          <w:p w14:paraId="4D8296EB" w14:textId="77777777" w:rsidR="00026DB7" w:rsidRPr="00F94F35" w:rsidRDefault="00026DB7" w:rsidP="00F95454">
            <w:pPr>
              <w:mirrorIndents/>
              <w:rPr>
                <w:color w:val="000000"/>
              </w:rPr>
            </w:pPr>
            <w:r w:rsidRPr="00F94F35">
              <w:rPr>
                <w:color w:val="000000"/>
              </w:rPr>
              <w:t>10420 Little Patuxent Parkway, Suite 300</w:t>
            </w:r>
          </w:p>
          <w:p w14:paraId="25E49834" w14:textId="332E95CD" w:rsidR="00026DB7" w:rsidRDefault="00026DB7" w:rsidP="00F95454">
            <w:pPr>
              <w:mirrorIndents/>
              <w:rPr>
                <w:color w:val="000000"/>
              </w:rPr>
            </w:pPr>
            <w:r w:rsidRPr="00F94F35">
              <w:rPr>
                <w:color w:val="000000"/>
              </w:rPr>
              <w:t>Columbia, MD 21044</w:t>
            </w:r>
          </w:p>
          <w:p w14:paraId="1D359FC2" w14:textId="473C0743" w:rsidR="004B5036" w:rsidRPr="00F94F35" w:rsidRDefault="004B5036" w:rsidP="00F95454">
            <w:pPr>
              <w:mirrorIndents/>
              <w:rPr>
                <w:color w:val="000000"/>
              </w:rPr>
            </w:pPr>
            <w:r>
              <w:rPr>
                <w:color w:val="000000"/>
              </w:rPr>
              <w:t>443-259-5196</w:t>
            </w:r>
          </w:p>
          <w:p w14:paraId="2529F341" w14:textId="3849F5FF" w:rsidR="00A71916" w:rsidRPr="00F94F35" w:rsidRDefault="00537EB1" w:rsidP="00F95454">
            <w:pPr>
              <w:mirrorIndents/>
            </w:pPr>
            <w:hyperlink r:id="rId14" w:history="1">
              <w:r w:rsidR="00026DB7" w:rsidRPr="00F94F35">
                <w:rPr>
                  <w:rStyle w:val="Hyperlink"/>
                </w:rPr>
                <w:t>vbetley@impaqint.com</w:t>
              </w:r>
            </w:hyperlink>
          </w:p>
        </w:tc>
      </w:tr>
      <w:tr w:rsidR="00F94F35" w14:paraId="222A33A7" w14:textId="77777777" w:rsidTr="00A71916">
        <w:tc>
          <w:tcPr>
            <w:tcW w:w="5035" w:type="dxa"/>
          </w:tcPr>
          <w:p w14:paraId="6649A54E" w14:textId="17FF2653" w:rsidR="00F94F35" w:rsidRPr="00F94F35" w:rsidRDefault="00F94F35" w:rsidP="00F95454">
            <w:pPr>
              <w:mirrorIndents/>
            </w:pPr>
            <w:r w:rsidRPr="00F94F35">
              <w:t>Elizabeth Gall, Tea</w:t>
            </w:r>
            <w:r w:rsidR="004713DD">
              <w:t>m M</w:t>
            </w:r>
            <w:r w:rsidRPr="00F94F35">
              <w:t>ember</w:t>
            </w:r>
          </w:p>
          <w:p w14:paraId="0585CE98" w14:textId="77777777" w:rsidR="00565EDB" w:rsidRPr="00F94F35" w:rsidRDefault="00565EDB" w:rsidP="00F95454">
            <w:pPr>
              <w:mirrorIndents/>
              <w:rPr>
                <w:color w:val="000000"/>
              </w:rPr>
            </w:pPr>
            <w:r w:rsidRPr="00F94F35">
              <w:rPr>
                <w:color w:val="000000"/>
              </w:rPr>
              <w:t xml:space="preserve">IMPAQ International </w:t>
            </w:r>
          </w:p>
          <w:p w14:paraId="795351D1" w14:textId="77777777" w:rsidR="00565EDB" w:rsidRPr="00F94F35" w:rsidRDefault="00565EDB" w:rsidP="00F95454">
            <w:pPr>
              <w:mirrorIndents/>
              <w:rPr>
                <w:color w:val="000000"/>
              </w:rPr>
            </w:pPr>
            <w:r w:rsidRPr="00F94F35">
              <w:rPr>
                <w:color w:val="000000"/>
              </w:rPr>
              <w:t>10420 Little Patuxent Parkway, Suite 300</w:t>
            </w:r>
          </w:p>
          <w:p w14:paraId="0C76AC66" w14:textId="3170EB59" w:rsidR="00565EDB" w:rsidRDefault="00565EDB" w:rsidP="00F95454">
            <w:pPr>
              <w:mirrorIndents/>
              <w:rPr>
                <w:color w:val="000000"/>
              </w:rPr>
            </w:pPr>
            <w:r w:rsidRPr="00F94F35">
              <w:rPr>
                <w:color w:val="000000"/>
              </w:rPr>
              <w:t>Columbia, MD 21044</w:t>
            </w:r>
          </w:p>
          <w:p w14:paraId="540176BE" w14:textId="7DBAAFC7" w:rsidR="004B5036" w:rsidRPr="00F94F35" w:rsidRDefault="004B5036" w:rsidP="00F95454">
            <w:pPr>
              <w:mirrorIndents/>
              <w:rPr>
                <w:color w:val="000000"/>
              </w:rPr>
            </w:pPr>
            <w:r>
              <w:rPr>
                <w:color w:val="000000"/>
              </w:rPr>
              <w:t>443-259-5216</w:t>
            </w:r>
          </w:p>
          <w:p w14:paraId="0392F46A" w14:textId="5648A810" w:rsidR="00F94F35" w:rsidRDefault="00537EB1" w:rsidP="00F95454">
            <w:pPr>
              <w:mirrorIndents/>
            </w:pPr>
            <w:hyperlink r:id="rId15" w:history="1">
              <w:r w:rsidR="00565EDB" w:rsidRPr="004D0D56">
                <w:rPr>
                  <w:rStyle w:val="Hyperlink"/>
                </w:rPr>
                <w:t>egall@impaqint.com</w:t>
              </w:r>
            </w:hyperlink>
          </w:p>
          <w:p w14:paraId="25E2DB77" w14:textId="50951D54" w:rsidR="00565EDB" w:rsidRPr="00F94F35" w:rsidRDefault="00565EDB" w:rsidP="00F95454">
            <w:pPr>
              <w:mirrorIndents/>
            </w:pPr>
          </w:p>
        </w:tc>
        <w:tc>
          <w:tcPr>
            <w:tcW w:w="5035" w:type="dxa"/>
          </w:tcPr>
          <w:p w14:paraId="3EE04AD9" w14:textId="0623AE66" w:rsidR="00F94F35" w:rsidRPr="00F94F35" w:rsidRDefault="00F94F35" w:rsidP="00F95454">
            <w:pPr>
              <w:mirrorIndents/>
            </w:pPr>
            <w:r w:rsidRPr="00F94F35">
              <w:t xml:space="preserve">Nanette Benbow, D2C </w:t>
            </w:r>
            <w:r w:rsidR="004C581B">
              <w:t>Subject Matter Expert</w:t>
            </w:r>
          </w:p>
          <w:p w14:paraId="1D8B07CB" w14:textId="7B43B2CE" w:rsidR="00F94F35" w:rsidRDefault="00F94F35" w:rsidP="00F95454">
            <w:pPr>
              <w:mirrorIndents/>
            </w:pPr>
            <w:r w:rsidRPr="00F34537">
              <w:t>Northwestern University</w:t>
            </w:r>
            <w:r w:rsidR="004C581B">
              <w:t xml:space="preserve"> </w:t>
            </w:r>
          </w:p>
          <w:p w14:paraId="504FECA7" w14:textId="77777777" w:rsidR="004C581B" w:rsidRDefault="004C581B" w:rsidP="00F95454">
            <w:pPr>
              <w:mirrorIndents/>
            </w:pPr>
            <w:r>
              <w:t>750 N Lake Shore Drive</w:t>
            </w:r>
          </w:p>
          <w:p w14:paraId="1072C44A" w14:textId="77777777" w:rsidR="004C581B" w:rsidRDefault="004C581B" w:rsidP="00F95454">
            <w:pPr>
              <w:mirrorIndents/>
            </w:pPr>
            <w:r>
              <w:t>Rubloff Building, Suite 10-126</w:t>
            </w:r>
          </w:p>
          <w:p w14:paraId="567A19F0" w14:textId="468CDB0F" w:rsidR="004C581B" w:rsidRDefault="004C581B" w:rsidP="00F95454">
            <w:pPr>
              <w:mirrorIndents/>
            </w:pPr>
            <w:r>
              <w:t>Chicago, IL 60611</w:t>
            </w:r>
          </w:p>
          <w:p w14:paraId="24BCA571" w14:textId="549BB590" w:rsidR="004B5036" w:rsidRDefault="004B5036" w:rsidP="00F95454">
            <w:pPr>
              <w:mirrorIndents/>
            </w:pPr>
            <w:r>
              <w:t>773-539-5239</w:t>
            </w:r>
          </w:p>
          <w:p w14:paraId="0B0A389A" w14:textId="6B68E8D3" w:rsidR="004C581B" w:rsidRPr="00F94F35" w:rsidRDefault="00537EB1" w:rsidP="00F95454">
            <w:pPr>
              <w:mirrorIndents/>
            </w:pPr>
            <w:hyperlink r:id="rId16" w:history="1">
              <w:r w:rsidR="004C581B" w:rsidRPr="003A37D0">
                <w:rPr>
                  <w:rStyle w:val="Hyperlink"/>
                </w:rPr>
                <w:t>n.benbow@gmail.com</w:t>
              </w:r>
            </w:hyperlink>
            <w:r w:rsidR="004C581B">
              <w:t xml:space="preserve"> </w:t>
            </w:r>
          </w:p>
        </w:tc>
      </w:tr>
    </w:tbl>
    <w:p w14:paraId="2E4EA80C" w14:textId="77777777" w:rsidR="00C1216F" w:rsidRDefault="00C1216F" w:rsidP="00F95454">
      <w:pPr>
        <w:spacing w:before="120" w:after="120"/>
        <w:mirrorIndents/>
      </w:pPr>
    </w:p>
    <w:p w14:paraId="2F989310" w14:textId="04404510" w:rsidR="00CC6AB1" w:rsidRDefault="00CC6AB1" w:rsidP="00F95454">
      <w:pPr>
        <w:pStyle w:val="Heading1"/>
        <w:spacing w:before="120" w:after="120"/>
        <w:mirrorIndents/>
      </w:pPr>
      <w:bookmarkStart w:id="10" w:name="_Toc448296080"/>
      <w:r w:rsidRPr="00B12EA3">
        <w:t>Explanation of Any Payment or Gift to Respondents</w:t>
      </w:r>
      <w:bookmarkEnd w:id="10"/>
    </w:p>
    <w:p w14:paraId="795F6F2E" w14:textId="5A835EF1" w:rsidR="001C516C" w:rsidRDefault="001C516C" w:rsidP="00F95454">
      <w:pPr>
        <w:spacing w:before="120" w:after="120"/>
        <w:mirrorIndents/>
      </w:pPr>
      <w:r>
        <w:t>Interview participants who are D2C program staff will not receive token of appreciation funds. However, i</w:t>
      </w:r>
      <w:r w:rsidR="004B3D61" w:rsidRPr="00EC5C59">
        <w:t xml:space="preserve">nterview participants </w:t>
      </w:r>
      <w:r>
        <w:t xml:space="preserve">who are D2C clients </w:t>
      </w:r>
      <w:r w:rsidR="004B3D61" w:rsidRPr="00EC5C59">
        <w:t xml:space="preserve">will </w:t>
      </w:r>
      <w:r w:rsidR="00D473E4" w:rsidRPr="00EC5C59">
        <w:t xml:space="preserve">each </w:t>
      </w:r>
      <w:r w:rsidR="004B3D61" w:rsidRPr="00EC5C59">
        <w:t xml:space="preserve">receive </w:t>
      </w:r>
      <w:r w:rsidR="00D473E4" w:rsidRPr="00EC5C59">
        <w:t xml:space="preserve">a $40 token of appreciation. </w:t>
      </w:r>
      <w:r w:rsidR="00EC5C59" w:rsidRPr="004368F1">
        <w:t xml:space="preserve">Forty U.S. dollars </w:t>
      </w:r>
      <w:r w:rsidR="00F34537">
        <w:t xml:space="preserve">has been used in prior OMB-approved collections under this generic </w:t>
      </w:r>
      <w:r w:rsidR="00E26604">
        <w:t xml:space="preserve">umbrella </w:t>
      </w:r>
      <w:r w:rsidR="00F34537">
        <w:t xml:space="preserve">mechanism including LEAP (OMB 0920-0840) and LEAP Part II (OMB 0920-1091). </w:t>
      </w:r>
      <w:r w:rsidR="00EC5C59" w:rsidRPr="004368F1">
        <w:t>In addition, this amount is</w:t>
      </w:r>
      <w:r w:rsidR="007F1AE0">
        <w:t xml:space="preserve"> </w:t>
      </w:r>
      <w:r w:rsidR="00EC5C59" w:rsidRPr="004368F1">
        <w:t>consistent with similar studies and accounts for the inconvenience of travel and time.</w:t>
      </w:r>
      <w:r w:rsidR="00EC5C59">
        <w:t xml:space="preserve"> </w:t>
      </w:r>
      <w:r w:rsidR="00D473E4" w:rsidRPr="00EC5C59">
        <w:t>Although there has been some debate on the necessity of offering tokens of appreciation, numerous studies have shown that tokens of appreciation can significantly increase response rates, and the use of tokens of appreciation is expected to enhance survey response rates without biasing responses.</w:t>
      </w:r>
      <w:r w:rsidR="000A73A6">
        <w:t xml:space="preserve"> (18, 19)  </w:t>
      </w:r>
    </w:p>
    <w:p w14:paraId="441C1357" w14:textId="326AB159" w:rsidR="00401AFC" w:rsidRPr="0078411B" w:rsidRDefault="00401AFC" w:rsidP="00F95454">
      <w:pPr>
        <w:spacing w:before="120" w:after="120"/>
        <w:mirrorIndents/>
      </w:pPr>
      <w:r w:rsidRPr="0078411B">
        <w:rPr>
          <w:bCs/>
          <w:iCs/>
        </w:rPr>
        <w:t xml:space="preserve">Offering tokens of appreciation is necessary to recruit minorities and historically underrepresented groups in to research. </w:t>
      </w:r>
      <w:r w:rsidRPr="0078411B">
        <w:t>In a recent study o</w:t>
      </w:r>
      <w:r w:rsidR="007D2C4F" w:rsidRPr="0078411B">
        <w:t>f recruitment and retention of b</w:t>
      </w:r>
      <w:r w:rsidRPr="0078411B">
        <w:t xml:space="preserve">lack </w:t>
      </w:r>
      <w:r w:rsidR="00200B70">
        <w:t>men who have sex with men</w:t>
      </w:r>
      <w:r w:rsidRPr="0078411B">
        <w:t xml:space="preserve"> by </w:t>
      </w:r>
      <w:r w:rsidR="00293D1E">
        <w:t>a community-based organization</w:t>
      </w:r>
      <w:r w:rsidRPr="0078411B">
        <w:t xml:space="preserve">, recruiters found it difficult to obtain information </w:t>
      </w:r>
      <w:r w:rsidR="00200B70">
        <w:t>from participants</w:t>
      </w:r>
      <w:r w:rsidRPr="0078411B">
        <w:t xml:space="preserve"> because many were reluctant to provide their names and contact information because of concerns about being seen giving these personal details to an HIV prevention </w:t>
      </w:r>
      <w:r w:rsidRPr="004E3395">
        <w:t>program.</w:t>
      </w:r>
      <w:r w:rsidR="00F014B6" w:rsidRPr="004E3395">
        <w:t xml:space="preserve"> </w:t>
      </w:r>
      <w:r w:rsidR="00200B70">
        <w:t>However, i</w:t>
      </w:r>
      <w:r w:rsidRPr="004E3395">
        <w:t>n this study, offering a token of appreciation improved participation</w:t>
      </w:r>
      <w:r w:rsidR="004E3395" w:rsidRPr="004E3395">
        <w:t>.</w:t>
      </w:r>
      <w:r w:rsidR="000A73A6" w:rsidRPr="004E3395">
        <w:t xml:space="preserve"> (20</w:t>
      </w:r>
      <w:r w:rsidR="00276C85" w:rsidRPr="004E3395">
        <w:t>)</w:t>
      </w:r>
      <w:r w:rsidRPr="004E3395">
        <w:t xml:space="preserve"> </w:t>
      </w:r>
      <w:r w:rsidR="00200B70">
        <w:t>In addition, a</w:t>
      </w:r>
      <w:r w:rsidRPr="004E3395">
        <w:t xml:space="preserve"> meta-analysis of 95 studies published between January 1999 and April 2005 describing methods of increasing minority persons’ enrollment and retention in research studies found that remuneration enhanced retention among this group.</w:t>
      </w:r>
      <w:r w:rsidR="00C03F9D" w:rsidRPr="004E3395">
        <w:t xml:space="preserve"> </w:t>
      </w:r>
      <w:r w:rsidR="000A73A6" w:rsidRPr="004E3395">
        <w:t>(21</w:t>
      </w:r>
      <w:r w:rsidR="00276C85" w:rsidRPr="004E3395">
        <w:t>)</w:t>
      </w:r>
      <w:r w:rsidR="00276C85" w:rsidRPr="0078411B">
        <w:t xml:space="preserve"> </w:t>
      </w:r>
    </w:p>
    <w:p w14:paraId="39FDAFCB" w14:textId="7389AFC0" w:rsidR="00F83380" w:rsidRDefault="00401AFC" w:rsidP="00432322">
      <w:pPr>
        <w:spacing w:before="120" w:after="120"/>
        <w:mirrorIndents/>
        <w:rPr>
          <w:bCs/>
          <w:iCs/>
        </w:rPr>
      </w:pPr>
      <w:r w:rsidRPr="00006A29">
        <w:t>Remuneration has been used in other HIV-related CDC data collection efforts, such as for National HIV Behavioral Surveillance (OMB 0920-0770, exp. 5/31/2014) and the Testing Brief Messages for Black and Latino MSM Study (OMB 0920-14SY under 0920-0840, exp. 1/31/2019), which included similar populations and had a similar length of time for completing the client interview as in this proposed research. In all of these other projects, tokens of appreciation were used to help increase participation rates.</w:t>
      </w:r>
      <w:r>
        <w:t> </w:t>
      </w:r>
      <w:r w:rsidR="00F83380" w:rsidRPr="00432322">
        <w:t xml:space="preserve">Tokens of appreciation </w:t>
      </w:r>
      <w:r w:rsidR="00523479">
        <w:t xml:space="preserve">also </w:t>
      </w:r>
      <w:r w:rsidR="00F83380" w:rsidRPr="00432322">
        <w:t xml:space="preserve">were </w:t>
      </w:r>
      <w:r w:rsidR="00523479">
        <w:t xml:space="preserve">successfully </w:t>
      </w:r>
      <w:r w:rsidR="00F83380" w:rsidRPr="00432322">
        <w:t>used in prior information</w:t>
      </w:r>
      <w:r w:rsidR="00E83EFA" w:rsidRPr="00432322">
        <w:t xml:space="preserve"> collections completed under this </w:t>
      </w:r>
      <w:r w:rsidR="00F83380" w:rsidRPr="00432322">
        <w:t xml:space="preserve">existing generic ICR, and they helped encourage respondent recruitment. </w:t>
      </w:r>
      <w:r w:rsidR="00E83EFA" w:rsidRPr="00432322">
        <w:rPr>
          <w:bCs/>
          <w:iCs/>
        </w:rPr>
        <w:t>Numerous</w:t>
      </w:r>
      <w:r w:rsidR="00E83EFA" w:rsidRPr="00432322">
        <w:t xml:space="preserve"> other studies have shown that tokens of appreciation can significantly increase response rates</w:t>
      </w:r>
      <w:r w:rsidR="00E83EFA" w:rsidRPr="00432322">
        <w:rPr>
          <w:bCs/>
          <w:iCs/>
        </w:rPr>
        <w:t xml:space="preserve"> and the use of tokens of appreciation is expected to enhance survey response rates without biasing responses.</w:t>
      </w:r>
      <w:r w:rsidR="00E83EFA" w:rsidRPr="00432322">
        <w:t xml:space="preserve"> This improves the validity and reliability of the data,</w:t>
      </w:r>
      <w:r w:rsidR="00E83EFA" w:rsidRPr="00432322">
        <w:rPr>
          <w:b/>
        </w:rPr>
        <w:t xml:space="preserve"> </w:t>
      </w:r>
      <w:r w:rsidR="00E83EFA" w:rsidRPr="00432322">
        <w:t xml:space="preserve">which is of utmost importance in this scientific study. </w:t>
      </w:r>
      <w:r w:rsidR="00E83EFA" w:rsidRPr="00432322">
        <w:rPr>
          <w:bCs/>
          <w:iCs/>
        </w:rPr>
        <w:t>In addition, HIV has a stigma that other health issues do not have, which makes it difficult to recruit participants for research when compared to other diseases.</w:t>
      </w:r>
    </w:p>
    <w:p w14:paraId="04285968" w14:textId="0CDBC4F4" w:rsidR="001C516C" w:rsidRDefault="001C516C" w:rsidP="00432322">
      <w:pPr>
        <w:spacing w:before="120" w:after="120"/>
        <w:mirrorIndents/>
        <w:rPr>
          <w:bCs/>
          <w:iCs/>
        </w:rPr>
      </w:pPr>
    </w:p>
    <w:p w14:paraId="661F74BE" w14:textId="77777777" w:rsidR="001C516C" w:rsidRDefault="001C516C" w:rsidP="00432322">
      <w:pPr>
        <w:spacing w:before="120" w:after="120"/>
        <w:mirrorIndents/>
        <w:rPr>
          <w:rFonts w:ascii="Courier New" w:hAnsi="Courier New" w:cs="Courier New"/>
        </w:rPr>
      </w:pPr>
    </w:p>
    <w:p w14:paraId="272B5866" w14:textId="1B8534B7" w:rsidR="005E6F8D" w:rsidRDefault="00401AFC" w:rsidP="00F95454">
      <w:pPr>
        <w:spacing w:before="120" w:after="120"/>
        <w:mirrorIndents/>
      </w:pPr>
      <w:r>
        <w:t xml:space="preserve"> </w:t>
      </w:r>
    </w:p>
    <w:p w14:paraId="65CCCDCB" w14:textId="1E23E4E7" w:rsidR="00B12EA3" w:rsidRDefault="00B12EA3" w:rsidP="00F95454">
      <w:pPr>
        <w:pStyle w:val="Heading1"/>
        <w:spacing w:before="120" w:after="120"/>
        <w:mirrorIndents/>
      </w:pPr>
      <w:bookmarkStart w:id="11" w:name="_Toc448296081"/>
      <w:r w:rsidRPr="00B12EA3">
        <w:t>Protection of the Privacy and Confidentiality of Information Provided by Respondents</w:t>
      </w:r>
      <w:bookmarkEnd w:id="11"/>
    </w:p>
    <w:p w14:paraId="3AFAD46F" w14:textId="5C1915C1" w:rsidR="009C7405" w:rsidRDefault="00827286" w:rsidP="0011632B">
      <w:pPr>
        <w:spacing w:before="120" w:after="120"/>
        <w:mirrorIndents/>
      </w:pPr>
      <w:r w:rsidRPr="00827286">
        <w:t xml:space="preserve">The CDC Privacy Officer has assessed this package for applicability of 5 U.S.C. § 552a, and determined that the Privacy Act does apply to the overall information collection. </w:t>
      </w:r>
      <w:r w:rsidR="00073EFB">
        <w:t xml:space="preserve">CDC has completed a Privacy Impact Assessment of the </w:t>
      </w:r>
      <w:r w:rsidR="00755BBA">
        <w:t xml:space="preserve">data </w:t>
      </w:r>
      <w:r w:rsidR="00073EFB">
        <w:t xml:space="preserve">system used by the </w:t>
      </w:r>
      <w:r w:rsidR="00843673">
        <w:t xml:space="preserve">study </w:t>
      </w:r>
      <w:r w:rsidR="00073EFB">
        <w:t>contractor team (</w:t>
      </w:r>
      <w:r w:rsidR="00073EFB" w:rsidRPr="00B64D28">
        <w:rPr>
          <w:b/>
        </w:rPr>
        <w:t>Attachment 6</w:t>
      </w:r>
      <w:r w:rsidR="00073EFB">
        <w:t xml:space="preserve">). </w:t>
      </w:r>
      <w:r>
        <w:t xml:space="preserve"> </w:t>
      </w:r>
    </w:p>
    <w:p w14:paraId="60F37AA3" w14:textId="1F5E8AE2" w:rsidR="00827286" w:rsidRDefault="00827286" w:rsidP="00827286">
      <w:pPr>
        <w:spacing w:before="120" w:after="120"/>
        <w:mirrorIndents/>
      </w:pPr>
      <w:r>
        <w:t>Potential respondents will be screened for eligibility using a screening tool (</w:t>
      </w:r>
      <w:r w:rsidRPr="00827286">
        <w:rPr>
          <w:b/>
        </w:rPr>
        <w:t>Attachment 3a</w:t>
      </w:r>
      <w:r>
        <w:t>). If they are eligible, they will be invited to provide their contact information (name, phone, email), in order to schedule the in-depth interview. This contact information will be hand written on paper, and not be computerized on a form. When not in active use, the papers containing the contact information will be stored in locked cabinets separate from other study data at the contractor’s office facility. These papers with the participant’s contact information will be destroyed after the interview is completed and the interview data have been fully transcribed and verified for accuracy.</w:t>
      </w:r>
    </w:p>
    <w:p w14:paraId="091FBBF0" w14:textId="77777777" w:rsidR="00827286" w:rsidRDefault="00827286" w:rsidP="00827286">
      <w:pPr>
        <w:autoSpaceDE w:val="0"/>
        <w:autoSpaceDN w:val="0"/>
        <w:adjustRightInd w:val="0"/>
        <w:spacing w:before="120" w:after="120"/>
      </w:pPr>
      <w:r>
        <w:t>At the beginning of the in-depth interview, a member of the contractor team will review the purpose of the study with the participant and answer any questions they might have. The participant will be asked to provide signed informed consent (</w:t>
      </w:r>
      <w:r w:rsidRPr="00827286">
        <w:rPr>
          <w:b/>
        </w:rPr>
        <w:t>Attachment 2</w:t>
      </w:r>
      <w:r>
        <w:t>). This includes permission to audio record the interview. After the consent process is finished, the interview will begin.  The study data sharing and use agreement describes in detail how data access will be provided and provisions for protection of privacy, confidentiality, security, intellectual property, or other rights (</w:t>
      </w:r>
      <w:r w:rsidRPr="008A423B">
        <w:rPr>
          <w:b/>
        </w:rPr>
        <w:t>Attachment 5</w:t>
      </w:r>
      <w:r w:rsidRPr="00AB04FA">
        <w:t>).</w:t>
      </w:r>
      <w:r>
        <w:t xml:space="preserve"> </w:t>
      </w:r>
    </w:p>
    <w:p w14:paraId="21798AE8" w14:textId="43F3999C" w:rsidR="00827286" w:rsidRDefault="00827286" w:rsidP="00827286">
      <w:pPr>
        <w:autoSpaceDE w:val="0"/>
        <w:autoSpaceDN w:val="0"/>
        <w:adjustRightInd w:val="0"/>
        <w:spacing w:before="120" w:after="120"/>
      </w:pPr>
      <w:r w:rsidRPr="00C34C13">
        <w:t>Only project staff will have access to the records, study documents, and data.</w:t>
      </w:r>
      <w:r w:rsidR="00877BE2">
        <w:t xml:space="preserve"> </w:t>
      </w:r>
      <w:r w:rsidR="00877BE2" w:rsidRPr="00877BE2">
        <w:t>CDC staff will not be involved with sample recruitment and will never know the identities of any study respondents</w:t>
      </w:r>
      <w:r w:rsidR="00877BE2">
        <w:t xml:space="preserve">. </w:t>
      </w:r>
    </w:p>
    <w:p w14:paraId="43EBB4BB" w14:textId="17E8B575" w:rsidR="00827286" w:rsidRDefault="00827286" w:rsidP="00827286">
      <w:pPr>
        <w:spacing w:before="120" w:after="120"/>
        <w:mirrorIndents/>
      </w:pPr>
    </w:p>
    <w:p w14:paraId="72128784" w14:textId="72270540" w:rsidR="00B12EA3" w:rsidRDefault="00B12EA3" w:rsidP="00F95454">
      <w:pPr>
        <w:pStyle w:val="Heading1"/>
        <w:spacing w:before="120" w:after="120"/>
        <w:mirrorIndents/>
      </w:pPr>
      <w:bookmarkStart w:id="12" w:name="_Toc448296082"/>
      <w:r w:rsidRPr="00B12EA3">
        <w:t>Institutional Review Board (IRB) and Justification for Sensitive Questions</w:t>
      </w:r>
      <w:bookmarkEnd w:id="12"/>
    </w:p>
    <w:p w14:paraId="6602B565" w14:textId="3EA5B9E1" w:rsidR="00D312D3" w:rsidRPr="008172D1" w:rsidRDefault="00D312D3" w:rsidP="003C10A5">
      <w:pPr>
        <w:spacing w:before="120" w:after="120"/>
        <w:mirrorIndents/>
      </w:pPr>
      <w:r w:rsidRPr="008172D1">
        <w:t>IRB Approval</w:t>
      </w:r>
    </w:p>
    <w:p w14:paraId="1F65D3C3" w14:textId="0A7D9E8B" w:rsidR="003C3C33" w:rsidRPr="000A56BD" w:rsidRDefault="003340FF" w:rsidP="003C10A5">
      <w:pPr>
        <w:spacing w:before="120" w:after="120"/>
        <w:mirrorIndents/>
        <w:rPr>
          <w:highlight w:val="yellow"/>
        </w:rPr>
      </w:pPr>
      <w:r w:rsidRPr="008172D1">
        <w:t xml:space="preserve">This study has been reviewed and approved by the </w:t>
      </w:r>
      <w:r w:rsidR="008172D1" w:rsidRPr="008172D1">
        <w:t>CDC</w:t>
      </w:r>
      <w:r w:rsidRPr="008172D1">
        <w:t xml:space="preserve"> </w:t>
      </w:r>
      <w:r w:rsidRPr="00A06E57">
        <w:t>IRB</w:t>
      </w:r>
      <w:r w:rsidR="009951A9" w:rsidRPr="00A06E57">
        <w:t xml:space="preserve"> </w:t>
      </w:r>
      <w:r w:rsidR="009951A9" w:rsidRPr="00E70C71">
        <w:rPr>
          <w:b/>
        </w:rPr>
        <w:t>(</w:t>
      </w:r>
      <w:r w:rsidR="00A06E57" w:rsidRPr="00A06E57">
        <w:rPr>
          <w:b/>
        </w:rPr>
        <w:t>Attachment 4a</w:t>
      </w:r>
      <w:r w:rsidR="009D6649" w:rsidRPr="00E70C71">
        <w:rPr>
          <w:b/>
        </w:rPr>
        <w:t>)</w:t>
      </w:r>
      <w:r w:rsidRPr="00A06E57">
        <w:t xml:space="preserve">. </w:t>
      </w:r>
      <w:r w:rsidR="00587EC2">
        <w:t xml:space="preserve">Emory University IRB has declared that no IRB review is required </w:t>
      </w:r>
      <w:r w:rsidR="00587EC2" w:rsidRPr="00E70C71">
        <w:rPr>
          <w:b/>
        </w:rPr>
        <w:t>(</w:t>
      </w:r>
      <w:r w:rsidR="00587EC2" w:rsidRPr="000F4CAA">
        <w:rPr>
          <w:b/>
        </w:rPr>
        <w:t>Attachment 4b</w:t>
      </w:r>
      <w:r w:rsidR="00587EC2" w:rsidRPr="00E70C71">
        <w:rPr>
          <w:b/>
        </w:rPr>
        <w:t>)</w:t>
      </w:r>
      <w:r w:rsidR="00587EC2">
        <w:t xml:space="preserve">. </w:t>
      </w:r>
    </w:p>
    <w:p w14:paraId="1761E88A" w14:textId="271C53FC" w:rsidR="003C3C33" w:rsidRPr="008172D1" w:rsidRDefault="003C3C33" w:rsidP="003C10A5">
      <w:pPr>
        <w:spacing w:before="120" w:after="120"/>
        <w:mirrorIndents/>
      </w:pPr>
      <w:r w:rsidRPr="008172D1">
        <w:t>Sensitive Questions</w:t>
      </w:r>
    </w:p>
    <w:p w14:paraId="6C660CBC" w14:textId="4FE3CA30" w:rsidR="00AC254E" w:rsidRDefault="00D6673F" w:rsidP="003C10A5">
      <w:pPr>
        <w:spacing w:before="120" w:after="120"/>
        <w:mirrorIndents/>
      </w:pPr>
      <w:r w:rsidRPr="008172D1">
        <w:t xml:space="preserve">This study is an initiative </w:t>
      </w:r>
      <w:r w:rsidR="008172D1" w:rsidRPr="008172D1">
        <w:t>to better</w:t>
      </w:r>
      <w:r w:rsidR="008172D1">
        <w:t xml:space="preserve"> understand approaches that have been effective in implem</w:t>
      </w:r>
      <w:r w:rsidR="008172D1" w:rsidRPr="008172D1">
        <w:t>enting D2C programs and how health departments use D2C strategies to link and (re)engage PLWH in care</w:t>
      </w:r>
      <w:r w:rsidRPr="008172D1">
        <w:t xml:space="preserve">. As such, our </w:t>
      </w:r>
      <w:r w:rsidR="007F7EDD" w:rsidRPr="008172D1">
        <w:t xml:space="preserve">information collection </w:t>
      </w:r>
      <w:r w:rsidRPr="008172D1">
        <w:t xml:space="preserve">entails measurement of HIV-related information. </w:t>
      </w:r>
      <w:r w:rsidRPr="00076D10">
        <w:t xml:space="preserve">All contracting staff will </w:t>
      </w:r>
      <w:r w:rsidR="003C10A5" w:rsidRPr="00076D10">
        <w:t>be trained to provide participant</w:t>
      </w:r>
      <w:r w:rsidRPr="00076D10">
        <w:t xml:space="preserve">s with </w:t>
      </w:r>
      <w:r w:rsidR="00587EC2" w:rsidRPr="00076D10">
        <w:t>referrals for prevention and care, such as</w:t>
      </w:r>
      <w:r w:rsidRPr="00076D10">
        <w:t xml:space="preserve"> mental health care organizations</w:t>
      </w:r>
      <w:r w:rsidR="00587EC2" w:rsidRPr="00076D10">
        <w:t>,</w:t>
      </w:r>
      <w:r w:rsidRPr="00076D10">
        <w:t xml:space="preserve"> as needed. </w:t>
      </w:r>
      <w:r w:rsidRPr="008172D1">
        <w:t>We will inform all participants that they may skip any question or stop</w:t>
      </w:r>
      <w:r w:rsidR="00623078">
        <w:t xml:space="preserve"> interviews</w:t>
      </w:r>
      <w:r w:rsidRPr="008172D1">
        <w:t xml:space="preserve"> at any time for any reason.</w:t>
      </w:r>
      <w:r w:rsidRPr="00603813">
        <w:t xml:space="preserve">  </w:t>
      </w:r>
      <w:r w:rsidR="00877BE2">
        <w:t>S</w:t>
      </w:r>
      <w:r w:rsidR="00877BE2" w:rsidRPr="00877BE2">
        <w:t xml:space="preserve">ensitive information is not transferred to CDC, and the results are </w:t>
      </w:r>
      <w:r w:rsidR="00877BE2">
        <w:t>transmitted to CDC</w:t>
      </w:r>
      <w:r w:rsidR="00877BE2" w:rsidRPr="00877BE2">
        <w:t xml:space="preserve"> in aggregate.    </w:t>
      </w:r>
    </w:p>
    <w:p w14:paraId="0A6C012E" w14:textId="77777777" w:rsidR="00F95454" w:rsidRDefault="00F95454" w:rsidP="00F95454">
      <w:pPr>
        <w:spacing w:before="120" w:after="120"/>
        <w:mirrorIndents/>
        <w:jc w:val="both"/>
      </w:pPr>
    </w:p>
    <w:p w14:paraId="7D1DAD7B" w14:textId="5E01587E" w:rsidR="00B12EA3" w:rsidRDefault="00B12EA3" w:rsidP="00F95454">
      <w:pPr>
        <w:pStyle w:val="Heading1"/>
        <w:spacing w:before="120" w:after="120"/>
        <w:mirrorIndents/>
      </w:pPr>
      <w:bookmarkStart w:id="13" w:name="_Toc448296083"/>
      <w:r w:rsidRPr="00B057DB">
        <w:t>Estimates of Annualized Burden Hours and Costs</w:t>
      </w:r>
      <w:bookmarkEnd w:id="13"/>
    </w:p>
    <w:p w14:paraId="55510EF6" w14:textId="7CAC210A" w:rsidR="003D7EF0" w:rsidRDefault="001015FC" w:rsidP="00F95454">
      <w:pPr>
        <w:spacing w:before="120" w:after="120"/>
        <w:mirrorIndents/>
      </w:pPr>
      <w:r>
        <w:t xml:space="preserve">The recruitment and enrollment period is four months. </w:t>
      </w:r>
      <w:r w:rsidR="002368E4" w:rsidRPr="002368E4">
        <w:t>T</w:t>
      </w:r>
      <w:r>
        <w:t>his data collection will include 90 individuals</w:t>
      </w:r>
      <w:r w:rsidR="002368E4" w:rsidRPr="002368E4">
        <w:t xml:space="preserve">. </w:t>
      </w:r>
      <w:r>
        <w:t>Sixty</w:t>
      </w:r>
      <w:r w:rsidRPr="001015FC">
        <w:t xml:space="preserve"> individuals will be adult </w:t>
      </w:r>
      <w:r w:rsidR="00CB51BB">
        <w:t xml:space="preserve">D2C </w:t>
      </w:r>
      <w:r w:rsidRPr="001015FC">
        <w:t xml:space="preserve">clients 18 </w:t>
      </w:r>
      <w:r w:rsidRPr="001015FC">
        <w:rPr>
          <w:u w:val="single"/>
        </w:rPr>
        <w:t>&gt;</w:t>
      </w:r>
      <w:r w:rsidRPr="001015FC">
        <w:t xml:space="preserve"> years of age who have previously been linked to or reengaged in HIV medical care through the D2C program’s efforts</w:t>
      </w:r>
      <w:r>
        <w:t>.</w:t>
      </w:r>
      <w:r w:rsidRPr="001015FC">
        <w:t xml:space="preserve"> </w:t>
      </w:r>
      <w:r w:rsidR="00587EC2">
        <w:t>We expect to screen 120 D2C clients, and we expect 50% to be eligible and to participant in the data collection</w:t>
      </w:r>
      <w:r w:rsidR="000E3652">
        <w:t>, which yields a final D2C client sample size of 60</w:t>
      </w:r>
      <w:r w:rsidR="00587EC2">
        <w:t xml:space="preserve">. </w:t>
      </w:r>
      <w:r w:rsidR="008A19F2">
        <w:t xml:space="preserve">Contractor staff will screen potential D2C client participants for eligibility by phone, which </w:t>
      </w:r>
      <w:r w:rsidR="008A19F2" w:rsidRPr="004E3A0F">
        <w:t>will take approximately five minutes</w:t>
      </w:r>
      <w:r w:rsidR="00FD091D">
        <w:t xml:space="preserve"> </w:t>
      </w:r>
      <w:r w:rsidR="00FD091D" w:rsidRPr="00FD091D">
        <w:rPr>
          <w:b/>
        </w:rPr>
        <w:t>(Attachment 3a)</w:t>
      </w:r>
      <w:r w:rsidR="008A19F2" w:rsidRPr="00FD091D">
        <w:rPr>
          <w:b/>
        </w:rPr>
        <w:t>.</w:t>
      </w:r>
      <w:r w:rsidR="008A19F2" w:rsidRPr="008A19F2">
        <w:t xml:space="preserve"> </w:t>
      </w:r>
      <w:r w:rsidR="002368E4">
        <w:t xml:space="preserve">The D2C client </w:t>
      </w:r>
      <w:r w:rsidR="000E3652">
        <w:t>interview</w:t>
      </w:r>
      <w:r w:rsidR="002368E4">
        <w:t xml:space="preserve"> </w:t>
      </w:r>
      <w:r w:rsidR="002368E4" w:rsidRPr="00CB51BB">
        <w:rPr>
          <w:b/>
        </w:rPr>
        <w:t>(Attachment 3b)</w:t>
      </w:r>
      <w:r w:rsidR="002368E4">
        <w:t xml:space="preserve"> will take 60 minutes to complete and will be administered once. </w:t>
      </w:r>
    </w:p>
    <w:p w14:paraId="5D6012B1" w14:textId="3B7D5938" w:rsidR="008A19F2" w:rsidRDefault="001015FC" w:rsidP="00F95454">
      <w:pPr>
        <w:spacing w:before="120" w:after="120"/>
        <w:mirrorIndents/>
      </w:pPr>
      <w:r>
        <w:t xml:space="preserve">We will </w:t>
      </w:r>
      <w:r w:rsidR="002368E4">
        <w:t xml:space="preserve">also interview 30 D2C program staff. The </w:t>
      </w:r>
      <w:r w:rsidR="00CB51BB">
        <w:t xml:space="preserve">D2C program </w:t>
      </w:r>
      <w:r w:rsidR="002368E4">
        <w:t xml:space="preserve">staff </w:t>
      </w:r>
      <w:r w:rsidR="00624CE1">
        <w:t>IDI</w:t>
      </w:r>
      <w:r w:rsidR="002368E4">
        <w:t xml:space="preserve"> </w:t>
      </w:r>
      <w:r w:rsidR="002368E4" w:rsidRPr="00CB51BB">
        <w:rPr>
          <w:b/>
        </w:rPr>
        <w:t>(Attachment 3c)</w:t>
      </w:r>
      <w:r w:rsidR="002368E4">
        <w:t xml:space="preserve"> </w:t>
      </w:r>
      <w:r w:rsidR="00CB51BB">
        <w:t>will</w:t>
      </w:r>
      <w:r w:rsidR="002368E4">
        <w:t xml:space="preserve"> take 60 minutes </w:t>
      </w:r>
      <w:r w:rsidR="00CB51BB">
        <w:t xml:space="preserve">to complete </w:t>
      </w:r>
      <w:r w:rsidR="002368E4">
        <w:t xml:space="preserve">and will be administered once. </w:t>
      </w:r>
      <w:r>
        <w:t xml:space="preserve">No </w:t>
      </w:r>
      <w:r w:rsidR="00580606">
        <w:t xml:space="preserve">separate </w:t>
      </w:r>
      <w:r>
        <w:t xml:space="preserve">screening instrument will be used to identify </w:t>
      </w:r>
      <w:r w:rsidR="00580606">
        <w:t xml:space="preserve">eligible </w:t>
      </w:r>
      <w:r>
        <w:t>D2C staff because</w:t>
      </w:r>
      <w:r w:rsidR="00CB51BB">
        <w:t xml:space="preserve"> they will be identified directly through</w:t>
      </w:r>
      <w:r w:rsidR="00580606">
        <w:t xml:space="preserve"> existing</w:t>
      </w:r>
      <w:r w:rsidR="00CB51BB">
        <w:t xml:space="preserve"> </w:t>
      </w:r>
      <w:r w:rsidR="00580606">
        <w:t xml:space="preserve">D2C program </w:t>
      </w:r>
      <w:r w:rsidR="00CB51BB">
        <w:t xml:space="preserve">staff rosters. </w:t>
      </w:r>
      <w:r>
        <w:t xml:space="preserve"> </w:t>
      </w:r>
      <w:r w:rsidR="008519CC" w:rsidRPr="00C9502D">
        <w:t xml:space="preserve"> </w:t>
      </w:r>
    </w:p>
    <w:p w14:paraId="76954D5A" w14:textId="6AF46DD7" w:rsidR="003340FF" w:rsidRDefault="002E5112" w:rsidP="00F95454">
      <w:pPr>
        <w:spacing w:before="120" w:after="120"/>
        <w:mirrorIndents/>
      </w:pPr>
      <w:r w:rsidRPr="000F4CAA">
        <w:t>Exhibits 12.1 and 12.2 provide further details about how the estimates of burden hours and costs were calculated.</w:t>
      </w:r>
      <w:r w:rsidR="008A19F2">
        <w:t xml:space="preserve"> </w:t>
      </w:r>
      <w:r w:rsidR="008A19F2" w:rsidRPr="00B65A4F">
        <w:t>The estimated annualized burden is 100 hours.</w:t>
      </w:r>
    </w:p>
    <w:p w14:paraId="58C577B2" w14:textId="0CEFAFFF" w:rsidR="00332F80" w:rsidRDefault="00332F80" w:rsidP="00F95454">
      <w:pPr>
        <w:pStyle w:val="Heading2"/>
        <w:spacing w:before="120" w:after="120"/>
        <w:mirrorIndents/>
      </w:pPr>
      <w:bookmarkStart w:id="14" w:name="_Toc444867858"/>
      <w:bookmarkStart w:id="15" w:name="_Toc444883709"/>
      <w:bookmarkStart w:id="16" w:name="_Toc445385234"/>
      <w:bookmarkStart w:id="17" w:name="_Toc448296084"/>
      <w:r>
        <w:t>Estimated Annualized Burden Hours</w:t>
      </w:r>
      <w:bookmarkEnd w:id="14"/>
      <w:bookmarkEnd w:id="15"/>
      <w:bookmarkEnd w:id="16"/>
      <w:bookmarkEnd w:id="17"/>
    </w:p>
    <w:p w14:paraId="59EE5EE9" w14:textId="2106F0F3" w:rsidR="00E53653" w:rsidRPr="007376F4" w:rsidRDefault="00E86C70" w:rsidP="00F95454">
      <w:pPr>
        <w:pStyle w:val="Caption"/>
        <w:spacing w:before="120" w:after="120"/>
        <w:mirrorIndents/>
      </w:pPr>
      <w:bookmarkStart w:id="18" w:name="_Toc449541623"/>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D62D1E">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D62D1E">
        <w:rPr>
          <w:noProof/>
          <w:sz w:val="24"/>
          <w:szCs w:val="24"/>
        </w:rPr>
        <w:t>1</w:t>
      </w:r>
      <w:r w:rsidR="00C91C02">
        <w:rPr>
          <w:sz w:val="24"/>
          <w:szCs w:val="24"/>
        </w:rPr>
        <w:fldChar w:fldCharType="end"/>
      </w:r>
      <w:r w:rsidRPr="00E6566E">
        <w:rPr>
          <w:sz w:val="24"/>
          <w:szCs w:val="24"/>
        </w:rPr>
        <w:t>: Estimated Annualized Burden Hours</w:t>
      </w:r>
      <w:bookmarkEnd w:id="18"/>
    </w:p>
    <w:tbl>
      <w:tblPr>
        <w:tblW w:w="9717" w:type="dxa"/>
        <w:tblLayout w:type="fixed"/>
        <w:tblCellMar>
          <w:left w:w="129" w:type="dxa"/>
          <w:right w:w="129" w:type="dxa"/>
        </w:tblCellMar>
        <w:tblLook w:val="0000" w:firstRow="0" w:lastRow="0" w:firstColumn="0" w:lastColumn="0" w:noHBand="0" w:noVBand="0"/>
      </w:tblPr>
      <w:tblGrid>
        <w:gridCol w:w="1527"/>
        <w:gridCol w:w="1800"/>
        <w:gridCol w:w="1620"/>
        <w:gridCol w:w="1710"/>
        <w:gridCol w:w="1980"/>
        <w:gridCol w:w="1080"/>
      </w:tblGrid>
      <w:tr w:rsidR="000879CA" w:rsidRPr="0062606A" w14:paraId="53C2C1BB" w14:textId="77777777" w:rsidTr="00C61DD4">
        <w:trPr>
          <w:cantSplit/>
          <w:tblHeader/>
        </w:trPr>
        <w:tc>
          <w:tcPr>
            <w:tcW w:w="1527" w:type="dxa"/>
            <w:tcBorders>
              <w:top w:val="single" w:sz="2" w:space="0" w:color="000000"/>
              <w:left w:val="single" w:sz="2" w:space="0" w:color="000000"/>
              <w:bottom w:val="nil"/>
              <w:right w:val="nil"/>
            </w:tcBorders>
          </w:tcPr>
          <w:p w14:paraId="135B48D5" w14:textId="77777777" w:rsidR="000879CA" w:rsidRPr="0062606A" w:rsidRDefault="000879CA" w:rsidP="00F95454">
            <w:pPr>
              <w:mirrorIndents/>
              <w:rPr>
                <w:b/>
              </w:rPr>
            </w:pPr>
            <w:r w:rsidRPr="0062606A">
              <w:rPr>
                <w:b/>
              </w:rPr>
              <w:t>Type of Respondent</w:t>
            </w:r>
          </w:p>
        </w:tc>
        <w:tc>
          <w:tcPr>
            <w:tcW w:w="1800" w:type="dxa"/>
            <w:tcBorders>
              <w:top w:val="single" w:sz="2" w:space="0" w:color="000000"/>
              <w:left w:val="single" w:sz="2" w:space="0" w:color="000000"/>
              <w:bottom w:val="nil"/>
              <w:right w:val="nil"/>
            </w:tcBorders>
          </w:tcPr>
          <w:p w14:paraId="3005DAB6" w14:textId="77777777" w:rsidR="000879CA" w:rsidRPr="0062606A" w:rsidRDefault="000879CA" w:rsidP="00F95454">
            <w:pPr>
              <w:mirrorIndents/>
              <w:rPr>
                <w:b/>
              </w:rPr>
            </w:pPr>
            <w:r w:rsidRPr="0062606A">
              <w:rPr>
                <w:b/>
              </w:rPr>
              <w:t>Form Name</w:t>
            </w:r>
          </w:p>
        </w:tc>
        <w:tc>
          <w:tcPr>
            <w:tcW w:w="1620" w:type="dxa"/>
            <w:tcBorders>
              <w:top w:val="single" w:sz="2" w:space="0" w:color="000000"/>
              <w:left w:val="single" w:sz="2" w:space="0" w:color="000000"/>
              <w:bottom w:val="nil"/>
              <w:right w:val="nil"/>
            </w:tcBorders>
          </w:tcPr>
          <w:p w14:paraId="6BA44EF5" w14:textId="77777777" w:rsidR="000879CA" w:rsidRPr="0062606A" w:rsidRDefault="000879CA" w:rsidP="00F95454">
            <w:pPr>
              <w:mirrorIndents/>
              <w:jc w:val="center"/>
              <w:rPr>
                <w:b/>
              </w:rPr>
            </w:pPr>
            <w:r w:rsidRPr="0062606A">
              <w:rPr>
                <w:b/>
              </w:rPr>
              <w:t>No. of Respondents</w:t>
            </w:r>
          </w:p>
        </w:tc>
        <w:tc>
          <w:tcPr>
            <w:tcW w:w="1710" w:type="dxa"/>
            <w:tcBorders>
              <w:top w:val="single" w:sz="2" w:space="0" w:color="000000"/>
              <w:left w:val="single" w:sz="2" w:space="0" w:color="000000"/>
              <w:bottom w:val="nil"/>
              <w:right w:val="nil"/>
            </w:tcBorders>
          </w:tcPr>
          <w:p w14:paraId="1975FADA" w14:textId="77777777" w:rsidR="000879CA" w:rsidRPr="0062606A" w:rsidRDefault="000879CA" w:rsidP="00F95454">
            <w:pPr>
              <w:mirrorIndents/>
              <w:jc w:val="center"/>
              <w:rPr>
                <w:b/>
              </w:rPr>
            </w:pPr>
            <w:r w:rsidRPr="0062606A">
              <w:rPr>
                <w:b/>
              </w:rPr>
              <w:t>No. of Responses Per Respondent</w:t>
            </w:r>
          </w:p>
        </w:tc>
        <w:tc>
          <w:tcPr>
            <w:tcW w:w="1980" w:type="dxa"/>
            <w:tcBorders>
              <w:top w:val="single" w:sz="2" w:space="0" w:color="000000"/>
              <w:left w:val="single" w:sz="2" w:space="0" w:color="000000"/>
              <w:bottom w:val="nil"/>
              <w:right w:val="single" w:sz="2" w:space="0" w:color="000000"/>
            </w:tcBorders>
          </w:tcPr>
          <w:p w14:paraId="5E253BC2" w14:textId="5B47AA39" w:rsidR="000879CA" w:rsidRPr="0062606A" w:rsidRDefault="0025627B" w:rsidP="00F95454">
            <w:pPr>
              <w:mirrorIndents/>
              <w:jc w:val="center"/>
              <w:rPr>
                <w:b/>
              </w:rPr>
            </w:pPr>
            <w:r w:rsidRPr="0062606A">
              <w:rPr>
                <w:b/>
              </w:rPr>
              <w:t>Average Burden Per Response (h</w:t>
            </w:r>
            <w:r w:rsidR="000879CA" w:rsidRPr="0062606A">
              <w:rPr>
                <w:b/>
              </w:rPr>
              <w:t>ours)</w:t>
            </w:r>
          </w:p>
        </w:tc>
        <w:tc>
          <w:tcPr>
            <w:tcW w:w="1080" w:type="dxa"/>
            <w:tcBorders>
              <w:top w:val="single" w:sz="2" w:space="0" w:color="000000"/>
              <w:left w:val="single" w:sz="2" w:space="0" w:color="000000"/>
              <w:bottom w:val="nil"/>
              <w:right w:val="single" w:sz="2" w:space="0" w:color="000000"/>
            </w:tcBorders>
          </w:tcPr>
          <w:p w14:paraId="55727504" w14:textId="675A4663" w:rsidR="000879CA" w:rsidRPr="0062606A" w:rsidRDefault="000879CA" w:rsidP="00F95454">
            <w:pPr>
              <w:mirrorIndents/>
              <w:jc w:val="center"/>
              <w:rPr>
                <w:b/>
              </w:rPr>
            </w:pPr>
            <w:r w:rsidRPr="0062606A">
              <w:rPr>
                <w:b/>
              </w:rPr>
              <w:t>Total</w:t>
            </w:r>
          </w:p>
          <w:p w14:paraId="22FFF7BE" w14:textId="77777777" w:rsidR="000879CA" w:rsidRPr="0062606A" w:rsidRDefault="000879CA" w:rsidP="00F95454">
            <w:pPr>
              <w:mirrorIndents/>
              <w:jc w:val="center"/>
              <w:rPr>
                <w:b/>
              </w:rPr>
            </w:pPr>
            <w:r w:rsidRPr="0062606A">
              <w:rPr>
                <w:b/>
              </w:rPr>
              <w:t>Burden</w:t>
            </w:r>
          </w:p>
          <w:p w14:paraId="50CFECF8" w14:textId="77777777" w:rsidR="000879CA" w:rsidRPr="0062606A" w:rsidRDefault="000879CA" w:rsidP="00F95454">
            <w:pPr>
              <w:mirrorIndents/>
              <w:jc w:val="center"/>
              <w:rPr>
                <w:b/>
              </w:rPr>
            </w:pPr>
            <w:r w:rsidRPr="0062606A">
              <w:rPr>
                <w:b/>
              </w:rPr>
              <w:t>Hours</w:t>
            </w:r>
          </w:p>
        </w:tc>
      </w:tr>
      <w:tr w:rsidR="008172D1" w:rsidRPr="0062606A" w14:paraId="6A71D2DA" w14:textId="77777777" w:rsidTr="00C61DD4">
        <w:trPr>
          <w:cantSplit/>
        </w:trPr>
        <w:tc>
          <w:tcPr>
            <w:tcW w:w="1527" w:type="dxa"/>
            <w:tcBorders>
              <w:top w:val="single" w:sz="2" w:space="0" w:color="000000"/>
              <w:left w:val="single" w:sz="2" w:space="0" w:color="000000"/>
              <w:right w:val="nil"/>
            </w:tcBorders>
          </w:tcPr>
          <w:p w14:paraId="7331D6BA" w14:textId="7CB3C64E" w:rsidR="008172D1" w:rsidRPr="0062606A" w:rsidRDefault="008172D1" w:rsidP="00F95454">
            <w:pPr>
              <w:mirrorIndents/>
              <w:jc w:val="both"/>
            </w:pPr>
            <w:r w:rsidRPr="0062606A">
              <w:t>General Public- Adults</w:t>
            </w:r>
          </w:p>
        </w:tc>
        <w:tc>
          <w:tcPr>
            <w:tcW w:w="1800" w:type="dxa"/>
            <w:tcBorders>
              <w:top w:val="single" w:sz="2" w:space="0" w:color="000000"/>
              <w:left w:val="single" w:sz="2" w:space="0" w:color="000000"/>
              <w:bottom w:val="single" w:sz="2" w:space="0" w:color="000000"/>
              <w:right w:val="nil"/>
            </w:tcBorders>
          </w:tcPr>
          <w:p w14:paraId="5A079BF9" w14:textId="3CA4A3DE" w:rsidR="008172D1" w:rsidRPr="0062606A" w:rsidRDefault="002368E4" w:rsidP="00F95454">
            <w:pPr>
              <w:ind w:left="-39" w:right="51"/>
              <w:mirrorIndents/>
              <w:rPr>
                <w:iCs/>
              </w:rPr>
            </w:pPr>
            <w:r w:rsidRPr="0062606A">
              <w:rPr>
                <w:iCs/>
              </w:rPr>
              <w:t xml:space="preserve">D2C Client  </w:t>
            </w:r>
            <w:r w:rsidR="008172D1" w:rsidRPr="0062606A">
              <w:rPr>
                <w:iCs/>
              </w:rPr>
              <w:t>Screener</w:t>
            </w:r>
            <w:r w:rsidR="00343F28" w:rsidRPr="0062606A">
              <w:rPr>
                <w:iCs/>
              </w:rPr>
              <w:t xml:space="preserve"> (Att</w:t>
            </w:r>
            <w:r w:rsidR="000F4CAA" w:rsidRPr="0062606A">
              <w:rPr>
                <w:iCs/>
              </w:rPr>
              <w:t>.</w:t>
            </w:r>
            <w:r w:rsidR="00343F28" w:rsidRPr="0062606A">
              <w:rPr>
                <w:iCs/>
              </w:rPr>
              <w:t xml:space="preserve"> 3a)</w:t>
            </w:r>
          </w:p>
        </w:tc>
        <w:tc>
          <w:tcPr>
            <w:tcW w:w="1620" w:type="dxa"/>
            <w:tcBorders>
              <w:top w:val="single" w:sz="2" w:space="0" w:color="000000"/>
              <w:left w:val="single" w:sz="2" w:space="0" w:color="000000"/>
              <w:bottom w:val="single" w:sz="2" w:space="0" w:color="000000"/>
              <w:right w:val="nil"/>
            </w:tcBorders>
            <w:vAlign w:val="center"/>
          </w:tcPr>
          <w:p w14:paraId="70F789C7" w14:textId="52825159" w:rsidR="008172D1" w:rsidRPr="0062606A" w:rsidRDefault="008172D1" w:rsidP="00F95454">
            <w:pPr>
              <w:mirrorIndents/>
              <w:jc w:val="center"/>
            </w:pPr>
            <w:r w:rsidRPr="0062606A">
              <w:t>120</w:t>
            </w:r>
          </w:p>
        </w:tc>
        <w:tc>
          <w:tcPr>
            <w:tcW w:w="1710" w:type="dxa"/>
            <w:tcBorders>
              <w:top w:val="single" w:sz="2" w:space="0" w:color="000000"/>
              <w:left w:val="single" w:sz="2" w:space="0" w:color="000000"/>
              <w:bottom w:val="single" w:sz="2" w:space="0" w:color="000000"/>
              <w:right w:val="nil"/>
            </w:tcBorders>
            <w:vAlign w:val="center"/>
          </w:tcPr>
          <w:p w14:paraId="636D8DD4" w14:textId="32F6D7FA" w:rsidR="008172D1" w:rsidRPr="0062606A" w:rsidRDefault="008172D1" w:rsidP="00F95454">
            <w:pPr>
              <w:ind w:right="-39"/>
              <w:mirrorIndents/>
              <w:jc w:val="center"/>
              <w:rPr>
                <w:highlight w:val="yellow"/>
              </w:rPr>
            </w:pPr>
            <w:r w:rsidRPr="0062606A">
              <w:t>1</w:t>
            </w:r>
          </w:p>
        </w:tc>
        <w:tc>
          <w:tcPr>
            <w:tcW w:w="1980" w:type="dxa"/>
            <w:tcBorders>
              <w:top w:val="single" w:sz="2" w:space="0" w:color="000000"/>
              <w:left w:val="single" w:sz="2" w:space="0" w:color="000000"/>
              <w:bottom w:val="single" w:sz="2" w:space="0" w:color="000000"/>
              <w:right w:val="single" w:sz="2" w:space="0" w:color="000000"/>
            </w:tcBorders>
            <w:vAlign w:val="center"/>
          </w:tcPr>
          <w:p w14:paraId="7CE6E5A3" w14:textId="48E247B8" w:rsidR="008172D1" w:rsidRPr="0062606A" w:rsidRDefault="007F1AE0" w:rsidP="00F95454">
            <w:pPr>
              <w:ind w:right="-39"/>
              <w:mirrorIndents/>
              <w:jc w:val="center"/>
              <w:rPr>
                <w:highlight w:val="yellow"/>
              </w:rPr>
            </w:pPr>
            <w:r w:rsidRPr="0062606A">
              <w:t>5/60</w:t>
            </w:r>
          </w:p>
        </w:tc>
        <w:tc>
          <w:tcPr>
            <w:tcW w:w="1080" w:type="dxa"/>
            <w:tcBorders>
              <w:top w:val="single" w:sz="2" w:space="0" w:color="000000"/>
              <w:left w:val="single" w:sz="2" w:space="0" w:color="000000"/>
              <w:bottom w:val="single" w:sz="2" w:space="0" w:color="000000"/>
              <w:right w:val="single" w:sz="2" w:space="0" w:color="000000"/>
            </w:tcBorders>
            <w:vAlign w:val="center"/>
          </w:tcPr>
          <w:p w14:paraId="4104A66F" w14:textId="40360383" w:rsidR="008172D1" w:rsidRPr="0062606A" w:rsidRDefault="00754E12" w:rsidP="00F95454">
            <w:pPr>
              <w:mirrorIndents/>
              <w:jc w:val="center"/>
              <w:rPr>
                <w:highlight w:val="yellow"/>
              </w:rPr>
            </w:pPr>
            <w:r w:rsidRPr="0062606A">
              <w:t>1</w:t>
            </w:r>
            <w:r w:rsidR="008172D1" w:rsidRPr="0062606A">
              <w:t>0</w:t>
            </w:r>
          </w:p>
        </w:tc>
      </w:tr>
      <w:tr w:rsidR="000879CA" w:rsidRPr="0062606A" w14:paraId="20BDBA89" w14:textId="77777777" w:rsidTr="00C61DD4">
        <w:trPr>
          <w:cantSplit/>
        </w:trPr>
        <w:tc>
          <w:tcPr>
            <w:tcW w:w="1527" w:type="dxa"/>
            <w:tcBorders>
              <w:top w:val="single" w:sz="2" w:space="0" w:color="000000"/>
              <w:left w:val="single" w:sz="2" w:space="0" w:color="000000"/>
              <w:right w:val="nil"/>
            </w:tcBorders>
          </w:tcPr>
          <w:p w14:paraId="718F0264" w14:textId="0F02B3BC" w:rsidR="000879CA" w:rsidRPr="0062606A" w:rsidRDefault="000879CA" w:rsidP="00F95454">
            <w:pPr>
              <w:mirrorIndents/>
              <w:jc w:val="both"/>
            </w:pPr>
            <w:r w:rsidRPr="0062606A">
              <w:t>General</w:t>
            </w:r>
            <w:r w:rsidR="00777FC0" w:rsidRPr="0062606A">
              <w:t xml:space="preserve"> </w:t>
            </w:r>
            <w:r w:rsidRPr="0062606A">
              <w:t>Public- Adults</w:t>
            </w:r>
          </w:p>
        </w:tc>
        <w:tc>
          <w:tcPr>
            <w:tcW w:w="1800" w:type="dxa"/>
            <w:tcBorders>
              <w:top w:val="single" w:sz="2" w:space="0" w:color="000000"/>
              <w:left w:val="single" w:sz="2" w:space="0" w:color="000000"/>
              <w:bottom w:val="single" w:sz="2" w:space="0" w:color="000000"/>
              <w:right w:val="nil"/>
            </w:tcBorders>
          </w:tcPr>
          <w:p w14:paraId="165B9FE8" w14:textId="55048605" w:rsidR="000879CA" w:rsidRPr="0062606A" w:rsidRDefault="002368E4" w:rsidP="00F95454">
            <w:pPr>
              <w:ind w:left="-39" w:right="51"/>
              <w:mirrorIndents/>
            </w:pPr>
            <w:r w:rsidRPr="0062606A">
              <w:rPr>
                <w:iCs/>
              </w:rPr>
              <w:t>D2C Client Interview</w:t>
            </w:r>
            <w:r w:rsidR="00343F28" w:rsidRPr="0062606A">
              <w:rPr>
                <w:iCs/>
              </w:rPr>
              <w:t xml:space="preserve"> (Att. 3b</w:t>
            </w:r>
            <w:r w:rsidR="008519CC" w:rsidRPr="0062606A">
              <w:rPr>
                <w:iCs/>
              </w:rPr>
              <w:t>)</w:t>
            </w:r>
          </w:p>
        </w:tc>
        <w:tc>
          <w:tcPr>
            <w:tcW w:w="1620" w:type="dxa"/>
            <w:tcBorders>
              <w:top w:val="single" w:sz="2" w:space="0" w:color="000000"/>
              <w:left w:val="single" w:sz="2" w:space="0" w:color="000000"/>
              <w:bottom w:val="single" w:sz="2" w:space="0" w:color="000000"/>
              <w:right w:val="nil"/>
            </w:tcBorders>
            <w:vAlign w:val="center"/>
          </w:tcPr>
          <w:p w14:paraId="54123835" w14:textId="3AE228F7" w:rsidR="000879CA" w:rsidRPr="0062606A" w:rsidRDefault="00071920" w:rsidP="00F95454">
            <w:pPr>
              <w:mirrorIndents/>
              <w:jc w:val="center"/>
            </w:pPr>
            <w:r w:rsidRPr="0062606A">
              <w:t>60</w:t>
            </w:r>
          </w:p>
        </w:tc>
        <w:tc>
          <w:tcPr>
            <w:tcW w:w="1710" w:type="dxa"/>
            <w:tcBorders>
              <w:top w:val="single" w:sz="2" w:space="0" w:color="000000"/>
              <w:left w:val="single" w:sz="2" w:space="0" w:color="000000"/>
              <w:bottom w:val="single" w:sz="2" w:space="0" w:color="000000"/>
              <w:right w:val="nil"/>
            </w:tcBorders>
            <w:vAlign w:val="center"/>
          </w:tcPr>
          <w:p w14:paraId="5A033A8B" w14:textId="6935FAE5" w:rsidR="000879CA" w:rsidRPr="0062606A" w:rsidRDefault="006B56C4" w:rsidP="00F95454">
            <w:pPr>
              <w:ind w:right="-39"/>
              <w:mirrorIndents/>
              <w:jc w:val="center"/>
            </w:pPr>
            <w:r w:rsidRPr="0062606A">
              <w:t>1</w:t>
            </w:r>
          </w:p>
        </w:tc>
        <w:tc>
          <w:tcPr>
            <w:tcW w:w="1980" w:type="dxa"/>
            <w:tcBorders>
              <w:top w:val="single" w:sz="2" w:space="0" w:color="000000"/>
              <w:left w:val="single" w:sz="2" w:space="0" w:color="000000"/>
              <w:bottom w:val="single" w:sz="2" w:space="0" w:color="000000"/>
              <w:right w:val="single" w:sz="2" w:space="0" w:color="000000"/>
            </w:tcBorders>
            <w:vAlign w:val="center"/>
          </w:tcPr>
          <w:p w14:paraId="48E9D8E9" w14:textId="1CDCD5EF" w:rsidR="000879CA" w:rsidRPr="0062606A" w:rsidRDefault="008519CC" w:rsidP="00F95454">
            <w:pPr>
              <w:ind w:right="-39"/>
              <w:mirrorIndents/>
              <w:jc w:val="center"/>
            </w:pPr>
            <w:r w:rsidRPr="0062606A">
              <w:t>1</w:t>
            </w:r>
            <w:r w:rsidR="00DF291A" w:rsidRPr="0062606A">
              <w:t>.0</w:t>
            </w:r>
          </w:p>
        </w:tc>
        <w:tc>
          <w:tcPr>
            <w:tcW w:w="1080" w:type="dxa"/>
            <w:tcBorders>
              <w:top w:val="single" w:sz="2" w:space="0" w:color="000000"/>
              <w:left w:val="single" w:sz="2" w:space="0" w:color="000000"/>
              <w:bottom w:val="single" w:sz="2" w:space="0" w:color="000000"/>
              <w:right w:val="single" w:sz="2" w:space="0" w:color="000000"/>
            </w:tcBorders>
            <w:vAlign w:val="center"/>
          </w:tcPr>
          <w:p w14:paraId="4E334A7F" w14:textId="1CAA59C9" w:rsidR="000879CA" w:rsidRPr="0062606A" w:rsidRDefault="00071920" w:rsidP="00F95454">
            <w:pPr>
              <w:mirrorIndents/>
              <w:jc w:val="center"/>
            </w:pPr>
            <w:r w:rsidRPr="0062606A">
              <w:t>60</w:t>
            </w:r>
          </w:p>
        </w:tc>
      </w:tr>
      <w:tr w:rsidR="008457FB" w:rsidRPr="0062606A" w14:paraId="2F14FFD0" w14:textId="77777777" w:rsidTr="00C61DD4">
        <w:trPr>
          <w:cantSplit/>
        </w:trPr>
        <w:tc>
          <w:tcPr>
            <w:tcW w:w="1527" w:type="dxa"/>
            <w:tcBorders>
              <w:top w:val="single" w:sz="2" w:space="0" w:color="000000"/>
              <w:left w:val="single" w:sz="2" w:space="0" w:color="000000"/>
              <w:bottom w:val="single" w:sz="4" w:space="0" w:color="auto"/>
              <w:right w:val="nil"/>
            </w:tcBorders>
          </w:tcPr>
          <w:p w14:paraId="224CAF1A" w14:textId="53A69A04" w:rsidR="008457FB" w:rsidRPr="0062606A" w:rsidRDefault="008457FB" w:rsidP="00F95454">
            <w:pPr>
              <w:mirrorIndents/>
              <w:jc w:val="both"/>
            </w:pPr>
            <w:r w:rsidRPr="0062606A">
              <w:t>General Public-Adults</w:t>
            </w:r>
          </w:p>
        </w:tc>
        <w:tc>
          <w:tcPr>
            <w:tcW w:w="1800" w:type="dxa"/>
            <w:tcBorders>
              <w:top w:val="single" w:sz="2" w:space="0" w:color="000000"/>
              <w:left w:val="single" w:sz="2" w:space="0" w:color="000000"/>
              <w:bottom w:val="single" w:sz="2" w:space="0" w:color="000000"/>
              <w:right w:val="nil"/>
            </w:tcBorders>
          </w:tcPr>
          <w:p w14:paraId="72E62FAA" w14:textId="72FA8BEB" w:rsidR="008457FB" w:rsidRPr="0062606A" w:rsidRDefault="002368E4" w:rsidP="00F95454">
            <w:pPr>
              <w:ind w:left="-39" w:right="51"/>
              <w:mirrorIndents/>
            </w:pPr>
            <w:r w:rsidRPr="0062606A">
              <w:t>D2C Program Staff Interview</w:t>
            </w:r>
            <w:r w:rsidR="00343F28" w:rsidRPr="0062606A">
              <w:t xml:space="preserve"> (Att. 3c</w:t>
            </w:r>
            <w:r w:rsidR="008519CC" w:rsidRPr="0062606A">
              <w:t>)</w:t>
            </w:r>
          </w:p>
        </w:tc>
        <w:tc>
          <w:tcPr>
            <w:tcW w:w="1620" w:type="dxa"/>
            <w:tcBorders>
              <w:top w:val="single" w:sz="2" w:space="0" w:color="000000"/>
              <w:left w:val="single" w:sz="2" w:space="0" w:color="000000"/>
              <w:bottom w:val="single" w:sz="2" w:space="0" w:color="000000"/>
              <w:right w:val="nil"/>
            </w:tcBorders>
            <w:vAlign w:val="center"/>
          </w:tcPr>
          <w:p w14:paraId="03BF87F2" w14:textId="5B42B54A" w:rsidR="008457FB" w:rsidRPr="0062606A" w:rsidRDefault="00071920" w:rsidP="00F95454">
            <w:pPr>
              <w:mirrorIndents/>
              <w:jc w:val="center"/>
            </w:pPr>
            <w:r w:rsidRPr="0062606A">
              <w:t>30</w:t>
            </w:r>
          </w:p>
        </w:tc>
        <w:tc>
          <w:tcPr>
            <w:tcW w:w="1710" w:type="dxa"/>
            <w:tcBorders>
              <w:top w:val="single" w:sz="2" w:space="0" w:color="000000"/>
              <w:left w:val="single" w:sz="2" w:space="0" w:color="000000"/>
              <w:bottom w:val="single" w:sz="2" w:space="0" w:color="000000"/>
              <w:right w:val="nil"/>
            </w:tcBorders>
            <w:vAlign w:val="center"/>
          </w:tcPr>
          <w:p w14:paraId="65CEF3B4" w14:textId="53A7D6AE" w:rsidR="008457FB" w:rsidRPr="0062606A" w:rsidRDefault="008457FB" w:rsidP="00F95454">
            <w:pPr>
              <w:ind w:right="-39"/>
              <w:mirrorIndents/>
              <w:jc w:val="center"/>
            </w:pPr>
            <w:r w:rsidRPr="0062606A">
              <w:t>1</w:t>
            </w:r>
          </w:p>
        </w:tc>
        <w:tc>
          <w:tcPr>
            <w:tcW w:w="1980" w:type="dxa"/>
            <w:tcBorders>
              <w:top w:val="single" w:sz="2" w:space="0" w:color="000000"/>
              <w:left w:val="single" w:sz="2" w:space="0" w:color="000000"/>
              <w:bottom w:val="single" w:sz="2" w:space="0" w:color="000000"/>
              <w:right w:val="single" w:sz="2" w:space="0" w:color="000000"/>
            </w:tcBorders>
            <w:vAlign w:val="center"/>
          </w:tcPr>
          <w:p w14:paraId="4F682159" w14:textId="690FB295" w:rsidR="008457FB" w:rsidRPr="0062606A" w:rsidRDefault="008519CC" w:rsidP="00F95454">
            <w:pPr>
              <w:ind w:right="-39"/>
              <w:mirrorIndents/>
              <w:jc w:val="center"/>
            </w:pPr>
            <w:r w:rsidRPr="0062606A">
              <w:t>1</w:t>
            </w:r>
            <w:r w:rsidR="00DF291A" w:rsidRPr="0062606A">
              <w:t>.0</w:t>
            </w:r>
          </w:p>
        </w:tc>
        <w:tc>
          <w:tcPr>
            <w:tcW w:w="1080" w:type="dxa"/>
            <w:tcBorders>
              <w:top w:val="single" w:sz="2" w:space="0" w:color="000000"/>
              <w:left w:val="single" w:sz="2" w:space="0" w:color="000000"/>
              <w:bottom w:val="single" w:sz="2" w:space="0" w:color="000000"/>
              <w:right w:val="single" w:sz="2" w:space="0" w:color="000000"/>
            </w:tcBorders>
            <w:vAlign w:val="center"/>
          </w:tcPr>
          <w:p w14:paraId="68D42ED1" w14:textId="51B259AF" w:rsidR="008457FB" w:rsidRPr="0062606A" w:rsidRDefault="00071920" w:rsidP="00F95454">
            <w:pPr>
              <w:mirrorIndents/>
              <w:jc w:val="center"/>
            </w:pPr>
            <w:r w:rsidRPr="0062606A">
              <w:t>30</w:t>
            </w:r>
          </w:p>
        </w:tc>
      </w:tr>
      <w:tr w:rsidR="000879CA" w:rsidRPr="0062606A" w14:paraId="003AEEEE" w14:textId="77777777" w:rsidTr="0025627B">
        <w:trPr>
          <w:cantSplit/>
        </w:trPr>
        <w:tc>
          <w:tcPr>
            <w:tcW w:w="8637" w:type="dxa"/>
            <w:gridSpan w:val="5"/>
            <w:tcBorders>
              <w:top w:val="single" w:sz="2" w:space="0" w:color="000000"/>
              <w:left w:val="single" w:sz="2" w:space="0" w:color="000000"/>
              <w:bottom w:val="single" w:sz="2" w:space="0" w:color="000000"/>
              <w:right w:val="single" w:sz="2" w:space="0" w:color="000000"/>
            </w:tcBorders>
          </w:tcPr>
          <w:p w14:paraId="408BF53D" w14:textId="77777777" w:rsidR="000879CA" w:rsidRPr="0062606A" w:rsidRDefault="000879CA" w:rsidP="00F95454">
            <w:pPr>
              <w:ind w:right="224"/>
              <w:mirrorIndents/>
              <w:jc w:val="right"/>
              <w:rPr>
                <w:b/>
              </w:rPr>
            </w:pPr>
            <w:r w:rsidRPr="0062606A">
              <w:rPr>
                <w:b/>
              </w:rPr>
              <w:t>Total</w:t>
            </w:r>
          </w:p>
        </w:tc>
        <w:tc>
          <w:tcPr>
            <w:tcW w:w="1080" w:type="dxa"/>
            <w:tcBorders>
              <w:top w:val="single" w:sz="2" w:space="0" w:color="000000"/>
              <w:left w:val="single" w:sz="2" w:space="0" w:color="000000"/>
              <w:bottom w:val="single" w:sz="2" w:space="0" w:color="000000"/>
              <w:right w:val="single" w:sz="2" w:space="0" w:color="000000"/>
            </w:tcBorders>
            <w:vAlign w:val="center"/>
          </w:tcPr>
          <w:p w14:paraId="544BEFCA" w14:textId="19034BB2" w:rsidR="000879CA" w:rsidRPr="0062606A" w:rsidRDefault="00DF291A" w:rsidP="00F95454">
            <w:pPr>
              <w:mirrorIndents/>
              <w:jc w:val="center"/>
              <w:rPr>
                <w:b/>
              </w:rPr>
            </w:pPr>
            <w:r w:rsidRPr="0062606A">
              <w:rPr>
                <w:b/>
              </w:rPr>
              <w:t>100</w:t>
            </w:r>
          </w:p>
        </w:tc>
      </w:tr>
    </w:tbl>
    <w:p w14:paraId="6FECCC11" w14:textId="77777777" w:rsidR="00332F80" w:rsidRPr="00603813" w:rsidRDefault="00332F80" w:rsidP="00F95454">
      <w:pPr>
        <w:spacing w:before="120" w:after="120"/>
        <w:mirrorIndents/>
        <w:rPr>
          <w:b/>
        </w:rPr>
      </w:pPr>
    </w:p>
    <w:p w14:paraId="6A5D9D70" w14:textId="0327A8B9" w:rsidR="00332F80" w:rsidRPr="00E6566E" w:rsidRDefault="00332F80" w:rsidP="00F95454">
      <w:pPr>
        <w:pStyle w:val="Heading2"/>
        <w:spacing w:before="120" w:after="120"/>
        <w:mirrorIndents/>
        <w:rPr>
          <w:b w:val="0"/>
        </w:rPr>
      </w:pPr>
      <w:bookmarkStart w:id="19" w:name="_Toc444867859"/>
      <w:bookmarkStart w:id="20" w:name="_Toc444883710"/>
      <w:bookmarkStart w:id="21" w:name="_Toc445385235"/>
      <w:bookmarkStart w:id="22" w:name="_Toc448296085"/>
      <w:r w:rsidRPr="00E6566E">
        <w:t>Estimated Annualized Burden Costs</w:t>
      </w:r>
      <w:bookmarkEnd w:id="19"/>
      <w:bookmarkEnd w:id="20"/>
      <w:bookmarkEnd w:id="21"/>
      <w:bookmarkEnd w:id="22"/>
    </w:p>
    <w:p w14:paraId="220EC10A" w14:textId="32B6A7E4" w:rsidR="00332F80" w:rsidRPr="00603813" w:rsidRDefault="00332F80" w:rsidP="00F95454">
      <w:pPr>
        <w:spacing w:before="120" w:after="120"/>
        <w:mirrorIndents/>
      </w:pPr>
      <w:r w:rsidRPr="007E5176">
        <w:t xml:space="preserve">The annualized costs to the </w:t>
      </w:r>
      <w:r w:rsidR="003C10A5">
        <w:t>participants</w:t>
      </w:r>
      <w:r w:rsidRPr="007E5176">
        <w:t xml:space="preserve"> are described in Exhibit </w:t>
      </w:r>
      <w:r w:rsidR="0029515C" w:rsidRPr="007E5176">
        <w:t>12</w:t>
      </w:r>
      <w:r w:rsidR="00DE4370" w:rsidRPr="007E5176">
        <w:t>.</w:t>
      </w:r>
      <w:r w:rsidR="002E5112">
        <w:t>2</w:t>
      </w:r>
      <w:r w:rsidRPr="007E5176">
        <w:t xml:space="preserve">. The United States </w:t>
      </w:r>
      <w:r w:rsidR="0029515C" w:rsidRPr="007E5176">
        <w:t>Bureau</w:t>
      </w:r>
      <w:r w:rsidRPr="007E5176">
        <w:t xml:space="preserve"> of Labor Statistics</w:t>
      </w:r>
      <w:r w:rsidR="0029515C" w:rsidRPr="007E5176">
        <w:t>’ employment and wages estimates from</w:t>
      </w:r>
      <w:r w:rsidRPr="007E5176">
        <w:t xml:space="preserve"> </w:t>
      </w:r>
      <w:r w:rsidR="00DF291A">
        <w:t>May 2016</w:t>
      </w:r>
      <w:r w:rsidRPr="007E5176">
        <w:t xml:space="preserve"> </w:t>
      </w:r>
      <w:r w:rsidR="0029515C" w:rsidRPr="007E5176">
        <w:t>(</w:t>
      </w:r>
      <w:hyperlink r:id="rId17" w:history="1">
        <w:r w:rsidRPr="007E5176">
          <w:rPr>
            <w:rStyle w:val="Hyperlink"/>
          </w:rPr>
          <w:t>http://www.bls.gov/oes/current/oes_nat.htm</w:t>
        </w:r>
      </w:hyperlink>
      <w:r w:rsidR="00506E45" w:rsidRPr="007E5176">
        <w:t>)</w:t>
      </w:r>
      <w:r w:rsidRPr="007E5176">
        <w:rPr>
          <w:color w:val="0070C0"/>
        </w:rPr>
        <w:t xml:space="preserve"> </w:t>
      </w:r>
      <w:hyperlink w:history="1"/>
      <w:r w:rsidRPr="007E5176">
        <w:t>w</w:t>
      </w:r>
      <w:r w:rsidR="0029515C" w:rsidRPr="007E5176">
        <w:t>ere</w:t>
      </w:r>
      <w:r w:rsidRPr="007E5176">
        <w:t xml:space="preserve"> used to estimate the hourly wage rate for the general public for the purpose of this GenIC request. </w:t>
      </w:r>
      <w:r w:rsidRPr="00B65A4F">
        <w:t xml:space="preserve">The total estimated cost of the burden to </w:t>
      </w:r>
      <w:r w:rsidR="003C10A5">
        <w:t>participants</w:t>
      </w:r>
      <w:r w:rsidRPr="00B65A4F">
        <w:t xml:space="preserve"> is approximately </w:t>
      </w:r>
      <w:r w:rsidR="00DF291A" w:rsidRPr="00B65A4F">
        <w:t>$2</w:t>
      </w:r>
      <w:r w:rsidR="00B65A4F" w:rsidRPr="00B65A4F">
        <w:t>,</w:t>
      </w:r>
      <w:r w:rsidR="00DF291A" w:rsidRPr="00B65A4F">
        <w:t>386.00</w:t>
      </w:r>
      <w:r w:rsidR="00943B21" w:rsidRPr="00B65A4F">
        <w:t>.  This</w:t>
      </w:r>
      <w:r w:rsidRPr="00B65A4F">
        <w:t xml:space="preserve"> cost represents the total burde</w:t>
      </w:r>
      <w:r w:rsidR="003C10A5">
        <w:t>n hours of general participant</w:t>
      </w:r>
      <w:r w:rsidRPr="00B65A4F">
        <w:t xml:space="preserve">s multiplied by the average hourly wage rate </w:t>
      </w:r>
      <w:r w:rsidR="00DF291A" w:rsidRPr="00B65A4F">
        <w:t>$23.86</w:t>
      </w:r>
      <w:r w:rsidRPr="00B65A4F">
        <w:t>).</w:t>
      </w:r>
      <w:r w:rsidRPr="00603813">
        <w:t xml:space="preserve"> </w:t>
      </w:r>
    </w:p>
    <w:p w14:paraId="46305BF3" w14:textId="2DA1CDCC" w:rsidR="00E53653" w:rsidRPr="007376F4" w:rsidRDefault="00332F80" w:rsidP="00F95454">
      <w:pPr>
        <w:pStyle w:val="Caption"/>
        <w:spacing w:before="120" w:after="120"/>
        <w:mirrorIndents/>
      </w:pPr>
      <w:r w:rsidRPr="00603813">
        <w:t xml:space="preserve"> </w:t>
      </w:r>
      <w:bookmarkStart w:id="23" w:name="_Toc449541624"/>
      <w:r w:rsidR="00E53653"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D62D1E">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D62D1E">
        <w:rPr>
          <w:noProof/>
          <w:sz w:val="24"/>
          <w:szCs w:val="24"/>
        </w:rPr>
        <w:t>2</w:t>
      </w:r>
      <w:r w:rsidR="00C91C02">
        <w:rPr>
          <w:sz w:val="24"/>
          <w:szCs w:val="24"/>
        </w:rPr>
        <w:fldChar w:fldCharType="end"/>
      </w:r>
      <w:r w:rsidR="00E53653" w:rsidRPr="00E6566E">
        <w:rPr>
          <w:sz w:val="24"/>
          <w:szCs w:val="24"/>
        </w:rPr>
        <w:t xml:space="preserve">: Estimated Annualized Burden </w:t>
      </w:r>
      <w:r w:rsidR="00CC5FFB">
        <w:rPr>
          <w:sz w:val="24"/>
          <w:szCs w:val="24"/>
        </w:rPr>
        <w:t>Costs</w:t>
      </w:r>
      <w:bookmarkEnd w:id="23"/>
    </w:p>
    <w:tbl>
      <w:tblPr>
        <w:tblW w:w="8367" w:type="dxa"/>
        <w:tblLayout w:type="fixed"/>
        <w:tblCellMar>
          <w:left w:w="129" w:type="dxa"/>
          <w:right w:w="129" w:type="dxa"/>
        </w:tblCellMar>
        <w:tblLook w:val="0000" w:firstRow="0" w:lastRow="0" w:firstColumn="0" w:lastColumn="0" w:noHBand="0" w:noVBand="0"/>
      </w:tblPr>
      <w:tblGrid>
        <w:gridCol w:w="1890"/>
        <w:gridCol w:w="2067"/>
        <w:gridCol w:w="1350"/>
        <w:gridCol w:w="1350"/>
        <w:gridCol w:w="1710"/>
      </w:tblGrid>
      <w:tr w:rsidR="00332F80" w:rsidRPr="0062606A" w14:paraId="5A5AB004" w14:textId="77777777" w:rsidTr="0025627B">
        <w:trPr>
          <w:cantSplit/>
          <w:tblHeader/>
        </w:trPr>
        <w:tc>
          <w:tcPr>
            <w:tcW w:w="1890" w:type="dxa"/>
            <w:tcBorders>
              <w:top w:val="single" w:sz="2" w:space="0" w:color="000000"/>
              <w:left w:val="single" w:sz="2" w:space="0" w:color="000000"/>
              <w:bottom w:val="nil"/>
              <w:right w:val="nil"/>
            </w:tcBorders>
          </w:tcPr>
          <w:p w14:paraId="516F241C" w14:textId="77777777" w:rsidR="00332F80" w:rsidRPr="0062606A" w:rsidRDefault="00332F80" w:rsidP="00F95454">
            <w:pPr>
              <w:mirrorIndents/>
              <w:rPr>
                <w:b/>
              </w:rPr>
            </w:pPr>
            <w:r w:rsidRPr="0062606A">
              <w:rPr>
                <w:b/>
              </w:rPr>
              <w:t>Type of Respondent</w:t>
            </w:r>
          </w:p>
        </w:tc>
        <w:tc>
          <w:tcPr>
            <w:tcW w:w="2067" w:type="dxa"/>
            <w:tcBorders>
              <w:top w:val="single" w:sz="2" w:space="0" w:color="000000"/>
              <w:left w:val="single" w:sz="2" w:space="0" w:color="000000"/>
              <w:bottom w:val="nil"/>
              <w:right w:val="nil"/>
            </w:tcBorders>
          </w:tcPr>
          <w:p w14:paraId="2FC92B67" w14:textId="77777777" w:rsidR="00332F80" w:rsidRPr="0062606A" w:rsidRDefault="00332F80" w:rsidP="00F95454">
            <w:pPr>
              <w:mirrorIndents/>
              <w:rPr>
                <w:b/>
              </w:rPr>
            </w:pPr>
            <w:r w:rsidRPr="0062606A">
              <w:rPr>
                <w:b/>
              </w:rPr>
              <w:t>Form Name</w:t>
            </w:r>
          </w:p>
        </w:tc>
        <w:tc>
          <w:tcPr>
            <w:tcW w:w="1350" w:type="dxa"/>
            <w:tcBorders>
              <w:top w:val="single" w:sz="2" w:space="0" w:color="000000"/>
              <w:left w:val="single" w:sz="2" w:space="0" w:color="000000"/>
              <w:bottom w:val="nil"/>
              <w:right w:val="nil"/>
            </w:tcBorders>
          </w:tcPr>
          <w:p w14:paraId="5392D11A" w14:textId="37768470" w:rsidR="00332F80" w:rsidRPr="0062606A" w:rsidRDefault="00332F80" w:rsidP="00F95454">
            <w:pPr>
              <w:mirrorIndents/>
              <w:jc w:val="center"/>
              <w:rPr>
                <w:b/>
              </w:rPr>
            </w:pPr>
            <w:r w:rsidRPr="0062606A">
              <w:rPr>
                <w:b/>
              </w:rPr>
              <w:t>Total</w:t>
            </w:r>
          </w:p>
          <w:p w14:paraId="426CC59C" w14:textId="77777777" w:rsidR="00332F80" w:rsidRPr="0062606A" w:rsidRDefault="00332F80" w:rsidP="00F95454">
            <w:pPr>
              <w:mirrorIndents/>
              <w:jc w:val="center"/>
              <w:rPr>
                <w:b/>
              </w:rPr>
            </w:pPr>
            <w:r w:rsidRPr="0062606A">
              <w:rPr>
                <w:b/>
              </w:rPr>
              <w:t>Burden</w:t>
            </w:r>
          </w:p>
          <w:p w14:paraId="61E5D27A" w14:textId="77777777" w:rsidR="00332F80" w:rsidRPr="0062606A" w:rsidRDefault="00332F80" w:rsidP="00F95454">
            <w:pPr>
              <w:mirrorIndents/>
              <w:jc w:val="center"/>
              <w:rPr>
                <w:b/>
              </w:rPr>
            </w:pPr>
            <w:r w:rsidRPr="0062606A">
              <w:rPr>
                <w:b/>
              </w:rPr>
              <w:t>Hours</w:t>
            </w:r>
          </w:p>
        </w:tc>
        <w:tc>
          <w:tcPr>
            <w:tcW w:w="1350" w:type="dxa"/>
            <w:tcBorders>
              <w:top w:val="single" w:sz="2" w:space="0" w:color="000000"/>
              <w:left w:val="single" w:sz="2" w:space="0" w:color="000000"/>
              <w:bottom w:val="nil"/>
              <w:right w:val="nil"/>
            </w:tcBorders>
          </w:tcPr>
          <w:p w14:paraId="48C8863C" w14:textId="77777777" w:rsidR="00332F80" w:rsidRPr="0062606A" w:rsidRDefault="00332F80" w:rsidP="00F95454">
            <w:pPr>
              <w:mirrorIndents/>
              <w:jc w:val="center"/>
              <w:rPr>
                <w:b/>
              </w:rPr>
            </w:pPr>
            <w:r w:rsidRPr="0062606A">
              <w:rPr>
                <w:b/>
              </w:rPr>
              <w:t>Hourly Wage Rate</w:t>
            </w:r>
          </w:p>
        </w:tc>
        <w:tc>
          <w:tcPr>
            <w:tcW w:w="1710" w:type="dxa"/>
            <w:tcBorders>
              <w:top w:val="single" w:sz="2" w:space="0" w:color="000000"/>
              <w:left w:val="single" w:sz="2" w:space="0" w:color="000000"/>
              <w:bottom w:val="nil"/>
              <w:right w:val="single" w:sz="2" w:space="0" w:color="000000"/>
            </w:tcBorders>
          </w:tcPr>
          <w:p w14:paraId="4FD2858F" w14:textId="77777777" w:rsidR="00332F80" w:rsidRPr="0062606A" w:rsidRDefault="00332F80" w:rsidP="00F95454">
            <w:pPr>
              <w:mirrorIndents/>
              <w:jc w:val="center"/>
              <w:rPr>
                <w:b/>
              </w:rPr>
            </w:pPr>
            <w:r w:rsidRPr="0062606A">
              <w:rPr>
                <w:b/>
              </w:rPr>
              <w:t>Total Respondent Costs</w:t>
            </w:r>
          </w:p>
        </w:tc>
      </w:tr>
      <w:tr w:rsidR="005F32F0" w:rsidRPr="0062606A" w14:paraId="1A3C6131" w14:textId="77777777" w:rsidTr="0025627B">
        <w:trPr>
          <w:cantSplit/>
        </w:trPr>
        <w:tc>
          <w:tcPr>
            <w:tcW w:w="1890" w:type="dxa"/>
            <w:tcBorders>
              <w:top w:val="single" w:sz="4" w:space="0" w:color="auto"/>
              <w:left w:val="single" w:sz="4" w:space="0" w:color="auto"/>
              <w:bottom w:val="single" w:sz="4" w:space="0" w:color="auto"/>
              <w:right w:val="single" w:sz="4" w:space="0" w:color="auto"/>
            </w:tcBorders>
          </w:tcPr>
          <w:p w14:paraId="38D70117" w14:textId="44401F9C" w:rsidR="005F32F0" w:rsidRPr="0062606A" w:rsidRDefault="005F32F0" w:rsidP="00F95454">
            <w:pPr>
              <w:mirrorIndents/>
            </w:pPr>
            <w:r w:rsidRPr="0062606A">
              <w:t>General Public- Adults</w:t>
            </w:r>
          </w:p>
        </w:tc>
        <w:tc>
          <w:tcPr>
            <w:tcW w:w="2067" w:type="dxa"/>
            <w:tcBorders>
              <w:top w:val="single" w:sz="2" w:space="0" w:color="000000"/>
              <w:left w:val="single" w:sz="4" w:space="0" w:color="auto"/>
              <w:bottom w:val="single" w:sz="2" w:space="0" w:color="000000"/>
              <w:right w:val="nil"/>
            </w:tcBorders>
          </w:tcPr>
          <w:p w14:paraId="2B5195DD" w14:textId="62678075" w:rsidR="005F32F0" w:rsidRPr="0062606A" w:rsidRDefault="002368E4" w:rsidP="00F95454">
            <w:pPr>
              <w:ind w:left="-39" w:right="51"/>
              <w:mirrorIndents/>
              <w:rPr>
                <w:iCs/>
              </w:rPr>
            </w:pPr>
            <w:r w:rsidRPr="0062606A">
              <w:rPr>
                <w:iCs/>
              </w:rPr>
              <w:t xml:space="preserve">D2C Client </w:t>
            </w:r>
            <w:r w:rsidR="005F32F0" w:rsidRPr="0062606A">
              <w:rPr>
                <w:iCs/>
              </w:rPr>
              <w:t>Screener</w:t>
            </w:r>
            <w:r w:rsidR="00637F5D" w:rsidRPr="0062606A">
              <w:rPr>
                <w:iCs/>
              </w:rPr>
              <w:t xml:space="preserve"> (Att</w:t>
            </w:r>
            <w:r w:rsidR="00B65A4F" w:rsidRPr="0062606A">
              <w:rPr>
                <w:iCs/>
              </w:rPr>
              <w:t>.</w:t>
            </w:r>
            <w:r w:rsidR="00637F5D" w:rsidRPr="0062606A">
              <w:rPr>
                <w:iCs/>
              </w:rPr>
              <w:t xml:space="preserve"> 3a)</w:t>
            </w:r>
          </w:p>
        </w:tc>
        <w:tc>
          <w:tcPr>
            <w:tcW w:w="1350" w:type="dxa"/>
            <w:tcBorders>
              <w:top w:val="single" w:sz="2" w:space="0" w:color="000000"/>
              <w:left w:val="single" w:sz="2" w:space="0" w:color="000000"/>
              <w:bottom w:val="single" w:sz="2" w:space="0" w:color="000000"/>
              <w:right w:val="nil"/>
            </w:tcBorders>
            <w:vAlign w:val="center"/>
          </w:tcPr>
          <w:p w14:paraId="73EF1633" w14:textId="63BEBF4A" w:rsidR="005F32F0" w:rsidRPr="0062606A" w:rsidRDefault="00637F5D" w:rsidP="00F95454">
            <w:pPr>
              <w:mirrorIndents/>
              <w:jc w:val="center"/>
            </w:pPr>
            <w:r w:rsidRPr="0062606A">
              <w:t>1</w:t>
            </w:r>
            <w:r w:rsidR="005F32F0" w:rsidRPr="0062606A">
              <w:t>0</w:t>
            </w:r>
          </w:p>
        </w:tc>
        <w:tc>
          <w:tcPr>
            <w:tcW w:w="1350" w:type="dxa"/>
            <w:tcBorders>
              <w:top w:val="single" w:sz="2" w:space="0" w:color="000000"/>
              <w:left w:val="single" w:sz="2" w:space="0" w:color="000000"/>
              <w:bottom w:val="single" w:sz="2" w:space="0" w:color="000000"/>
              <w:right w:val="nil"/>
            </w:tcBorders>
            <w:vAlign w:val="center"/>
          </w:tcPr>
          <w:p w14:paraId="36339757" w14:textId="25D3DBD5" w:rsidR="005F32F0" w:rsidRPr="0062606A" w:rsidRDefault="00DF291A" w:rsidP="00F95454">
            <w:pPr>
              <w:ind w:right="-39"/>
              <w:mirrorIndents/>
              <w:jc w:val="center"/>
            </w:pPr>
            <w:r w:rsidRPr="0062606A">
              <w:t>$23.86</w:t>
            </w:r>
          </w:p>
        </w:tc>
        <w:tc>
          <w:tcPr>
            <w:tcW w:w="1710" w:type="dxa"/>
            <w:tcBorders>
              <w:top w:val="single" w:sz="2" w:space="0" w:color="000000"/>
              <w:left w:val="single" w:sz="2" w:space="0" w:color="000000"/>
              <w:bottom w:val="single" w:sz="2" w:space="0" w:color="000000"/>
              <w:right w:val="single" w:sz="2" w:space="0" w:color="000000"/>
            </w:tcBorders>
            <w:vAlign w:val="center"/>
          </w:tcPr>
          <w:p w14:paraId="7441C556" w14:textId="37248EB0" w:rsidR="005F32F0" w:rsidRPr="0062606A" w:rsidRDefault="00DF291A" w:rsidP="00F95454">
            <w:pPr>
              <w:ind w:right="-39"/>
              <w:mirrorIndents/>
              <w:jc w:val="center"/>
            </w:pPr>
            <w:r w:rsidRPr="0062606A">
              <w:t>$238.60</w:t>
            </w:r>
          </w:p>
        </w:tc>
      </w:tr>
      <w:tr w:rsidR="007E5176" w:rsidRPr="0062606A" w14:paraId="7EE2C3DA" w14:textId="77777777" w:rsidTr="0025627B">
        <w:trPr>
          <w:cantSplit/>
        </w:trPr>
        <w:tc>
          <w:tcPr>
            <w:tcW w:w="1890" w:type="dxa"/>
            <w:tcBorders>
              <w:top w:val="single" w:sz="4" w:space="0" w:color="auto"/>
              <w:left w:val="single" w:sz="4" w:space="0" w:color="auto"/>
              <w:bottom w:val="single" w:sz="4" w:space="0" w:color="auto"/>
              <w:right w:val="single" w:sz="4" w:space="0" w:color="auto"/>
            </w:tcBorders>
          </w:tcPr>
          <w:p w14:paraId="641F66F6" w14:textId="46944AA4" w:rsidR="007E5176" w:rsidRPr="0062606A" w:rsidRDefault="007E5176" w:rsidP="00F95454">
            <w:pPr>
              <w:mirrorIndents/>
            </w:pPr>
            <w:r w:rsidRPr="0062606A">
              <w:t>General Public- Adults</w:t>
            </w:r>
          </w:p>
        </w:tc>
        <w:tc>
          <w:tcPr>
            <w:tcW w:w="2067" w:type="dxa"/>
            <w:tcBorders>
              <w:top w:val="single" w:sz="2" w:space="0" w:color="000000"/>
              <w:left w:val="single" w:sz="4" w:space="0" w:color="auto"/>
              <w:bottom w:val="single" w:sz="2" w:space="0" w:color="000000"/>
              <w:right w:val="nil"/>
            </w:tcBorders>
          </w:tcPr>
          <w:p w14:paraId="23BDDF95" w14:textId="6162A1C0" w:rsidR="007E5176" w:rsidRPr="0062606A" w:rsidRDefault="002368E4" w:rsidP="00F95454">
            <w:pPr>
              <w:ind w:left="-39" w:right="51"/>
              <w:mirrorIndents/>
            </w:pPr>
            <w:r w:rsidRPr="0062606A">
              <w:rPr>
                <w:iCs/>
              </w:rPr>
              <w:t>D2C Client Interview</w:t>
            </w:r>
            <w:r w:rsidR="00637F5D" w:rsidRPr="0062606A">
              <w:rPr>
                <w:iCs/>
              </w:rPr>
              <w:t xml:space="preserve"> </w:t>
            </w:r>
            <w:r w:rsidR="003E478F" w:rsidRPr="0062606A">
              <w:rPr>
                <w:iCs/>
              </w:rPr>
              <w:t>(Att. 3b</w:t>
            </w:r>
            <w:r w:rsidR="007E5176" w:rsidRPr="0062606A">
              <w:rPr>
                <w:iCs/>
              </w:rPr>
              <w:t>)</w:t>
            </w:r>
          </w:p>
        </w:tc>
        <w:tc>
          <w:tcPr>
            <w:tcW w:w="1350" w:type="dxa"/>
            <w:tcBorders>
              <w:top w:val="single" w:sz="2" w:space="0" w:color="000000"/>
              <w:left w:val="single" w:sz="2" w:space="0" w:color="000000"/>
              <w:bottom w:val="single" w:sz="2" w:space="0" w:color="000000"/>
              <w:right w:val="nil"/>
            </w:tcBorders>
            <w:vAlign w:val="center"/>
          </w:tcPr>
          <w:p w14:paraId="46372667" w14:textId="0860FA96" w:rsidR="007E5176" w:rsidRPr="0062606A" w:rsidRDefault="00DF291A" w:rsidP="00F95454">
            <w:pPr>
              <w:mirrorIndents/>
              <w:jc w:val="center"/>
            </w:pPr>
            <w:r w:rsidRPr="0062606A">
              <w:t>60</w:t>
            </w:r>
          </w:p>
        </w:tc>
        <w:tc>
          <w:tcPr>
            <w:tcW w:w="1350" w:type="dxa"/>
            <w:tcBorders>
              <w:top w:val="single" w:sz="2" w:space="0" w:color="000000"/>
              <w:left w:val="single" w:sz="2" w:space="0" w:color="000000"/>
              <w:bottom w:val="single" w:sz="2" w:space="0" w:color="000000"/>
              <w:right w:val="nil"/>
            </w:tcBorders>
            <w:vAlign w:val="center"/>
          </w:tcPr>
          <w:p w14:paraId="4CC91E00" w14:textId="22853989" w:rsidR="007E5176" w:rsidRPr="0062606A" w:rsidRDefault="00DF291A" w:rsidP="00F95454">
            <w:pPr>
              <w:ind w:right="-39"/>
              <w:mirrorIndents/>
              <w:jc w:val="center"/>
            </w:pPr>
            <w:r w:rsidRPr="0062606A">
              <w:t>$23.86</w:t>
            </w:r>
          </w:p>
        </w:tc>
        <w:tc>
          <w:tcPr>
            <w:tcW w:w="1710" w:type="dxa"/>
            <w:tcBorders>
              <w:top w:val="single" w:sz="2" w:space="0" w:color="000000"/>
              <w:left w:val="single" w:sz="2" w:space="0" w:color="000000"/>
              <w:bottom w:val="single" w:sz="2" w:space="0" w:color="000000"/>
              <w:right w:val="single" w:sz="2" w:space="0" w:color="000000"/>
            </w:tcBorders>
            <w:vAlign w:val="center"/>
          </w:tcPr>
          <w:p w14:paraId="5A90C502" w14:textId="547267CB" w:rsidR="007E5176" w:rsidRPr="0062606A" w:rsidRDefault="00DF291A" w:rsidP="00F95454">
            <w:pPr>
              <w:ind w:right="-39"/>
              <w:mirrorIndents/>
              <w:jc w:val="center"/>
            </w:pPr>
            <w:r w:rsidRPr="0062606A">
              <w:t>$1</w:t>
            </w:r>
            <w:r w:rsidR="00B65A4F" w:rsidRPr="0062606A">
              <w:t>,</w:t>
            </w:r>
            <w:r w:rsidRPr="0062606A">
              <w:t>431.60</w:t>
            </w:r>
          </w:p>
        </w:tc>
      </w:tr>
      <w:tr w:rsidR="007E5176" w:rsidRPr="0062606A" w14:paraId="53D292FF" w14:textId="77777777" w:rsidTr="0025627B">
        <w:trPr>
          <w:cantSplit/>
        </w:trPr>
        <w:tc>
          <w:tcPr>
            <w:tcW w:w="1890" w:type="dxa"/>
            <w:tcBorders>
              <w:top w:val="single" w:sz="4" w:space="0" w:color="auto"/>
              <w:left w:val="single" w:sz="4" w:space="0" w:color="auto"/>
              <w:bottom w:val="single" w:sz="4" w:space="0" w:color="auto"/>
              <w:right w:val="single" w:sz="4" w:space="0" w:color="auto"/>
            </w:tcBorders>
          </w:tcPr>
          <w:p w14:paraId="505E1FDF" w14:textId="45F982AE" w:rsidR="007E5176" w:rsidRPr="0062606A" w:rsidRDefault="007E5176" w:rsidP="00F95454">
            <w:pPr>
              <w:mirrorIndents/>
            </w:pPr>
            <w:r w:rsidRPr="0062606A">
              <w:t xml:space="preserve">General Public- </w:t>
            </w:r>
          </w:p>
          <w:p w14:paraId="2BA38C4A" w14:textId="101730CB" w:rsidR="007E5176" w:rsidRPr="0062606A" w:rsidRDefault="007E5176" w:rsidP="00F95454">
            <w:pPr>
              <w:mirrorIndents/>
            </w:pPr>
            <w:r w:rsidRPr="0062606A">
              <w:t>Adults</w:t>
            </w:r>
          </w:p>
        </w:tc>
        <w:tc>
          <w:tcPr>
            <w:tcW w:w="2067" w:type="dxa"/>
            <w:tcBorders>
              <w:top w:val="single" w:sz="2" w:space="0" w:color="000000"/>
              <w:left w:val="single" w:sz="4" w:space="0" w:color="auto"/>
              <w:bottom w:val="single" w:sz="2" w:space="0" w:color="000000"/>
              <w:right w:val="nil"/>
            </w:tcBorders>
          </w:tcPr>
          <w:p w14:paraId="3C49BB57" w14:textId="0140E4B7" w:rsidR="007E5176" w:rsidRPr="0062606A" w:rsidRDefault="007E5176" w:rsidP="00F95454">
            <w:pPr>
              <w:ind w:left="-39" w:right="51"/>
              <w:mirrorIndents/>
            </w:pPr>
            <w:r w:rsidRPr="0062606A">
              <w:t xml:space="preserve"> D2C </w:t>
            </w:r>
            <w:r w:rsidR="002368E4" w:rsidRPr="0062606A">
              <w:t>Program Staff Interview</w:t>
            </w:r>
            <w:r w:rsidR="00343F28" w:rsidRPr="0062606A">
              <w:t xml:space="preserve"> (Att. 3c</w:t>
            </w:r>
            <w:r w:rsidRPr="0062606A">
              <w:t>)</w:t>
            </w:r>
          </w:p>
        </w:tc>
        <w:tc>
          <w:tcPr>
            <w:tcW w:w="1350" w:type="dxa"/>
            <w:tcBorders>
              <w:top w:val="single" w:sz="2" w:space="0" w:color="000000"/>
              <w:left w:val="single" w:sz="2" w:space="0" w:color="000000"/>
              <w:bottom w:val="single" w:sz="2" w:space="0" w:color="000000"/>
              <w:right w:val="nil"/>
            </w:tcBorders>
            <w:vAlign w:val="center"/>
          </w:tcPr>
          <w:p w14:paraId="73A4C4E1" w14:textId="3F54DCD3" w:rsidR="007E5176" w:rsidRPr="0062606A" w:rsidRDefault="00DF291A" w:rsidP="00F95454">
            <w:pPr>
              <w:mirrorIndents/>
              <w:jc w:val="center"/>
            </w:pPr>
            <w:r w:rsidRPr="0062606A">
              <w:t>30</w:t>
            </w:r>
          </w:p>
        </w:tc>
        <w:tc>
          <w:tcPr>
            <w:tcW w:w="1350" w:type="dxa"/>
            <w:tcBorders>
              <w:top w:val="single" w:sz="2" w:space="0" w:color="000000"/>
              <w:left w:val="single" w:sz="2" w:space="0" w:color="000000"/>
              <w:bottom w:val="single" w:sz="2" w:space="0" w:color="000000"/>
              <w:right w:val="nil"/>
            </w:tcBorders>
            <w:vAlign w:val="center"/>
          </w:tcPr>
          <w:p w14:paraId="1321E87F" w14:textId="039DF529" w:rsidR="007E5176" w:rsidRPr="0062606A" w:rsidRDefault="00DF291A" w:rsidP="00F95454">
            <w:pPr>
              <w:ind w:right="-39"/>
              <w:mirrorIndents/>
              <w:jc w:val="center"/>
            </w:pPr>
            <w:r w:rsidRPr="0062606A">
              <w:t>$23.86</w:t>
            </w:r>
          </w:p>
        </w:tc>
        <w:tc>
          <w:tcPr>
            <w:tcW w:w="1710" w:type="dxa"/>
            <w:tcBorders>
              <w:top w:val="single" w:sz="2" w:space="0" w:color="000000"/>
              <w:left w:val="single" w:sz="2" w:space="0" w:color="000000"/>
              <w:bottom w:val="single" w:sz="2" w:space="0" w:color="000000"/>
              <w:right w:val="single" w:sz="2" w:space="0" w:color="000000"/>
            </w:tcBorders>
            <w:vAlign w:val="center"/>
          </w:tcPr>
          <w:p w14:paraId="16E11440" w14:textId="742FE76B" w:rsidR="007E5176" w:rsidRPr="0062606A" w:rsidRDefault="00DF291A" w:rsidP="00F95454">
            <w:pPr>
              <w:ind w:right="-39"/>
              <w:mirrorIndents/>
              <w:jc w:val="center"/>
              <w:rPr>
                <w:highlight w:val="yellow"/>
              </w:rPr>
            </w:pPr>
            <w:r w:rsidRPr="0062606A">
              <w:t>$715.80</w:t>
            </w:r>
          </w:p>
        </w:tc>
      </w:tr>
      <w:tr w:rsidR="00E95779" w:rsidRPr="0062606A" w14:paraId="00222644" w14:textId="77777777" w:rsidTr="0025627B">
        <w:trPr>
          <w:cantSplit/>
        </w:trPr>
        <w:tc>
          <w:tcPr>
            <w:tcW w:w="8367" w:type="dxa"/>
            <w:gridSpan w:val="5"/>
            <w:tcBorders>
              <w:top w:val="single" w:sz="2" w:space="0" w:color="000000"/>
              <w:left w:val="single" w:sz="2" w:space="0" w:color="000000"/>
              <w:bottom w:val="single" w:sz="2" w:space="0" w:color="000000"/>
              <w:right w:val="single" w:sz="2" w:space="0" w:color="000000"/>
            </w:tcBorders>
          </w:tcPr>
          <w:p w14:paraId="24F9042E" w14:textId="6FF85FF5" w:rsidR="00E95779" w:rsidRPr="0062606A" w:rsidRDefault="00E95779" w:rsidP="00F95454">
            <w:pPr>
              <w:ind w:right="224"/>
              <w:mirrorIndents/>
              <w:jc w:val="right"/>
              <w:rPr>
                <w:b/>
              </w:rPr>
            </w:pPr>
            <w:r w:rsidRPr="0062606A">
              <w:rPr>
                <w:b/>
              </w:rPr>
              <w:t xml:space="preserve">Total </w:t>
            </w:r>
            <w:r w:rsidR="00DF291A" w:rsidRPr="0062606A">
              <w:rPr>
                <w:b/>
              </w:rPr>
              <w:t>$2</w:t>
            </w:r>
            <w:r w:rsidR="00B65A4F" w:rsidRPr="0062606A">
              <w:rPr>
                <w:b/>
              </w:rPr>
              <w:t>,</w:t>
            </w:r>
            <w:r w:rsidR="00DF291A" w:rsidRPr="0062606A">
              <w:rPr>
                <w:b/>
              </w:rPr>
              <w:t>386.00</w:t>
            </w:r>
          </w:p>
        </w:tc>
      </w:tr>
    </w:tbl>
    <w:p w14:paraId="11D43D79" w14:textId="4406D3AF" w:rsidR="00B12EA3" w:rsidRDefault="00B12EA3" w:rsidP="00F95454">
      <w:pPr>
        <w:pStyle w:val="Heading1"/>
        <w:spacing w:before="120" w:after="120"/>
        <w:mirrorIndents/>
      </w:pPr>
      <w:bookmarkStart w:id="24" w:name="_Toc448296086"/>
      <w:r w:rsidRPr="00B12EA3">
        <w:t>Estimates of Other Total Annual Cost Burden to Respondents and Record Keepers</w:t>
      </w:r>
      <w:bookmarkEnd w:id="24"/>
    </w:p>
    <w:p w14:paraId="66DF91DD" w14:textId="7AC6A382" w:rsidR="00332F80" w:rsidRDefault="00332F80" w:rsidP="00F95454">
      <w:pPr>
        <w:spacing w:before="120" w:after="120"/>
        <w:mirrorIndents/>
      </w:pPr>
      <w:r w:rsidRPr="00F15684">
        <w:t xml:space="preserve">There are no </w:t>
      </w:r>
      <w:r w:rsidR="00747020" w:rsidRPr="00F15684">
        <w:t xml:space="preserve">other </w:t>
      </w:r>
      <w:r w:rsidR="003C10A5">
        <w:t>costs to participant</w:t>
      </w:r>
      <w:r w:rsidRPr="00F15684">
        <w:t>s for participating in this survey.</w:t>
      </w:r>
    </w:p>
    <w:p w14:paraId="4FA662BE" w14:textId="77777777" w:rsidR="00015AE7" w:rsidRPr="00F951D1" w:rsidRDefault="00015AE7" w:rsidP="00F95454">
      <w:pPr>
        <w:spacing w:before="120" w:after="120"/>
        <w:mirrorIndents/>
      </w:pPr>
    </w:p>
    <w:p w14:paraId="30DCC62D" w14:textId="14BC7D11" w:rsidR="00332F80" w:rsidRDefault="00B12EA3" w:rsidP="00F95454">
      <w:pPr>
        <w:pStyle w:val="Heading1"/>
        <w:spacing w:before="120" w:after="120"/>
        <w:mirrorIndents/>
      </w:pPr>
      <w:bookmarkStart w:id="25" w:name="_Toc448296087"/>
      <w:r w:rsidRPr="00E6566E">
        <w:t>Annualized Cost to the Federal Government</w:t>
      </w:r>
      <w:bookmarkEnd w:id="25"/>
    </w:p>
    <w:p w14:paraId="2C85965F" w14:textId="7ED1CC3D" w:rsidR="00B65A4F" w:rsidRPr="00B65A4F" w:rsidRDefault="00B65A4F" w:rsidP="00F95454">
      <w:pPr>
        <w:spacing w:before="120" w:after="120"/>
        <w:mirrorIndents/>
      </w:pPr>
      <w:r>
        <w:t>Exhibit 14.1</w:t>
      </w:r>
      <w:r w:rsidRPr="00B65A4F">
        <w:t xml:space="preserve"> provides the annualized cost to the government</w:t>
      </w:r>
      <w:r w:rsidRPr="006A4424">
        <w:t>, which totals $</w:t>
      </w:r>
      <w:r w:rsidR="006A4424" w:rsidRPr="006A4424">
        <w:t xml:space="preserve">318,381 </w:t>
      </w:r>
      <w:r w:rsidRPr="006A4424">
        <w:t>using</w:t>
      </w:r>
      <w:r w:rsidRPr="00B65A4F">
        <w:t xml:space="preserve"> the </w:t>
      </w:r>
      <w:r>
        <w:t xml:space="preserve">2017 </w:t>
      </w:r>
      <w:r w:rsidRPr="00B65A4F">
        <w:t xml:space="preserve">Atlanta locality salary schedule. CDC supports costs for HIV prevention </w:t>
      </w:r>
      <w:r w:rsidRPr="008102BB">
        <w:t>program task orders using</w:t>
      </w:r>
      <w:r w:rsidRPr="00B65A4F">
        <w:t xml:space="preserve"> funds budgeted for these purposes. Additional expenses may be incurred by CDC for attending site visits. Managing the project, providing technical assistance, monitoring and analyzing the submitted data, and generating assorted reports </w:t>
      </w:r>
      <w:r>
        <w:t>will</w:t>
      </w:r>
      <w:r w:rsidRPr="00B65A4F">
        <w:t xml:space="preserve"> require the expertise of </w:t>
      </w:r>
      <w:r>
        <w:t>three</w:t>
      </w:r>
      <w:r w:rsidRPr="00B65A4F">
        <w:t xml:space="preserve"> CDC staff. </w:t>
      </w:r>
    </w:p>
    <w:p w14:paraId="792B45B5" w14:textId="7AA77396" w:rsidR="00E53653" w:rsidRPr="007376F4" w:rsidRDefault="00E53653" w:rsidP="00F95454">
      <w:pPr>
        <w:pStyle w:val="Caption"/>
        <w:keepNext/>
        <w:spacing w:before="120" w:after="120"/>
        <w:mirrorIndents/>
      </w:pPr>
      <w:bookmarkStart w:id="26" w:name="_Toc449541625"/>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D62D1E">
        <w:rPr>
          <w:noProof/>
          <w:sz w:val="24"/>
          <w:szCs w:val="24"/>
        </w:rPr>
        <w:t>14</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D62D1E">
        <w:rPr>
          <w:noProof/>
          <w:sz w:val="24"/>
          <w:szCs w:val="24"/>
        </w:rPr>
        <w:t>1</w:t>
      </w:r>
      <w:r w:rsidR="00C91C02">
        <w:rPr>
          <w:sz w:val="24"/>
          <w:szCs w:val="24"/>
        </w:rPr>
        <w:fldChar w:fldCharType="end"/>
      </w:r>
      <w:r w:rsidRPr="00E6566E">
        <w:rPr>
          <w:sz w:val="24"/>
          <w:szCs w:val="24"/>
        </w:rPr>
        <w:t>: Annualized Cost to the Government</w:t>
      </w:r>
      <w:bookmarkEnd w:id="26"/>
      <w:r w:rsidR="00B65A4F">
        <w:rPr>
          <w:sz w:val="24"/>
          <w:szCs w:val="24"/>
        </w:rPr>
        <w:t xml:space="preserve"> (2017 scale)</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43"/>
        <w:gridCol w:w="5447"/>
        <w:gridCol w:w="2340"/>
      </w:tblGrid>
      <w:tr w:rsidR="00332F80" w:rsidRPr="00D02168" w14:paraId="13CE864C" w14:textId="77777777" w:rsidTr="00D02168">
        <w:tc>
          <w:tcPr>
            <w:tcW w:w="1843" w:type="dxa"/>
          </w:tcPr>
          <w:p w14:paraId="394C584A"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bCs/>
              </w:rPr>
            </w:pPr>
            <w:r w:rsidRPr="00D02168">
              <w:rPr>
                <w:b/>
                <w:bCs/>
              </w:rPr>
              <w:t>Expense Type</w:t>
            </w:r>
          </w:p>
        </w:tc>
        <w:tc>
          <w:tcPr>
            <w:tcW w:w="5447" w:type="dxa"/>
          </w:tcPr>
          <w:p w14:paraId="40E3E56D"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D02168">
              <w:rPr>
                <w:b/>
                <w:bCs/>
              </w:rPr>
              <w:t>Expense Explanation</w:t>
            </w:r>
          </w:p>
        </w:tc>
        <w:tc>
          <w:tcPr>
            <w:tcW w:w="2340" w:type="dxa"/>
          </w:tcPr>
          <w:p w14:paraId="5683A7F0"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D02168">
              <w:rPr>
                <w:b/>
                <w:bCs/>
              </w:rPr>
              <w:t>Annual Costs (dollars)</w:t>
            </w:r>
          </w:p>
        </w:tc>
      </w:tr>
      <w:tr w:rsidR="00332F80" w:rsidRPr="00D02168" w14:paraId="0CC8B117" w14:textId="77777777" w:rsidTr="00D02168">
        <w:tc>
          <w:tcPr>
            <w:tcW w:w="1843" w:type="dxa"/>
          </w:tcPr>
          <w:p w14:paraId="7502CF7F" w14:textId="66809D8B"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Direct Costs</w:t>
            </w:r>
          </w:p>
        </w:tc>
        <w:tc>
          <w:tcPr>
            <w:tcW w:w="5447" w:type="dxa"/>
            <w:vAlign w:val="center"/>
          </w:tcPr>
          <w:p w14:paraId="07DF3CB1" w14:textId="04EA2853"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 xml:space="preserve">CDC, </w:t>
            </w:r>
            <w:r w:rsidR="00E2574F" w:rsidRPr="00D02168">
              <w:t xml:space="preserve">Project Officer </w:t>
            </w:r>
            <w:r w:rsidRPr="00D02168">
              <w:t>(GS-14</w:t>
            </w:r>
            <w:r w:rsidR="00291F2D" w:rsidRPr="00D02168">
              <w:t>,</w:t>
            </w:r>
            <w:r w:rsidRPr="00D02168">
              <w:t xml:space="preserve"> 0.20 FTE)</w:t>
            </w:r>
          </w:p>
        </w:tc>
        <w:tc>
          <w:tcPr>
            <w:tcW w:w="2340" w:type="dxa"/>
            <w:vAlign w:val="center"/>
          </w:tcPr>
          <w:p w14:paraId="1A280807" w14:textId="6ED471CD" w:rsidR="00332F80" w:rsidRPr="00D02168" w:rsidRDefault="00291F2D"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$21</w:t>
            </w:r>
            <w:r w:rsidR="00332F80" w:rsidRPr="00D02168">
              <w:t>,</w:t>
            </w:r>
            <w:r w:rsidRPr="00D02168">
              <w:t>276</w:t>
            </w:r>
          </w:p>
        </w:tc>
      </w:tr>
      <w:tr w:rsidR="00332F80" w:rsidRPr="00D02168" w14:paraId="68E5496D" w14:textId="77777777" w:rsidTr="00D02168">
        <w:tc>
          <w:tcPr>
            <w:tcW w:w="1843" w:type="dxa"/>
          </w:tcPr>
          <w:p w14:paraId="0A3E69D8"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447" w:type="dxa"/>
            <w:vAlign w:val="center"/>
          </w:tcPr>
          <w:p w14:paraId="176F3693" w14:textId="357D41CB"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CDC</w:t>
            </w:r>
            <w:r w:rsidR="00E2574F" w:rsidRPr="00D02168">
              <w:t xml:space="preserve"> Scientist</w:t>
            </w:r>
            <w:r w:rsidR="00C60213" w:rsidRPr="00D02168">
              <w:t xml:space="preserve"> </w:t>
            </w:r>
            <w:r w:rsidRPr="00D02168">
              <w:t>(GS-1</w:t>
            </w:r>
            <w:r w:rsidR="00C1474B" w:rsidRPr="00D02168">
              <w:t>3</w:t>
            </w:r>
            <w:r w:rsidR="00E2574F" w:rsidRPr="00D02168">
              <w:t xml:space="preserve">, </w:t>
            </w:r>
            <w:r w:rsidRPr="00D02168">
              <w:t>0.20 FTE)</w:t>
            </w:r>
          </w:p>
        </w:tc>
        <w:tc>
          <w:tcPr>
            <w:tcW w:w="2340" w:type="dxa"/>
            <w:vAlign w:val="center"/>
          </w:tcPr>
          <w:p w14:paraId="208D543C" w14:textId="6F047DFF"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w:t>
            </w:r>
            <w:r w:rsidR="00291F2D" w:rsidRPr="00D02168">
              <w:t>1</w:t>
            </w:r>
            <w:r w:rsidR="008E10CB" w:rsidRPr="00D02168">
              <w:t>8,</w:t>
            </w:r>
            <w:r w:rsidR="00291F2D" w:rsidRPr="00D02168">
              <w:t>004</w:t>
            </w:r>
          </w:p>
        </w:tc>
      </w:tr>
      <w:tr w:rsidR="00332F80" w:rsidRPr="00D02168" w14:paraId="6417CD23" w14:textId="77777777" w:rsidTr="00D02168">
        <w:tc>
          <w:tcPr>
            <w:tcW w:w="1843" w:type="dxa"/>
          </w:tcPr>
          <w:p w14:paraId="5BB5FCA4"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447" w:type="dxa"/>
            <w:vAlign w:val="center"/>
          </w:tcPr>
          <w:p w14:paraId="6FAA05A1" w14:textId="474C97A9"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CDC</w:t>
            </w:r>
            <w:r w:rsidR="00E2574F" w:rsidRPr="00D02168">
              <w:t xml:space="preserve"> Project Coordinator</w:t>
            </w:r>
            <w:r w:rsidRPr="00D02168">
              <w:t xml:space="preserve"> (GS-12, 0.30 FTE) </w:t>
            </w:r>
          </w:p>
        </w:tc>
        <w:tc>
          <w:tcPr>
            <w:tcW w:w="2340" w:type="dxa"/>
            <w:vAlign w:val="center"/>
          </w:tcPr>
          <w:p w14:paraId="68A6DA76" w14:textId="67B99DE1"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$2</w:t>
            </w:r>
            <w:r w:rsidR="00291F2D" w:rsidRPr="00D02168">
              <w:t>2,712</w:t>
            </w:r>
          </w:p>
        </w:tc>
      </w:tr>
      <w:tr w:rsidR="00332F80" w:rsidRPr="00D02168" w14:paraId="6B8192A0" w14:textId="77777777" w:rsidTr="00D02168">
        <w:tc>
          <w:tcPr>
            <w:tcW w:w="1843" w:type="dxa"/>
          </w:tcPr>
          <w:p w14:paraId="0025A39E"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447" w:type="dxa"/>
            <w:vAlign w:val="center"/>
          </w:tcPr>
          <w:p w14:paraId="3F028717"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rPr>
                <w:b/>
              </w:rPr>
              <w:t xml:space="preserve">           Subtotal, Direct Costs</w:t>
            </w:r>
          </w:p>
        </w:tc>
        <w:tc>
          <w:tcPr>
            <w:tcW w:w="2340" w:type="dxa"/>
            <w:vAlign w:val="center"/>
          </w:tcPr>
          <w:p w14:paraId="5F055B04" w14:textId="2ED8D67A" w:rsidR="00332F80" w:rsidRPr="00D02168" w:rsidRDefault="00291F2D"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rPr>
                <w:b/>
              </w:rPr>
              <w:t>$61,992</w:t>
            </w:r>
          </w:p>
        </w:tc>
      </w:tr>
      <w:tr w:rsidR="00332F80" w:rsidRPr="00D02168" w14:paraId="7DDD5C41" w14:textId="77777777" w:rsidTr="00D02168">
        <w:tc>
          <w:tcPr>
            <w:tcW w:w="1843" w:type="dxa"/>
          </w:tcPr>
          <w:p w14:paraId="410561C9" w14:textId="0096B059" w:rsidR="00332F80" w:rsidRPr="00D02168" w:rsidRDefault="008519CC"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Contract</w:t>
            </w:r>
            <w:r w:rsidR="00EE4F87" w:rsidRPr="00D02168">
              <w:t xml:space="preserve"> Costs</w:t>
            </w:r>
            <w:r w:rsidR="004629B2" w:rsidRPr="00D02168">
              <w:t xml:space="preserve"> </w:t>
            </w:r>
          </w:p>
        </w:tc>
        <w:tc>
          <w:tcPr>
            <w:tcW w:w="5447" w:type="dxa"/>
            <w:vAlign w:val="center"/>
          </w:tcPr>
          <w:p w14:paraId="06852707" w14:textId="0D5D66F8" w:rsidR="00332F80" w:rsidRPr="00F95904" w:rsidRDefault="008519CC"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F95904">
              <w:rPr>
                <w:b/>
              </w:rPr>
              <w:t xml:space="preserve">Annual Contract Costs  (RSS, </w:t>
            </w:r>
            <w:r w:rsidR="00104E90" w:rsidRPr="00F95904">
              <w:rPr>
                <w:b/>
              </w:rPr>
              <w:t>#</w:t>
            </w:r>
            <w:r w:rsidRPr="00F95904">
              <w:rPr>
                <w:b/>
              </w:rPr>
              <w:t>200-2013-57341</w:t>
            </w:r>
            <w:r w:rsidR="00104E90" w:rsidRPr="00F95904">
              <w:rPr>
                <w:b/>
              </w:rPr>
              <w:t>)</w:t>
            </w:r>
            <w:r w:rsidR="00332F80" w:rsidRPr="00F95904">
              <w:rPr>
                <w:b/>
              </w:rPr>
              <w:t xml:space="preserve">               </w:t>
            </w:r>
          </w:p>
        </w:tc>
        <w:tc>
          <w:tcPr>
            <w:tcW w:w="2340" w:type="dxa"/>
            <w:vAlign w:val="center"/>
          </w:tcPr>
          <w:p w14:paraId="3D36E433" w14:textId="715E2C8C" w:rsidR="00332F80" w:rsidRPr="00F95904" w:rsidRDefault="00332F80" w:rsidP="00F95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F95904">
              <w:rPr>
                <w:b/>
              </w:rPr>
              <w:t>$</w:t>
            </w:r>
            <w:r w:rsidR="006A4424">
              <w:rPr>
                <w:b/>
              </w:rPr>
              <w:t>256,389</w:t>
            </w:r>
          </w:p>
        </w:tc>
      </w:tr>
      <w:tr w:rsidR="00332F80" w:rsidRPr="00D02168" w14:paraId="00643FEF" w14:textId="77777777" w:rsidTr="00D02168">
        <w:tc>
          <w:tcPr>
            <w:tcW w:w="1843" w:type="dxa"/>
          </w:tcPr>
          <w:p w14:paraId="302920C0" w14:textId="77777777" w:rsidR="00332F80" w:rsidRPr="00D02168"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447" w:type="dxa"/>
          </w:tcPr>
          <w:p w14:paraId="34DA3866" w14:textId="77777777" w:rsidR="00332F80" w:rsidRPr="00F95904" w:rsidRDefault="00332F80" w:rsidP="00F95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F95904">
              <w:rPr>
                <w:b/>
              </w:rPr>
              <w:t xml:space="preserve">TOTAL COST TO THE GOVERNMENT </w:t>
            </w:r>
          </w:p>
        </w:tc>
        <w:tc>
          <w:tcPr>
            <w:tcW w:w="2340" w:type="dxa"/>
          </w:tcPr>
          <w:p w14:paraId="32B261F2" w14:textId="68D85ABE" w:rsidR="00332F80" w:rsidRPr="00F95904" w:rsidRDefault="00B953B0" w:rsidP="006A4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F95904">
              <w:rPr>
                <w:b/>
              </w:rPr>
              <w:t xml:space="preserve">$ </w:t>
            </w:r>
            <w:r w:rsidR="006A4424">
              <w:rPr>
                <w:b/>
              </w:rPr>
              <w:t>3</w:t>
            </w:r>
            <w:r w:rsidR="00F95904">
              <w:rPr>
                <w:b/>
              </w:rPr>
              <w:t>18,</w:t>
            </w:r>
            <w:r w:rsidR="006A4424">
              <w:rPr>
                <w:b/>
              </w:rPr>
              <w:t>381</w:t>
            </w:r>
          </w:p>
        </w:tc>
      </w:tr>
    </w:tbl>
    <w:p w14:paraId="558D68D7" w14:textId="77777777" w:rsidR="00F95454" w:rsidRDefault="00F95454" w:rsidP="00F95454">
      <w:pPr>
        <w:pStyle w:val="Heading1"/>
        <w:numPr>
          <w:ilvl w:val="0"/>
          <w:numId w:val="0"/>
        </w:numPr>
        <w:spacing w:before="120" w:after="120"/>
        <w:ind w:left="432"/>
        <w:mirrorIndents/>
      </w:pPr>
      <w:bookmarkStart w:id="27" w:name="_Toc448296088"/>
    </w:p>
    <w:p w14:paraId="0027368F" w14:textId="766681C5" w:rsidR="00B12EA3" w:rsidRDefault="00B12EA3" w:rsidP="00F95454">
      <w:pPr>
        <w:pStyle w:val="Heading1"/>
        <w:spacing w:before="120" w:after="120"/>
        <w:mirrorIndents/>
      </w:pPr>
      <w:r w:rsidRPr="00B12EA3">
        <w:t>Explanation for Program Changes or Adjustments</w:t>
      </w:r>
      <w:bookmarkEnd w:id="27"/>
    </w:p>
    <w:p w14:paraId="12E59EA5" w14:textId="1FAED562" w:rsidR="00332F80" w:rsidRDefault="00332F80" w:rsidP="00F95454">
      <w:pPr>
        <w:autoSpaceDE w:val="0"/>
        <w:autoSpaceDN w:val="0"/>
        <w:adjustRightInd w:val="0"/>
        <w:spacing w:before="120" w:after="120"/>
        <w:mirrorIndents/>
        <w:jc w:val="both"/>
        <w:rPr>
          <w:bCs/>
        </w:rPr>
      </w:pPr>
      <w:r w:rsidRPr="009C5D88">
        <w:rPr>
          <w:bCs/>
        </w:rPr>
        <w:t>This is a new GenIC information collection request (ICR).</w:t>
      </w:r>
      <w:r w:rsidRPr="00603813">
        <w:rPr>
          <w:bCs/>
        </w:rPr>
        <w:t xml:space="preserve"> </w:t>
      </w:r>
    </w:p>
    <w:p w14:paraId="08E6E6B7" w14:textId="77777777" w:rsidR="005E6F8D" w:rsidRDefault="005E6F8D" w:rsidP="00F95454">
      <w:pPr>
        <w:autoSpaceDE w:val="0"/>
        <w:autoSpaceDN w:val="0"/>
        <w:adjustRightInd w:val="0"/>
        <w:spacing w:before="120" w:after="120"/>
        <w:mirrorIndents/>
        <w:jc w:val="both"/>
        <w:rPr>
          <w:bCs/>
        </w:rPr>
      </w:pPr>
    </w:p>
    <w:p w14:paraId="6DB91386" w14:textId="33251CB3" w:rsidR="00332F80" w:rsidRDefault="00B12EA3" w:rsidP="00F95454">
      <w:pPr>
        <w:pStyle w:val="Heading1"/>
        <w:spacing w:before="120" w:after="120"/>
        <w:mirrorIndents/>
      </w:pPr>
      <w:bookmarkStart w:id="28" w:name="_Toc448296089"/>
      <w:r w:rsidRPr="00C46977">
        <w:t>Plans for Tabulation and Publication and Project Time Schedule</w:t>
      </w:r>
      <w:bookmarkEnd w:id="28"/>
    </w:p>
    <w:p w14:paraId="5892749C" w14:textId="2D2D6709" w:rsidR="00104E90" w:rsidRDefault="00104E90" w:rsidP="003C10A5">
      <w:pPr>
        <w:spacing w:before="120" w:after="120"/>
        <w:mirrorIndents/>
      </w:pPr>
      <w:r w:rsidRPr="009C5D88">
        <w:t>Tabulation will include descripti</w:t>
      </w:r>
      <w:r w:rsidR="003C10A5">
        <w:t>ve characteristics of participant</w:t>
      </w:r>
      <w:r w:rsidRPr="009C5D88">
        <w:t>s collected in the first part of the interview (e.g., city, age, race/ethnicity</w:t>
      </w:r>
      <w:r w:rsidRPr="00B953B0">
        <w:t xml:space="preserve">, job category).  Data collection will occur between </w:t>
      </w:r>
      <w:r w:rsidR="00390FA0" w:rsidRPr="00B953B0">
        <w:t>May</w:t>
      </w:r>
      <w:r w:rsidR="00DF291A" w:rsidRPr="00B953B0">
        <w:t xml:space="preserve"> 2018</w:t>
      </w:r>
      <w:r w:rsidRPr="00B953B0">
        <w:t xml:space="preserve"> and </w:t>
      </w:r>
      <w:r w:rsidR="00390FA0" w:rsidRPr="00B953B0">
        <w:t>August</w:t>
      </w:r>
      <w:r w:rsidR="00DF291A" w:rsidRPr="00B953B0">
        <w:t xml:space="preserve"> 2018</w:t>
      </w:r>
      <w:r w:rsidRPr="00B953B0">
        <w:t xml:space="preserve">, analyses will be carried out in </w:t>
      </w:r>
      <w:r w:rsidR="00390FA0" w:rsidRPr="00B953B0">
        <w:t>September-November</w:t>
      </w:r>
      <w:r w:rsidR="00DF291A" w:rsidRPr="00B953B0">
        <w:t xml:space="preserve"> 2018</w:t>
      </w:r>
      <w:r w:rsidRPr="00B953B0">
        <w:t xml:space="preserve">, and the final data set and report will be submitted in </w:t>
      </w:r>
      <w:r w:rsidR="00390FA0" w:rsidRPr="00B953B0">
        <w:t>December</w:t>
      </w:r>
      <w:r w:rsidR="00DF291A" w:rsidRPr="00B953B0">
        <w:t xml:space="preserve"> 201</w:t>
      </w:r>
      <w:r w:rsidR="00390FA0" w:rsidRPr="00B953B0">
        <w:t>8</w:t>
      </w:r>
      <w:r w:rsidRPr="00B953B0">
        <w:t>. The</w:t>
      </w:r>
      <w:r w:rsidRPr="009C5D88">
        <w:t xml:space="preserve"> project timeline is detailed in exhibit 16.1.</w:t>
      </w:r>
    </w:p>
    <w:p w14:paraId="6EFB6473" w14:textId="08F25824" w:rsidR="00E86C70" w:rsidRDefault="00E86C70" w:rsidP="00F95454">
      <w:pPr>
        <w:pStyle w:val="Caption"/>
        <w:keepNext/>
        <w:spacing w:before="120" w:after="120"/>
        <w:mirrorIndents/>
        <w:rPr>
          <w:sz w:val="24"/>
          <w:szCs w:val="24"/>
        </w:rPr>
      </w:pPr>
      <w:bookmarkStart w:id="29" w:name="_Toc449541626"/>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D62D1E">
        <w:rPr>
          <w:noProof/>
          <w:sz w:val="24"/>
          <w:szCs w:val="24"/>
        </w:rPr>
        <w:t>16</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D62D1E">
        <w:rPr>
          <w:noProof/>
          <w:sz w:val="24"/>
          <w:szCs w:val="24"/>
        </w:rPr>
        <w:t>1</w:t>
      </w:r>
      <w:r w:rsidR="00C91C02">
        <w:rPr>
          <w:sz w:val="24"/>
          <w:szCs w:val="24"/>
        </w:rPr>
        <w:fldChar w:fldCharType="end"/>
      </w:r>
      <w:r w:rsidRPr="00E6566E">
        <w:rPr>
          <w:sz w:val="24"/>
          <w:szCs w:val="24"/>
        </w:rPr>
        <w:t>: Project Time Schedule</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5"/>
        <w:gridCol w:w="4230"/>
      </w:tblGrid>
      <w:tr w:rsidR="007D2C4F" w:rsidRPr="00B474EC" w14:paraId="1ADF7033" w14:textId="77777777" w:rsidTr="00B953B0">
        <w:tc>
          <w:tcPr>
            <w:tcW w:w="4405" w:type="dxa"/>
            <w:tcMar>
              <w:top w:w="0" w:type="dxa"/>
              <w:left w:w="108" w:type="dxa"/>
              <w:bottom w:w="0" w:type="dxa"/>
              <w:right w:w="108" w:type="dxa"/>
            </w:tcMar>
            <w:hideMark/>
          </w:tcPr>
          <w:p w14:paraId="6595C061" w14:textId="77777777" w:rsidR="007D2C4F" w:rsidRPr="00B474EC" w:rsidRDefault="007D2C4F" w:rsidP="00F95454">
            <w:pPr>
              <w:mirrorIndents/>
            </w:pPr>
            <w:r w:rsidRPr="00B474EC">
              <w:rPr>
                <w:b/>
                <w:bCs/>
              </w:rPr>
              <w:t>Activity</w:t>
            </w:r>
          </w:p>
        </w:tc>
        <w:tc>
          <w:tcPr>
            <w:tcW w:w="4230" w:type="dxa"/>
            <w:tcMar>
              <w:top w:w="0" w:type="dxa"/>
              <w:left w:w="108" w:type="dxa"/>
              <w:bottom w:w="0" w:type="dxa"/>
              <w:right w:w="108" w:type="dxa"/>
            </w:tcMar>
            <w:hideMark/>
          </w:tcPr>
          <w:p w14:paraId="3D02435F" w14:textId="77777777" w:rsidR="007D2C4F" w:rsidRPr="00B474EC" w:rsidRDefault="007D2C4F" w:rsidP="00F95454">
            <w:pPr>
              <w:mirrorIndents/>
              <w:jc w:val="center"/>
            </w:pPr>
            <w:r w:rsidRPr="00B474EC">
              <w:rPr>
                <w:b/>
                <w:bCs/>
              </w:rPr>
              <w:t>Time Schedule</w:t>
            </w:r>
          </w:p>
        </w:tc>
      </w:tr>
      <w:tr w:rsidR="007D2C4F" w:rsidRPr="00B474EC" w14:paraId="407A9610" w14:textId="77777777" w:rsidTr="00B953B0">
        <w:tc>
          <w:tcPr>
            <w:tcW w:w="4405" w:type="dxa"/>
            <w:tcMar>
              <w:top w:w="0" w:type="dxa"/>
              <w:left w:w="108" w:type="dxa"/>
              <w:bottom w:w="0" w:type="dxa"/>
              <w:right w:w="108" w:type="dxa"/>
            </w:tcMar>
            <w:vAlign w:val="center"/>
            <w:hideMark/>
          </w:tcPr>
          <w:p w14:paraId="08E02275" w14:textId="77777777" w:rsidR="007D2C4F" w:rsidRPr="00B474EC" w:rsidRDefault="007D2C4F" w:rsidP="00F95454">
            <w:pPr>
              <w:mirrorIndents/>
            </w:pPr>
            <w:r w:rsidRPr="00B474EC">
              <w:t xml:space="preserve">Develop data collection tools, sampling and data plans, study protocol </w:t>
            </w:r>
          </w:p>
        </w:tc>
        <w:tc>
          <w:tcPr>
            <w:tcW w:w="4230" w:type="dxa"/>
            <w:tcMar>
              <w:top w:w="0" w:type="dxa"/>
              <w:left w:w="108" w:type="dxa"/>
              <w:bottom w:w="0" w:type="dxa"/>
              <w:right w:w="108" w:type="dxa"/>
            </w:tcMar>
            <w:vAlign w:val="center"/>
          </w:tcPr>
          <w:p w14:paraId="19969263" w14:textId="77777777" w:rsidR="007D2C4F" w:rsidRPr="00B474EC" w:rsidRDefault="007D2C4F" w:rsidP="00F95454">
            <w:pPr>
              <w:mirrorIndents/>
            </w:pPr>
            <w:r w:rsidRPr="00B474EC">
              <w:t>March 2017 – October 2017</w:t>
            </w:r>
          </w:p>
        </w:tc>
      </w:tr>
      <w:tr w:rsidR="007D2C4F" w:rsidRPr="00B474EC" w14:paraId="21545BE8" w14:textId="77777777" w:rsidTr="00B953B0">
        <w:tc>
          <w:tcPr>
            <w:tcW w:w="4405" w:type="dxa"/>
            <w:tcMar>
              <w:top w:w="0" w:type="dxa"/>
              <w:left w:w="108" w:type="dxa"/>
              <w:bottom w:w="0" w:type="dxa"/>
              <w:right w:w="108" w:type="dxa"/>
            </w:tcMar>
            <w:vAlign w:val="center"/>
          </w:tcPr>
          <w:p w14:paraId="39DBC332" w14:textId="77777777" w:rsidR="007D2C4F" w:rsidRPr="00B474EC" w:rsidRDefault="007D2C4F" w:rsidP="00F95454">
            <w:pPr>
              <w:mirrorIndents/>
            </w:pPr>
            <w:r w:rsidRPr="00B474EC">
              <w:t>OMB Submission</w:t>
            </w:r>
          </w:p>
        </w:tc>
        <w:tc>
          <w:tcPr>
            <w:tcW w:w="4230" w:type="dxa"/>
            <w:tcMar>
              <w:top w:w="0" w:type="dxa"/>
              <w:left w:w="108" w:type="dxa"/>
              <w:bottom w:w="0" w:type="dxa"/>
              <w:right w:w="108" w:type="dxa"/>
            </w:tcMar>
            <w:vAlign w:val="center"/>
          </w:tcPr>
          <w:p w14:paraId="3EDC37C5" w14:textId="4989E829" w:rsidR="007D2C4F" w:rsidRPr="00B474EC" w:rsidRDefault="008D47EF" w:rsidP="00F95454">
            <w:pPr>
              <w:mirrorIndents/>
            </w:pPr>
            <w:r>
              <w:t>January 2018</w:t>
            </w:r>
          </w:p>
        </w:tc>
      </w:tr>
      <w:tr w:rsidR="007D2C4F" w:rsidRPr="00B474EC" w14:paraId="092283B1" w14:textId="77777777" w:rsidTr="00B953B0">
        <w:tc>
          <w:tcPr>
            <w:tcW w:w="4405" w:type="dxa"/>
            <w:tcMar>
              <w:top w:w="0" w:type="dxa"/>
              <w:left w:w="108" w:type="dxa"/>
              <w:bottom w:w="0" w:type="dxa"/>
              <w:right w:w="108" w:type="dxa"/>
            </w:tcMar>
            <w:vAlign w:val="center"/>
            <w:hideMark/>
          </w:tcPr>
          <w:p w14:paraId="3C5696DE" w14:textId="77777777" w:rsidR="007D2C4F" w:rsidRPr="00B474EC" w:rsidRDefault="007D2C4F" w:rsidP="00F95454">
            <w:pPr>
              <w:mirrorIndents/>
            </w:pPr>
            <w:r w:rsidRPr="00B474EC">
              <w:t>Recruitment  </w:t>
            </w:r>
          </w:p>
        </w:tc>
        <w:tc>
          <w:tcPr>
            <w:tcW w:w="4230" w:type="dxa"/>
            <w:tcMar>
              <w:top w:w="0" w:type="dxa"/>
              <w:left w:w="108" w:type="dxa"/>
              <w:bottom w:w="0" w:type="dxa"/>
              <w:right w:w="108" w:type="dxa"/>
            </w:tcMar>
            <w:vAlign w:val="center"/>
          </w:tcPr>
          <w:p w14:paraId="60E69657" w14:textId="383F1257" w:rsidR="007D2C4F" w:rsidRPr="00B474EC" w:rsidRDefault="00D45E08" w:rsidP="00F95454">
            <w:pPr>
              <w:mirrorIndents/>
            </w:pPr>
            <w:r>
              <w:t>1-4 months a</w:t>
            </w:r>
            <w:r w:rsidR="007D2C4F" w:rsidRPr="00B474EC">
              <w:t>fter OMB Approval</w:t>
            </w:r>
            <w:r>
              <w:t xml:space="preserve"> (May-August 2018)</w:t>
            </w:r>
          </w:p>
        </w:tc>
      </w:tr>
      <w:tr w:rsidR="007D2C4F" w:rsidRPr="00B474EC" w14:paraId="6C2B5F7D" w14:textId="77777777" w:rsidTr="00B953B0">
        <w:tc>
          <w:tcPr>
            <w:tcW w:w="4405" w:type="dxa"/>
            <w:tcMar>
              <w:top w:w="0" w:type="dxa"/>
              <w:left w:w="108" w:type="dxa"/>
              <w:bottom w:w="0" w:type="dxa"/>
              <w:right w:w="108" w:type="dxa"/>
            </w:tcMar>
            <w:vAlign w:val="center"/>
            <w:hideMark/>
          </w:tcPr>
          <w:p w14:paraId="0C22C8FD" w14:textId="77777777" w:rsidR="007D2C4F" w:rsidRPr="00B474EC" w:rsidRDefault="007D2C4F" w:rsidP="00F95454">
            <w:pPr>
              <w:mirrorIndents/>
            </w:pPr>
            <w:r w:rsidRPr="00B474EC">
              <w:t>Data Collection  </w:t>
            </w:r>
          </w:p>
        </w:tc>
        <w:tc>
          <w:tcPr>
            <w:tcW w:w="4230" w:type="dxa"/>
            <w:tcMar>
              <w:top w:w="0" w:type="dxa"/>
              <w:left w:w="108" w:type="dxa"/>
              <w:bottom w:w="0" w:type="dxa"/>
              <w:right w:w="108" w:type="dxa"/>
            </w:tcMar>
            <w:vAlign w:val="center"/>
          </w:tcPr>
          <w:p w14:paraId="2D85416B" w14:textId="61F086DE" w:rsidR="007D2C4F" w:rsidRPr="00B474EC" w:rsidRDefault="007D2C4F" w:rsidP="00F95454">
            <w:pPr>
              <w:mirrorIndents/>
            </w:pPr>
            <w:r w:rsidRPr="00B474EC">
              <w:t>1-4 months after OMB Approval</w:t>
            </w:r>
            <w:r w:rsidR="00D45E08">
              <w:t xml:space="preserve"> (May-August 2018)</w:t>
            </w:r>
          </w:p>
        </w:tc>
      </w:tr>
      <w:tr w:rsidR="007D2C4F" w:rsidRPr="00B474EC" w14:paraId="2FA032F7" w14:textId="77777777" w:rsidTr="00B953B0">
        <w:tc>
          <w:tcPr>
            <w:tcW w:w="4405" w:type="dxa"/>
            <w:tcMar>
              <w:top w:w="0" w:type="dxa"/>
              <w:left w:w="108" w:type="dxa"/>
              <w:bottom w:w="0" w:type="dxa"/>
              <w:right w:w="108" w:type="dxa"/>
            </w:tcMar>
            <w:vAlign w:val="center"/>
            <w:hideMark/>
          </w:tcPr>
          <w:p w14:paraId="56FB3266" w14:textId="77777777" w:rsidR="007D2C4F" w:rsidRPr="00B474EC" w:rsidRDefault="007D2C4F" w:rsidP="00F95454">
            <w:pPr>
              <w:mirrorIndents/>
            </w:pPr>
            <w:r w:rsidRPr="00B474EC">
              <w:t>Data analysis finalized and report drafted</w:t>
            </w:r>
          </w:p>
        </w:tc>
        <w:tc>
          <w:tcPr>
            <w:tcW w:w="4230" w:type="dxa"/>
            <w:tcMar>
              <w:top w:w="0" w:type="dxa"/>
              <w:left w:w="108" w:type="dxa"/>
              <w:bottom w:w="0" w:type="dxa"/>
              <w:right w:w="108" w:type="dxa"/>
            </w:tcMar>
            <w:vAlign w:val="center"/>
          </w:tcPr>
          <w:p w14:paraId="7DC953C9" w14:textId="697734D0" w:rsidR="007D2C4F" w:rsidRPr="00B474EC" w:rsidRDefault="007D2C4F" w:rsidP="00F95454">
            <w:pPr>
              <w:mirrorIndents/>
            </w:pPr>
            <w:r w:rsidRPr="00B474EC">
              <w:t>5-7 months after OMB Approval</w:t>
            </w:r>
            <w:r w:rsidR="00D45E08">
              <w:t xml:space="preserve"> (September-November 2018)</w:t>
            </w:r>
          </w:p>
        </w:tc>
      </w:tr>
      <w:tr w:rsidR="007D2C4F" w:rsidRPr="00B474EC" w14:paraId="15167263" w14:textId="77777777" w:rsidTr="00B953B0">
        <w:tc>
          <w:tcPr>
            <w:tcW w:w="4405" w:type="dxa"/>
            <w:tcMar>
              <w:top w:w="0" w:type="dxa"/>
              <w:left w:w="108" w:type="dxa"/>
              <w:bottom w:w="0" w:type="dxa"/>
              <w:right w:w="108" w:type="dxa"/>
            </w:tcMar>
            <w:vAlign w:val="center"/>
            <w:hideMark/>
          </w:tcPr>
          <w:p w14:paraId="2FD00BC4" w14:textId="77777777" w:rsidR="007D2C4F" w:rsidRPr="00B474EC" w:rsidRDefault="007D2C4F" w:rsidP="00F95454">
            <w:pPr>
              <w:mirrorIndents/>
            </w:pPr>
            <w:r w:rsidRPr="00B474EC">
              <w:t>Final data set and final report submitted to CDC</w:t>
            </w:r>
          </w:p>
        </w:tc>
        <w:tc>
          <w:tcPr>
            <w:tcW w:w="4230" w:type="dxa"/>
            <w:tcMar>
              <w:top w:w="0" w:type="dxa"/>
              <w:left w:w="108" w:type="dxa"/>
              <w:bottom w:w="0" w:type="dxa"/>
              <w:right w:w="108" w:type="dxa"/>
            </w:tcMar>
            <w:vAlign w:val="center"/>
          </w:tcPr>
          <w:p w14:paraId="5B603678" w14:textId="11C04EDB" w:rsidR="007D2C4F" w:rsidRPr="00B474EC" w:rsidRDefault="007D2C4F" w:rsidP="00F95454">
            <w:pPr>
              <w:mirrorIndents/>
            </w:pPr>
            <w:r w:rsidRPr="00B474EC">
              <w:t xml:space="preserve">8 months after OMB Approval </w:t>
            </w:r>
            <w:r w:rsidR="00D45E08">
              <w:t>(December 2018)</w:t>
            </w:r>
          </w:p>
        </w:tc>
      </w:tr>
    </w:tbl>
    <w:p w14:paraId="1257D8A8" w14:textId="4A9C569E" w:rsidR="00041B9F" w:rsidRDefault="00041B9F" w:rsidP="003C10A5">
      <w:pPr>
        <w:spacing w:before="120" w:after="120"/>
        <w:mirrorIndents/>
      </w:pPr>
      <w:r w:rsidRPr="009C5D88">
        <w:t>In compliance with the CDC policy on data management</w:t>
      </w:r>
      <w:r w:rsidR="00E95231" w:rsidRPr="009C5D88">
        <w:t xml:space="preserve"> and access</w:t>
      </w:r>
      <w:r w:rsidRPr="009C5D88">
        <w:t>, we will develop a final, de-identified (names, other PII, and locations will be removed) qualitative database for this study along with the corresponding data documentation</w:t>
      </w:r>
      <w:r w:rsidR="00817236">
        <w:t xml:space="preserve">. Public access to the final data will be provided at the completion of the study and after the dissemination of the main outcome findings. The study data sharing and use agreement describes in detail how de-identified data access will be provided and provisions for protection of privacy, confidentiality, security, intellectual property, or other rights. A copy of the Data Use Plan is provided </w:t>
      </w:r>
      <w:r w:rsidR="00354810">
        <w:t>(</w:t>
      </w:r>
      <w:r w:rsidR="00817236" w:rsidRPr="00B64D28">
        <w:rPr>
          <w:b/>
        </w:rPr>
        <w:t>Attachment 5</w:t>
      </w:r>
      <w:r w:rsidR="00354810">
        <w:rPr>
          <w:b/>
        </w:rPr>
        <w:t>)</w:t>
      </w:r>
      <w:r w:rsidR="00817236">
        <w:t>.</w:t>
      </w:r>
    </w:p>
    <w:p w14:paraId="7F36421F" w14:textId="77777777" w:rsidR="00F95454" w:rsidRPr="005E6F8D" w:rsidRDefault="00F95454" w:rsidP="00F95454">
      <w:pPr>
        <w:spacing w:before="120" w:after="120"/>
        <w:mirrorIndents/>
        <w:jc w:val="both"/>
      </w:pPr>
    </w:p>
    <w:p w14:paraId="5E10EBF4" w14:textId="70DD4E06" w:rsidR="00B12EA3" w:rsidRDefault="00B12EA3" w:rsidP="00F95454">
      <w:pPr>
        <w:pStyle w:val="Heading1"/>
        <w:spacing w:before="120" w:after="120"/>
        <w:mirrorIndents/>
      </w:pPr>
      <w:bookmarkStart w:id="30" w:name="_Toc448296090"/>
      <w:r w:rsidRPr="00B12EA3">
        <w:t>Reason(s) Display of OMB Expiration Date is Inappropriate</w:t>
      </w:r>
      <w:bookmarkEnd w:id="30"/>
    </w:p>
    <w:p w14:paraId="22EFCC05" w14:textId="4C6924BF" w:rsidR="00332F80" w:rsidRDefault="00332F80" w:rsidP="00F95454">
      <w:pPr>
        <w:spacing w:before="120" w:after="120"/>
        <w:mirrorIndents/>
      </w:pPr>
      <w:r w:rsidRPr="00603813">
        <w:t xml:space="preserve">We do not seek approval to eliminate the expiration date. </w:t>
      </w:r>
    </w:p>
    <w:p w14:paraId="78B387FA" w14:textId="77777777" w:rsidR="00F95454" w:rsidRPr="00F951D1" w:rsidRDefault="00F95454" w:rsidP="00F95454">
      <w:pPr>
        <w:spacing w:before="120" w:after="120"/>
        <w:mirrorIndents/>
      </w:pPr>
    </w:p>
    <w:p w14:paraId="64729C1A" w14:textId="52431784" w:rsidR="00542640" w:rsidRDefault="00B12EA3" w:rsidP="00F95454">
      <w:pPr>
        <w:pStyle w:val="Heading1"/>
        <w:spacing w:before="120" w:after="120"/>
        <w:mirrorIndents/>
      </w:pPr>
      <w:bookmarkStart w:id="31" w:name="_Toc448296091"/>
      <w:r w:rsidRPr="00B12EA3">
        <w:t>E</w:t>
      </w:r>
      <w:r w:rsidRPr="00E53653">
        <w:rPr>
          <w:rStyle w:val="Heading1Char"/>
        </w:rPr>
        <w:t>x</w:t>
      </w:r>
      <w:r w:rsidRPr="00B12EA3">
        <w:t>ceptions to Certification for Paperwork Reduction Act Submissions</w:t>
      </w:r>
      <w:bookmarkEnd w:id="31"/>
    </w:p>
    <w:p w14:paraId="7C4350FB" w14:textId="02726F4A" w:rsidR="006869D4" w:rsidRDefault="00332F80" w:rsidP="00F95454">
      <w:pPr>
        <w:spacing w:before="120" w:after="120"/>
        <w:mirrorIndents/>
      </w:pPr>
      <w:r w:rsidRPr="00332F80">
        <w:t>There are no exemptions to the certification.</w:t>
      </w:r>
    </w:p>
    <w:p w14:paraId="1ABEA8A0" w14:textId="77777777" w:rsidR="00BF2B6F" w:rsidRDefault="00BF2B6F" w:rsidP="00F95454">
      <w:pPr>
        <w:spacing w:before="120" w:after="120"/>
        <w:mirrorIndents/>
      </w:pPr>
    </w:p>
    <w:p w14:paraId="642FBD9A" w14:textId="52F443AD" w:rsidR="00CC6AB1" w:rsidRDefault="00CC6AB1" w:rsidP="00F95454">
      <w:pPr>
        <w:spacing w:before="120" w:after="120"/>
        <w:mirrorIndents/>
      </w:pPr>
    </w:p>
    <w:p w14:paraId="1FD69DA1" w14:textId="3B65144A" w:rsidR="00BF2B6F" w:rsidRPr="00BF2B6F" w:rsidRDefault="00BF2B6F" w:rsidP="00F95454">
      <w:pPr>
        <w:pStyle w:val="EndNoteBibliography"/>
        <w:spacing w:before="120" w:after="120"/>
        <w:ind w:left="720" w:hanging="720"/>
        <w:mirrorIndents/>
        <w:rPr>
          <w:b/>
        </w:rPr>
      </w:pPr>
      <w:bookmarkStart w:id="32" w:name="_Toc448296092"/>
      <w:r w:rsidRPr="00BF2B6F">
        <w:rPr>
          <w:b/>
        </w:rPr>
        <w:t>References</w:t>
      </w:r>
    </w:p>
    <w:p w14:paraId="615DD1D6" w14:textId="43940026" w:rsidR="00BF2B6F" w:rsidRPr="00942B9C" w:rsidRDefault="00BF2B6F" w:rsidP="00F95454">
      <w:pPr>
        <w:pStyle w:val="EndNoteBibliography"/>
        <w:spacing w:before="120" w:after="120"/>
        <w:ind w:left="720" w:hanging="720"/>
        <w:mirrorIndents/>
      </w:pPr>
      <w:r w:rsidRPr="00942B9C">
        <w:t>1.</w:t>
      </w:r>
      <w:r w:rsidRPr="00942B9C">
        <w:tab/>
        <w:t xml:space="preserve">Cohen J. Breakthrough of the year. </w:t>
      </w:r>
      <w:r w:rsidRPr="00942B9C">
        <w:rPr>
          <w:i/>
        </w:rPr>
        <w:t xml:space="preserve">HIV treatment as prevention. Science. </w:t>
      </w:r>
      <w:r w:rsidRPr="00942B9C">
        <w:t>2011;334(6063):1628.</w:t>
      </w:r>
    </w:p>
    <w:p w14:paraId="6747E983" w14:textId="77777777" w:rsidR="00BF2B6F" w:rsidRPr="00942B9C" w:rsidRDefault="00BF2B6F" w:rsidP="00F95454">
      <w:pPr>
        <w:pStyle w:val="EndNoteBibliography"/>
        <w:spacing w:before="120" w:after="120"/>
        <w:ind w:left="720" w:hanging="720"/>
        <w:mirrorIndents/>
      </w:pPr>
      <w:r w:rsidRPr="00942B9C">
        <w:t>2.</w:t>
      </w:r>
      <w:r w:rsidRPr="00942B9C">
        <w:tab/>
        <w:t xml:space="preserve">Giordano TP. The HIV treatment Cascade—a new tool in HIV prevention. </w:t>
      </w:r>
      <w:r w:rsidRPr="00942B9C">
        <w:rPr>
          <w:i/>
        </w:rPr>
        <w:t xml:space="preserve">JAMA internal medicine. </w:t>
      </w:r>
      <w:r w:rsidRPr="00942B9C">
        <w:t>2015;175(4):596-597.</w:t>
      </w:r>
    </w:p>
    <w:p w14:paraId="4CD64093" w14:textId="77777777" w:rsidR="00BF2B6F" w:rsidRPr="00942B9C" w:rsidRDefault="00BF2B6F" w:rsidP="00F95454">
      <w:pPr>
        <w:pStyle w:val="EndNoteBibliography"/>
        <w:spacing w:before="120" w:after="120"/>
        <w:ind w:left="720" w:hanging="720"/>
        <w:mirrorIndents/>
      </w:pPr>
      <w:r w:rsidRPr="00942B9C">
        <w:t>3.</w:t>
      </w:r>
      <w:r w:rsidRPr="00942B9C">
        <w:tab/>
        <w:t xml:space="preserve">Giordano TP, Suarez-Almazor ME, Grimes RM. The population effectiveness of highly active antiretroviral therapy: are good drugs good enough? </w:t>
      </w:r>
      <w:r w:rsidRPr="00942B9C">
        <w:rPr>
          <w:i/>
        </w:rPr>
        <w:t xml:space="preserve">Current HIV/AIDS Reports. </w:t>
      </w:r>
      <w:r w:rsidRPr="00942B9C">
        <w:t>2005;2(4):177-183.</w:t>
      </w:r>
    </w:p>
    <w:p w14:paraId="52781627" w14:textId="77777777" w:rsidR="00BF2B6F" w:rsidRPr="00942B9C" w:rsidRDefault="00BF2B6F" w:rsidP="00F95454">
      <w:pPr>
        <w:pStyle w:val="EndNoteBibliography"/>
        <w:spacing w:before="120" w:after="120"/>
        <w:ind w:left="720" w:hanging="720"/>
        <w:mirrorIndents/>
      </w:pPr>
      <w:r w:rsidRPr="00942B9C">
        <w:t>4.</w:t>
      </w:r>
      <w:r w:rsidRPr="00942B9C">
        <w:tab/>
        <w:t xml:space="preserve">Insight Start Study Group. Initiation of antiretroviral therapy in early asymptomatic HIV infection. </w:t>
      </w:r>
      <w:r w:rsidRPr="00942B9C">
        <w:rPr>
          <w:i/>
        </w:rPr>
        <w:t xml:space="preserve">N Engl J Med. </w:t>
      </w:r>
      <w:r w:rsidRPr="00942B9C">
        <w:t>2015;2015(373):795-807.</w:t>
      </w:r>
    </w:p>
    <w:p w14:paraId="63F6AC55" w14:textId="77777777" w:rsidR="00BF2B6F" w:rsidRPr="00942B9C" w:rsidRDefault="00BF2B6F" w:rsidP="00F95454">
      <w:pPr>
        <w:pStyle w:val="EndNoteBibliography"/>
        <w:spacing w:before="120" w:after="120"/>
        <w:ind w:left="720" w:hanging="720"/>
        <w:mirrorIndents/>
      </w:pPr>
      <w:r w:rsidRPr="00942B9C">
        <w:t>5.</w:t>
      </w:r>
      <w:r w:rsidRPr="00942B9C">
        <w:tab/>
        <w:t xml:space="preserve">Rodger AJ, Cambiano V, Bruun T, et al. Sexual activity without condoms and risk of HIV transmission in serodifferent couples when the HIV-positive partner is using suppressive antiretroviral therapy. </w:t>
      </w:r>
      <w:r w:rsidRPr="00942B9C">
        <w:rPr>
          <w:i/>
        </w:rPr>
        <w:t xml:space="preserve">Jama. </w:t>
      </w:r>
      <w:r w:rsidRPr="00942B9C">
        <w:t>2016;316(2):171-181.</w:t>
      </w:r>
    </w:p>
    <w:p w14:paraId="093E34BD" w14:textId="77777777" w:rsidR="00BF2B6F" w:rsidRPr="00942B9C" w:rsidRDefault="00BF2B6F" w:rsidP="00F95454">
      <w:pPr>
        <w:pStyle w:val="EndNoteBibliography"/>
        <w:spacing w:before="120" w:after="120"/>
        <w:ind w:left="720" w:hanging="720"/>
        <w:mirrorIndents/>
      </w:pPr>
      <w:r w:rsidRPr="00942B9C">
        <w:t>6.</w:t>
      </w:r>
      <w:r w:rsidRPr="00942B9C">
        <w:tab/>
        <w:t xml:space="preserve">Das M, Chu PL, Santos G-M, et al. Decreases in community viral load are accompanied by reductions in new HIV infections in San Francisco. </w:t>
      </w:r>
      <w:r w:rsidRPr="00942B9C">
        <w:rPr>
          <w:i/>
        </w:rPr>
        <w:t xml:space="preserve">PloS one. </w:t>
      </w:r>
      <w:r w:rsidRPr="00942B9C">
        <w:t>2010;5(6):e11068.</w:t>
      </w:r>
    </w:p>
    <w:p w14:paraId="3279F3CE" w14:textId="77777777" w:rsidR="00BF2B6F" w:rsidRPr="00942B9C" w:rsidRDefault="00BF2B6F" w:rsidP="00F95454">
      <w:pPr>
        <w:pStyle w:val="EndNoteBibliography"/>
        <w:spacing w:before="120" w:after="120"/>
        <w:ind w:left="720" w:hanging="720"/>
        <w:mirrorIndents/>
      </w:pPr>
      <w:r w:rsidRPr="00942B9C">
        <w:t>7.</w:t>
      </w:r>
      <w:r w:rsidRPr="00942B9C">
        <w:tab/>
        <w:t xml:space="preserve">Millett GA, Peterson JL, Flores SA, et al. Comparisons of disparities and risks of HIV infection in black and other men who have sex with men in Canada, UK, and USA: a meta-analysis. </w:t>
      </w:r>
      <w:r w:rsidRPr="00942B9C">
        <w:rPr>
          <w:i/>
        </w:rPr>
        <w:t xml:space="preserve">The Lancet. </w:t>
      </w:r>
      <w:r w:rsidRPr="00942B9C">
        <w:t>2012;380(9839):341-348.</w:t>
      </w:r>
    </w:p>
    <w:p w14:paraId="0B8AE1B5" w14:textId="77777777" w:rsidR="00BF2B6F" w:rsidRPr="00942B9C" w:rsidRDefault="00BF2B6F" w:rsidP="00F95454">
      <w:pPr>
        <w:pStyle w:val="EndNoteBibliography"/>
        <w:spacing w:before="120" w:after="120"/>
        <w:ind w:left="720" w:hanging="720"/>
        <w:mirrorIndents/>
      </w:pPr>
      <w:r w:rsidRPr="00942B9C">
        <w:t>8.</w:t>
      </w:r>
      <w:r w:rsidRPr="00942B9C">
        <w:tab/>
        <w:t xml:space="preserve">Cheever LW. Engaging HIV-infected patients in care: their lives depend on it. </w:t>
      </w:r>
      <w:r w:rsidRPr="00942B9C">
        <w:rPr>
          <w:i/>
        </w:rPr>
        <w:t xml:space="preserve">Clinical Infectious Diseases. </w:t>
      </w:r>
      <w:r w:rsidRPr="00942B9C">
        <w:t>2007;44(11):1500-1502.</w:t>
      </w:r>
    </w:p>
    <w:p w14:paraId="6A01953F" w14:textId="77777777" w:rsidR="00BF2B6F" w:rsidRPr="00942B9C" w:rsidRDefault="00BF2B6F" w:rsidP="00F95454">
      <w:pPr>
        <w:spacing w:before="120" w:after="120"/>
        <w:ind w:left="720" w:hanging="720"/>
        <w:mirrorIndents/>
      </w:pPr>
      <w:r w:rsidRPr="00942B9C">
        <w:t>9.</w:t>
      </w:r>
      <w:r w:rsidRPr="00942B9C">
        <w:tab/>
        <w:t>The White House. Accelerating improvements in HIV prevention and care in the United States through the HIV care continuum initiative. 2013.</w:t>
      </w:r>
    </w:p>
    <w:p w14:paraId="1B5EFED3" w14:textId="1C502BE5" w:rsidR="00BF2B6F" w:rsidRDefault="00BF2B6F" w:rsidP="00F95454">
      <w:pPr>
        <w:spacing w:before="120" w:after="120"/>
        <w:ind w:left="720" w:hanging="720"/>
        <w:mirrorIndents/>
      </w:pPr>
      <w:r w:rsidRPr="00BF2B6F">
        <w:t>10.</w:t>
      </w:r>
      <w:r w:rsidRPr="00BF2B6F">
        <w:tab/>
        <w:t xml:space="preserve">The White House Office of National AIDS Policy. National HIV/AIDS Strategy for the United States: updated to 2020. 2015; </w:t>
      </w:r>
      <w:hyperlink r:id="rId18" w:history="1">
        <w:r w:rsidRPr="00276C85">
          <w:rPr>
            <w:rStyle w:val="Hyperlink"/>
          </w:rPr>
          <w:t>http://aids.gov/federal-resources/national-hiv-aids-strategy/nhas.pdf</w:t>
        </w:r>
      </w:hyperlink>
      <w:r w:rsidRPr="00276C85">
        <w:t>.</w:t>
      </w:r>
      <w:r w:rsidR="0006247E">
        <w:t xml:space="preserve"> Accessed June 2, 2016</w:t>
      </w:r>
      <w:r w:rsidRPr="00BF2B6F">
        <w:t>.</w:t>
      </w:r>
    </w:p>
    <w:p w14:paraId="330345D6" w14:textId="5296F284" w:rsidR="00BF2B6F" w:rsidRDefault="00276C85" w:rsidP="00F95454">
      <w:pPr>
        <w:spacing w:before="120" w:after="120"/>
        <w:ind w:left="720" w:hanging="720"/>
        <w:mirrorIndents/>
      </w:pPr>
      <w:r>
        <w:t>11.</w:t>
      </w:r>
      <w:r>
        <w:tab/>
      </w:r>
      <w:r w:rsidR="00BF2B6F" w:rsidRPr="00942B9C">
        <w:t xml:space="preserve">Centers for Disease Control and Prevention. Data to Care.  </w:t>
      </w:r>
      <w:hyperlink r:id="rId19" w:history="1">
        <w:r w:rsidR="00BF2B6F" w:rsidRPr="00942B9C">
          <w:rPr>
            <w:rStyle w:val="Hyperlink"/>
          </w:rPr>
          <w:t>https://effectiveinterventions.cdc.gov/en/HighImpactPrevention/PublicHealthStrategies/DatatoCare.aspx</w:t>
        </w:r>
      </w:hyperlink>
      <w:r w:rsidR="00BF2B6F" w:rsidRPr="00942B9C">
        <w:t>, 2017.</w:t>
      </w:r>
    </w:p>
    <w:p w14:paraId="11DB050D" w14:textId="2EEE2DEE" w:rsidR="00276C85" w:rsidRPr="00942B9C" w:rsidRDefault="00276C85" w:rsidP="00F95454">
      <w:pPr>
        <w:pStyle w:val="EndNoteBibliography"/>
        <w:spacing w:before="120" w:after="120"/>
        <w:ind w:left="720" w:hanging="720"/>
        <w:mirrorIndents/>
      </w:pPr>
      <w:r>
        <w:t>12.</w:t>
      </w:r>
      <w:r>
        <w:tab/>
      </w:r>
      <w:r w:rsidRPr="00942B9C">
        <w:t xml:space="preserve">Evans D, Van Gorder D, Morin SF, Steward WT, Gaffney S, Charlebois ED. Acceptance of the use of HIV surveillance data for care engagement: national and local community perspectives. </w:t>
      </w:r>
      <w:r w:rsidRPr="00942B9C">
        <w:rPr>
          <w:i/>
        </w:rPr>
        <w:t xml:space="preserve">Journal of acquired immune deficiency syndromes (1999). </w:t>
      </w:r>
      <w:r w:rsidRPr="00942B9C">
        <w:t>2015;69(0 1):S31.</w:t>
      </w:r>
    </w:p>
    <w:p w14:paraId="1A5D8A02" w14:textId="2394ECDC" w:rsidR="00276C85" w:rsidRPr="00942B9C" w:rsidRDefault="00276C85" w:rsidP="00F95454">
      <w:pPr>
        <w:pStyle w:val="EndNoteBibliography"/>
        <w:spacing w:before="120" w:after="120"/>
        <w:ind w:left="720" w:hanging="720"/>
        <w:mirrorIndents/>
      </w:pPr>
      <w:r>
        <w:t>13</w:t>
      </w:r>
      <w:r w:rsidRPr="00942B9C">
        <w:t>.</w:t>
      </w:r>
      <w:r w:rsidRPr="00942B9C">
        <w:tab/>
        <w:t xml:space="preserve">Christopoulos KA, Scheer S, Steward WT, et al. Examining clinic-based and public health approaches to ascertainment of HIV care status. </w:t>
      </w:r>
      <w:r w:rsidRPr="00942B9C">
        <w:rPr>
          <w:i/>
        </w:rPr>
        <w:t xml:space="preserve">Journal of acquired immune deficiency syndromes (1999). </w:t>
      </w:r>
      <w:r w:rsidRPr="00942B9C">
        <w:t>2015;69(0 1):S56.</w:t>
      </w:r>
    </w:p>
    <w:p w14:paraId="118430BE" w14:textId="2B011971" w:rsidR="00276C85" w:rsidRPr="00942B9C" w:rsidRDefault="00276C85" w:rsidP="00F95454">
      <w:pPr>
        <w:pStyle w:val="EndNoteBibliography"/>
        <w:spacing w:before="120" w:after="120"/>
        <w:ind w:left="720" w:hanging="720"/>
        <w:mirrorIndents/>
      </w:pPr>
      <w:r>
        <w:t>14</w:t>
      </w:r>
      <w:r w:rsidRPr="00942B9C">
        <w:t>.</w:t>
      </w:r>
      <w:r w:rsidRPr="00942B9C">
        <w:tab/>
        <w:t xml:space="preserve">Ocampo JMF, Smart J, Allston A, et al. Improving HIV Surveillance Data for Public Health Action in Washington, DC: a novel multiorganizational data-sharing method. </w:t>
      </w:r>
      <w:r w:rsidRPr="00942B9C">
        <w:rPr>
          <w:i/>
        </w:rPr>
        <w:t xml:space="preserve">JMIR public health and surveillance. </w:t>
      </w:r>
      <w:r w:rsidRPr="00942B9C">
        <w:t>2016;2(1).</w:t>
      </w:r>
    </w:p>
    <w:p w14:paraId="174E9D7A" w14:textId="584CDA69" w:rsidR="00276C85" w:rsidRPr="00942B9C" w:rsidRDefault="00276C85" w:rsidP="00F95454">
      <w:pPr>
        <w:pStyle w:val="EndNoteBibliography"/>
        <w:spacing w:before="120" w:after="120"/>
        <w:ind w:left="720" w:hanging="720"/>
        <w:mirrorIndents/>
      </w:pPr>
      <w:r>
        <w:t>15</w:t>
      </w:r>
      <w:r w:rsidRPr="00942B9C">
        <w:t>.</w:t>
      </w:r>
      <w:r w:rsidRPr="00942B9C">
        <w:tab/>
        <w:t xml:space="preserve">Tesoriero JM, Johnson BL, Hart-Malloy R, et al. Improving Retention in HIV Care Through New York's Expanded Partner Services Data-to-Care Pilot. </w:t>
      </w:r>
      <w:r w:rsidRPr="00942B9C">
        <w:rPr>
          <w:i/>
        </w:rPr>
        <w:t xml:space="preserve">Journal of Public Health Management and Practice. </w:t>
      </w:r>
      <w:r w:rsidRPr="00942B9C">
        <w:t>2017;23(3):255.</w:t>
      </w:r>
    </w:p>
    <w:p w14:paraId="68F54615" w14:textId="1A4CBA36" w:rsidR="00276C85" w:rsidRDefault="00276C85" w:rsidP="00F95454">
      <w:pPr>
        <w:spacing w:before="120" w:after="120"/>
        <w:ind w:left="720" w:hanging="720"/>
        <w:mirrorIndents/>
      </w:pPr>
      <w:r>
        <w:t>16</w:t>
      </w:r>
      <w:r w:rsidRPr="00942B9C">
        <w:t>.</w:t>
      </w:r>
      <w:r w:rsidRPr="00942B9C">
        <w:tab/>
        <w:t xml:space="preserve">Dombrowski JC, Carey JW, Pitts N, et al. HIV provider and patient perspectives on the Development of a Health Department “Data to Care” Program: a qualitative study. </w:t>
      </w:r>
      <w:r w:rsidRPr="00942B9C">
        <w:rPr>
          <w:i/>
        </w:rPr>
        <w:t xml:space="preserve">BMC public health. </w:t>
      </w:r>
      <w:r w:rsidRPr="00942B9C">
        <w:t>2016;16(1):491.</w:t>
      </w:r>
    </w:p>
    <w:p w14:paraId="10C00F68" w14:textId="2822F929" w:rsidR="00276C85" w:rsidRDefault="00276C85" w:rsidP="00F95454">
      <w:pPr>
        <w:spacing w:before="120" w:after="120"/>
        <w:ind w:left="720" w:hanging="720"/>
        <w:mirrorIndents/>
      </w:pPr>
      <w:r>
        <w:t>17.</w:t>
      </w:r>
      <w:r>
        <w:tab/>
      </w:r>
      <w:r w:rsidRPr="00942B9C">
        <w:t xml:space="preserve">Udeagu C-CN, Webster TR, Bocour A, Michel P, Shepard CW. Lost or just not following up: public health effort to re-engage HIV-infected persons lost to follow-up into HIV medical care. </w:t>
      </w:r>
      <w:r w:rsidRPr="00942B9C">
        <w:rPr>
          <w:i/>
        </w:rPr>
        <w:t xml:space="preserve">Aids. </w:t>
      </w:r>
      <w:r w:rsidRPr="00276C85">
        <w:t>2013;27(14):2271-2279.</w:t>
      </w:r>
    </w:p>
    <w:p w14:paraId="1CBB93C5" w14:textId="078B8256" w:rsidR="000A73A6" w:rsidRPr="00A06E57" w:rsidRDefault="000A73A6" w:rsidP="00F95454">
      <w:pPr>
        <w:pStyle w:val="EndNoteBibliography"/>
        <w:spacing w:before="120" w:after="120"/>
        <w:ind w:left="720" w:hanging="720"/>
        <w:mirrorIndents/>
      </w:pPr>
      <w:r>
        <w:t xml:space="preserve">18. </w:t>
      </w:r>
      <w:r>
        <w:tab/>
      </w:r>
      <w:r w:rsidRPr="00A06E57">
        <w:t xml:space="preserve">Abreu DA, Winters F. Using monetary incentives to reduce attrition in the survey of income and program participation. . Proceedings of the Survey Research Methods Section of the American Statistical Association 1999. </w:t>
      </w:r>
    </w:p>
    <w:p w14:paraId="60BD6B57" w14:textId="7F6A6477" w:rsidR="000A73A6" w:rsidRPr="00276C85" w:rsidRDefault="000A73A6" w:rsidP="00F95454">
      <w:pPr>
        <w:spacing w:before="120" w:after="120"/>
        <w:ind w:left="720" w:hanging="720"/>
        <w:mirrorIndents/>
      </w:pPr>
      <w:r>
        <w:t>19</w:t>
      </w:r>
      <w:r w:rsidRPr="00A06E57">
        <w:t>.</w:t>
      </w:r>
      <w:r w:rsidRPr="00A06E57">
        <w:tab/>
        <w:t>Shettle C, Mooney G. Monetary incentives in U.S. government surveys. Journal of Offical Statistics 1999;15(2):231-50.</w:t>
      </w:r>
    </w:p>
    <w:p w14:paraId="4D90AC0F" w14:textId="3AEAA197" w:rsidR="00276C85" w:rsidRPr="00276C85" w:rsidRDefault="000A73A6" w:rsidP="00F95454">
      <w:pPr>
        <w:pStyle w:val="EndNoteBibliography"/>
        <w:spacing w:before="120" w:after="120"/>
        <w:ind w:left="720" w:hanging="720"/>
        <w:mirrorIndents/>
      </w:pPr>
      <w:r>
        <w:t>20</w:t>
      </w:r>
      <w:r w:rsidR="00276C85" w:rsidRPr="00276C85">
        <w:t xml:space="preserve">. </w:t>
      </w:r>
      <w:r w:rsidR="00276C85" w:rsidRPr="00276C85">
        <w:tab/>
        <w:t xml:space="preserve">Painter TM, Ngalame PM, Lucas B, Lauby JL, Herbst JH. Strategies used by community-based organizations to evaluate their locally developed HIV prevention interventions: Lessons learned from the CDC's innovative interventions project. AIDS Educ Prev 2010;22(5):387-401. </w:t>
      </w:r>
    </w:p>
    <w:p w14:paraId="42259F5E" w14:textId="340DE918" w:rsidR="00276C85" w:rsidRPr="00026DB7" w:rsidRDefault="000A73A6" w:rsidP="00F95454">
      <w:pPr>
        <w:pStyle w:val="EndNoteBibliography"/>
        <w:spacing w:before="120" w:after="120"/>
        <w:ind w:left="720" w:hanging="720"/>
        <w:mirrorIndents/>
      </w:pPr>
      <w:r>
        <w:t>21</w:t>
      </w:r>
      <w:r w:rsidR="00276C85" w:rsidRPr="00276C85">
        <w:t>.</w:t>
      </w:r>
      <w:r w:rsidR="00276C85" w:rsidRPr="00276C85">
        <w:tab/>
        <w:t>Yancey AK, Ortega AN, Kumanyika SK. Effective recruitment and retention of minority research participants. Annu Rev Public Health 2006;27:1-28.</w:t>
      </w:r>
      <w:r w:rsidR="00276C85" w:rsidRPr="00026DB7">
        <w:t xml:space="preserve"> </w:t>
      </w:r>
    </w:p>
    <w:bookmarkEnd w:id="32"/>
    <w:p w14:paraId="171F7DB4" w14:textId="77777777" w:rsidR="00BF2B6F" w:rsidRPr="00276C85" w:rsidRDefault="00BF2B6F" w:rsidP="00F95454">
      <w:pPr>
        <w:spacing w:before="120" w:after="120"/>
        <w:mirrorIndents/>
      </w:pPr>
    </w:p>
    <w:sectPr w:rsidR="00BF2B6F" w:rsidRPr="00276C85" w:rsidSect="00CC6AB1">
      <w:footerReference w:type="default" r:id="rId20"/>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AB934" w14:textId="77777777" w:rsidR="00842C29" w:rsidRDefault="00842C29" w:rsidP="008B5D54">
      <w:r>
        <w:separator/>
      </w:r>
    </w:p>
  </w:endnote>
  <w:endnote w:type="continuationSeparator" w:id="0">
    <w:p w14:paraId="63FF94A3" w14:textId="77777777" w:rsidR="00842C29" w:rsidRDefault="00842C2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621567"/>
      <w:docPartObj>
        <w:docPartGallery w:val="Page Numbers (Bottom of Page)"/>
        <w:docPartUnique/>
      </w:docPartObj>
    </w:sdtPr>
    <w:sdtEndPr>
      <w:rPr>
        <w:noProof/>
      </w:rPr>
    </w:sdtEndPr>
    <w:sdtContent>
      <w:p w14:paraId="56D33063" w14:textId="10E10BD0" w:rsidR="002525F3" w:rsidRDefault="002525F3">
        <w:pPr>
          <w:pStyle w:val="Footer"/>
          <w:jc w:val="center"/>
        </w:pPr>
        <w:r>
          <w:fldChar w:fldCharType="begin"/>
        </w:r>
        <w:r>
          <w:instrText xml:space="preserve"> PAGE   \* MERGEFORMAT </w:instrText>
        </w:r>
        <w:r>
          <w:fldChar w:fldCharType="separate"/>
        </w:r>
        <w:r w:rsidR="00537EB1">
          <w:rPr>
            <w:noProof/>
          </w:rPr>
          <w:t>1</w:t>
        </w:r>
        <w:r>
          <w:rPr>
            <w:noProof/>
          </w:rPr>
          <w:fldChar w:fldCharType="end"/>
        </w:r>
      </w:p>
    </w:sdtContent>
  </w:sdt>
  <w:p w14:paraId="14B64FA2" w14:textId="77777777" w:rsidR="002525F3" w:rsidRDefault="00252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788EE" w14:textId="77777777" w:rsidR="00842C29" w:rsidRDefault="00842C29" w:rsidP="008B5D54">
      <w:r>
        <w:separator/>
      </w:r>
    </w:p>
  </w:footnote>
  <w:footnote w:type="continuationSeparator" w:id="0">
    <w:p w14:paraId="78985E2A" w14:textId="77777777" w:rsidR="00842C29" w:rsidRDefault="00842C29"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50399"/>
    <w:multiLevelType w:val="hybridMultilevel"/>
    <w:tmpl w:val="59F0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44622A"/>
    <w:multiLevelType w:val="multilevel"/>
    <w:tmpl w:val="09125016"/>
    <w:numStyleLink w:val="Style1"/>
  </w:abstractNum>
  <w:abstractNum w:abstractNumId="8">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2"/>
  </w:num>
  <w:num w:numId="2">
    <w:abstractNumId w:val="10"/>
  </w:num>
  <w:num w:numId="3">
    <w:abstractNumId w:val="9"/>
  </w:num>
  <w:num w:numId="4">
    <w:abstractNumId w:val="6"/>
  </w:num>
  <w:num w:numId="5">
    <w:abstractNumId w:val="14"/>
  </w:num>
  <w:num w:numId="6">
    <w:abstractNumId w:val="5"/>
  </w:num>
  <w:num w:numId="7">
    <w:abstractNumId w:val="8"/>
  </w:num>
  <w:num w:numId="8">
    <w:abstractNumId w:val="7"/>
  </w:num>
  <w:num w:numId="9">
    <w:abstractNumId w:val="0"/>
  </w:num>
  <w:num w:numId="10">
    <w:abstractNumId w:val="4"/>
  </w:num>
  <w:num w:numId="11">
    <w:abstractNumId w:val="11"/>
  </w:num>
  <w:num w:numId="12">
    <w:abstractNumId w:val="13"/>
  </w:num>
  <w:num w:numId="13">
    <w:abstractNumId w:val="3"/>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item&gt;2&lt;/item&gt;&lt;item&gt;3&lt;/item&gt;&lt;item&gt;4&lt;/item&gt;&lt;item&gt;5&lt;/item&gt;&lt;item&gt;6&lt;/item&gt;&lt;item&gt;7&lt;/item&gt;&lt;item&gt;8&lt;/item&gt;&lt;item&gt;9&lt;/item&gt;&lt;item&gt;10&lt;/item&gt;&lt;/record-ids&gt;&lt;/item&gt;&lt;/Libraries&gt;"/>
  </w:docVars>
  <w:rsids>
    <w:rsidRoot w:val="006869D4"/>
    <w:rsid w:val="00006403"/>
    <w:rsid w:val="00006A29"/>
    <w:rsid w:val="00015AE7"/>
    <w:rsid w:val="00017B88"/>
    <w:rsid w:val="0002165C"/>
    <w:rsid w:val="00026DB7"/>
    <w:rsid w:val="00030FFE"/>
    <w:rsid w:val="00031545"/>
    <w:rsid w:val="000317BA"/>
    <w:rsid w:val="00031D61"/>
    <w:rsid w:val="00040CE0"/>
    <w:rsid w:val="00041B9F"/>
    <w:rsid w:val="00051586"/>
    <w:rsid w:val="00053671"/>
    <w:rsid w:val="00056DD2"/>
    <w:rsid w:val="0006247E"/>
    <w:rsid w:val="000652BE"/>
    <w:rsid w:val="000678AE"/>
    <w:rsid w:val="00067E1B"/>
    <w:rsid w:val="00071920"/>
    <w:rsid w:val="00073EFB"/>
    <w:rsid w:val="000747AC"/>
    <w:rsid w:val="00074FDE"/>
    <w:rsid w:val="00076D10"/>
    <w:rsid w:val="00081E33"/>
    <w:rsid w:val="00082EA9"/>
    <w:rsid w:val="000879CA"/>
    <w:rsid w:val="000912C9"/>
    <w:rsid w:val="00093DF9"/>
    <w:rsid w:val="000A0AC0"/>
    <w:rsid w:val="000A56BD"/>
    <w:rsid w:val="000A5E51"/>
    <w:rsid w:val="000A73A6"/>
    <w:rsid w:val="000B1947"/>
    <w:rsid w:val="000C20AB"/>
    <w:rsid w:val="000D10E8"/>
    <w:rsid w:val="000D3C8A"/>
    <w:rsid w:val="000D7D1D"/>
    <w:rsid w:val="000E1128"/>
    <w:rsid w:val="000E16D3"/>
    <w:rsid w:val="000E209D"/>
    <w:rsid w:val="000E2854"/>
    <w:rsid w:val="000E3652"/>
    <w:rsid w:val="000F1DE3"/>
    <w:rsid w:val="000F2DDC"/>
    <w:rsid w:val="000F4CAA"/>
    <w:rsid w:val="001015FC"/>
    <w:rsid w:val="00103FF5"/>
    <w:rsid w:val="00104E90"/>
    <w:rsid w:val="001054F6"/>
    <w:rsid w:val="00106FDF"/>
    <w:rsid w:val="0011632B"/>
    <w:rsid w:val="0012271A"/>
    <w:rsid w:val="001319BD"/>
    <w:rsid w:val="0013226B"/>
    <w:rsid w:val="00134095"/>
    <w:rsid w:val="00134B29"/>
    <w:rsid w:val="00145159"/>
    <w:rsid w:val="0014691A"/>
    <w:rsid w:val="001503E6"/>
    <w:rsid w:val="00150BF0"/>
    <w:rsid w:val="001515AA"/>
    <w:rsid w:val="00153F9D"/>
    <w:rsid w:val="00155815"/>
    <w:rsid w:val="00156C6A"/>
    <w:rsid w:val="00157A3F"/>
    <w:rsid w:val="00171ECE"/>
    <w:rsid w:val="00172F69"/>
    <w:rsid w:val="00177836"/>
    <w:rsid w:val="00185DD3"/>
    <w:rsid w:val="0019449E"/>
    <w:rsid w:val="00195E37"/>
    <w:rsid w:val="001A1DAB"/>
    <w:rsid w:val="001A1EFA"/>
    <w:rsid w:val="001B4A66"/>
    <w:rsid w:val="001B4D2B"/>
    <w:rsid w:val="001B6AFB"/>
    <w:rsid w:val="001C0CE3"/>
    <w:rsid w:val="001C516C"/>
    <w:rsid w:val="001C77A3"/>
    <w:rsid w:val="001D0AB9"/>
    <w:rsid w:val="001D29E7"/>
    <w:rsid w:val="001D6DDB"/>
    <w:rsid w:val="001E01ED"/>
    <w:rsid w:val="001F181F"/>
    <w:rsid w:val="001F2D33"/>
    <w:rsid w:val="00200775"/>
    <w:rsid w:val="00200B70"/>
    <w:rsid w:val="00200D2C"/>
    <w:rsid w:val="002014E2"/>
    <w:rsid w:val="002019A9"/>
    <w:rsid w:val="00203A50"/>
    <w:rsid w:val="00204AFB"/>
    <w:rsid w:val="0020663A"/>
    <w:rsid w:val="00206828"/>
    <w:rsid w:val="00207534"/>
    <w:rsid w:val="002202FF"/>
    <w:rsid w:val="002213CC"/>
    <w:rsid w:val="0023115C"/>
    <w:rsid w:val="002332D6"/>
    <w:rsid w:val="002368E4"/>
    <w:rsid w:val="0023769F"/>
    <w:rsid w:val="00240A5C"/>
    <w:rsid w:val="00240E62"/>
    <w:rsid w:val="0024170B"/>
    <w:rsid w:val="00242341"/>
    <w:rsid w:val="002425F1"/>
    <w:rsid w:val="00242998"/>
    <w:rsid w:val="00244129"/>
    <w:rsid w:val="00244D05"/>
    <w:rsid w:val="002525F3"/>
    <w:rsid w:val="0025627B"/>
    <w:rsid w:val="002568B4"/>
    <w:rsid w:val="00265EDF"/>
    <w:rsid w:val="002661C7"/>
    <w:rsid w:val="0026711D"/>
    <w:rsid w:val="002739D6"/>
    <w:rsid w:val="00275ADF"/>
    <w:rsid w:val="00276C85"/>
    <w:rsid w:val="00280D66"/>
    <w:rsid w:val="0028198D"/>
    <w:rsid w:val="0028773F"/>
    <w:rsid w:val="00291F2D"/>
    <w:rsid w:val="00293D1E"/>
    <w:rsid w:val="0029515C"/>
    <w:rsid w:val="002961D6"/>
    <w:rsid w:val="002965F6"/>
    <w:rsid w:val="00297D51"/>
    <w:rsid w:val="002A0ADA"/>
    <w:rsid w:val="002A4FE1"/>
    <w:rsid w:val="002B2D0D"/>
    <w:rsid w:val="002C3AE2"/>
    <w:rsid w:val="002C6BD1"/>
    <w:rsid w:val="002D3D0C"/>
    <w:rsid w:val="002E24C0"/>
    <w:rsid w:val="002E4E76"/>
    <w:rsid w:val="002E5112"/>
    <w:rsid w:val="002F4995"/>
    <w:rsid w:val="00316981"/>
    <w:rsid w:val="00321C21"/>
    <w:rsid w:val="00331282"/>
    <w:rsid w:val="00332F80"/>
    <w:rsid w:val="003340FF"/>
    <w:rsid w:val="003344F5"/>
    <w:rsid w:val="00334FDA"/>
    <w:rsid w:val="00343F28"/>
    <w:rsid w:val="00347120"/>
    <w:rsid w:val="00352D80"/>
    <w:rsid w:val="003539FB"/>
    <w:rsid w:val="00354810"/>
    <w:rsid w:val="0037216F"/>
    <w:rsid w:val="003737AF"/>
    <w:rsid w:val="00377FA8"/>
    <w:rsid w:val="00380753"/>
    <w:rsid w:val="003901F6"/>
    <w:rsid w:val="00390FA0"/>
    <w:rsid w:val="003971F9"/>
    <w:rsid w:val="003A6A6C"/>
    <w:rsid w:val="003B3841"/>
    <w:rsid w:val="003B3EE9"/>
    <w:rsid w:val="003B47DD"/>
    <w:rsid w:val="003C10A5"/>
    <w:rsid w:val="003C12D1"/>
    <w:rsid w:val="003C221F"/>
    <w:rsid w:val="003C3C33"/>
    <w:rsid w:val="003D1EC2"/>
    <w:rsid w:val="003D7EF0"/>
    <w:rsid w:val="003E13AC"/>
    <w:rsid w:val="003E2A65"/>
    <w:rsid w:val="003E478F"/>
    <w:rsid w:val="003F027D"/>
    <w:rsid w:val="003F3408"/>
    <w:rsid w:val="004003F7"/>
    <w:rsid w:val="00401AFC"/>
    <w:rsid w:val="004021B3"/>
    <w:rsid w:val="004042A2"/>
    <w:rsid w:val="00412543"/>
    <w:rsid w:val="00432322"/>
    <w:rsid w:val="004334AB"/>
    <w:rsid w:val="00441432"/>
    <w:rsid w:val="00453494"/>
    <w:rsid w:val="00453EC7"/>
    <w:rsid w:val="0045429A"/>
    <w:rsid w:val="00460D47"/>
    <w:rsid w:val="004629B2"/>
    <w:rsid w:val="004633D8"/>
    <w:rsid w:val="004657BF"/>
    <w:rsid w:val="004713DD"/>
    <w:rsid w:val="0047402D"/>
    <w:rsid w:val="0048458E"/>
    <w:rsid w:val="00485E43"/>
    <w:rsid w:val="004B25CE"/>
    <w:rsid w:val="004B3702"/>
    <w:rsid w:val="004B3D61"/>
    <w:rsid w:val="004B5036"/>
    <w:rsid w:val="004B71A2"/>
    <w:rsid w:val="004C2697"/>
    <w:rsid w:val="004C3356"/>
    <w:rsid w:val="004C581B"/>
    <w:rsid w:val="004D028F"/>
    <w:rsid w:val="004D205C"/>
    <w:rsid w:val="004D4DD0"/>
    <w:rsid w:val="004D5389"/>
    <w:rsid w:val="004D5B15"/>
    <w:rsid w:val="004D632E"/>
    <w:rsid w:val="004E0E3A"/>
    <w:rsid w:val="004E3395"/>
    <w:rsid w:val="004E3544"/>
    <w:rsid w:val="004E72EA"/>
    <w:rsid w:val="004F56DE"/>
    <w:rsid w:val="004F65C6"/>
    <w:rsid w:val="004F71D7"/>
    <w:rsid w:val="00501270"/>
    <w:rsid w:val="00506031"/>
    <w:rsid w:val="00506E45"/>
    <w:rsid w:val="00511D75"/>
    <w:rsid w:val="00515886"/>
    <w:rsid w:val="00523479"/>
    <w:rsid w:val="0052486D"/>
    <w:rsid w:val="005248A5"/>
    <w:rsid w:val="00536ED0"/>
    <w:rsid w:val="00537E55"/>
    <w:rsid w:val="00537EB1"/>
    <w:rsid w:val="00542640"/>
    <w:rsid w:val="00546ADD"/>
    <w:rsid w:val="00550E55"/>
    <w:rsid w:val="00565EDB"/>
    <w:rsid w:val="0057169B"/>
    <w:rsid w:val="005743EC"/>
    <w:rsid w:val="00574FA6"/>
    <w:rsid w:val="00580606"/>
    <w:rsid w:val="00582502"/>
    <w:rsid w:val="00582903"/>
    <w:rsid w:val="00582C8E"/>
    <w:rsid w:val="00587EC2"/>
    <w:rsid w:val="00591E48"/>
    <w:rsid w:val="005A038A"/>
    <w:rsid w:val="005A0F49"/>
    <w:rsid w:val="005B0C43"/>
    <w:rsid w:val="005B3D89"/>
    <w:rsid w:val="005B4518"/>
    <w:rsid w:val="005B5D5C"/>
    <w:rsid w:val="005B7263"/>
    <w:rsid w:val="005C4186"/>
    <w:rsid w:val="005C5398"/>
    <w:rsid w:val="005C7600"/>
    <w:rsid w:val="005C7B17"/>
    <w:rsid w:val="005D10E7"/>
    <w:rsid w:val="005D3545"/>
    <w:rsid w:val="005D7BF0"/>
    <w:rsid w:val="005E2979"/>
    <w:rsid w:val="005E6F8D"/>
    <w:rsid w:val="005F32F0"/>
    <w:rsid w:val="005F51A2"/>
    <w:rsid w:val="0060115E"/>
    <w:rsid w:val="00602878"/>
    <w:rsid w:val="00606E0A"/>
    <w:rsid w:val="00613E64"/>
    <w:rsid w:val="00617B96"/>
    <w:rsid w:val="00622CA8"/>
    <w:rsid w:val="00623078"/>
    <w:rsid w:val="00623F86"/>
    <w:rsid w:val="00624CE1"/>
    <w:rsid w:val="00625F34"/>
    <w:rsid w:val="0062606A"/>
    <w:rsid w:val="006343C9"/>
    <w:rsid w:val="00637F5D"/>
    <w:rsid w:val="00657BDF"/>
    <w:rsid w:val="00663BC9"/>
    <w:rsid w:val="00674C2B"/>
    <w:rsid w:val="00674DC2"/>
    <w:rsid w:val="006775DC"/>
    <w:rsid w:val="00686217"/>
    <w:rsid w:val="006869D4"/>
    <w:rsid w:val="00690E5E"/>
    <w:rsid w:val="006A4424"/>
    <w:rsid w:val="006A4A39"/>
    <w:rsid w:val="006B07DF"/>
    <w:rsid w:val="006B0C20"/>
    <w:rsid w:val="006B56C4"/>
    <w:rsid w:val="006C500C"/>
    <w:rsid w:val="006C655A"/>
    <w:rsid w:val="006C6578"/>
    <w:rsid w:val="006E4F97"/>
    <w:rsid w:val="006F070E"/>
    <w:rsid w:val="006F3440"/>
    <w:rsid w:val="00706BCB"/>
    <w:rsid w:val="00720709"/>
    <w:rsid w:val="00724D04"/>
    <w:rsid w:val="007311C6"/>
    <w:rsid w:val="00731B24"/>
    <w:rsid w:val="007325ED"/>
    <w:rsid w:val="00733192"/>
    <w:rsid w:val="007376F4"/>
    <w:rsid w:val="00743F22"/>
    <w:rsid w:val="007442C3"/>
    <w:rsid w:val="007447B9"/>
    <w:rsid w:val="00747020"/>
    <w:rsid w:val="007530B7"/>
    <w:rsid w:val="00754E12"/>
    <w:rsid w:val="0075552D"/>
    <w:rsid w:val="00755BBA"/>
    <w:rsid w:val="00757F44"/>
    <w:rsid w:val="007667E1"/>
    <w:rsid w:val="00772A65"/>
    <w:rsid w:val="00773161"/>
    <w:rsid w:val="00775675"/>
    <w:rsid w:val="00777FC0"/>
    <w:rsid w:val="0078411B"/>
    <w:rsid w:val="007841E3"/>
    <w:rsid w:val="00784DDF"/>
    <w:rsid w:val="00786C5A"/>
    <w:rsid w:val="00792F8A"/>
    <w:rsid w:val="007A0C90"/>
    <w:rsid w:val="007A2FDD"/>
    <w:rsid w:val="007B3D63"/>
    <w:rsid w:val="007B4891"/>
    <w:rsid w:val="007C2B6F"/>
    <w:rsid w:val="007C71F5"/>
    <w:rsid w:val="007D2C4F"/>
    <w:rsid w:val="007D4C07"/>
    <w:rsid w:val="007E405F"/>
    <w:rsid w:val="007E5176"/>
    <w:rsid w:val="007E6191"/>
    <w:rsid w:val="007E72EF"/>
    <w:rsid w:val="007F1AE0"/>
    <w:rsid w:val="007F1E53"/>
    <w:rsid w:val="007F7EDD"/>
    <w:rsid w:val="008102BB"/>
    <w:rsid w:val="0081086B"/>
    <w:rsid w:val="00810B9E"/>
    <w:rsid w:val="00815C35"/>
    <w:rsid w:val="00817236"/>
    <w:rsid w:val="008172D1"/>
    <w:rsid w:val="00823552"/>
    <w:rsid w:val="0082377F"/>
    <w:rsid w:val="00825415"/>
    <w:rsid w:val="00827286"/>
    <w:rsid w:val="00831EA0"/>
    <w:rsid w:val="008320F7"/>
    <w:rsid w:val="00834315"/>
    <w:rsid w:val="0084098E"/>
    <w:rsid w:val="00842C29"/>
    <w:rsid w:val="00843673"/>
    <w:rsid w:val="00843E71"/>
    <w:rsid w:val="008452CD"/>
    <w:rsid w:val="008457FB"/>
    <w:rsid w:val="008519CC"/>
    <w:rsid w:val="00852956"/>
    <w:rsid w:val="008574B9"/>
    <w:rsid w:val="0087762E"/>
    <w:rsid w:val="00877BE2"/>
    <w:rsid w:val="00882365"/>
    <w:rsid w:val="008839F0"/>
    <w:rsid w:val="008845A2"/>
    <w:rsid w:val="008A0D9E"/>
    <w:rsid w:val="008A19F2"/>
    <w:rsid w:val="008A4739"/>
    <w:rsid w:val="008A4E7B"/>
    <w:rsid w:val="008B180A"/>
    <w:rsid w:val="008B5D54"/>
    <w:rsid w:val="008B7B1C"/>
    <w:rsid w:val="008C09DC"/>
    <w:rsid w:val="008C0F50"/>
    <w:rsid w:val="008C1BEA"/>
    <w:rsid w:val="008C5507"/>
    <w:rsid w:val="008D47EF"/>
    <w:rsid w:val="008D5F8D"/>
    <w:rsid w:val="008E10CB"/>
    <w:rsid w:val="008E5022"/>
    <w:rsid w:val="008E6D5A"/>
    <w:rsid w:val="008F34F0"/>
    <w:rsid w:val="008F6383"/>
    <w:rsid w:val="008F6B1C"/>
    <w:rsid w:val="00904F07"/>
    <w:rsid w:val="00910A43"/>
    <w:rsid w:val="009111E8"/>
    <w:rsid w:val="00913292"/>
    <w:rsid w:val="009132DF"/>
    <w:rsid w:val="00913A3E"/>
    <w:rsid w:val="009221FF"/>
    <w:rsid w:val="00924A81"/>
    <w:rsid w:val="00925BA9"/>
    <w:rsid w:val="009330AF"/>
    <w:rsid w:val="00933271"/>
    <w:rsid w:val="009371FE"/>
    <w:rsid w:val="009423E7"/>
    <w:rsid w:val="00943B21"/>
    <w:rsid w:val="00947351"/>
    <w:rsid w:val="009501CD"/>
    <w:rsid w:val="00956B5D"/>
    <w:rsid w:val="009579AD"/>
    <w:rsid w:val="00957EBB"/>
    <w:rsid w:val="00963092"/>
    <w:rsid w:val="009636FA"/>
    <w:rsid w:val="0096557A"/>
    <w:rsid w:val="00965E71"/>
    <w:rsid w:val="00973A03"/>
    <w:rsid w:val="00976441"/>
    <w:rsid w:val="00980F7C"/>
    <w:rsid w:val="009811EB"/>
    <w:rsid w:val="009830DB"/>
    <w:rsid w:val="0098459C"/>
    <w:rsid w:val="0098673D"/>
    <w:rsid w:val="00987256"/>
    <w:rsid w:val="009951A9"/>
    <w:rsid w:val="0099750D"/>
    <w:rsid w:val="009A2571"/>
    <w:rsid w:val="009A38A1"/>
    <w:rsid w:val="009A4982"/>
    <w:rsid w:val="009A6CEF"/>
    <w:rsid w:val="009B4858"/>
    <w:rsid w:val="009B5C38"/>
    <w:rsid w:val="009C5D88"/>
    <w:rsid w:val="009C7405"/>
    <w:rsid w:val="009D041A"/>
    <w:rsid w:val="009D4CC5"/>
    <w:rsid w:val="009D6649"/>
    <w:rsid w:val="009F2B1C"/>
    <w:rsid w:val="009F4C05"/>
    <w:rsid w:val="00A00005"/>
    <w:rsid w:val="00A02DE6"/>
    <w:rsid w:val="00A04495"/>
    <w:rsid w:val="00A06E57"/>
    <w:rsid w:val="00A07E2E"/>
    <w:rsid w:val="00A12865"/>
    <w:rsid w:val="00A12ABA"/>
    <w:rsid w:val="00A200F6"/>
    <w:rsid w:val="00A31F59"/>
    <w:rsid w:val="00A34D13"/>
    <w:rsid w:val="00A46777"/>
    <w:rsid w:val="00A51C29"/>
    <w:rsid w:val="00A55C9F"/>
    <w:rsid w:val="00A63A65"/>
    <w:rsid w:val="00A64F2A"/>
    <w:rsid w:val="00A71916"/>
    <w:rsid w:val="00A732A6"/>
    <w:rsid w:val="00A74155"/>
    <w:rsid w:val="00A753EB"/>
    <w:rsid w:val="00A76979"/>
    <w:rsid w:val="00A80799"/>
    <w:rsid w:val="00A90552"/>
    <w:rsid w:val="00AA1ED6"/>
    <w:rsid w:val="00AB78EA"/>
    <w:rsid w:val="00AC05E8"/>
    <w:rsid w:val="00AC254E"/>
    <w:rsid w:val="00AC60FB"/>
    <w:rsid w:val="00AD2807"/>
    <w:rsid w:val="00AD4495"/>
    <w:rsid w:val="00AD617D"/>
    <w:rsid w:val="00AE0874"/>
    <w:rsid w:val="00AE50F8"/>
    <w:rsid w:val="00AF2647"/>
    <w:rsid w:val="00AF6D1E"/>
    <w:rsid w:val="00AF6FD9"/>
    <w:rsid w:val="00B01F8A"/>
    <w:rsid w:val="00B03E4D"/>
    <w:rsid w:val="00B057DB"/>
    <w:rsid w:val="00B06922"/>
    <w:rsid w:val="00B10932"/>
    <w:rsid w:val="00B11437"/>
    <w:rsid w:val="00B12EA3"/>
    <w:rsid w:val="00B1394D"/>
    <w:rsid w:val="00B13D7C"/>
    <w:rsid w:val="00B148B5"/>
    <w:rsid w:val="00B24C5D"/>
    <w:rsid w:val="00B24E32"/>
    <w:rsid w:val="00B250E0"/>
    <w:rsid w:val="00B328D6"/>
    <w:rsid w:val="00B343E9"/>
    <w:rsid w:val="00B36F42"/>
    <w:rsid w:val="00B414DF"/>
    <w:rsid w:val="00B42A00"/>
    <w:rsid w:val="00B447EE"/>
    <w:rsid w:val="00B45362"/>
    <w:rsid w:val="00B470EB"/>
    <w:rsid w:val="00B474EC"/>
    <w:rsid w:val="00B52D00"/>
    <w:rsid w:val="00B55735"/>
    <w:rsid w:val="00B608AC"/>
    <w:rsid w:val="00B62FF3"/>
    <w:rsid w:val="00B64D28"/>
    <w:rsid w:val="00B65A4F"/>
    <w:rsid w:val="00B65B0C"/>
    <w:rsid w:val="00B76486"/>
    <w:rsid w:val="00B82C9D"/>
    <w:rsid w:val="00B930C9"/>
    <w:rsid w:val="00B9447E"/>
    <w:rsid w:val="00B953B0"/>
    <w:rsid w:val="00BA7B25"/>
    <w:rsid w:val="00BB0F3A"/>
    <w:rsid w:val="00BC38BA"/>
    <w:rsid w:val="00BC60F9"/>
    <w:rsid w:val="00BC7371"/>
    <w:rsid w:val="00BD0B38"/>
    <w:rsid w:val="00BF1EB9"/>
    <w:rsid w:val="00BF2B6F"/>
    <w:rsid w:val="00BF4C06"/>
    <w:rsid w:val="00BF671C"/>
    <w:rsid w:val="00C03F9D"/>
    <w:rsid w:val="00C1216F"/>
    <w:rsid w:val="00C1474B"/>
    <w:rsid w:val="00C15DB7"/>
    <w:rsid w:val="00C172B3"/>
    <w:rsid w:val="00C17EE7"/>
    <w:rsid w:val="00C24A59"/>
    <w:rsid w:val="00C25635"/>
    <w:rsid w:val="00C37E9C"/>
    <w:rsid w:val="00C421C2"/>
    <w:rsid w:val="00C436DC"/>
    <w:rsid w:val="00C46977"/>
    <w:rsid w:val="00C50810"/>
    <w:rsid w:val="00C53CE5"/>
    <w:rsid w:val="00C5458E"/>
    <w:rsid w:val="00C60213"/>
    <w:rsid w:val="00C60A58"/>
    <w:rsid w:val="00C61DD4"/>
    <w:rsid w:val="00C62F5E"/>
    <w:rsid w:val="00C67BED"/>
    <w:rsid w:val="00C70483"/>
    <w:rsid w:val="00C70C6E"/>
    <w:rsid w:val="00C72912"/>
    <w:rsid w:val="00C736A4"/>
    <w:rsid w:val="00C74F4A"/>
    <w:rsid w:val="00C81AAD"/>
    <w:rsid w:val="00C8370A"/>
    <w:rsid w:val="00C84609"/>
    <w:rsid w:val="00C91C02"/>
    <w:rsid w:val="00C9502D"/>
    <w:rsid w:val="00CA7D49"/>
    <w:rsid w:val="00CB031A"/>
    <w:rsid w:val="00CB51BB"/>
    <w:rsid w:val="00CB62C5"/>
    <w:rsid w:val="00CC3B01"/>
    <w:rsid w:val="00CC5FFB"/>
    <w:rsid w:val="00CC6AB1"/>
    <w:rsid w:val="00CD441E"/>
    <w:rsid w:val="00CF191F"/>
    <w:rsid w:val="00CF44C9"/>
    <w:rsid w:val="00CF5EFA"/>
    <w:rsid w:val="00D01AB3"/>
    <w:rsid w:val="00D02168"/>
    <w:rsid w:val="00D02DEF"/>
    <w:rsid w:val="00D05089"/>
    <w:rsid w:val="00D05FAB"/>
    <w:rsid w:val="00D071EB"/>
    <w:rsid w:val="00D07372"/>
    <w:rsid w:val="00D07617"/>
    <w:rsid w:val="00D17FA6"/>
    <w:rsid w:val="00D21275"/>
    <w:rsid w:val="00D312D3"/>
    <w:rsid w:val="00D329C3"/>
    <w:rsid w:val="00D37337"/>
    <w:rsid w:val="00D45665"/>
    <w:rsid w:val="00D45E08"/>
    <w:rsid w:val="00D467C4"/>
    <w:rsid w:val="00D473E4"/>
    <w:rsid w:val="00D4797E"/>
    <w:rsid w:val="00D5124B"/>
    <w:rsid w:val="00D528B9"/>
    <w:rsid w:val="00D55A4B"/>
    <w:rsid w:val="00D56E26"/>
    <w:rsid w:val="00D601A8"/>
    <w:rsid w:val="00D62D1E"/>
    <w:rsid w:val="00D6673F"/>
    <w:rsid w:val="00D66FE5"/>
    <w:rsid w:val="00D70265"/>
    <w:rsid w:val="00D70D00"/>
    <w:rsid w:val="00D70EC7"/>
    <w:rsid w:val="00D74C3B"/>
    <w:rsid w:val="00D84695"/>
    <w:rsid w:val="00D96359"/>
    <w:rsid w:val="00DA06C8"/>
    <w:rsid w:val="00DA3EA4"/>
    <w:rsid w:val="00DB13DE"/>
    <w:rsid w:val="00DB632D"/>
    <w:rsid w:val="00DC0C2E"/>
    <w:rsid w:val="00DC3C26"/>
    <w:rsid w:val="00DC56F1"/>
    <w:rsid w:val="00DC57CC"/>
    <w:rsid w:val="00DC68BA"/>
    <w:rsid w:val="00DD3B22"/>
    <w:rsid w:val="00DD4021"/>
    <w:rsid w:val="00DE2A5A"/>
    <w:rsid w:val="00DE4370"/>
    <w:rsid w:val="00DF291A"/>
    <w:rsid w:val="00DF71D5"/>
    <w:rsid w:val="00E005EF"/>
    <w:rsid w:val="00E036C0"/>
    <w:rsid w:val="00E06F4F"/>
    <w:rsid w:val="00E11DD3"/>
    <w:rsid w:val="00E227E6"/>
    <w:rsid w:val="00E2574F"/>
    <w:rsid w:val="00E25E5B"/>
    <w:rsid w:val="00E26604"/>
    <w:rsid w:val="00E344D5"/>
    <w:rsid w:val="00E3571A"/>
    <w:rsid w:val="00E368ED"/>
    <w:rsid w:val="00E4144C"/>
    <w:rsid w:val="00E45F70"/>
    <w:rsid w:val="00E477CF"/>
    <w:rsid w:val="00E47D1A"/>
    <w:rsid w:val="00E50603"/>
    <w:rsid w:val="00E50DA8"/>
    <w:rsid w:val="00E53653"/>
    <w:rsid w:val="00E56897"/>
    <w:rsid w:val="00E57785"/>
    <w:rsid w:val="00E6566E"/>
    <w:rsid w:val="00E70C71"/>
    <w:rsid w:val="00E72740"/>
    <w:rsid w:val="00E763FE"/>
    <w:rsid w:val="00E830C0"/>
    <w:rsid w:val="00E83EFA"/>
    <w:rsid w:val="00E8562C"/>
    <w:rsid w:val="00E86BF9"/>
    <w:rsid w:val="00E86C70"/>
    <w:rsid w:val="00E90840"/>
    <w:rsid w:val="00E95231"/>
    <w:rsid w:val="00E95779"/>
    <w:rsid w:val="00EA31E0"/>
    <w:rsid w:val="00EA4C0B"/>
    <w:rsid w:val="00EB46EE"/>
    <w:rsid w:val="00EB7706"/>
    <w:rsid w:val="00EC3F14"/>
    <w:rsid w:val="00EC5C59"/>
    <w:rsid w:val="00ED0207"/>
    <w:rsid w:val="00ED127C"/>
    <w:rsid w:val="00ED3A5B"/>
    <w:rsid w:val="00ED62D3"/>
    <w:rsid w:val="00ED75FB"/>
    <w:rsid w:val="00EE4F87"/>
    <w:rsid w:val="00EF1FA3"/>
    <w:rsid w:val="00EF28D6"/>
    <w:rsid w:val="00EF42C5"/>
    <w:rsid w:val="00F014B6"/>
    <w:rsid w:val="00F025EB"/>
    <w:rsid w:val="00F119BC"/>
    <w:rsid w:val="00F11C39"/>
    <w:rsid w:val="00F13485"/>
    <w:rsid w:val="00F15684"/>
    <w:rsid w:val="00F15707"/>
    <w:rsid w:val="00F15AEE"/>
    <w:rsid w:val="00F1727A"/>
    <w:rsid w:val="00F22BAE"/>
    <w:rsid w:val="00F27976"/>
    <w:rsid w:val="00F34537"/>
    <w:rsid w:val="00F353ED"/>
    <w:rsid w:val="00F42159"/>
    <w:rsid w:val="00F534E7"/>
    <w:rsid w:val="00F54C87"/>
    <w:rsid w:val="00F55853"/>
    <w:rsid w:val="00F72954"/>
    <w:rsid w:val="00F734ED"/>
    <w:rsid w:val="00F75369"/>
    <w:rsid w:val="00F82D55"/>
    <w:rsid w:val="00F83380"/>
    <w:rsid w:val="00F84573"/>
    <w:rsid w:val="00F867DA"/>
    <w:rsid w:val="00F918BB"/>
    <w:rsid w:val="00F9212B"/>
    <w:rsid w:val="00F94AE4"/>
    <w:rsid w:val="00F94F35"/>
    <w:rsid w:val="00F951D1"/>
    <w:rsid w:val="00F95454"/>
    <w:rsid w:val="00F95904"/>
    <w:rsid w:val="00F9622C"/>
    <w:rsid w:val="00F97FAA"/>
    <w:rsid w:val="00FB7AA8"/>
    <w:rsid w:val="00FC1704"/>
    <w:rsid w:val="00FC3CFD"/>
    <w:rsid w:val="00FD091D"/>
    <w:rsid w:val="00FD2FD5"/>
    <w:rsid w:val="00FD3BED"/>
    <w:rsid w:val="00FD6609"/>
    <w:rsid w:val="00FD6A23"/>
    <w:rsid w:val="00FE2976"/>
    <w:rsid w:val="00FE7D83"/>
    <w:rsid w:val="00FF1CB4"/>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2E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customStyle="1" w:styleId="Protocol">
    <w:name w:val="Protocol"/>
    <w:basedOn w:val="NoSpacing"/>
    <w:link w:val="ProtocolChar"/>
    <w:autoRedefine/>
    <w:qFormat/>
    <w:rsid w:val="00D601A8"/>
    <w:pPr>
      <w:spacing w:before="120" w:after="120"/>
    </w:pPr>
    <w:rPr>
      <w:rFonts w:eastAsia="Times New Roman" w:cs="Times New Roman"/>
      <w:szCs w:val="24"/>
    </w:rPr>
  </w:style>
  <w:style w:type="character" w:customStyle="1" w:styleId="ProtocolChar">
    <w:name w:val="Protocol Char"/>
    <w:basedOn w:val="DefaultParagraphFont"/>
    <w:link w:val="Protocol"/>
    <w:rsid w:val="00D601A8"/>
    <w:rPr>
      <w:rFonts w:ascii="Times New Roman" w:eastAsia="Times New Roman" w:hAnsi="Times New Roman" w:cs="Times New Roman"/>
      <w:sz w:val="24"/>
      <w:szCs w:val="24"/>
    </w:rPr>
  </w:style>
  <w:style w:type="paragraph" w:styleId="Revision">
    <w:name w:val="Revision"/>
    <w:hidden/>
    <w:uiPriority w:val="99"/>
    <w:semiHidden/>
    <w:rsid w:val="00B64D2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customStyle="1" w:styleId="Protocol">
    <w:name w:val="Protocol"/>
    <w:basedOn w:val="NoSpacing"/>
    <w:link w:val="ProtocolChar"/>
    <w:autoRedefine/>
    <w:qFormat/>
    <w:rsid w:val="00D601A8"/>
    <w:pPr>
      <w:spacing w:before="120" w:after="120"/>
    </w:pPr>
    <w:rPr>
      <w:rFonts w:eastAsia="Times New Roman" w:cs="Times New Roman"/>
      <w:szCs w:val="24"/>
    </w:rPr>
  </w:style>
  <w:style w:type="character" w:customStyle="1" w:styleId="ProtocolChar">
    <w:name w:val="Protocol Char"/>
    <w:basedOn w:val="DefaultParagraphFont"/>
    <w:link w:val="Protocol"/>
    <w:rsid w:val="00D601A8"/>
    <w:rPr>
      <w:rFonts w:ascii="Times New Roman" w:eastAsia="Times New Roman" w:hAnsi="Times New Roman" w:cs="Times New Roman"/>
      <w:sz w:val="24"/>
      <w:szCs w:val="24"/>
    </w:rPr>
  </w:style>
  <w:style w:type="paragraph" w:styleId="Revision">
    <w:name w:val="Revision"/>
    <w:hidden/>
    <w:uiPriority w:val="99"/>
    <w:semiHidden/>
    <w:rsid w:val="00B64D2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0300">
      <w:bodyDiv w:val="1"/>
      <w:marLeft w:val="0"/>
      <w:marRight w:val="0"/>
      <w:marTop w:val="0"/>
      <w:marBottom w:val="0"/>
      <w:divBdr>
        <w:top w:val="none" w:sz="0" w:space="0" w:color="auto"/>
        <w:left w:val="none" w:sz="0" w:space="0" w:color="auto"/>
        <w:bottom w:val="none" w:sz="0" w:space="0" w:color="auto"/>
        <w:right w:val="none" w:sz="0" w:space="0" w:color="auto"/>
      </w:divBdr>
    </w:div>
    <w:div w:id="236482795">
      <w:bodyDiv w:val="1"/>
      <w:marLeft w:val="0"/>
      <w:marRight w:val="0"/>
      <w:marTop w:val="0"/>
      <w:marBottom w:val="0"/>
      <w:divBdr>
        <w:top w:val="none" w:sz="0" w:space="0" w:color="auto"/>
        <w:left w:val="none" w:sz="0" w:space="0" w:color="auto"/>
        <w:bottom w:val="none" w:sz="0" w:space="0" w:color="auto"/>
        <w:right w:val="none" w:sz="0" w:space="0" w:color="auto"/>
      </w:divBdr>
    </w:div>
    <w:div w:id="1124738157">
      <w:bodyDiv w:val="1"/>
      <w:marLeft w:val="0"/>
      <w:marRight w:val="0"/>
      <w:marTop w:val="0"/>
      <w:marBottom w:val="0"/>
      <w:divBdr>
        <w:top w:val="none" w:sz="0" w:space="0" w:color="auto"/>
        <w:left w:val="none" w:sz="0" w:space="0" w:color="auto"/>
        <w:bottom w:val="none" w:sz="0" w:space="0" w:color="auto"/>
        <w:right w:val="none" w:sz="0" w:space="0" w:color="auto"/>
      </w:divBdr>
    </w:div>
    <w:div w:id="1725328140">
      <w:bodyDiv w:val="1"/>
      <w:marLeft w:val="0"/>
      <w:marRight w:val="0"/>
      <w:marTop w:val="0"/>
      <w:marBottom w:val="0"/>
      <w:divBdr>
        <w:top w:val="none" w:sz="0" w:space="0" w:color="auto"/>
        <w:left w:val="none" w:sz="0" w:space="0" w:color="auto"/>
        <w:bottom w:val="none" w:sz="0" w:space="0" w:color="auto"/>
        <w:right w:val="none" w:sz="0" w:space="0" w:color="auto"/>
      </w:divBdr>
    </w:div>
    <w:div w:id="1971742237">
      <w:bodyDiv w:val="1"/>
      <w:marLeft w:val="0"/>
      <w:marRight w:val="0"/>
      <w:marTop w:val="0"/>
      <w:marBottom w:val="0"/>
      <w:divBdr>
        <w:top w:val="none" w:sz="0" w:space="0" w:color="auto"/>
        <w:left w:val="none" w:sz="0" w:space="0" w:color="auto"/>
        <w:bottom w:val="none" w:sz="0" w:space="0" w:color="auto"/>
        <w:right w:val="none" w:sz="0" w:space="0" w:color="auto"/>
      </w:divBdr>
    </w:div>
    <w:div w:id="1976443824">
      <w:bodyDiv w:val="1"/>
      <w:marLeft w:val="0"/>
      <w:marRight w:val="0"/>
      <w:marTop w:val="0"/>
      <w:marBottom w:val="0"/>
      <w:divBdr>
        <w:top w:val="none" w:sz="0" w:space="0" w:color="auto"/>
        <w:left w:val="none" w:sz="0" w:space="0" w:color="auto"/>
        <w:bottom w:val="none" w:sz="0" w:space="0" w:color="auto"/>
        <w:right w:val="none" w:sz="0" w:space="0" w:color="auto"/>
      </w:divBdr>
    </w:div>
    <w:div w:id="20024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glae@impaqint.com" TargetMode="External"/><Relationship Id="rId18" Type="http://schemas.openxmlformats.org/officeDocument/2006/relationships/hyperlink" Target="http://aids.gov/federal-resources/national-hiv-aids-strategy/nha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asey@reserachsupportservices.com" TargetMode="External"/><Relationship Id="rId17"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hyperlink" Target="mailto:n.benbow@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su@researchsupportservices.com" TargetMode="External"/><Relationship Id="rId5" Type="http://schemas.openxmlformats.org/officeDocument/2006/relationships/settings" Target="settings.xml"/><Relationship Id="rId15" Type="http://schemas.openxmlformats.org/officeDocument/2006/relationships/hyperlink" Target="mailto:egall@impaqint.com" TargetMode="External"/><Relationship Id="rId10" Type="http://schemas.openxmlformats.org/officeDocument/2006/relationships/hyperlink" Target="mailto:laura.randall@emory.edu" TargetMode="External"/><Relationship Id="rId19" Type="http://schemas.openxmlformats.org/officeDocument/2006/relationships/hyperlink" Target="https://effectiveinterventions.cdc.gov/en/HighImpactPrevention/PublicHealthStrategies/DatatoCare.aspx" TargetMode="External"/><Relationship Id="rId4" Type="http://schemas.microsoft.com/office/2007/relationships/stylesWithEffects" Target="stylesWithEffects.xml"/><Relationship Id="rId9" Type="http://schemas.openxmlformats.org/officeDocument/2006/relationships/hyperlink" Target="mailto:pfrew@emory.edu" TargetMode="External"/><Relationship Id="rId14" Type="http://schemas.openxmlformats.org/officeDocument/2006/relationships/hyperlink" Target="file:///C:\Users\jcx3\AppData\Local\Microsoft\Windows\Temporary%20Internet%20Files\Content.Outlook\3OUE63CY\vbetley@impaqin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Cen14</b:Tag>
    <b:SourceType>JournalArticle</b:SourceType>
    <b:Guid>{F63D5BC7-A925-4908-8A9D-8AD17538EC8A}</b:Guid>
    <b:Author>
      <b:Author>
        <b:Corporate>Centers for Disease Control and Prevention</b:Corporate>
      </b:Author>
    </b:Author>
    <b:Title>Diagnoses of HIV infection in the United States and dependent areas, 2014</b:Title>
    <b:JournalName>HIV Surveillance Report</b:JournalName>
    <b:Year>2014</b:Year>
    <b:Volume>26</b:Volume>
    <b:URL>http://www.cdc.gov/hiv/library/reports/surveillance/</b:URL>
    <b:RefOrder>1</b:RefOrder>
  </b:Source>
</b:Sources>
</file>

<file path=customXml/itemProps1.xml><?xml version="1.0" encoding="utf-8"?>
<ds:datastoreItem xmlns:ds="http://schemas.openxmlformats.org/officeDocument/2006/customXml" ds:itemID="{4CA509FD-E0C6-4918-B573-78D5F9CE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5757</Words>
  <Characters>32821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2018-03-14T13:11:00Z</dcterms:created>
  <dcterms:modified xsi:type="dcterms:W3CDTF">2018-03-14T13:11:00Z</dcterms:modified>
</cp:coreProperties>
</file>