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6CFB" w14:textId="77777777" w:rsidR="005342FB" w:rsidRDefault="005342FB" w:rsidP="005342FB">
      <w:pPr>
        <w:pStyle w:val="NoSpacing"/>
        <w:jc w:val="center"/>
        <w:rPr>
          <w:b/>
        </w:rPr>
      </w:pPr>
    </w:p>
    <w:p w14:paraId="5F28AF33" w14:textId="77777777" w:rsidR="005342FB" w:rsidRDefault="00914C58" w:rsidP="005342FB">
      <w:pPr>
        <w:pStyle w:val="NoSpacing"/>
        <w:jc w:val="center"/>
        <w:rPr>
          <w:b/>
        </w:rPr>
      </w:pPr>
      <w:r w:rsidRPr="00914C58">
        <w:rPr>
          <w:b/>
        </w:rPr>
        <w:t>Barriers and Facilitators to HIV Prevention, Care, and Treatment among Transgender Women in Atlanta, GA, Philadelphia, PA, and Washington, DC (T-Qual)</w:t>
      </w:r>
    </w:p>
    <w:p w14:paraId="36D62573" w14:textId="77777777" w:rsidR="00914C58" w:rsidRDefault="00914C58" w:rsidP="005342FB">
      <w:pPr>
        <w:pStyle w:val="NoSpacing"/>
        <w:jc w:val="center"/>
        <w:rPr>
          <w:b/>
        </w:rPr>
      </w:pPr>
    </w:p>
    <w:p w14:paraId="50677229" w14:textId="77777777" w:rsidR="005342FB" w:rsidRDefault="00D14157" w:rsidP="005342FB">
      <w:pPr>
        <w:pStyle w:val="NoSpacing"/>
        <w:jc w:val="center"/>
        <w:rPr>
          <w:b/>
        </w:rPr>
      </w:pPr>
      <w:r>
        <w:rPr>
          <w:b/>
        </w:rPr>
        <w:t>Ge</w:t>
      </w:r>
      <w:r w:rsidR="00527188">
        <w:rPr>
          <w:b/>
        </w:rPr>
        <w:t xml:space="preserve">neric </w:t>
      </w:r>
      <w:r w:rsidR="005342FB">
        <w:rPr>
          <w:b/>
        </w:rPr>
        <w:t>Information Collection Request under OMB #0920-</w:t>
      </w:r>
      <w:r w:rsidR="00527188">
        <w:rPr>
          <w:b/>
        </w:rPr>
        <w:t>1091</w:t>
      </w:r>
    </w:p>
    <w:p w14:paraId="2B937061" w14:textId="77777777" w:rsidR="005342FB" w:rsidRDefault="005342FB" w:rsidP="005342FB">
      <w:pPr>
        <w:pStyle w:val="NoSpacing"/>
        <w:jc w:val="center"/>
        <w:rPr>
          <w:b/>
        </w:rPr>
      </w:pPr>
    </w:p>
    <w:p w14:paraId="524AF8C7" w14:textId="77777777" w:rsidR="005342FB" w:rsidRDefault="005342FB" w:rsidP="005342FB">
      <w:pPr>
        <w:pStyle w:val="NoSpacing"/>
        <w:jc w:val="center"/>
        <w:rPr>
          <w:b/>
        </w:rPr>
      </w:pPr>
    </w:p>
    <w:p w14:paraId="2136C555" w14:textId="77777777" w:rsidR="005342FB" w:rsidRDefault="005342FB" w:rsidP="005342FB">
      <w:pPr>
        <w:pStyle w:val="NoSpacing"/>
        <w:jc w:val="center"/>
        <w:rPr>
          <w:b/>
        </w:rPr>
      </w:pPr>
    </w:p>
    <w:p w14:paraId="4D3D1BF4" w14:textId="77777777" w:rsidR="005342FB" w:rsidRDefault="005342FB" w:rsidP="005342FB">
      <w:pPr>
        <w:pStyle w:val="NoSpacing"/>
        <w:jc w:val="center"/>
        <w:rPr>
          <w:b/>
        </w:rPr>
      </w:pPr>
    </w:p>
    <w:p w14:paraId="3C6643D2" w14:textId="77777777" w:rsidR="005342FB" w:rsidRDefault="005342FB" w:rsidP="005342FB">
      <w:pPr>
        <w:pStyle w:val="NoSpacing"/>
        <w:jc w:val="center"/>
        <w:rPr>
          <w:b/>
        </w:rPr>
      </w:pPr>
      <w:r>
        <w:rPr>
          <w:b/>
        </w:rPr>
        <w:t>Section B: Supporting Statement</w:t>
      </w:r>
    </w:p>
    <w:p w14:paraId="3A44A382" w14:textId="77777777" w:rsidR="005342FB" w:rsidRDefault="005342FB" w:rsidP="005342FB">
      <w:pPr>
        <w:pStyle w:val="NoSpacing"/>
        <w:jc w:val="center"/>
        <w:rPr>
          <w:b/>
        </w:rPr>
      </w:pPr>
    </w:p>
    <w:p w14:paraId="7641925B" w14:textId="77777777" w:rsidR="005342FB" w:rsidRDefault="005342FB" w:rsidP="005342FB">
      <w:pPr>
        <w:pStyle w:val="NoSpacing"/>
        <w:jc w:val="center"/>
        <w:rPr>
          <w:b/>
        </w:rPr>
      </w:pPr>
    </w:p>
    <w:p w14:paraId="4C98AEFC" w14:textId="77777777" w:rsidR="005342FB" w:rsidRDefault="005342FB" w:rsidP="00013F21">
      <w:pPr>
        <w:pStyle w:val="NoSpacing"/>
        <w:rPr>
          <w:b/>
        </w:rPr>
      </w:pPr>
    </w:p>
    <w:p w14:paraId="187DD231" w14:textId="77777777" w:rsidR="005342FB" w:rsidRDefault="005342FB" w:rsidP="005342FB">
      <w:pPr>
        <w:pStyle w:val="NoSpacing"/>
        <w:jc w:val="center"/>
        <w:rPr>
          <w:b/>
        </w:rPr>
      </w:pPr>
    </w:p>
    <w:p w14:paraId="06D4CE61" w14:textId="77777777" w:rsidR="00772D33" w:rsidRDefault="00772D33" w:rsidP="005342FB">
      <w:pPr>
        <w:pStyle w:val="NoSpacing"/>
        <w:jc w:val="center"/>
        <w:rPr>
          <w:b/>
        </w:rPr>
      </w:pPr>
    </w:p>
    <w:p w14:paraId="2CFE0B26" w14:textId="77777777" w:rsidR="00772D33" w:rsidRDefault="00772D33" w:rsidP="005342FB">
      <w:pPr>
        <w:pStyle w:val="NoSpacing"/>
        <w:jc w:val="center"/>
        <w:rPr>
          <w:b/>
        </w:rPr>
      </w:pPr>
    </w:p>
    <w:p w14:paraId="28FE7537" w14:textId="77777777" w:rsidR="00772D33" w:rsidRDefault="00772D33" w:rsidP="005342FB">
      <w:pPr>
        <w:pStyle w:val="NoSpacing"/>
        <w:jc w:val="center"/>
        <w:rPr>
          <w:b/>
        </w:rPr>
      </w:pPr>
    </w:p>
    <w:p w14:paraId="44E3929A" w14:textId="77777777" w:rsidR="00772D33" w:rsidRDefault="00772D33" w:rsidP="005342FB">
      <w:pPr>
        <w:pStyle w:val="NoSpacing"/>
        <w:jc w:val="center"/>
        <w:rPr>
          <w:b/>
        </w:rPr>
      </w:pPr>
    </w:p>
    <w:p w14:paraId="697BECB1" w14:textId="77777777" w:rsidR="00772D33" w:rsidRDefault="00772D33" w:rsidP="005342FB">
      <w:pPr>
        <w:pStyle w:val="NoSpacing"/>
        <w:jc w:val="center"/>
        <w:rPr>
          <w:b/>
        </w:rPr>
      </w:pPr>
    </w:p>
    <w:p w14:paraId="52343ED5" w14:textId="77777777" w:rsidR="00772D33" w:rsidRDefault="00772D33" w:rsidP="005342FB">
      <w:pPr>
        <w:pStyle w:val="NoSpacing"/>
        <w:jc w:val="center"/>
        <w:rPr>
          <w:b/>
        </w:rPr>
      </w:pPr>
    </w:p>
    <w:p w14:paraId="2DF550B5" w14:textId="352FD395" w:rsidR="00013F21" w:rsidRDefault="00772D33" w:rsidP="005342FB">
      <w:pPr>
        <w:pStyle w:val="NoSpacing"/>
        <w:jc w:val="center"/>
        <w:rPr>
          <w:b/>
        </w:rPr>
      </w:pPr>
      <w:r>
        <w:rPr>
          <w:b/>
        </w:rPr>
        <w:t>January 11, 2017</w:t>
      </w:r>
    </w:p>
    <w:p w14:paraId="3725FE5B" w14:textId="77777777" w:rsidR="005342FB" w:rsidRDefault="005342FB" w:rsidP="005342FB">
      <w:pPr>
        <w:pStyle w:val="NoSpacing"/>
        <w:jc w:val="center"/>
        <w:rPr>
          <w:b/>
        </w:rPr>
      </w:pPr>
    </w:p>
    <w:p w14:paraId="479BB14A" w14:textId="77777777" w:rsidR="005342FB" w:rsidRDefault="005342FB" w:rsidP="005342FB">
      <w:pPr>
        <w:pStyle w:val="NoSpacing"/>
        <w:jc w:val="center"/>
        <w:rPr>
          <w:b/>
        </w:rPr>
      </w:pPr>
    </w:p>
    <w:p w14:paraId="3AED419E" w14:textId="77777777" w:rsidR="005342FB" w:rsidRDefault="005342FB" w:rsidP="005342FB">
      <w:pPr>
        <w:pStyle w:val="NoSpacing"/>
        <w:jc w:val="center"/>
        <w:rPr>
          <w:b/>
        </w:rPr>
      </w:pPr>
      <w:r>
        <w:rPr>
          <w:b/>
        </w:rPr>
        <w:t>CONTACT</w:t>
      </w:r>
    </w:p>
    <w:p w14:paraId="3AFB2D28" w14:textId="77777777" w:rsidR="0040239B" w:rsidRPr="00603813" w:rsidRDefault="0040239B" w:rsidP="0040239B">
      <w:pPr>
        <w:jc w:val="center"/>
        <w:rPr>
          <w:shd w:val="clear" w:color="auto" w:fill="FFFFFF"/>
        </w:rPr>
      </w:pPr>
      <w:r>
        <w:rPr>
          <w:bCs/>
          <w:shd w:val="clear" w:color="auto" w:fill="FFFFFF"/>
        </w:rPr>
        <w:t>Damian J. Denson</w:t>
      </w:r>
      <w:r w:rsidRPr="00603813">
        <w:rPr>
          <w:bCs/>
          <w:shd w:val="clear" w:color="auto" w:fill="FFFFFF"/>
        </w:rPr>
        <w:t>, PhD</w:t>
      </w:r>
      <w:r>
        <w:t>, MPH</w:t>
      </w:r>
      <w:r w:rsidRPr="00603813">
        <w:br/>
      </w:r>
      <w:r>
        <w:t>Technical Monitor</w:t>
      </w:r>
    </w:p>
    <w:p w14:paraId="51001A71" w14:textId="77777777" w:rsidR="0040239B" w:rsidRDefault="0040239B" w:rsidP="0040239B">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Pr>
          <w:shd w:val="clear" w:color="auto" w:fill="FFFFFF"/>
        </w:rPr>
        <w:t>404-639-6125</w:t>
      </w:r>
    </w:p>
    <w:p w14:paraId="0C0342C3" w14:textId="77777777" w:rsidR="0040239B" w:rsidRDefault="0040239B" w:rsidP="0040239B">
      <w:pPr>
        <w:pStyle w:val="NoSpacing"/>
        <w:jc w:val="center"/>
      </w:pPr>
      <w:r w:rsidRPr="00603813">
        <w:rPr>
          <w:shd w:val="clear" w:color="auto" w:fill="FFFFFF"/>
        </w:rPr>
        <w:t>Fax: 404-639-1950</w:t>
      </w:r>
      <w:r w:rsidRPr="00603813">
        <w:br/>
      </w:r>
      <w:r w:rsidRPr="00603813">
        <w:rPr>
          <w:shd w:val="clear" w:color="auto" w:fill="FFFFFF"/>
        </w:rPr>
        <w:t>E-mail:</w:t>
      </w:r>
      <w:r w:rsidRPr="00603813">
        <w:t> </w:t>
      </w:r>
      <w:r>
        <w:t>dvd5@cdc.gov</w:t>
      </w:r>
    </w:p>
    <w:p w14:paraId="7424E0EB" w14:textId="77777777" w:rsidR="0040239B" w:rsidRDefault="0040239B" w:rsidP="0040239B">
      <w:pPr>
        <w:pStyle w:val="NoSpacing"/>
        <w:jc w:val="center"/>
        <w:rPr>
          <w:b/>
        </w:rPr>
      </w:pPr>
    </w:p>
    <w:p w14:paraId="45D58C69" w14:textId="77777777" w:rsidR="00DC57CC" w:rsidRDefault="00DC57CC"/>
    <w:p w14:paraId="2C78677F" w14:textId="77777777" w:rsidR="005342FB" w:rsidRDefault="005342FB">
      <w:pPr>
        <w:spacing w:after="200" w:line="276" w:lineRule="auto"/>
        <w:rPr>
          <w:rFonts w:eastAsiaTheme="minorHAnsi" w:cstheme="minorBidi"/>
          <w:szCs w:val="22"/>
        </w:rPr>
      </w:pPr>
      <w:r>
        <w:br w:type="page"/>
      </w:r>
    </w:p>
    <w:p w14:paraId="22273454" w14:textId="77777777" w:rsidR="005342FB" w:rsidRDefault="005342FB" w:rsidP="00D3747B">
      <w:pPr>
        <w:pStyle w:val="NoSpacing"/>
        <w:pBdr>
          <w:bottom w:val="single" w:sz="4" w:space="1" w:color="auto"/>
        </w:pBdr>
        <w:rPr>
          <w:b/>
        </w:rPr>
      </w:pPr>
      <w:r w:rsidRPr="00D3747B">
        <w:rPr>
          <w:b/>
        </w:rPr>
        <w:lastRenderedPageBreak/>
        <w:t>TABLE OF CONTENTS</w:t>
      </w:r>
    </w:p>
    <w:p w14:paraId="550F2F0A" w14:textId="77777777" w:rsidR="00D3747B" w:rsidRPr="00D3747B" w:rsidRDefault="00D3747B" w:rsidP="005342FB">
      <w:pPr>
        <w:pStyle w:val="NoSpacing"/>
        <w:rPr>
          <w:b/>
        </w:rPr>
      </w:pPr>
    </w:p>
    <w:sdt>
      <w:sdtPr>
        <w:id w:val="1342736994"/>
        <w:docPartObj>
          <w:docPartGallery w:val="Table of Contents"/>
          <w:docPartUnique/>
        </w:docPartObj>
      </w:sdtPr>
      <w:sdtEndPr>
        <w:rPr>
          <w:b/>
          <w:bCs/>
          <w:noProof/>
        </w:rPr>
      </w:sdtEndPr>
      <w:sdtContent>
        <w:p w14:paraId="428C7923" w14:textId="77777777" w:rsidR="00D3747B" w:rsidRDefault="00D3747B">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107011" w:history="1">
            <w:r w:rsidRPr="009C4819">
              <w:rPr>
                <w:rStyle w:val="Hyperlink"/>
                <w:rFonts w:eastAsiaTheme="majorEastAsia"/>
                <w:noProof/>
              </w:rPr>
              <w:t>1.</w:t>
            </w:r>
            <w:r>
              <w:rPr>
                <w:rFonts w:asciiTheme="minorHAnsi" w:eastAsiaTheme="minorEastAsia" w:hAnsiTheme="minorHAnsi" w:cstheme="minorBidi"/>
                <w:noProof/>
                <w:sz w:val="22"/>
                <w:szCs w:val="22"/>
              </w:rPr>
              <w:tab/>
            </w:r>
            <w:r w:rsidRPr="009C4819">
              <w:rPr>
                <w:rStyle w:val="Hyperlink"/>
                <w:rFonts w:eastAsiaTheme="majorEastAsia"/>
                <w:noProof/>
              </w:rPr>
              <w:t>Respondent Universe and Sampling Methods</w:t>
            </w:r>
            <w:r>
              <w:rPr>
                <w:noProof/>
                <w:webHidden/>
              </w:rPr>
              <w:tab/>
            </w:r>
            <w:r>
              <w:rPr>
                <w:noProof/>
                <w:webHidden/>
              </w:rPr>
              <w:fldChar w:fldCharType="begin"/>
            </w:r>
            <w:r>
              <w:rPr>
                <w:noProof/>
                <w:webHidden/>
              </w:rPr>
              <w:instrText xml:space="preserve"> PAGEREF _Toc445107011 \h </w:instrText>
            </w:r>
            <w:r>
              <w:rPr>
                <w:noProof/>
                <w:webHidden/>
              </w:rPr>
            </w:r>
            <w:r>
              <w:rPr>
                <w:noProof/>
                <w:webHidden/>
              </w:rPr>
              <w:fldChar w:fldCharType="separate"/>
            </w:r>
            <w:r w:rsidR="00E3297C">
              <w:rPr>
                <w:noProof/>
                <w:webHidden/>
              </w:rPr>
              <w:t>3</w:t>
            </w:r>
            <w:r>
              <w:rPr>
                <w:noProof/>
                <w:webHidden/>
              </w:rPr>
              <w:fldChar w:fldCharType="end"/>
            </w:r>
          </w:hyperlink>
        </w:p>
        <w:p w14:paraId="220FF9C6" w14:textId="77777777" w:rsidR="00D3747B" w:rsidRDefault="00772D33">
          <w:pPr>
            <w:pStyle w:val="TOC1"/>
            <w:tabs>
              <w:tab w:val="left" w:pos="440"/>
              <w:tab w:val="right" w:leader="dot" w:pos="10070"/>
            </w:tabs>
            <w:rPr>
              <w:rFonts w:asciiTheme="minorHAnsi" w:eastAsiaTheme="minorEastAsia" w:hAnsiTheme="minorHAnsi" w:cstheme="minorBidi"/>
              <w:noProof/>
              <w:sz w:val="22"/>
              <w:szCs w:val="22"/>
            </w:rPr>
          </w:pPr>
          <w:hyperlink w:anchor="_Toc445107012" w:history="1">
            <w:r w:rsidR="00D3747B" w:rsidRPr="009C4819">
              <w:rPr>
                <w:rStyle w:val="Hyperlink"/>
                <w:rFonts w:eastAsiaTheme="majorEastAsia"/>
                <w:noProof/>
              </w:rPr>
              <w:t>2.</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Procedures for the Collection of Information</w:t>
            </w:r>
            <w:r w:rsidR="00D3747B">
              <w:rPr>
                <w:noProof/>
                <w:webHidden/>
              </w:rPr>
              <w:tab/>
            </w:r>
            <w:r w:rsidR="00D3747B">
              <w:rPr>
                <w:noProof/>
                <w:webHidden/>
              </w:rPr>
              <w:fldChar w:fldCharType="begin"/>
            </w:r>
            <w:r w:rsidR="00D3747B">
              <w:rPr>
                <w:noProof/>
                <w:webHidden/>
              </w:rPr>
              <w:instrText xml:space="preserve"> PAGEREF _Toc445107012 \h </w:instrText>
            </w:r>
            <w:r w:rsidR="00D3747B">
              <w:rPr>
                <w:noProof/>
                <w:webHidden/>
              </w:rPr>
            </w:r>
            <w:r w:rsidR="00D3747B">
              <w:rPr>
                <w:noProof/>
                <w:webHidden/>
              </w:rPr>
              <w:fldChar w:fldCharType="separate"/>
            </w:r>
            <w:r w:rsidR="00E3297C">
              <w:rPr>
                <w:noProof/>
                <w:webHidden/>
              </w:rPr>
              <w:t>5</w:t>
            </w:r>
            <w:r w:rsidR="00D3747B">
              <w:rPr>
                <w:noProof/>
                <w:webHidden/>
              </w:rPr>
              <w:fldChar w:fldCharType="end"/>
            </w:r>
          </w:hyperlink>
        </w:p>
        <w:p w14:paraId="59EDF466" w14:textId="77777777" w:rsidR="00D3747B" w:rsidRDefault="00772D33">
          <w:pPr>
            <w:pStyle w:val="TOC1"/>
            <w:tabs>
              <w:tab w:val="left" w:pos="440"/>
              <w:tab w:val="right" w:leader="dot" w:pos="10070"/>
            </w:tabs>
            <w:rPr>
              <w:rFonts w:asciiTheme="minorHAnsi" w:eastAsiaTheme="minorEastAsia" w:hAnsiTheme="minorHAnsi" w:cstheme="minorBidi"/>
              <w:noProof/>
              <w:sz w:val="22"/>
              <w:szCs w:val="22"/>
            </w:rPr>
          </w:pPr>
          <w:hyperlink w:anchor="_Toc445107013" w:history="1">
            <w:r w:rsidR="00D3747B" w:rsidRPr="009C4819">
              <w:rPr>
                <w:rStyle w:val="Hyperlink"/>
                <w:rFonts w:eastAsiaTheme="majorEastAsia"/>
                <w:noProof/>
              </w:rPr>
              <w:t>3.</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Methods to Maximize Response Rates and Deal with No Response</w:t>
            </w:r>
            <w:r w:rsidR="00D3747B">
              <w:rPr>
                <w:noProof/>
                <w:webHidden/>
              </w:rPr>
              <w:tab/>
            </w:r>
            <w:r w:rsidR="00D3747B">
              <w:rPr>
                <w:noProof/>
                <w:webHidden/>
              </w:rPr>
              <w:fldChar w:fldCharType="begin"/>
            </w:r>
            <w:r w:rsidR="00D3747B">
              <w:rPr>
                <w:noProof/>
                <w:webHidden/>
              </w:rPr>
              <w:instrText xml:space="preserve"> PAGEREF _Toc445107013 \h </w:instrText>
            </w:r>
            <w:r w:rsidR="00D3747B">
              <w:rPr>
                <w:noProof/>
                <w:webHidden/>
              </w:rPr>
            </w:r>
            <w:r w:rsidR="00D3747B">
              <w:rPr>
                <w:noProof/>
                <w:webHidden/>
              </w:rPr>
              <w:fldChar w:fldCharType="separate"/>
            </w:r>
            <w:r w:rsidR="00E3297C">
              <w:rPr>
                <w:noProof/>
                <w:webHidden/>
              </w:rPr>
              <w:t>6</w:t>
            </w:r>
            <w:r w:rsidR="00D3747B">
              <w:rPr>
                <w:noProof/>
                <w:webHidden/>
              </w:rPr>
              <w:fldChar w:fldCharType="end"/>
            </w:r>
          </w:hyperlink>
        </w:p>
        <w:p w14:paraId="18C5D43C" w14:textId="77777777" w:rsidR="00D3747B" w:rsidRDefault="00772D33">
          <w:pPr>
            <w:pStyle w:val="TOC1"/>
            <w:tabs>
              <w:tab w:val="left" w:pos="440"/>
              <w:tab w:val="right" w:leader="dot" w:pos="10070"/>
            </w:tabs>
            <w:rPr>
              <w:rFonts w:asciiTheme="minorHAnsi" w:eastAsiaTheme="minorEastAsia" w:hAnsiTheme="minorHAnsi" w:cstheme="minorBidi"/>
              <w:noProof/>
              <w:sz w:val="22"/>
              <w:szCs w:val="22"/>
            </w:rPr>
          </w:pPr>
          <w:hyperlink w:anchor="_Toc445107014" w:history="1">
            <w:r w:rsidR="00D3747B" w:rsidRPr="009C4819">
              <w:rPr>
                <w:rStyle w:val="Hyperlink"/>
                <w:rFonts w:eastAsiaTheme="majorEastAsia"/>
                <w:noProof/>
              </w:rPr>
              <w:t>4.</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Tests of Procedures or Methods to be Undertaken</w:t>
            </w:r>
            <w:r w:rsidR="00D3747B">
              <w:rPr>
                <w:noProof/>
                <w:webHidden/>
              </w:rPr>
              <w:tab/>
            </w:r>
            <w:r w:rsidR="00D3747B">
              <w:rPr>
                <w:noProof/>
                <w:webHidden/>
              </w:rPr>
              <w:fldChar w:fldCharType="begin"/>
            </w:r>
            <w:r w:rsidR="00D3747B">
              <w:rPr>
                <w:noProof/>
                <w:webHidden/>
              </w:rPr>
              <w:instrText xml:space="preserve"> PAGEREF _Toc445107014 \h </w:instrText>
            </w:r>
            <w:r w:rsidR="00D3747B">
              <w:rPr>
                <w:noProof/>
                <w:webHidden/>
              </w:rPr>
            </w:r>
            <w:r w:rsidR="00D3747B">
              <w:rPr>
                <w:noProof/>
                <w:webHidden/>
              </w:rPr>
              <w:fldChar w:fldCharType="separate"/>
            </w:r>
            <w:r w:rsidR="00E3297C">
              <w:rPr>
                <w:noProof/>
                <w:webHidden/>
              </w:rPr>
              <w:t>6</w:t>
            </w:r>
            <w:r w:rsidR="00D3747B">
              <w:rPr>
                <w:noProof/>
                <w:webHidden/>
              </w:rPr>
              <w:fldChar w:fldCharType="end"/>
            </w:r>
          </w:hyperlink>
        </w:p>
        <w:p w14:paraId="786BB9D7" w14:textId="77777777" w:rsidR="00D3747B" w:rsidRDefault="00772D33">
          <w:pPr>
            <w:pStyle w:val="TOC1"/>
            <w:tabs>
              <w:tab w:val="left" w:pos="440"/>
              <w:tab w:val="right" w:leader="dot" w:pos="10070"/>
            </w:tabs>
            <w:rPr>
              <w:rFonts w:asciiTheme="minorHAnsi" w:eastAsiaTheme="minorEastAsia" w:hAnsiTheme="minorHAnsi" w:cstheme="minorBidi"/>
              <w:noProof/>
              <w:sz w:val="22"/>
              <w:szCs w:val="22"/>
            </w:rPr>
          </w:pPr>
          <w:hyperlink w:anchor="_Toc445107015" w:history="1">
            <w:r w:rsidR="00D3747B" w:rsidRPr="009C4819">
              <w:rPr>
                <w:rStyle w:val="Hyperlink"/>
                <w:rFonts w:eastAsiaTheme="majorEastAsia"/>
                <w:noProof/>
              </w:rPr>
              <w:t>5.</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Individuals Consulted on Statistical Aspects and Individuals Collecting and/or Analyzing Data</w:t>
            </w:r>
            <w:r w:rsidR="00D3747B">
              <w:rPr>
                <w:noProof/>
                <w:webHidden/>
              </w:rPr>
              <w:tab/>
            </w:r>
            <w:r w:rsidR="00D3747B">
              <w:rPr>
                <w:noProof/>
                <w:webHidden/>
              </w:rPr>
              <w:fldChar w:fldCharType="begin"/>
            </w:r>
            <w:r w:rsidR="00D3747B">
              <w:rPr>
                <w:noProof/>
                <w:webHidden/>
              </w:rPr>
              <w:instrText xml:space="preserve"> PAGEREF _Toc445107015 \h </w:instrText>
            </w:r>
            <w:r w:rsidR="00D3747B">
              <w:rPr>
                <w:noProof/>
                <w:webHidden/>
              </w:rPr>
            </w:r>
            <w:r w:rsidR="00D3747B">
              <w:rPr>
                <w:noProof/>
                <w:webHidden/>
              </w:rPr>
              <w:fldChar w:fldCharType="separate"/>
            </w:r>
            <w:r w:rsidR="00E3297C">
              <w:rPr>
                <w:noProof/>
                <w:webHidden/>
              </w:rPr>
              <w:t>6</w:t>
            </w:r>
            <w:r w:rsidR="00D3747B">
              <w:rPr>
                <w:noProof/>
                <w:webHidden/>
              </w:rPr>
              <w:fldChar w:fldCharType="end"/>
            </w:r>
          </w:hyperlink>
        </w:p>
        <w:p w14:paraId="57C56836" w14:textId="77777777" w:rsidR="00D3747B" w:rsidRDefault="00D3747B">
          <w:r>
            <w:rPr>
              <w:b/>
              <w:bCs/>
              <w:noProof/>
            </w:rPr>
            <w:fldChar w:fldCharType="end"/>
          </w:r>
        </w:p>
      </w:sdtContent>
    </w:sdt>
    <w:p w14:paraId="4B3BCA3D" w14:textId="77777777" w:rsidR="005342FB" w:rsidRDefault="005342FB" w:rsidP="005342FB">
      <w:pPr>
        <w:pStyle w:val="NoSpacing"/>
      </w:pPr>
    </w:p>
    <w:p w14:paraId="4FCA7235" w14:textId="77777777" w:rsidR="005342FB" w:rsidRDefault="00D3747B" w:rsidP="00FF1B1C">
      <w:pPr>
        <w:pStyle w:val="NoSpacing"/>
        <w:pBdr>
          <w:bottom w:val="single" w:sz="4" w:space="1" w:color="auto"/>
        </w:pBdr>
        <w:rPr>
          <w:b/>
        </w:rPr>
      </w:pPr>
      <w:r w:rsidRPr="00D3747B">
        <w:rPr>
          <w:b/>
        </w:rPr>
        <w:t>EXHIBITS</w:t>
      </w:r>
    </w:p>
    <w:p w14:paraId="248C323F" w14:textId="77777777" w:rsidR="00FF1B1C" w:rsidRPr="00D3747B" w:rsidRDefault="00FF1B1C" w:rsidP="005342FB">
      <w:pPr>
        <w:pStyle w:val="NoSpacing"/>
        <w:rPr>
          <w:b/>
        </w:rPr>
      </w:pPr>
    </w:p>
    <w:p w14:paraId="3170704E" w14:textId="77777777" w:rsidR="00E3297C" w:rsidRDefault="007F29CE" w:rsidP="00E3297C">
      <w:pPr>
        <w:pStyle w:val="TableofFigures"/>
        <w:tabs>
          <w:tab w:val="right" w:leader="dot" w:pos="10070"/>
        </w:tabs>
        <w:spacing w:line="360" w:lineRule="auto"/>
        <w:rPr>
          <w:rFonts w:asciiTheme="minorHAnsi" w:eastAsiaTheme="minorEastAsia" w:hAnsiTheme="minorHAnsi" w:cstheme="minorBidi"/>
          <w:noProof/>
          <w:sz w:val="22"/>
          <w:szCs w:val="22"/>
        </w:rPr>
      </w:pPr>
      <w:r>
        <w:fldChar w:fldCharType="begin"/>
      </w:r>
      <w:r>
        <w:instrText xml:space="preserve"> TOC \h \z \c "Exhibit" </w:instrText>
      </w:r>
      <w:r>
        <w:fldChar w:fldCharType="separate"/>
      </w:r>
      <w:hyperlink w:anchor="_Toc450750945" w:history="1">
        <w:r w:rsidR="00E3297C" w:rsidRPr="00FB344F">
          <w:rPr>
            <w:rStyle w:val="Hyperlink"/>
            <w:noProof/>
          </w:rPr>
          <w:t>Exhibit 1.1: Summary of Recruitment Targets</w:t>
        </w:r>
        <w:r w:rsidR="00E3297C">
          <w:rPr>
            <w:noProof/>
            <w:webHidden/>
          </w:rPr>
          <w:tab/>
        </w:r>
        <w:r w:rsidR="00E3297C">
          <w:rPr>
            <w:noProof/>
            <w:webHidden/>
          </w:rPr>
          <w:fldChar w:fldCharType="begin"/>
        </w:r>
        <w:r w:rsidR="00E3297C">
          <w:rPr>
            <w:noProof/>
            <w:webHidden/>
          </w:rPr>
          <w:instrText xml:space="preserve"> PAGEREF _Toc450750945 \h </w:instrText>
        </w:r>
        <w:r w:rsidR="00E3297C">
          <w:rPr>
            <w:noProof/>
            <w:webHidden/>
          </w:rPr>
        </w:r>
        <w:r w:rsidR="00E3297C">
          <w:rPr>
            <w:noProof/>
            <w:webHidden/>
          </w:rPr>
          <w:fldChar w:fldCharType="separate"/>
        </w:r>
        <w:r w:rsidR="00E3297C">
          <w:rPr>
            <w:noProof/>
            <w:webHidden/>
          </w:rPr>
          <w:t>4</w:t>
        </w:r>
        <w:r w:rsidR="00E3297C">
          <w:rPr>
            <w:noProof/>
            <w:webHidden/>
          </w:rPr>
          <w:fldChar w:fldCharType="end"/>
        </w:r>
      </w:hyperlink>
    </w:p>
    <w:p w14:paraId="41913CDF" w14:textId="77777777" w:rsidR="00E3297C" w:rsidRDefault="00772D33" w:rsidP="00E3297C">
      <w:pPr>
        <w:pStyle w:val="TableofFigures"/>
        <w:tabs>
          <w:tab w:val="right" w:leader="dot" w:pos="10070"/>
        </w:tabs>
        <w:spacing w:line="360" w:lineRule="auto"/>
        <w:rPr>
          <w:rFonts w:asciiTheme="minorHAnsi" w:eastAsiaTheme="minorEastAsia" w:hAnsiTheme="minorHAnsi" w:cstheme="minorBidi"/>
          <w:noProof/>
          <w:sz w:val="22"/>
          <w:szCs w:val="22"/>
        </w:rPr>
      </w:pPr>
      <w:hyperlink w:anchor="_Toc450750946" w:history="1">
        <w:r w:rsidR="00E3297C" w:rsidRPr="00FB344F">
          <w:rPr>
            <w:rStyle w:val="Hyperlink"/>
            <w:noProof/>
          </w:rPr>
          <w:t>Exhibit 5.1: Statistical Consultants</w:t>
        </w:r>
        <w:r w:rsidR="00E3297C">
          <w:rPr>
            <w:noProof/>
            <w:webHidden/>
          </w:rPr>
          <w:tab/>
        </w:r>
        <w:r w:rsidR="00E3297C">
          <w:rPr>
            <w:noProof/>
            <w:webHidden/>
          </w:rPr>
          <w:fldChar w:fldCharType="begin"/>
        </w:r>
        <w:r w:rsidR="00E3297C">
          <w:rPr>
            <w:noProof/>
            <w:webHidden/>
          </w:rPr>
          <w:instrText xml:space="preserve"> PAGEREF _Toc450750946 \h </w:instrText>
        </w:r>
        <w:r w:rsidR="00E3297C">
          <w:rPr>
            <w:noProof/>
            <w:webHidden/>
          </w:rPr>
        </w:r>
        <w:r w:rsidR="00E3297C">
          <w:rPr>
            <w:noProof/>
            <w:webHidden/>
          </w:rPr>
          <w:fldChar w:fldCharType="separate"/>
        </w:r>
        <w:r w:rsidR="00E3297C">
          <w:rPr>
            <w:noProof/>
            <w:webHidden/>
          </w:rPr>
          <w:t>6</w:t>
        </w:r>
        <w:r w:rsidR="00E3297C">
          <w:rPr>
            <w:noProof/>
            <w:webHidden/>
          </w:rPr>
          <w:fldChar w:fldCharType="end"/>
        </w:r>
      </w:hyperlink>
    </w:p>
    <w:p w14:paraId="7BD91D5C" w14:textId="77777777" w:rsidR="00FF1B1C" w:rsidRDefault="007F29CE" w:rsidP="007F29CE">
      <w:pPr>
        <w:pStyle w:val="NoSpacing"/>
        <w:spacing w:line="360" w:lineRule="auto"/>
        <w:rPr>
          <w:b/>
        </w:rPr>
      </w:pPr>
      <w:r>
        <w:fldChar w:fldCharType="end"/>
      </w:r>
      <w:r w:rsidRPr="00D3747B">
        <w:rPr>
          <w:b/>
        </w:rPr>
        <w:t xml:space="preserve"> </w:t>
      </w:r>
    </w:p>
    <w:p w14:paraId="53485745" w14:textId="77777777" w:rsidR="005342FB" w:rsidRPr="00E451A4" w:rsidRDefault="005342FB" w:rsidP="00E451A4">
      <w:pPr>
        <w:pStyle w:val="NoSpacing"/>
        <w:tabs>
          <w:tab w:val="left" w:pos="360"/>
        </w:tabs>
      </w:pPr>
      <w:r w:rsidRPr="00D3747B">
        <w:rPr>
          <w:b/>
        </w:rPr>
        <w:br w:type="page"/>
      </w:r>
    </w:p>
    <w:p w14:paraId="1948CDDB" w14:textId="77777777" w:rsidR="005342FB" w:rsidRDefault="005342FB" w:rsidP="005342FB">
      <w:pPr>
        <w:pStyle w:val="Heading1"/>
      </w:pPr>
      <w:bookmarkStart w:id="0" w:name="_Toc445107011"/>
      <w:r>
        <w:lastRenderedPageBreak/>
        <w:t>Respondent Universe and Sampling Methods</w:t>
      </w:r>
      <w:bookmarkEnd w:id="0"/>
    </w:p>
    <w:p w14:paraId="190E1198" w14:textId="77777777" w:rsidR="005342FB" w:rsidRDefault="005342FB" w:rsidP="005342FB"/>
    <w:p w14:paraId="4BC5AF30" w14:textId="77777777" w:rsidR="00D90173" w:rsidRDefault="0040239B" w:rsidP="00D207FC">
      <w:pPr>
        <w:rPr>
          <w:b/>
        </w:rPr>
      </w:pPr>
      <w:r w:rsidRPr="0040239B">
        <w:rPr>
          <w:b/>
        </w:rPr>
        <w:t>City Selection</w:t>
      </w:r>
    </w:p>
    <w:p w14:paraId="79DE9C66" w14:textId="77777777" w:rsidR="0040239B" w:rsidRDefault="0040239B" w:rsidP="00D207FC"/>
    <w:p w14:paraId="6C22FEB2" w14:textId="77777777" w:rsidR="00100746" w:rsidRDefault="00100746" w:rsidP="00D207FC">
      <w:r>
        <w:t>An estimated 0.6% of adults, about 1.4 million, identify as transgender in the United States. However, states vary in the percentage of residents who identify as transgender. Washington, DC is noted for its relatively high percentage of transgender-identified adults (2.8%). Twenty states and Washington, DC are estimated to have a higher percentage of transgender-identified adults than the national average</w:t>
      </w:r>
      <w:r w:rsidR="002A4110">
        <w:t xml:space="preserve"> (Flores, Herman, Gates, and Brown, 2016)</w:t>
      </w:r>
      <w:r>
        <w:t>. Georgia (0.75%</w:t>
      </w:r>
      <w:r w:rsidR="002A4110">
        <w:t xml:space="preserve"> of adults identify as transgender</w:t>
      </w:r>
      <w:r>
        <w:t>) and Pennsylvania (</w:t>
      </w:r>
      <w:r w:rsidR="002A4110">
        <w:t xml:space="preserve">0.44% adults identify as transgender) are the selected states, including Washington, DC, for this study. </w:t>
      </w:r>
      <w:r w:rsidR="002A4110" w:rsidRPr="00FC2972">
        <w:rPr>
          <w:noProof/>
        </w:rPr>
        <w:t>Participants will be selected from three Metropolitan Statistical Areas (MSAs)</w:t>
      </w:r>
      <w:r w:rsidR="002A4110">
        <w:rPr>
          <w:noProof/>
        </w:rPr>
        <w:t xml:space="preserve"> within these jurisdictions:</w:t>
      </w:r>
      <w:r w:rsidR="002A4110" w:rsidRPr="00FC2972">
        <w:rPr>
          <w:noProof/>
        </w:rPr>
        <w:t xml:space="preserve"> Atlanta, GA; Philadelphia, PA; and Washington, DC.</w:t>
      </w:r>
      <w:r w:rsidR="002A4110">
        <w:rPr>
          <w:noProof/>
        </w:rPr>
        <w:t xml:space="preserve"> Each of these MSAs are also noted for their high HIV prevalence.</w:t>
      </w:r>
    </w:p>
    <w:p w14:paraId="1591E66E" w14:textId="77777777" w:rsidR="00100746" w:rsidRDefault="00100746" w:rsidP="00D207FC"/>
    <w:p w14:paraId="1941D5DE" w14:textId="77777777" w:rsidR="002A4110" w:rsidRPr="002A4110" w:rsidRDefault="002A4110" w:rsidP="00D207FC">
      <w:pPr>
        <w:rPr>
          <w:b/>
        </w:rPr>
      </w:pPr>
      <w:r w:rsidRPr="002A4110">
        <w:rPr>
          <w:b/>
        </w:rPr>
        <w:t>Target Population</w:t>
      </w:r>
    </w:p>
    <w:p w14:paraId="0DB65934" w14:textId="77777777" w:rsidR="002A4110" w:rsidRDefault="002A4110" w:rsidP="00D207FC"/>
    <w:p w14:paraId="2788D22B" w14:textId="77777777" w:rsidR="0040239B" w:rsidRDefault="0040239B" w:rsidP="00D207FC">
      <w:r w:rsidRPr="0040239B">
        <w:t xml:space="preserve">Transgender women are at high risk for HIV infection and transmission. </w:t>
      </w:r>
      <w:r w:rsidR="00FC2972" w:rsidRPr="00FC2972">
        <w:t>According to a 2008 systematic review of 29 studies measuring HIV prevalence among U.S. transgender populations, pooled data from four studies reporting HIV test results indicated a 28% HIV prevalence among transgender women, and data from 18 studies reporting participants’ self-reported HIV status indicated 12% HIV prevalence (Herbst et al., 2008). Furthermore, a higher proportion of African American transgender women have tested positive for HIV infection (56.3%), compared to Latina and White transgender women (Herbst, et al., 2008).</w:t>
      </w:r>
    </w:p>
    <w:p w14:paraId="46F390E4" w14:textId="77777777" w:rsidR="00FC2972" w:rsidRDefault="00FC2972" w:rsidP="00D207FC">
      <w:pPr>
        <w:rPr>
          <w:noProof/>
        </w:rPr>
      </w:pPr>
    </w:p>
    <w:p w14:paraId="090A496E" w14:textId="77777777" w:rsidR="0040239B" w:rsidRDefault="0040239B" w:rsidP="00D207FC">
      <w:pPr>
        <w:rPr>
          <w:noProof/>
        </w:rPr>
      </w:pPr>
      <w:r w:rsidRPr="0040239B">
        <w:rPr>
          <w:noProof/>
        </w:rPr>
        <w:t>Although HIV incidence is higher among transgender women than other populations, little research has been conducted to understand the unique complexities surrounding transgender women’s experiences related to HIV prevention, care, and treatment. To effectively address the HIV epidemic in this population, more must be known and understood about the nature of transgender women’s risks for HIV infection, and what evidence-based HIV prevention, care and treatment strategies are available and can be adapted to better meet the needs of transgender women.</w:t>
      </w:r>
    </w:p>
    <w:p w14:paraId="6AAFC931" w14:textId="77777777" w:rsidR="0040239B" w:rsidRDefault="0040239B" w:rsidP="00D207FC">
      <w:pPr>
        <w:rPr>
          <w:noProof/>
        </w:rPr>
      </w:pPr>
    </w:p>
    <w:p w14:paraId="74C63A88" w14:textId="77777777" w:rsidR="00554673" w:rsidRDefault="002A4110" w:rsidP="00D207FC">
      <w:pPr>
        <w:rPr>
          <w:b/>
        </w:rPr>
      </w:pPr>
      <w:r>
        <w:rPr>
          <w:b/>
        </w:rPr>
        <w:t>Sampling Methods</w:t>
      </w:r>
    </w:p>
    <w:p w14:paraId="73C07C86" w14:textId="77777777" w:rsidR="002A4110" w:rsidRDefault="002A4110" w:rsidP="00D207FC"/>
    <w:p w14:paraId="3A760A1B" w14:textId="77777777" w:rsidR="002A4110" w:rsidRPr="00896EEA" w:rsidRDefault="002A4110" w:rsidP="002A4110">
      <w:pPr>
        <w:rPr>
          <w:rFonts w:eastAsia="Arial Narrow"/>
          <w:bCs/>
          <w:spacing w:val="2"/>
          <w:position w:val="-1"/>
        </w:rPr>
      </w:pPr>
      <w:r w:rsidRPr="00896EEA">
        <w:rPr>
          <w:rFonts w:eastAsia="Arial Narrow"/>
          <w:bCs/>
          <w:spacing w:val="2"/>
          <w:position w:val="-1"/>
        </w:rPr>
        <w:t xml:space="preserve">Due to potential challenges in identifying and recruiting transgender women, we anticipate that multiple sampling and recruitment strategies will be utilized to ensure an adequate number of participants. Sampling approaches and recruitment strategies will vary by target group (i.e., transgender women and healthcare providers) and are described </w:t>
      </w:r>
      <w:r w:rsidR="00896EEA">
        <w:rPr>
          <w:rFonts w:eastAsia="Arial Narrow"/>
          <w:bCs/>
          <w:spacing w:val="2"/>
          <w:position w:val="-1"/>
        </w:rPr>
        <w:t>below</w:t>
      </w:r>
      <w:r w:rsidR="00FB42B0">
        <w:rPr>
          <w:rFonts w:eastAsia="Arial Narrow"/>
          <w:bCs/>
          <w:spacing w:val="2"/>
          <w:position w:val="-1"/>
        </w:rPr>
        <w:t>:</w:t>
      </w:r>
      <w:r w:rsidRPr="00896EEA">
        <w:rPr>
          <w:rFonts w:eastAsia="Arial Narrow"/>
          <w:bCs/>
          <w:spacing w:val="2"/>
          <w:position w:val="-1"/>
        </w:rPr>
        <w:t xml:space="preserve">   </w:t>
      </w:r>
    </w:p>
    <w:p w14:paraId="5D6E7729" w14:textId="77777777" w:rsidR="002A4110" w:rsidRPr="00650F45" w:rsidRDefault="002A4110" w:rsidP="002A4110">
      <w:pPr>
        <w:rPr>
          <w:rFonts w:ascii="Arial" w:hAnsi="Arial" w:cs="Arial"/>
          <w:b/>
          <w:i/>
          <w:color w:val="1F497D"/>
          <w:sz w:val="20"/>
          <w:szCs w:val="20"/>
          <w:lang w:bidi="en-US"/>
        </w:rPr>
      </w:pPr>
    </w:p>
    <w:p w14:paraId="71DE596D" w14:textId="77777777" w:rsidR="002A4110" w:rsidRDefault="002A4110" w:rsidP="002A4110">
      <w:pPr>
        <w:rPr>
          <w:rFonts w:ascii="Arial" w:hAnsi="Arial" w:cs="Arial"/>
          <w:b/>
          <w:i/>
          <w:color w:val="1F497D"/>
          <w:sz w:val="20"/>
          <w:szCs w:val="20"/>
          <w:lang w:bidi="en-US"/>
        </w:rPr>
      </w:pPr>
    </w:p>
    <w:p w14:paraId="7A199C43" w14:textId="77777777" w:rsidR="002A4110" w:rsidRPr="00896EEA" w:rsidRDefault="002A4110" w:rsidP="002A4110">
      <w:pPr>
        <w:rPr>
          <w:i/>
          <w:lang w:bidi="en-US"/>
        </w:rPr>
      </w:pPr>
      <w:r w:rsidRPr="00896EEA">
        <w:rPr>
          <w:i/>
          <w:lang w:bidi="en-US"/>
        </w:rPr>
        <w:t>Sampling Plan for Transgender Women</w:t>
      </w:r>
    </w:p>
    <w:p w14:paraId="438CA54F" w14:textId="77777777" w:rsidR="00896EEA" w:rsidRPr="00896EEA" w:rsidRDefault="00896EEA" w:rsidP="002A4110">
      <w:pPr>
        <w:rPr>
          <w:i/>
          <w:lang w:bidi="en-US"/>
        </w:rPr>
      </w:pPr>
    </w:p>
    <w:p w14:paraId="05AEA1FE" w14:textId="77777777" w:rsidR="002A4110" w:rsidRPr="00896EEA" w:rsidRDefault="00FB42B0" w:rsidP="002A4110">
      <w:pPr>
        <w:rPr>
          <w:color w:val="FF0000"/>
        </w:rPr>
      </w:pPr>
      <w:r>
        <w:rPr>
          <w:rFonts w:eastAsia="Arial Narrow"/>
          <w:bCs/>
          <w:spacing w:val="2"/>
          <w:position w:val="-1"/>
        </w:rPr>
        <w:t>This study</w:t>
      </w:r>
      <w:r w:rsidR="002A4110" w:rsidRPr="00896EEA">
        <w:rPr>
          <w:rFonts w:eastAsia="Arial Narrow"/>
          <w:bCs/>
          <w:spacing w:val="2"/>
          <w:position w:val="-1"/>
        </w:rPr>
        <w:t xml:space="preserve"> will utilize convenience and snowball sampling to select 40 transgender women to participate in the study (20 HIV-positive transgender women and 20 HIV-negati</w:t>
      </w:r>
      <w:r w:rsidR="009665D0">
        <w:rPr>
          <w:rFonts w:eastAsia="Arial Narrow"/>
          <w:bCs/>
          <w:spacing w:val="2"/>
          <w:position w:val="-1"/>
        </w:rPr>
        <w:t>ve transgender women). Exhibit 1.1</w:t>
      </w:r>
      <w:r w:rsidR="002A4110" w:rsidRPr="00896EEA">
        <w:rPr>
          <w:rFonts w:eastAsia="Arial Narrow"/>
          <w:bCs/>
          <w:spacing w:val="2"/>
          <w:position w:val="-1"/>
        </w:rPr>
        <w:t xml:space="preserve"> shows the sampling targets for transgender women participants based on MSA, age group, and HIV status</w:t>
      </w:r>
      <w:r w:rsidR="002A4110" w:rsidRPr="00896EEA">
        <w:t xml:space="preserve">.  </w:t>
      </w:r>
    </w:p>
    <w:p w14:paraId="17893C08" w14:textId="77777777" w:rsidR="002A4110" w:rsidRDefault="002A4110" w:rsidP="002A4110">
      <w:pPr>
        <w:rPr>
          <w:rFonts w:ascii="Arial" w:eastAsia="Arial Narrow" w:hAnsi="Arial" w:cs="Arial"/>
          <w:bCs/>
          <w:spacing w:val="2"/>
          <w:position w:val="-1"/>
          <w:sz w:val="20"/>
          <w:szCs w:val="20"/>
        </w:rPr>
      </w:pPr>
    </w:p>
    <w:p w14:paraId="06D0BF93" w14:textId="77777777" w:rsidR="002A4110" w:rsidRPr="009665D0" w:rsidRDefault="002A4110" w:rsidP="002A4110">
      <w:r w:rsidRPr="009665D0">
        <w:t xml:space="preserve">Transgender women will be screened for eligibility until each target is met in each MSA. During data collection, study staff will assess whether adjustments to these proposed targets are needed in order to </w:t>
      </w:r>
      <w:r w:rsidRPr="009665D0">
        <w:lastRenderedPageBreak/>
        <w:t xml:space="preserve">reach 40 participants. </w:t>
      </w:r>
      <w:r w:rsidRPr="009665D0">
        <w:rPr>
          <w:rFonts w:eastAsia="Arial Narrow"/>
          <w:bCs/>
          <w:spacing w:val="2"/>
          <w:position w:val="-1"/>
        </w:rPr>
        <w:t xml:space="preserve">The following inclusion and exclusion criteria will be used to determine eligibility for transgender women to participate in this study:   </w:t>
      </w:r>
    </w:p>
    <w:p w14:paraId="11521484" w14:textId="77777777" w:rsidR="002A4110" w:rsidRPr="009665D0" w:rsidRDefault="002A4110" w:rsidP="002A4110">
      <w:pPr>
        <w:rPr>
          <w:rFonts w:eastAsia="Arial Narrow"/>
          <w:bCs/>
          <w:i/>
          <w:spacing w:val="2"/>
          <w:position w:val="-1"/>
          <w:u w:val="single"/>
        </w:rPr>
      </w:pPr>
    </w:p>
    <w:p w14:paraId="14E9C294" w14:textId="77777777" w:rsidR="002A4110" w:rsidRPr="009665D0" w:rsidRDefault="002A4110" w:rsidP="002A4110">
      <w:pPr>
        <w:rPr>
          <w:rFonts w:eastAsia="Arial Narrow"/>
          <w:bCs/>
          <w:i/>
          <w:spacing w:val="2"/>
          <w:position w:val="-1"/>
          <w:u w:val="single"/>
        </w:rPr>
      </w:pPr>
      <w:r w:rsidRPr="009665D0">
        <w:rPr>
          <w:rFonts w:eastAsia="Arial Narrow"/>
          <w:bCs/>
          <w:i/>
          <w:spacing w:val="2"/>
          <w:position w:val="-1"/>
          <w:u w:val="single"/>
        </w:rPr>
        <w:t>Inclusion Criteria</w:t>
      </w:r>
    </w:p>
    <w:p w14:paraId="66DA6B33" w14:textId="77777777" w:rsidR="002A4110" w:rsidRPr="009665D0" w:rsidRDefault="002A4110" w:rsidP="002A4110">
      <w:pPr>
        <w:pStyle w:val="MediumGrid1-Accent21"/>
        <w:numPr>
          <w:ilvl w:val="0"/>
          <w:numId w:val="9"/>
        </w:numPr>
        <w:rPr>
          <w:rFonts w:ascii="Times New Roman" w:eastAsia="Arial Narrow" w:hAnsi="Times New Roman"/>
          <w:bCs/>
          <w:spacing w:val="2"/>
          <w:position w:val="-1"/>
        </w:rPr>
      </w:pPr>
      <w:r w:rsidRPr="009665D0">
        <w:rPr>
          <w:rFonts w:ascii="Times New Roman" w:eastAsia="Arial Narrow" w:hAnsi="Times New Roman"/>
          <w:bCs/>
          <w:spacing w:val="2"/>
          <w:position w:val="-1"/>
        </w:rPr>
        <w:t>Adult (at least 18 years of age)</w:t>
      </w:r>
    </w:p>
    <w:p w14:paraId="644F6FA6" w14:textId="77777777" w:rsidR="002A4110" w:rsidRPr="009665D0" w:rsidRDefault="002A4110" w:rsidP="002A4110">
      <w:pPr>
        <w:pStyle w:val="MediumGrid1-Accent21"/>
        <w:numPr>
          <w:ilvl w:val="0"/>
          <w:numId w:val="9"/>
        </w:numPr>
        <w:rPr>
          <w:rFonts w:ascii="Times New Roman" w:eastAsia="Arial Narrow" w:hAnsi="Times New Roman"/>
          <w:bCs/>
          <w:spacing w:val="2"/>
          <w:position w:val="-1"/>
        </w:rPr>
      </w:pPr>
      <w:r w:rsidRPr="009665D0">
        <w:rPr>
          <w:rFonts w:ascii="Times New Roman" w:eastAsia="Arial Narrow" w:hAnsi="Times New Roman"/>
          <w:bCs/>
          <w:spacing w:val="2"/>
          <w:position w:val="-1"/>
        </w:rPr>
        <w:t>Assigned male sex at birth</w:t>
      </w:r>
    </w:p>
    <w:p w14:paraId="567B1144" w14:textId="77777777" w:rsidR="002A4110" w:rsidRPr="009665D0" w:rsidRDefault="002A4110" w:rsidP="002A4110">
      <w:pPr>
        <w:pStyle w:val="MediumGrid1-Accent21"/>
        <w:numPr>
          <w:ilvl w:val="0"/>
          <w:numId w:val="9"/>
        </w:numPr>
        <w:rPr>
          <w:rFonts w:ascii="Times New Roman" w:eastAsia="Arial Narrow" w:hAnsi="Times New Roman"/>
          <w:bCs/>
          <w:spacing w:val="2"/>
          <w:position w:val="-1"/>
        </w:rPr>
      </w:pPr>
      <w:r w:rsidRPr="009665D0">
        <w:rPr>
          <w:rFonts w:ascii="Times New Roman" w:eastAsia="Arial Narrow" w:hAnsi="Times New Roman"/>
          <w:bCs/>
          <w:spacing w:val="2"/>
          <w:position w:val="-1"/>
        </w:rPr>
        <w:t>Identifies as transgender woman or female</w:t>
      </w:r>
    </w:p>
    <w:p w14:paraId="4A522F00" w14:textId="77777777" w:rsidR="002A4110" w:rsidRPr="009665D0" w:rsidRDefault="002A4110" w:rsidP="002A4110">
      <w:pPr>
        <w:pStyle w:val="MediumGrid1-Accent21"/>
        <w:numPr>
          <w:ilvl w:val="0"/>
          <w:numId w:val="9"/>
        </w:numPr>
        <w:rPr>
          <w:rFonts w:ascii="Times New Roman" w:eastAsia="Arial Narrow" w:hAnsi="Times New Roman"/>
          <w:bCs/>
          <w:spacing w:val="2"/>
          <w:position w:val="-1"/>
        </w:rPr>
      </w:pPr>
      <w:r w:rsidRPr="009665D0">
        <w:rPr>
          <w:rFonts w:ascii="Times New Roman" w:eastAsia="Arial Narrow" w:hAnsi="Times New Roman"/>
          <w:bCs/>
          <w:spacing w:val="2"/>
          <w:position w:val="-1"/>
        </w:rPr>
        <w:t xml:space="preserve">Self-reported engagement in anal or vaginal sex in the previous six (6) months </w:t>
      </w:r>
    </w:p>
    <w:p w14:paraId="4DE1EFE9" w14:textId="77777777" w:rsidR="002A4110" w:rsidRPr="009665D0" w:rsidRDefault="002A4110" w:rsidP="002A4110">
      <w:pPr>
        <w:pStyle w:val="MediumGrid1-Accent21"/>
        <w:numPr>
          <w:ilvl w:val="0"/>
          <w:numId w:val="9"/>
        </w:numPr>
        <w:rPr>
          <w:rFonts w:ascii="Times New Roman" w:eastAsia="Arial Narrow" w:hAnsi="Times New Roman"/>
          <w:bCs/>
          <w:spacing w:val="2"/>
          <w:position w:val="-1"/>
        </w:rPr>
      </w:pPr>
      <w:r w:rsidRPr="009665D0">
        <w:rPr>
          <w:rFonts w:ascii="Times New Roman" w:eastAsia="Arial Narrow" w:hAnsi="Times New Roman"/>
          <w:bCs/>
          <w:spacing w:val="2"/>
          <w:position w:val="-1"/>
        </w:rPr>
        <w:t>HIV-positive:  Self-reported HIV diagnosis for at least 12 months, regardless of current engagement in care</w:t>
      </w:r>
    </w:p>
    <w:p w14:paraId="6FBDA079" w14:textId="77777777" w:rsidR="002A4110" w:rsidRPr="009665D0" w:rsidRDefault="002A4110" w:rsidP="002A4110">
      <w:pPr>
        <w:pStyle w:val="MediumGrid1-Accent21"/>
        <w:numPr>
          <w:ilvl w:val="0"/>
          <w:numId w:val="9"/>
        </w:numPr>
        <w:rPr>
          <w:rFonts w:ascii="Times New Roman" w:eastAsia="Arial Narrow" w:hAnsi="Times New Roman"/>
          <w:bCs/>
          <w:spacing w:val="2"/>
          <w:position w:val="-1"/>
        </w:rPr>
      </w:pPr>
      <w:r w:rsidRPr="009665D0">
        <w:rPr>
          <w:rFonts w:ascii="Times New Roman" w:eastAsia="Arial Narrow" w:hAnsi="Times New Roman"/>
          <w:bCs/>
          <w:spacing w:val="2"/>
          <w:position w:val="-1"/>
        </w:rPr>
        <w:t xml:space="preserve">HIV-negative: Self-reported negative HIV test result within the previous 3-months confirmed by CBO staff  or by HIV rapid testing at the CBO </w:t>
      </w:r>
    </w:p>
    <w:p w14:paraId="58C23233" w14:textId="77777777" w:rsidR="002A4110" w:rsidRPr="009665D0" w:rsidRDefault="002A4110" w:rsidP="002A4110">
      <w:pPr>
        <w:pStyle w:val="MediumGrid1-Accent21"/>
        <w:rPr>
          <w:rFonts w:ascii="Times New Roman" w:eastAsia="Arial Narrow" w:hAnsi="Times New Roman"/>
          <w:bCs/>
          <w:spacing w:val="2"/>
          <w:position w:val="-1"/>
        </w:rPr>
      </w:pPr>
    </w:p>
    <w:p w14:paraId="2D0CAC44" w14:textId="77777777" w:rsidR="002A4110" w:rsidRPr="009665D0" w:rsidRDefault="002A4110" w:rsidP="002A4110">
      <w:pPr>
        <w:rPr>
          <w:rFonts w:eastAsia="Arial Narrow"/>
          <w:bCs/>
          <w:i/>
          <w:spacing w:val="2"/>
          <w:position w:val="-1"/>
          <w:u w:val="single"/>
        </w:rPr>
      </w:pPr>
      <w:r w:rsidRPr="009665D0">
        <w:rPr>
          <w:rFonts w:eastAsia="Arial Narrow"/>
          <w:bCs/>
          <w:i/>
          <w:spacing w:val="2"/>
          <w:position w:val="-1"/>
          <w:u w:val="single"/>
        </w:rPr>
        <w:t>Exclusion Criteria</w:t>
      </w:r>
    </w:p>
    <w:p w14:paraId="5A396918" w14:textId="77777777" w:rsidR="002A4110" w:rsidRPr="009665D0" w:rsidRDefault="002A4110" w:rsidP="002A4110">
      <w:pPr>
        <w:pStyle w:val="MediumGrid1-Accent21"/>
        <w:numPr>
          <w:ilvl w:val="0"/>
          <w:numId w:val="10"/>
        </w:numPr>
        <w:ind w:left="720"/>
        <w:rPr>
          <w:rFonts w:ascii="Times New Roman" w:eastAsia="Arial Narrow" w:hAnsi="Times New Roman"/>
          <w:bCs/>
          <w:spacing w:val="2"/>
          <w:position w:val="-1"/>
        </w:rPr>
      </w:pPr>
      <w:r w:rsidRPr="009665D0">
        <w:rPr>
          <w:rFonts w:ascii="Times New Roman" w:eastAsia="Arial Narrow" w:hAnsi="Times New Roman"/>
          <w:bCs/>
          <w:spacing w:val="2"/>
          <w:position w:val="-1"/>
        </w:rPr>
        <w:t>Non-English speaker</w:t>
      </w:r>
    </w:p>
    <w:p w14:paraId="6781A6FE" w14:textId="77777777" w:rsidR="002A4110" w:rsidRPr="009665D0" w:rsidRDefault="002A4110" w:rsidP="002A4110">
      <w:pPr>
        <w:pStyle w:val="MediumGrid1-Accent21"/>
        <w:numPr>
          <w:ilvl w:val="0"/>
          <w:numId w:val="10"/>
        </w:numPr>
        <w:ind w:left="720"/>
        <w:rPr>
          <w:rFonts w:ascii="Times New Roman" w:eastAsia="Arial Narrow" w:hAnsi="Times New Roman"/>
          <w:bCs/>
          <w:spacing w:val="2"/>
          <w:position w:val="-1"/>
        </w:rPr>
      </w:pPr>
      <w:r w:rsidRPr="009665D0">
        <w:rPr>
          <w:rFonts w:ascii="Times New Roman" w:eastAsia="Arial Narrow" w:hAnsi="Times New Roman"/>
          <w:bCs/>
          <w:spacing w:val="2"/>
          <w:position w:val="-1"/>
        </w:rPr>
        <w:t>Current signs of being under the influence of alcohol or illicit substances (e.g. belligerent, slurred speech, swaying, drowsy, stumbling)</w:t>
      </w:r>
    </w:p>
    <w:p w14:paraId="73F03FFA" w14:textId="77777777" w:rsidR="00656863" w:rsidRPr="00656863" w:rsidRDefault="00656863" w:rsidP="002A4110">
      <w:pPr>
        <w:spacing w:before="240"/>
        <w:rPr>
          <w:i/>
          <w:color w:val="000000"/>
        </w:rPr>
      </w:pPr>
      <w:r w:rsidRPr="00656863">
        <w:rPr>
          <w:i/>
          <w:color w:val="000000"/>
        </w:rPr>
        <w:t>Recruitment of Transgender Women</w:t>
      </w:r>
    </w:p>
    <w:p w14:paraId="62D354A0" w14:textId="77777777" w:rsidR="002A4110" w:rsidRPr="009665D0" w:rsidRDefault="002A4110" w:rsidP="002A4110">
      <w:pPr>
        <w:spacing w:before="240"/>
        <w:rPr>
          <w:color w:val="000000"/>
        </w:rPr>
      </w:pPr>
      <w:r w:rsidRPr="009665D0">
        <w:rPr>
          <w:color w:val="000000"/>
        </w:rPr>
        <w:t xml:space="preserve">Given the potential difficulties anticipated in recruiting transgender women, </w:t>
      </w:r>
      <w:r w:rsidR="00FB42B0">
        <w:rPr>
          <w:color w:val="000000"/>
        </w:rPr>
        <w:t>study staff</w:t>
      </w:r>
      <w:r w:rsidRPr="009665D0">
        <w:rPr>
          <w:color w:val="000000"/>
        </w:rPr>
        <w:t xml:space="preserve"> will rely first on convenience sampling and implement two recruitment strategies concurrently:</w:t>
      </w:r>
    </w:p>
    <w:p w14:paraId="6062733C" w14:textId="77777777" w:rsidR="002A4110" w:rsidRPr="009665D0" w:rsidRDefault="002A4110" w:rsidP="002A4110">
      <w:pPr>
        <w:rPr>
          <w:lang w:bidi="en-US"/>
        </w:rPr>
      </w:pPr>
    </w:p>
    <w:p w14:paraId="3BEBC154" w14:textId="77777777" w:rsidR="002A4110" w:rsidRPr="009665D0" w:rsidRDefault="002A4110" w:rsidP="008A05ED">
      <w:pPr>
        <w:pStyle w:val="MediumGrid1-Accent21"/>
        <w:rPr>
          <w:rFonts w:ascii="Times New Roman" w:hAnsi="Times New Roman"/>
          <w:lang w:bidi="en-US"/>
        </w:rPr>
      </w:pPr>
      <w:r w:rsidRPr="008A05ED">
        <w:rPr>
          <w:rFonts w:ascii="Times New Roman" w:hAnsi="Times New Roman"/>
          <w:i/>
          <w:lang w:bidi="en-US"/>
        </w:rPr>
        <w:t>Facility-Based Recruitment:</w:t>
      </w:r>
      <w:r w:rsidRPr="009665D0">
        <w:rPr>
          <w:rFonts w:ascii="Times New Roman" w:hAnsi="Times New Roman"/>
          <w:lang w:bidi="en-US"/>
        </w:rPr>
        <w:t xml:space="preserve">  CBO staff will approach potential participants seeking services on site at the CBO facility and administer the eligibility screener (in-person or via phone) to interested individuals.  </w:t>
      </w:r>
    </w:p>
    <w:p w14:paraId="5E648902" w14:textId="77777777" w:rsidR="002A4110" w:rsidRPr="009665D0" w:rsidRDefault="002A4110" w:rsidP="002A4110">
      <w:pPr>
        <w:pStyle w:val="MediumGrid1-Accent21"/>
        <w:rPr>
          <w:rFonts w:ascii="Times New Roman" w:hAnsi="Times New Roman"/>
          <w:lang w:bidi="en-US"/>
        </w:rPr>
      </w:pPr>
    </w:p>
    <w:p w14:paraId="51E8F53B" w14:textId="77777777" w:rsidR="002A4110" w:rsidRPr="009665D0" w:rsidRDefault="002A4110" w:rsidP="008A05ED">
      <w:pPr>
        <w:pStyle w:val="MediumGrid1-Accent21"/>
        <w:rPr>
          <w:rFonts w:ascii="Times New Roman" w:hAnsi="Times New Roman"/>
        </w:rPr>
      </w:pPr>
      <w:r w:rsidRPr="008A05ED">
        <w:rPr>
          <w:rFonts w:ascii="Times New Roman" w:hAnsi="Times New Roman"/>
          <w:i/>
          <w:lang w:bidi="en-US"/>
        </w:rPr>
        <w:t>Outreach-Based Recruitment:</w:t>
      </w:r>
      <w:r w:rsidRPr="009665D0">
        <w:rPr>
          <w:rFonts w:ascii="Times New Roman" w:hAnsi="Times New Roman"/>
          <w:b/>
          <w:lang w:bidi="en-US"/>
        </w:rPr>
        <w:t xml:space="preserve">  </w:t>
      </w:r>
      <w:r w:rsidRPr="009665D0">
        <w:rPr>
          <w:rFonts w:ascii="Times New Roman" w:hAnsi="Times New Roman"/>
          <w:lang w:bidi="en-US"/>
        </w:rPr>
        <w:t xml:space="preserve">CBO staff currently conduct outreach activities and provide services at various off-site locations such as mobile units, offsite testing locations, and, if the CBO has previous authorization to conduct outreach in these locations, clubs and bars known to be frequented by transgender women as part of their ongoing CBO activities. As feasible, CBO staff will approach potential participants at these locations and administer the eligibility screener to interested individuals. </w:t>
      </w:r>
      <w:r w:rsidRPr="009665D0">
        <w:rPr>
          <w:rFonts w:ascii="Times New Roman" w:hAnsi="Times New Roman"/>
        </w:rPr>
        <w:t xml:space="preserve">Study staff will train recruiters and include instructions in script to approach potential participants discreetly if outreach-based recruitment occurs. </w:t>
      </w:r>
    </w:p>
    <w:p w14:paraId="7114BAA9" w14:textId="77777777" w:rsidR="002A4110" w:rsidRPr="009665D0" w:rsidRDefault="002A4110" w:rsidP="002A4110">
      <w:pPr>
        <w:pStyle w:val="MediumGrid1-Accent21"/>
        <w:ind w:left="0"/>
        <w:rPr>
          <w:rFonts w:ascii="Times New Roman" w:hAnsi="Times New Roman"/>
          <w:lang w:bidi="en-US"/>
        </w:rPr>
      </w:pPr>
    </w:p>
    <w:p w14:paraId="4349EA9E" w14:textId="77777777" w:rsidR="002A4110" w:rsidRPr="009665D0" w:rsidRDefault="002A4110" w:rsidP="002A4110">
      <w:pPr>
        <w:pStyle w:val="MediumGrid1-Accent21"/>
        <w:ind w:left="0"/>
        <w:rPr>
          <w:rFonts w:ascii="Times New Roman" w:hAnsi="Times New Roman"/>
          <w:lang w:bidi="en-US"/>
        </w:rPr>
      </w:pPr>
      <w:r w:rsidRPr="009665D0">
        <w:rPr>
          <w:rFonts w:ascii="Times New Roman" w:hAnsi="Times New Roman"/>
          <w:lang w:bidi="en-US"/>
        </w:rPr>
        <w:t xml:space="preserve">In order to identify and enroll a diverse group of transgender women (e.g. age, race/ethnicity), CBOs will be asked to recruit participants using both facility-based and outreach-based recruitment strategies.  </w:t>
      </w:r>
    </w:p>
    <w:p w14:paraId="05BA87BE" w14:textId="77777777" w:rsidR="00896EEA" w:rsidRPr="009665D0" w:rsidRDefault="00896EEA" w:rsidP="002A4110">
      <w:pPr>
        <w:pStyle w:val="MediumGrid1-Accent21"/>
        <w:ind w:left="0"/>
        <w:rPr>
          <w:rFonts w:ascii="Times New Roman" w:hAnsi="Times New Roman"/>
          <w:lang w:bidi="en-US"/>
        </w:rPr>
      </w:pPr>
    </w:p>
    <w:p w14:paraId="5FF63D6B" w14:textId="77777777" w:rsidR="00896EEA" w:rsidRDefault="00896EEA" w:rsidP="00896EEA">
      <w:pPr>
        <w:rPr>
          <w:i/>
          <w:lang w:bidi="en-US"/>
        </w:rPr>
      </w:pPr>
      <w:r w:rsidRPr="00656863">
        <w:rPr>
          <w:i/>
          <w:lang w:bidi="en-US"/>
        </w:rPr>
        <w:t xml:space="preserve">Sampling Plan for Healthcare Providers </w:t>
      </w:r>
    </w:p>
    <w:p w14:paraId="049F10F6" w14:textId="77777777" w:rsidR="00656863" w:rsidRPr="00656863" w:rsidRDefault="00656863" w:rsidP="00896EEA">
      <w:pPr>
        <w:rPr>
          <w:i/>
          <w:lang w:bidi="en-US"/>
        </w:rPr>
      </w:pPr>
    </w:p>
    <w:p w14:paraId="655A4DBC" w14:textId="43A86CC9" w:rsidR="00896EEA" w:rsidRPr="009665D0" w:rsidRDefault="00656863" w:rsidP="00896EEA">
      <w:r>
        <w:rPr>
          <w:lang w:bidi="en-US"/>
        </w:rPr>
        <w:t xml:space="preserve">The study </w:t>
      </w:r>
      <w:r w:rsidR="00896EEA" w:rsidRPr="009665D0">
        <w:rPr>
          <w:lang w:bidi="en-US"/>
        </w:rPr>
        <w:t>will use a purposive sampling approach to identify healthcare providers</w:t>
      </w:r>
      <w:r w:rsidR="00896EEA" w:rsidRPr="009665D0">
        <w:rPr>
          <w:rFonts w:eastAsia="Arial Narrow"/>
          <w:bCs/>
          <w:spacing w:val="2"/>
          <w:position w:val="-1"/>
        </w:rPr>
        <w:t xml:space="preserve"> who provide routine care, </w:t>
      </w:r>
      <w:r>
        <w:rPr>
          <w:rFonts w:eastAsia="Arial Narrow"/>
          <w:bCs/>
          <w:spacing w:val="2"/>
          <w:position w:val="-1"/>
        </w:rPr>
        <w:t>hormone therapy</w:t>
      </w:r>
      <w:r w:rsidR="00896EEA" w:rsidRPr="009665D0">
        <w:rPr>
          <w:rFonts w:eastAsia="Arial Narrow"/>
          <w:bCs/>
          <w:spacing w:val="2"/>
          <w:position w:val="-1"/>
        </w:rPr>
        <w:t xml:space="preserve">, and/or HIV treatment and care to transgender women participants (n=10) (e.g. physicians, nurse practitioners (NPs) and physician assistant (PA). The study target is to recruit three providers in Atlanta, GA, four providers in Philadelphia, PA, and three providers in Washington, DC. </w:t>
      </w:r>
      <w:r w:rsidR="00A9552C">
        <w:rPr>
          <w:rFonts w:eastAsia="Arial Narrow"/>
          <w:bCs/>
          <w:spacing w:val="2"/>
          <w:position w:val="-1"/>
        </w:rPr>
        <w:t xml:space="preserve">These targets are modifiable by MSA based on accessibility of providers during recruitment efforts. </w:t>
      </w:r>
      <w:r w:rsidR="00896EEA" w:rsidRPr="009665D0">
        <w:rPr>
          <w:rFonts w:eastAsia="Arial Narrow"/>
          <w:bCs/>
          <w:spacing w:val="2"/>
          <w:position w:val="-1"/>
        </w:rPr>
        <w:t xml:space="preserve">A pool of healthcare providers within each MSA will be identified through 1) interviews with transgender women participants asked to indicate their providers for </w:t>
      </w:r>
      <w:r w:rsidR="00896EEA" w:rsidRPr="009665D0">
        <w:rPr>
          <w:lang w:bidi="en-US"/>
        </w:rPr>
        <w:t xml:space="preserve">general health care, </w:t>
      </w:r>
      <w:r>
        <w:rPr>
          <w:lang w:bidi="en-US"/>
        </w:rPr>
        <w:t xml:space="preserve">hormone </w:t>
      </w:r>
      <w:r>
        <w:rPr>
          <w:lang w:bidi="en-US"/>
        </w:rPr>
        <w:lastRenderedPageBreak/>
        <w:t>therapy</w:t>
      </w:r>
      <w:r w:rsidR="00896EEA" w:rsidRPr="009665D0">
        <w:rPr>
          <w:lang w:bidi="en-US"/>
        </w:rPr>
        <w:t xml:space="preserve">, or HIV treatment or care services, 2) internet searches and 3) study staff’s previous experience with clinics indicating provision of services to transgender women within each MSA.  </w:t>
      </w:r>
    </w:p>
    <w:p w14:paraId="5465111E" w14:textId="77777777" w:rsidR="00896EEA" w:rsidRPr="009665D0" w:rsidRDefault="00896EEA" w:rsidP="00896EEA">
      <w:pPr>
        <w:rPr>
          <w:lang w:bidi="en-US"/>
        </w:rPr>
      </w:pPr>
    </w:p>
    <w:p w14:paraId="444E9459" w14:textId="77777777" w:rsidR="00896EEA" w:rsidRPr="009665D0" w:rsidRDefault="00896EEA" w:rsidP="00896EEA">
      <w:pPr>
        <w:rPr>
          <w:lang w:bidi="en-US"/>
        </w:rPr>
      </w:pPr>
      <w:r w:rsidRPr="009665D0">
        <w:rPr>
          <w:lang w:bidi="en-US"/>
        </w:rPr>
        <w:t xml:space="preserve">We will purposively sample healthcare providers from this pool taking into account </w:t>
      </w:r>
      <w:r w:rsidRPr="009665D0" w:rsidDel="00F15F02">
        <w:rPr>
          <w:lang w:bidi="en-US"/>
        </w:rPr>
        <w:t xml:space="preserve">type of provider (e.g., </w:t>
      </w:r>
      <w:r w:rsidRPr="009665D0">
        <w:rPr>
          <w:lang w:bidi="en-US"/>
        </w:rPr>
        <w:t>i</w:t>
      </w:r>
      <w:r w:rsidRPr="009665D0" w:rsidDel="00F15F02">
        <w:rPr>
          <w:lang w:bidi="en-US"/>
        </w:rPr>
        <w:t xml:space="preserve">nfectious </w:t>
      </w:r>
      <w:r w:rsidRPr="009665D0">
        <w:rPr>
          <w:lang w:bidi="en-US"/>
        </w:rPr>
        <w:t>d</w:t>
      </w:r>
      <w:r w:rsidRPr="009665D0" w:rsidDel="00F15F02">
        <w:rPr>
          <w:lang w:bidi="en-US"/>
        </w:rPr>
        <w:t>isease</w:t>
      </w:r>
      <w:r w:rsidRPr="009665D0">
        <w:rPr>
          <w:lang w:bidi="en-US"/>
        </w:rPr>
        <w:t xml:space="preserve"> physician primary care physician, endocrinologist</w:t>
      </w:r>
      <w:r w:rsidRPr="009665D0" w:rsidDel="00F15F02">
        <w:rPr>
          <w:lang w:bidi="en-US"/>
        </w:rPr>
        <w:t xml:space="preserve">), </w:t>
      </w:r>
      <w:r w:rsidRPr="009665D0">
        <w:rPr>
          <w:lang w:bidi="en-US"/>
        </w:rPr>
        <w:t xml:space="preserve">number of transgender women participants that cited the provider during their interview, </w:t>
      </w:r>
      <w:r w:rsidRPr="009665D0" w:rsidDel="00F15F02">
        <w:rPr>
          <w:lang w:bidi="en-US"/>
        </w:rPr>
        <w:t xml:space="preserve">number of years </w:t>
      </w:r>
      <w:r w:rsidRPr="009665D0">
        <w:rPr>
          <w:lang w:bidi="en-US"/>
        </w:rPr>
        <w:t>p</w:t>
      </w:r>
      <w:r w:rsidRPr="009665D0" w:rsidDel="00F15F02">
        <w:rPr>
          <w:lang w:bidi="en-US"/>
        </w:rPr>
        <w:t>rovid</w:t>
      </w:r>
      <w:r w:rsidRPr="009665D0">
        <w:rPr>
          <w:lang w:bidi="en-US"/>
        </w:rPr>
        <w:t>ing</w:t>
      </w:r>
      <w:r w:rsidRPr="009665D0" w:rsidDel="00F15F02">
        <w:rPr>
          <w:lang w:bidi="en-US"/>
        </w:rPr>
        <w:t xml:space="preserve"> HIV care </w:t>
      </w:r>
      <w:r w:rsidRPr="009665D0">
        <w:rPr>
          <w:lang w:bidi="en-US"/>
        </w:rPr>
        <w:t xml:space="preserve">and/or HRT </w:t>
      </w:r>
      <w:r w:rsidRPr="009665D0" w:rsidDel="00F15F02">
        <w:rPr>
          <w:lang w:bidi="en-US"/>
        </w:rPr>
        <w:t>to transgender women</w:t>
      </w:r>
      <w:r w:rsidRPr="009665D0">
        <w:rPr>
          <w:lang w:bidi="en-US"/>
        </w:rPr>
        <w:t xml:space="preserve">, and number of transgender women patients where feasible.  </w:t>
      </w:r>
    </w:p>
    <w:p w14:paraId="159DFC1E" w14:textId="77777777" w:rsidR="00896EEA" w:rsidRPr="009665D0" w:rsidRDefault="00896EEA" w:rsidP="00896EEA">
      <w:pPr>
        <w:rPr>
          <w:lang w:bidi="en-US"/>
        </w:rPr>
      </w:pPr>
    </w:p>
    <w:p w14:paraId="68DDBFF2" w14:textId="77777777" w:rsidR="00896EEA" w:rsidRDefault="00896EEA" w:rsidP="00896EEA">
      <w:pPr>
        <w:rPr>
          <w:lang w:bidi="en-US"/>
        </w:rPr>
      </w:pPr>
      <w:r w:rsidRPr="009665D0">
        <w:rPr>
          <w:rFonts w:eastAsia="Arial Narrow"/>
          <w:bCs/>
          <w:spacing w:val="2"/>
          <w:position w:val="-1"/>
        </w:rPr>
        <w:t>The following inclusion and exclusion criteria will be used to determine eligibility for healthcare providers to participate in this study</w:t>
      </w:r>
      <w:r w:rsidRPr="009665D0">
        <w:rPr>
          <w:lang w:bidi="en-US"/>
        </w:rPr>
        <w:t>:</w:t>
      </w:r>
    </w:p>
    <w:p w14:paraId="1E1997D5" w14:textId="77777777" w:rsidR="00656863" w:rsidRPr="009665D0" w:rsidRDefault="00656863" w:rsidP="00896EEA">
      <w:pPr>
        <w:rPr>
          <w:lang w:bidi="en-US"/>
        </w:rPr>
      </w:pPr>
    </w:p>
    <w:p w14:paraId="56E295F4" w14:textId="77777777" w:rsidR="00896EEA" w:rsidRPr="009665D0" w:rsidRDefault="00896EEA" w:rsidP="00896EEA">
      <w:pPr>
        <w:rPr>
          <w:lang w:bidi="en-US"/>
        </w:rPr>
      </w:pPr>
      <w:r w:rsidRPr="009665D0">
        <w:rPr>
          <w:i/>
          <w:u w:val="single"/>
          <w:lang w:bidi="en-US"/>
        </w:rPr>
        <w:t>Inclusion Criteria</w:t>
      </w:r>
    </w:p>
    <w:p w14:paraId="4D9F87BC" w14:textId="77777777" w:rsidR="00896EEA" w:rsidRPr="009665D0" w:rsidRDefault="00896EEA" w:rsidP="00896EEA">
      <w:pPr>
        <w:pStyle w:val="MediumGrid1-Accent21"/>
        <w:numPr>
          <w:ilvl w:val="0"/>
          <w:numId w:val="13"/>
        </w:numPr>
        <w:rPr>
          <w:rFonts w:ascii="Times New Roman" w:hAnsi="Times New Roman"/>
          <w:lang w:bidi="en-US"/>
        </w:rPr>
      </w:pPr>
      <w:r w:rsidRPr="009665D0">
        <w:rPr>
          <w:rFonts w:ascii="Times New Roman" w:hAnsi="Times New Roman"/>
          <w:lang w:bidi="en-US"/>
        </w:rPr>
        <w:t xml:space="preserve">At least 6 months of experience providing care to transgender women </w:t>
      </w:r>
    </w:p>
    <w:p w14:paraId="7C2705D2" w14:textId="77777777" w:rsidR="00896EEA" w:rsidRPr="009665D0" w:rsidRDefault="00896EEA" w:rsidP="00896EEA">
      <w:pPr>
        <w:pStyle w:val="MediumGrid1-Accent21"/>
        <w:numPr>
          <w:ilvl w:val="0"/>
          <w:numId w:val="13"/>
        </w:numPr>
        <w:rPr>
          <w:rFonts w:ascii="Times New Roman" w:hAnsi="Times New Roman"/>
          <w:lang w:bidi="en-US"/>
        </w:rPr>
      </w:pPr>
      <w:r w:rsidRPr="009665D0">
        <w:rPr>
          <w:rFonts w:ascii="Times New Roman" w:hAnsi="Times New Roman"/>
          <w:lang w:bidi="en-US"/>
        </w:rPr>
        <w:t>Referred by a transgender study participant as her health care provider or known provider of services to transgender women based on previous work by study staff or subject matter experts</w:t>
      </w:r>
    </w:p>
    <w:p w14:paraId="001730EB" w14:textId="77777777" w:rsidR="00896EEA" w:rsidRPr="009665D0" w:rsidRDefault="00896EEA" w:rsidP="00896EEA">
      <w:pPr>
        <w:rPr>
          <w:lang w:bidi="en-US"/>
        </w:rPr>
      </w:pPr>
    </w:p>
    <w:p w14:paraId="14BC62F1" w14:textId="77777777" w:rsidR="00896EEA" w:rsidRPr="009665D0" w:rsidRDefault="00896EEA" w:rsidP="00896EEA">
      <w:pPr>
        <w:rPr>
          <w:i/>
          <w:u w:val="single"/>
          <w:lang w:bidi="en-US"/>
        </w:rPr>
      </w:pPr>
      <w:r w:rsidRPr="009665D0">
        <w:rPr>
          <w:i/>
          <w:u w:val="single"/>
          <w:lang w:bidi="en-US"/>
        </w:rPr>
        <w:t xml:space="preserve">Exclusion Criteria </w:t>
      </w:r>
    </w:p>
    <w:p w14:paraId="1A2C7A8A" w14:textId="77777777" w:rsidR="00896EEA" w:rsidRPr="009665D0" w:rsidRDefault="00896EEA" w:rsidP="00896EEA">
      <w:pPr>
        <w:pStyle w:val="MediumGrid1-Accent21"/>
        <w:numPr>
          <w:ilvl w:val="0"/>
          <w:numId w:val="12"/>
        </w:numPr>
        <w:rPr>
          <w:rFonts w:ascii="Times New Roman" w:eastAsia="Arial Narrow" w:hAnsi="Times New Roman"/>
          <w:bCs/>
          <w:spacing w:val="2"/>
          <w:position w:val="-1"/>
        </w:rPr>
      </w:pPr>
      <w:r w:rsidRPr="009665D0">
        <w:rPr>
          <w:rFonts w:ascii="Times New Roman" w:eastAsia="Arial Narrow" w:hAnsi="Times New Roman"/>
          <w:bCs/>
          <w:spacing w:val="2"/>
          <w:position w:val="-1"/>
        </w:rPr>
        <w:t>Non-English speaker</w:t>
      </w:r>
    </w:p>
    <w:p w14:paraId="3765D01A" w14:textId="77777777" w:rsidR="00896EEA" w:rsidRPr="009665D0" w:rsidRDefault="00896EEA" w:rsidP="00896EEA">
      <w:pPr>
        <w:rPr>
          <w:b/>
          <w:i/>
          <w:color w:val="1F497D"/>
          <w:lang w:bidi="en-US"/>
        </w:rPr>
      </w:pPr>
    </w:p>
    <w:p w14:paraId="57ED402B" w14:textId="77777777" w:rsidR="00896EEA" w:rsidRDefault="00896EEA" w:rsidP="00896EEA">
      <w:pPr>
        <w:rPr>
          <w:i/>
          <w:lang w:bidi="en-US"/>
        </w:rPr>
      </w:pPr>
      <w:r w:rsidRPr="00656863">
        <w:rPr>
          <w:i/>
          <w:lang w:bidi="en-US"/>
        </w:rPr>
        <w:t>Recruitment of Healthcare Providers</w:t>
      </w:r>
    </w:p>
    <w:p w14:paraId="43C38744" w14:textId="77777777" w:rsidR="00656863" w:rsidRPr="00656863" w:rsidRDefault="00656863" w:rsidP="00896EEA"/>
    <w:p w14:paraId="3F2906C8" w14:textId="77777777" w:rsidR="00896EEA" w:rsidRPr="009665D0" w:rsidRDefault="00896EEA" w:rsidP="00896EEA">
      <w:pPr>
        <w:spacing w:after="240"/>
      </w:pPr>
      <w:r w:rsidRPr="009665D0">
        <w:t>Providers will be recruited using multiple recruitment strategies:</w:t>
      </w:r>
    </w:p>
    <w:p w14:paraId="23F600A6" w14:textId="77777777" w:rsidR="008A05ED" w:rsidRPr="008A05ED" w:rsidRDefault="008A05ED" w:rsidP="008A05ED">
      <w:pPr>
        <w:pStyle w:val="MediumGrid1-Accent21"/>
        <w:rPr>
          <w:rFonts w:ascii="Times New Roman" w:hAnsi="Times New Roman"/>
        </w:rPr>
      </w:pPr>
      <w:r w:rsidRPr="008A05ED">
        <w:rPr>
          <w:rFonts w:ascii="Times New Roman" w:hAnsi="Times New Roman"/>
          <w:i/>
        </w:rPr>
        <w:t>Referral-Based Recruitment:</w:t>
      </w:r>
      <w:r w:rsidRPr="008A05ED">
        <w:rPr>
          <w:rFonts w:ascii="Times New Roman" w:hAnsi="Times New Roman"/>
        </w:rPr>
        <w:t xml:space="preserve"> The primary recruitment strategy will be to obtain referrals from transgender women participants. We will request that transgender women participants identify their general health care, hormone therapy, and HIV treatment and care providers. Following the interviews, our team will contact the providers to assess interest in participating in the study and recruit for participation. </w:t>
      </w:r>
    </w:p>
    <w:p w14:paraId="2F83998D" w14:textId="77777777" w:rsidR="008A05ED" w:rsidRPr="008A05ED" w:rsidRDefault="008A05ED" w:rsidP="008A05ED">
      <w:pPr>
        <w:pStyle w:val="MediumGrid1-Accent21"/>
        <w:rPr>
          <w:rFonts w:ascii="Times New Roman" w:hAnsi="Times New Roman"/>
        </w:rPr>
      </w:pPr>
    </w:p>
    <w:p w14:paraId="66A6875E" w14:textId="77777777" w:rsidR="008A05ED" w:rsidRPr="008A05ED" w:rsidRDefault="008A05ED" w:rsidP="008A05ED">
      <w:pPr>
        <w:pStyle w:val="MediumGrid1-Accent21"/>
        <w:rPr>
          <w:rFonts w:ascii="Times New Roman" w:hAnsi="Times New Roman"/>
        </w:rPr>
      </w:pPr>
      <w:r w:rsidRPr="008A05ED">
        <w:rPr>
          <w:rFonts w:ascii="Times New Roman" w:hAnsi="Times New Roman"/>
          <w:i/>
        </w:rPr>
        <w:t>Outreach-Based Recruitment I:</w:t>
      </w:r>
      <w:r w:rsidRPr="008A05ED">
        <w:rPr>
          <w:rFonts w:ascii="Times New Roman" w:hAnsi="Times New Roman"/>
        </w:rPr>
        <w:t xml:space="preserve"> The secondary recruitment strategy will be to recruit healthcare providers that the contractor team (including subject matter expert consultants) has identified through an Internet search as having experience providing care to transgender women in each of the MSAs. </w:t>
      </w:r>
    </w:p>
    <w:p w14:paraId="1DA4167D" w14:textId="77777777" w:rsidR="008A05ED" w:rsidRPr="008A05ED" w:rsidRDefault="008A05ED" w:rsidP="008A05ED">
      <w:pPr>
        <w:pStyle w:val="MediumGrid1-Accent21"/>
        <w:rPr>
          <w:rFonts w:ascii="Times New Roman" w:hAnsi="Times New Roman"/>
        </w:rPr>
      </w:pPr>
    </w:p>
    <w:p w14:paraId="3AFF7E1F" w14:textId="77777777" w:rsidR="00896EEA" w:rsidRPr="009665D0" w:rsidRDefault="008A05ED" w:rsidP="008A05ED">
      <w:pPr>
        <w:pStyle w:val="MediumGrid1-Accent21"/>
        <w:rPr>
          <w:rFonts w:ascii="Times New Roman" w:hAnsi="Times New Roman"/>
          <w:sz w:val="20"/>
          <w:szCs w:val="20"/>
          <w:lang w:bidi="en-US"/>
        </w:rPr>
      </w:pPr>
      <w:r w:rsidRPr="008A05ED">
        <w:rPr>
          <w:rFonts w:ascii="Times New Roman" w:hAnsi="Times New Roman"/>
          <w:i/>
        </w:rPr>
        <w:t>Outreach-Based Recruitment II</w:t>
      </w:r>
      <w:r w:rsidRPr="008A05ED">
        <w:rPr>
          <w:rFonts w:ascii="Times New Roman" w:hAnsi="Times New Roman"/>
        </w:rPr>
        <w:t xml:space="preserve">: </w:t>
      </w:r>
      <w:r>
        <w:rPr>
          <w:rFonts w:ascii="Times New Roman" w:hAnsi="Times New Roman"/>
        </w:rPr>
        <w:t>The</w:t>
      </w:r>
      <w:r w:rsidRPr="008A05ED">
        <w:rPr>
          <w:rFonts w:ascii="Times New Roman" w:hAnsi="Times New Roman"/>
        </w:rPr>
        <w:t xml:space="preserve"> third recruitment strategy will be to utilize study staff’s previous experience with clinics indicating provision of services to transgender women within each MSA to identify and recruit healthcare providers that provide care to transgender women.</w:t>
      </w:r>
    </w:p>
    <w:p w14:paraId="76963464" w14:textId="77777777" w:rsidR="00001FF0" w:rsidRDefault="00001FF0" w:rsidP="00001FF0">
      <w:pPr>
        <w:pStyle w:val="Caption"/>
      </w:pPr>
      <w:bookmarkStart w:id="1" w:name="_Toc450750945"/>
    </w:p>
    <w:p w14:paraId="7B64C4F4" w14:textId="77777777" w:rsidR="009665D0" w:rsidRPr="00001FF0" w:rsidRDefault="00792029" w:rsidP="00001FF0">
      <w:pPr>
        <w:pStyle w:val="Caption"/>
      </w:pPr>
      <w:r w:rsidRPr="009665D0">
        <w:t xml:space="preserve">Exhibit </w:t>
      </w:r>
      <w:fldSimple w:instr=" STYLEREF 1 \s ">
        <w:r w:rsidR="008B2F17" w:rsidRPr="009665D0">
          <w:rPr>
            <w:noProof/>
          </w:rPr>
          <w:t>1</w:t>
        </w:r>
      </w:fldSimple>
      <w:r w:rsidR="007F29CE" w:rsidRPr="009665D0">
        <w:t>.</w:t>
      </w:r>
      <w:fldSimple w:instr=" SEQ Exhibit \* ARABIC \s 1 ">
        <w:r w:rsidR="008B2F17" w:rsidRPr="009665D0">
          <w:rPr>
            <w:noProof/>
          </w:rPr>
          <w:t>1</w:t>
        </w:r>
      </w:fldSimple>
      <w:r w:rsidRPr="009665D0">
        <w:t>: Summary of Recruitment Targets</w:t>
      </w:r>
      <w:bookmarkEnd w:id="1"/>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1069"/>
        <w:gridCol w:w="1214"/>
        <w:gridCol w:w="1130"/>
        <w:gridCol w:w="1136"/>
        <w:gridCol w:w="1138"/>
        <w:gridCol w:w="1042"/>
        <w:gridCol w:w="1741"/>
      </w:tblGrid>
      <w:tr w:rsidR="009665D0" w:rsidRPr="009665D0" w14:paraId="16F656F7" w14:textId="77777777" w:rsidTr="009665D0">
        <w:trPr>
          <w:trHeight w:val="296"/>
        </w:trPr>
        <w:tc>
          <w:tcPr>
            <w:tcW w:w="675" w:type="pct"/>
            <w:tcBorders>
              <w:top w:val="nil"/>
              <w:left w:val="nil"/>
              <w:bottom w:val="single" w:sz="4" w:space="0" w:color="auto"/>
              <w:right w:val="single" w:sz="4" w:space="0" w:color="auto"/>
            </w:tcBorders>
            <w:shd w:val="clear" w:color="auto" w:fill="auto"/>
          </w:tcPr>
          <w:p w14:paraId="63E4C2BE" w14:textId="77777777" w:rsidR="009665D0" w:rsidRPr="009665D0" w:rsidRDefault="009665D0" w:rsidP="000C4D4F">
            <w:pPr>
              <w:pStyle w:val="MediumGrid1-Accent21"/>
              <w:ind w:left="0"/>
              <w:rPr>
                <w:rFonts w:ascii="Times New Roman" w:hAnsi="Times New Roman"/>
                <w:b/>
                <w:color w:val="FFFFFF"/>
                <w:sz w:val="20"/>
                <w:szCs w:val="20"/>
              </w:rPr>
            </w:pPr>
          </w:p>
        </w:tc>
        <w:tc>
          <w:tcPr>
            <w:tcW w:w="1166" w:type="pct"/>
            <w:gridSpan w:val="2"/>
            <w:tcBorders>
              <w:left w:val="single" w:sz="4" w:space="0" w:color="auto"/>
            </w:tcBorders>
            <w:shd w:val="clear" w:color="auto" w:fill="1F497D"/>
            <w:vAlign w:val="center"/>
          </w:tcPr>
          <w:p w14:paraId="5A0FE7D6"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Atlanta, GA</w:t>
            </w:r>
          </w:p>
        </w:tc>
        <w:tc>
          <w:tcPr>
            <w:tcW w:w="1157" w:type="pct"/>
            <w:gridSpan w:val="2"/>
            <w:shd w:val="clear" w:color="auto" w:fill="1F497D"/>
            <w:vAlign w:val="center"/>
          </w:tcPr>
          <w:p w14:paraId="2F3DDD67"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Philadelphia, PA</w:t>
            </w:r>
          </w:p>
        </w:tc>
        <w:tc>
          <w:tcPr>
            <w:tcW w:w="1113" w:type="pct"/>
            <w:gridSpan w:val="2"/>
            <w:shd w:val="clear" w:color="auto" w:fill="1F497D"/>
            <w:vAlign w:val="center"/>
          </w:tcPr>
          <w:p w14:paraId="73637807"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Washington, DC</w:t>
            </w:r>
          </w:p>
        </w:tc>
        <w:tc>
          <w:tcPr>
            <w:tcW w:w="889" w:type="pct"/>
            <w:vMerge w:val="restart"/>
            <w:shd w:val="clear" w:color="auto" w:fill="1F497D"/>
            <w:vAlign w:val="center"/>
          </w:tcPr>
          <w:p w14:paraId="4A00ACEA"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Total</w:t>
            </w:r>
          </w:p>
        </w:tc>
      </w:tr>
      <w:tr w:rsidR="009665D0" w:rsidRPr="009665D0" w14:paraId="2D0C0272" w14:textId="77777777" w:rsidTr="009665D0">
        <w:trPr>
          <w:trHeight w:val="269"/>
        </w:trPr>
        <w:tc>
          <w:tcPr>
            <w:tcW w:w="675" w:type="pct"/>
            <w:tcBorders>
              <w:top w:val="single" w:sz="4" w:space="0" w:color="auto"/>
            </w:tcBorders>
            <w:shd w:val="clear" w:color="auto" w:fill="4F81BD"/>
            <w:vAlign w:val="center"/>
          </w:tcPr>
          <w:p w14:paraId="0372FFED"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Age Groups</w:t>
            </w:r>
          </w:p>
        </w:tc>
        <w:tc>
          <w:tcPr>
            <w:tcW w:w="546" w:type="pct"/>
            <w:shd w:val="clear" w:color="auto" w:fill="4F81BD"/>
            <w:vAlign w:val="center"/>
          </w:tcPr>
          <w:p w14:paraId="6DD0D16E" w14:textId="77777777" w:rsidR="009665D0" w:rsidRPr="009665D0" w:rsidRDefault="009665D0" w:rsidP="000C4D4F">
            <w:pPr>
              <w:pStyle w:val="MediumGrid1-Accent21"/>
              <w:ind w:left="0"/>
              <w:jc w:val="center"/>
              <w:rPr>
                <w:rFonts w:ascii="Times New Roman" w:hAnsi="Times New Roman"/>
                <w:color w:val="FFFFFF"/>
                <w:sz w:val="20"/>
                <w:szCs w:val="20"/>
              </w:rPr>
            </w:pPr>
            <w:r w:rsidRPr="009665D0">
              <w:rPr>
                <w:rFonts w:ascii="Times New Roman" w:hAnsi="Times New Roman"/>
                <w:b/>
                <w:color w:val="FFFFFF"/>
                <w:sz w:val="20"/>
                <w:szCs w:val="20"/>
              </w:rPr>
              <w:t>HIV positive</w:t>
            </w:r>
          </w:p>
        </w:tc>
        <w:tc>
          <w:tcPr>
            <w:tcW w:w="620" w:type="pct"/>
            <w:shd w:val="clear" w:color="auto" w:fill="4F81BD"/>
            <w:vAlign w:val="center"/>
          </w:tcPr>
          <w:p w14:paraId="7EFF5AD9"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HIV negative</w:t>
            </w:r>
          </w:p>
        </w:tc>
        <w:tc>
          <w:tcPr>
            <w:tcW w:w="577" w:type="pct"/>
            <w:shd w:val="clear" w:color="auto" w:fill="4F81BD"/>
            <w:vAlign w:val="center"/>
          </w:tcPr>
          <w:p w14:paraId="254D3AA2"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 xml:space="preserve">HIV </w:t>
            </w:r>
          </w:p>
          <w:p w14:paraId="1ECF1FD0"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positive</w:t>
            </w:r>
          </w:p>
        </w:tc>
        <w:tc>
          <w:tcPr>
            <w:tcW w:w="580" w:type="pct"/>
            <w:shd w:val="clear" w:color="auto" w:fill="4F81BD"/>
            <w:vAlign w:val="center"/>
          </w:tcPr>
          <w:p w14:paraId="0B042291"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HIV negative</w:t>
            </w:r>
          </w:p>
        </w:tc>
        <w:tc>
          <w:tcPr>
            <w:tcW w:w="581" w:type="pct"/>
            <w:shd w:val="clear" w:color="auto" w:fill="4F81BD"/>
            <w:vAlign w:val="center"/>
          </w:tcPr>
          <w:p w14:paraId="38AECA66" w14:textId="77777777" w:rsidR="009665D0" w:rsidRPr="009665D0" w:rsidRDefault="009665D0" w:rsidP="000C4D4F">
            <w:pPr>
              <w:pStyle w:val="MediumGrid1-Accent21"/>
              <w:ind w:left="0"/>
              <w:jc w:val="center"/>
              <w:rPr>
                <w:rFonts w:ascii="Times New Roman" w:hAnsi="Times New Roman"/>
                <w:b/>
                <w:color w:val="FFFFFF"/>
                <w:sz w:val="20"/>
                <w:szCs w:val="20"/>
              </w:rPr>
            </w:pPr>
            <w:r w:rsidRPr="009665D0">
              <w:rPr>
                <w:rFonts w:ascii="Times New Roman" w:hAnsi="Times New Roman"/>
                <w:b/>
                <w:color w:val="FFFFFF"/>
                <w:sz w:val="20"/>
                <w:szCs w:val="20"/>
              </w:rPr>
              <w:t>HIV positive</w:t>
            </w:r>
          </w:p>
        </w:tc>
        <w:tc>
          <w:tcPr>
            <w:tcW w:w="532" w:type="pct"/>
            <w:shd w:val="clear" w:color="auto" w:fill="4F81BD"/>
            <w:vAlign w:val="center"/>
          </w:tcPr>
          <w:p w14:paraId="24978DF6" w14:textId="77777777" w:rsidR="009665D0" w:rsidRPr="009665D0" w:rsidRDefault="009665D0" w:rsidP="000C4D4F">
            <w:pPr>
              <w:pStyle w:val="MediumGrid1-Accent21"/>
              <w:ind w:left="0"/>
              <w:jc w:val="center"/>
              <w:rPr>
                <w:rFonts w:ascii="Times New Roman" w:hAnsi="Times New Roman"/>
                <w:color w:val="FFFFFF"/>
                <w:sz w:val="20"/>
                <w:szCs w:val="20"/>
              </w:rPr>
            </w:pPr>
            <w:r w:rsidRPr="009665D0">
              <w:rPr>
                <w:rFonts w:ascii="Times New Roman" w:hAnsi="Times New Roman"/>
                <w:b/>
                <w:color w:val="FFFFFF"/>
                <w:sz w:val="20"/>
                <w:szCs w:val="20"/>
              </w:rPr>
              <w:t>HIV negative</w:t>
            </w:r>
          </w:p>
        </w:tc>
        <w:tc>
          <w:tcPr>
            <w:tcW w:w="889" w:type="pct"/>
            <w:vMerge/>
            <w:shd w:val="clear" w:color="auto" w:fill="4F81BD"/>
            <w:vAlign w:val="center"/>
          </w:tcPr>
          <w:p w14:paraId="652DE736" w14:textId="77777777" w:rsidR="009665D0" w:rsidRPr="009665D0" w:rsidRDefault="009665D0" w:rsidP="000C4D4F">
            <w:pPr>
              <w:pStyle w:val="MediumGrid1-Accent21"/>
              <w:ind w:left="0"/>
              <w:jc w:val="center"/>
              <w:rPr>
                <w:rFonts w:ascii="Times New Roman" w:hAnsi="Times New Roman"/>
                <w:b/>
                <w:color w:val="FFFFFF"/>
                <w:sz w:val="20"/>
                <w:szCs w:val="20"/>
              </w:rPr>
            </w:pPr>
          </w:p>
        </w:tc>
      </w:tr>
      <w:tr w:rsidR="009665D0" w:rsidRPr="009665D0" w14:paraId="19E366D7" w14:textId="77777777" w:rsidTr="009665D0">
        <w:trPr>
          <w:trHeight w:val="269"/>
        </w:trPr>
        <w:tc>
          <w:tcPr>
            <w:tcW w:w="675" w:type="pct"/>
            <w:shd w:val="clear" w:color="auto" w:fill="DBE5F1"/>
            <w:vAlign w:val="center"/>
          </w:tcPr>
          <w:p w14:paraId="40C6A49C" w14:textId="77777777" w:rsidR="009665D0" w:rsidRPr="009665D0" w:rsidRDefault="009665D0" w:rsidP="000C4D4F">
            <w:pPr>
              <w:pStyle w:val="MediumGrid1-Accent21"/>
              <w:ind w:left="0"/>
              <w:rPr>
                <w:rFonts w:ascii="Times New Roman" w:hAnsi="Times New Roman"/>
                <w:sz w:val="20"/>
                <w:szCs w:val="20"/>
              </w:rPr>
            </w:pPr>
            <w:r w:rsidRPr="009665D0">
              <w:rPr>
                <w:rFonts w:ascii="Times New Roman" w:hAnsi="Times New Roman"/>
                <w:b/>
                <w:sz w:val="20"/>
                <w:szCs w:val="20"/>
              </w:rPr>
              <w:t>18-24 years</w:t>
            </w:r>
          </w:p>
        </w:tc>
        <w:tc>
          <w:tcPr>
            <w:tcW w:w="546" w:type="pct"/>
            <w:shd w:val="clear" w:color="auto" w:fill="auto"/>
            <w:vAlign w:val="center"/>
          </w:tcPr>
          <w:p w14:paraId="1FA5BC4E"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620" w:type="pct"/>
            <w:shd w:val="clear" w:color="auto" w:fill="auto"/>
            <w:vAlign w:val="center"/>
          </w:tcPr>
          <w:p w14:paraId="3435C8B0"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577" w:type="pct"/>
            <w:shd w:val="clear" w:color="auto" w:fill="auto"/>
            <w:vAlign w:val="center"/>
          </w:tcPr>
          <w:p w14:paraId="0E60E54D"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580" w:type="pct"/>
            <w:shd w:val="clear" w:color="auto" w:fill="auto"/>
            <w:vAlign w:val="center"/>
          </w:tcPr>
          <w:p w14:paraId="36497AE3"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4</w:t>
            </w:r>
          </w:p>
        </w:tc>
        <w:tc>
          <w:tcPr>
            <w:tcW w:w="581" w:type="pct"/>
            <w:shd w:val="clear" w:color="auto" w:fill="auto"/>
            <w:vAlign w:val="center"/>
          </w:tcPr>
          <w:p w14:paraId="3BFC2DFB"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532" w:type="pct"/>
            <w:shd w:val="clear" w:color="auto" w:fill="auto"/>
            <w:vAlign w:val="center"/>
          </w:tcPr>
          <w:p w14:paraId="547CD604"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4</w:t>
            </w:r>
          </w:p>
        </w:tc>
        <w:tc>
          <w:tcPr>
            <w:tcW w:w="889" w:type="pct"/>
            <w:shd w:val="clear" w:color="auto" w:fill="auto"/>
            <w:vAlign w:val="center"/>
          </w:tcPr>
          <w:p w14:paraId="542B3D81"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20</w:t>
            </w:r>
          </w:p>
        </w:tc>
      </w:tr>
      <w:tr w:rsidR="009665D0" w:rsidRPr="009665D0" w14:paraId="4A2AE569" w14:textId="77777777" w:rsidTr="009665D0">
        <w:trPr>
          <w:trHeight w:val="269"/>
        </w:trPr>
        <w:tc>
          <w:tcPr>
            <w:tcW w:w="675" w:type="pct"/>
            <w:shd w:val="clear" w:color="auto" w:fill="DBE5F1"/>
            <w:vAlign w:val="center"/>
          </w:tcPr>
          <w:p w14:paraId="43ED0BF0" w14:textId="77777777" w:rsidR="009665D0" w:rsidRPr="009665D0" w:rsidRDefault="009665D0" w:rsidP="000C4D4F">
            <w:pPr>
              <w:pStyle w:val="MediumGrid1-Accent21"/>
              <w:ind w:left="0"/>
              <w:rPr>
                <w:rFonts w:ascii="Times New Roman" w:hAnsi="Times New Roman"/>
                <w:b/>
                <w:sz w:val="20"/>
                <w:szCs w:val="20"/>
              </w:rPr>
            </w:pPr>
            <w:r w:rsidRPr="009665D0">
              <w:rPr>
                <w:rFonts w:ascii="Times New Roman" w:hAnsi="Times New Roman"/>
                <w:b/>
                <w:sz w:val="20"/>
                <w:szCs w:val="20"/>
              </w:rPr>
              <w:t>25+ years</w:t>
            </w:r>
          </w:p>
        </w:tc>
        <w:tc>
          <w:tcPr>
            <w:tcW w:w="546" w:type="pct"/>
            <w:shd w:val="clear" w:color="auto" w:fill="auto"/>
            <w:vAlign w:val="center"/>
          </w:tcPr>
          <w:p w14:paraId="77EFDB1D"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620" w:type="pct"/>
            <w:shd w:val="clear" w:color="auto" w:fill="auto"/>
            <w:vAlign w:val="center"/>
          </w:tcPr>
          <w:p w14:paraId="47B5DB13"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577" w:type="pct"/>
            <w:shd w:val="clear" w:color="auto" w:fill="auto"/>
            <w:vAlign w:val="center"/>
          </w:tcPr>
          <w:p w14:paraId="26A24557"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4</w:t>
            </w:r>
          </w:p>
        </w:tc>
        <w:tc>
          <w:tcPr>
            <w:tcW w:w="580" w:type="pct"/>
            <w:shd w:val="clear" w:color="auto" w:fill="auto"/>
            <w:vAlign w:val="center"/>
          </w:tcPr>
          <w:p w14:paraId="3A4AE17D"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581" w:type="pct"/>
            <w:shd w:val="clear" w:color="auto" w:fill="auto"/>
            <w:vAlign w:val="center"/>
          </w:tcPr>
          <w:p w14:paraId="65B94BCE"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4</w:t>
            </w:r>
          </w:p>
        </w:tc>
        <w:tc>
          <w:tcPr>
            <w:tcW w:w="532" w:type="pct"/>
            <w:shd w:val="clear" w:color="auto" w:fill="auto"/>
            <w:vAlign w:val="center"/>
          </w:tcPr>
          <w:p w14:paraId="109DFE0C"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3</w:t>
            </w:r>
          </w:p>
        </w:tc>
        <w:tc>
          <w:tcPr>
            <w:tcW w:w="889" w:type="pct"/>
            <w:shd w:val="clear" w:color="auto" w:fill="auto"/>
            <w:vAlign w:val="center"/>
          </w:tcPr>
          <w:p w14:paraId="1827CE88" w14:textId="77777777" w:rsidR="009665D0" w:rsidRPr="009665D0" w:rsidRDefault="009665D0" w:rsidP="000C4D4F">
            <w:pPr>
              <w:pStyle w:val="MediumGrid1-Accent21"/>
              <w:ind w:left="0"/>
              <w:jc w:val="center"/>
              <w:rPr>
                <w:rFonts w:ascii="Times New Roman" w:hAnsi="Times New Roman"/>
                <w:sz w:val="20"/>
                <w:szCs w:val="20"/>
              </w:rPr>
            </w:pPr>
            <w:r w:rsidRPr="009665D0">
              <w:rPr>
                <w:rFonts w:ascii="Times New Roman" w:hAnsi="Times New Roman"/>
                <w:sz w:val="20"/>
                <w:szCs w:val="20"/>
              </w:rPr>
              <w:t>20</w:t>
            </w:r>
          </w:p>
        </w:tc>
      </w:tr>
      <w:tr w:rsidR="009665D0" w:rsidRPr="009665D0" w14:paraId="70BE931E" w14:textId="77777777" w:rsidTr="009665D0">
        <w:trPr>
          <w:trHeight w:val="269"/>
        </w:trPr>
        <w:tc>
          <w:tcPr>
            <w:tcW w:w="675" w:type="pct"/>
            <w:shd w:val="clear" w:color="auto" w:fill="DBE5F1"/>
            <w:vAlign w:val="center"/>
          </w:tcPr>
          <w:p w14:paraId="6AAFDB36" w14:textId="77777777" w:rsidR="009665D0" w:rsidRPr="009665D0" w:rsidRDefault="009665D0" w:rsidP="000C4D4F">
            <w:pPr>
              <w:pStyle w:val="MediumGrid1-Accent21"/>
              <w:ind w:left="0"/>
              <w:rPr>
                <w:rFonts w:ascii="Times New Roman" w:hAnsi="Times New Roman"/>
                <w:b/>
                <w:sz w:val="20"/>
                <w:szCs w:val="20"/>
              </w:rPr>
            </w:pPr>
            <w:r w:rsidRPr="009665D0">
              <w:rPr>
                <w:rFonts w:ascii="Times New Roman" w:hAnsi="Times New Roman"/>
                <w:b/>
                <w:sz w:val="20"/>
                <w:szCs w:val="20"/>
              </w:rPr>
              <w:t>Total per     HIV status</w:t>
            </w:r>
          </w:p>
        </w:tc>
        <w:tc>
          <w:tcPr>
            <w:tcW w:w="546" w:type="pct"/>
            <w:shd w:val="clear" w:color="auto" w:fill="auto"/>
            <w:vAlign w:val="center"/>
          </w:tcPr>
          <w:p w14:paraId="7779A04C"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6</w:t>
            </w:r>
          </w:p>
        </w:tc>
        <w:tc>
          <w:tcPr>
            <w:tcW w:w="620" w:type="pct"/>
            <w:shd w:val="clear" w:color="auto" w:fill="auto"/>
            <w:vAlign w:val="center"/>
          </w:tcPr>
          <w:p w14:paraId="10078337"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6</w:t>
            </w:r>
          </w:p>
        </w:tc>
        <w:tc>
          <w:tcPr>
            <w:tcW w:w="577" w:type="pct"/>
            <w:shd w:val="clear" w:color="auto" w:fill="auto"/>
            <w:vAlign w:val="center"/>
          </w:tcPr>
          <w:p w14:paraId="0B419559"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7</w:t>
            </w:r>
          </w:p>
        </w:tc>
        <w:tc>
          <w:tcPr>
            <w:tcW w:w="580" w:type="pct"/>
            <w:shd w:val="clear" w:color="auto" w:fill="auto"/>
            <w:vAlign w:val="center"/>
          </w:tcPr>
          <w:p w14:paraId="6E0B2BEE"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7</w:t>
            </w:r>
          </w:p>
        </w:tc>
        <w:tc>
          <w:tcPr>
            <w:tcW w:w="581" w:type="pct"/>
            <w:shd w:val="clear" w:color="auto" w:fill="auto"/>
            <w:vAlign w:val="center"/>
          </w:tcPr>
          <w:p w14:paraId="3DA136EF"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7</w:t>
            </w:r>
          </w:p>
        </w:tc>
        <w:tc>
          <w:tcPr>
            <w:tcW w:w="532" w:type="pct"/>
            <w:shd w:val="clear" w:color="auto" w:fill="auto"/>
            <w:vAlign w:val="center"/>
          </w:tcPr>
          <w:p w14:paraId="6CC530D5"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7</w:t>
            </w:r>
          </w:p>
        </w:tc>
        <w:tc>
          <w:tcPr>
            <w:tcW w:w="889" w:type="pct"/>
            <w:shd w:val="clear" w:color="auto" w:fill="auto"/>
            <w:vAlign w:val="center"/>
          </w:tcPr>
          <w:p w14:paraId="63EF5C8E"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40</w:t>
            </w:r>
          </w:p>
        </w:tc>
      </w:tr>
      <w:tr w:rsidR="009665D0" w:rsidRPr="009665D0" w14:paraId="4AEFF626" w14:textId="77777777" w:rsidTr="009665D0">
        <w:trPr>
          <w:trHeight w:val="269"/>
        </w:trPr>
        <w:tc>
          <w:tcPr>
            <w:tcW w:w="675" w:type="pct"/>
            <w:shd w:val="clear" w:color="auto" w:fill="DBE5F1"/>
            <w:vAlign w:val="center"/>
          </w:tcPr>
          <w:p w14:paraId="5A1ED671" w14:textId="77777777" w:rsidR="009665D0" w:rsidRPr="009665D0" w:rsidRDefault="009665D0" w:rsidP="000C4D4F">
            <w:pPr>
              <w:pStyle w:val="MediumGrid1-Accent21"/>
              <w:ind w:left="0"/>
              <w:rPr>
                <w:rFonts w:ascii="Times New Roman" w:hAnsi="Times New Roman"/>
                <w:b/>
                <w:sz w:val="20"/>
                <w:szCs w:val="20"/>
              </w:rPr>
            </w:pPr>
            <w:r w:rsidRPr="009665D0">
              <w:rPr>
                <w:rFonts w:ascii="Times New Roman" w:hAnsi="Times New Roman"/>
                <w:b/>
                <w:sz w:val="20"/>
                <w:szCs w:val="20"/>
              </w:rPr>
              <w:t>Providers</w:t>
            </w:r>
          </w:p>
        </w:tc>
        <w:tc>
          <w:tcPr>
            <w:tcW w:w="1166" w:type="pct"/>
            <w:gridSpan w:val="2"/>
            <w:shd w:val="clear" w:color="auto" w:fill="auto"/>
            <w:vAlign w:val="center"/>
          </w:tcPr>
          <w:p w14:paraId="6C15804B"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3</w:t>
            </w:r>
          </w:p>
        </w:tc>
        <w:tc>
          <w:tcPr>
            <w:tcW w:w="1157" w:type="pct"/>
            <w:gridSpan w:val="2"/>
            <w:shd w:val="clear" w:color="auto" w:fill="auto"/>
            <w:vAlign w:val="center"/>
          </w:tcPr>
          <w:p w14:paraId="0FE7B5E2"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4</w:t>
            </w:r>
          </w:p>
        </w:tc>
        <w:tc>
          <w:tcPr>
            <w:tcW w:w="1113" w:type="pct"/>
            <w:gridSpan w:val="2"/>
            <w:shd w:val="clear" w:color="auto" w:fill="auto"/>
            <w:vAlign w:val="center"/>
          </w:tcPr>
          <w:p w14:paraId="473963A9"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3</w:t>
            </w:r>
          </w:p>
        </w:tc>
        <w:tc>
          <w:tcPr>
            <w:tcW w:w="889" w:type="pct"/>
            <w:shd w:val="clear" w:color="auto" w:fill="auto"/>
            <w:vAlign w:val="center"/>
          </w:tcPr>
          <w:p w14:paraId="7FB12BF3"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10</w:t>
            </w:r>
          </w:p>
        </w:tc>
      </w:tr>
      <w:tr w:rsidR="009665D0" w:rsidRPr="009665D0" w14:paraId="335B8051" w14:textId="77777777" w:rsidTr="009665D0">
        <w:trPr>
          <w:trHeight w:val="269"/>
        </w:trPr>
        <w:tc>
          <w:tcPr>
            <w:tcW w:w="675" w:type="pct"/>
            <w:shd w:val="clear" w:color="auto" w:fill="DBE5F1"/>
            <w:vAlign w:val="center"/>
          </w:tcPr>
          <w:p w14:paraId="72C2E6CB" w14:textId="77777777" w:rsidR="009665D0" w:rsidRPr="009665D0" w:rsidRDefault="009665D0" w:rsidP="000C4D4F">
            <w:pPr>
              <w:pStyle w:val="MediumGrid1-Accent21"/>
              <w:ind w:left="0"/>
              <w:rPr>
                <w:rFonts w:ascii="Times New Roman" w:hAnsi="Times New Roman"/>
                <w:b/>
                <w:sz w:val="20"/>
                <w:szCs w:val="20"/>
              </w:rPr>
            </w:pPr>
            <w:r w:rsidRPr="009665D0">
              <w:rPr>
                <w:rFonts w:ascii="Times New Roman" w:hAnsi="Times New Roman"/>
                <w:b/>
                <w:sz w:val="20"/>
                <w:szCs w:val="20"/>
              </w:rPr>
              <w:lastRenderedPageBreak/>
              <w:t>Total per MSA</w:t>
            </w:r>
          </w:p>
        </w:tc>
        <w:tc>
          <w:tcPr>
            <w:tcW w:w="1166" w:type="pct"/>
            <w:gridSpan w:val="2"/>
            <w:shd w:val="clear" w:color="auto" w:fill="auto"/>
            <w:vAlign w:val="center"/>
          </w:tcPr>
          <w:p w14:paraId="3A1CF587"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15</w:t>
            </w:r>
          </w:p>
        </w:tc>
        <w:tc>
          <w:tcPr>
            <w:tcW w:w="1157" w:type="pct"/>
            <w:gridSpan w:val="2"/>
            <w:shd w:val="clear" w:color="auto" w:fill="auto"/>
            <w:vAlign w:val="center"/>
          </w:tcPr>
          <w:p w14:paraId="04041895" w14:textId="77777777" w:rsidR="009665D0" w:rsidRPr="009665D0" w:rsidRDefault="009665D0" w:rsidP="009665D0">
            <w:pPr>
              <w:pStyle w:val="MediumGrid1-Accent21"/>
              <w:ind w:left="0"/>
              <w:jc w:val="center"/>
              <w:rPr>
                <w:rFonts w:ascii="Times New Roman" w:hAnsi="Times New Roman"/>
                <w:b/>
                <w:sz w:val="20"/>
                <w:szCs w:val="20"/>
              </w:rPr>
            </w:pPr>
            <w:r w:rsidRPr="009665D0">
              <w:rPr>
                <w:rFonts w:ascii="Times New Roman" w:hAnsi="Times New Roman"/>
                <w:b/>
                <w:sz w:val="20"/>
                <w:szCs w:val="20"/>
              </w:rPr>
              <w:t>18</w:t>
            </w:r>
          </w:p>
        </w:tc>
        <w:tc>
          <w:tcPr>
            <w:tcW w:w="1113" w:type="pct"/>
            <w:gridSpan w:val="2"/>
            <w:shd w:val="clear" w:color="auto" w:fill="auto"/>
            <w:vAlign w:val="center"/>
          </w:tcPr>
          <w:p w14:paraId="2C2FCC1F"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17</w:t>
            </w:r>
          </w:p>
        </w:tc>
        <w:tc>
          <w:tcPr>
            <w:tcW w:w="889" w:type="pct"/>
            <w:shd w:val="clear" w:color="auto" w:fill="auto"/>
            <w:vAlign w:val="center"/>
          </w:tcPr>
          <w:p w14:paraId="40B67962" w14:textId="77777777" w:rsidR="009665D0" w:rsidRPr="009665D0" w:rsidRDefault="009665D0" w:rsidP="000C4D4F">
            <w:pPr>
              <w:pStyle w:val="MediumGrid1-Accent21"/>
              <w:ind w:left="0"/>
              <w:jc w:val="center"/>
              <w:rPr>
                <w:rFonts w:ascii="Times New Roman" w:hAnsi="Times New Roman"/>
                <w:b/>
                <w:sz w:val="20"/>
                <w:szCs w:val="20"/>
              </w:rPr>
            </w:pPr>
            <w:r w:rsidRPr="009665D0">
              <w:rPr>
                <w:rFonts w:ascii="Times New Roman" w:hAnsi="Times New Roman"/>
                <w:b/>
                <w:sz w:val="20"/>
                <w:szCs w:val="20"/>
              </w:rPr>
              <w:t>50</w:t>
            </w:r>
          </w:p>
        </w:tc>
      </w:tr>
    </w:tbl>
    <w:p w14:paraId="5856637D" w14:textId="77777777" w:rsidR="00937383" w:rsidRDefault="00937383" w:rsidP="00937383">
      <w:pPr>
        <w:pStyle w:val="Normal1"/>
        <w:spacing w:line="276" w:lineRule="auto"/>
      </w:pPr>
    </w:p>
    <w:p w14:paraId="053397DE" w14:textId="0CCA6268" w:rsidR="00792029" w:rsidRDefault="005C226C" w:rsidP="00792029">
      <w:r>
        <w:t>T</w:t>
      </w:r>
      <w:r w:rsidRPr="00B43DB4">
        <w:t>he distribution of respondents will vary somewhat from place to place based on local particularities</w:t>
      </w:r>
      <w:r>
        <w:t>, but w</w:t>
      </w:r>
      <w:r w:rsidRPr="00B43DB4">
        <w:t xml:space="preserve">e will strive for </w:t>
      </w:r>
      <w:r w:rsidR="003D1CCB">
        <w:t>diversity of</w:t>
      </w:r>
      <w:r w:rsidRPr="00B43DB4">
        <w:t xml:space="preserve"> respondents </w:t>
      </w:r>
      <w:r w:rsidR="00A9552C">
        <w:t>with</w:t>
      </w:r>
      <w:r w:rsidRPr="00B43DB4">
        <w:t>in ea</w:t>
      </w:r>
      <w:r>
        <w:t xml:space="preserve">ch of the </w:t>
      </w:r>
      <w:r w:rsidR="00A9552C">
        <w:t>jurisdictions</w:t>
      </w:r>
      <w:r>
        <w:t xml:space="preserve">. </w:t>
      </w:r>
      <w:r w:rsidR="00792029">
        <w:t xml:space="preserve">This is a qualitative research study and is not designed to make comparisons between groups or to make generalizations. We intend </w:t>
      </w:r>
      <w:r w:rsidR="00311E64">
        <w:t xml:space="preserve">to use a standard qualitative </w:t>
      </w:r>
      <w:r w:rsidR="00792029">
        <w:t xml:space="preserve">sampling methodology that ensures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 </w:t>
      </w:r>
    </w:p>
    <w:p w14:paraId="2755D0E1" w14:textId="77777777" w:rsidR="005342FB" w:rsidRDefault="005342FB" w:rsidP="005342FB">
      <w:pPr>
        <w:pStyle w:val="Heading1"/>
      </w:pPr>
      <w:bookmarkStart w:id="2" w:name="_Toc445107012"/>
      <w:r>
        <w:t>Procedures for the Collection of Information</w:t>
      </w:r>
      <w:bookmarkEnd w:id="2"/>
    </w:p>
    <w:p w14:paraId="223B082E" w14:textId="77777777" w:rsidR="005342FB" w:rsidRDefault="005342FB" w:rsidP="005342FB"/>
    <w:p w14:paraId="4DB58847" w14:textId="77777777" w:rsidR="00971839" w:rsidRDefault="00F462EA" w:rsidP="007B4308">
      <w:r>
        <w:t>CBO staff will be provided and instructed to utilize recruitment flyers to garner participation in the study</w:t>
      </w:r>
      <w:r w:rsidR="007B4308">
        <w:t xml:space="preserve"> (</w:t>
      </w:r>
      <w:r w:rsidR="007B4308" w:rsidRPr="007B4308">
        <w:rPr>
          <w:b/>
        </w:rPr>
        <w:t>Attachment 1</w:t>
      </w:r>
      <w:r w:rsidR="007B4308">
        <w:t xml:space="preserve">). </w:t>
      </w:r>
      <w:r w:rsidRPr="00F462EA">
        <w:t xml:space="preserve">In an effort to minimize risk to participants the flyer </w:t>
      </w:r>
      <w:r w:rsidR="00FB42B0">
        <w:t xml:space="preserve">will be </w:t>
      </w:r>
      <w:r w:rsidRPr="00F462EA">
        <w:t xml:space="preserve">the size of an index card. Study staff will train CBO recruitment staff not to push potential participants to accept the flyers.  Each participant will be provided one to three flyers with information about the study and a phone number to call to be screened for study eligibility. </w:t>
      </w:r>
      <w:r>
        <w:t xml:space="preserve">If the potential participant is eligible for the study, the individual will be scheduled for an interview at the CBO facilities in a secure and private space or, if requested, the participant can request to meet at a quiet and safe public location (e.g., library) which has been verified by the CBO and contractor staff as safe and with enough privacy to conduct the interview. If study staff do not feel comfortable, they will not be required to conduct the interview in this location. </w:t>
      </w:r>
      <w:r w:rsidR="007D3934" w:rsidRPr="007D3934">
        <w:t>At the time of the interview, staff will review the study procedures, after which participants will complete the informed consent</w:t>
      </w:r>
      <w:r w:rsidR="007D3934">
        <w:t xml:space="preserve"> (</w:t>
      </w:r>
      <w:r w:rsidR="007D3934" w:rsidRPr="007D3934">
        <w:rPr>
          <w:b/>
        </w:rPr>
        <w:t>Attachment 2</w:t>
      </w:r>
      <w:r w:rsidR="007D3934">
        <w:t xml:space="preserve">). </w:t>
      </w:r>
      <w:r>
        <w:t xml:space="preserve"> If a potential participant misses an interview appointment, up to three attempts will be made by CBO staff to reschedule the interview. If a potential participant leaves a voice mail for CBO staff with contact information, up to three attempts will be made to screen them and schedule them for an interview. </w:t>
      </w:r>
      <w:r w:rsidR="00FB42B0">
        <w:t>Study staff</w:t>
      </w:r>
      <w:r>
        <w:t xml:space="preserve"> will accept two cancellations from a participant before scheduling the interview with an alternate participant. This process will ensure that each potential participant is given fair opportunity to participate while also maintaining the study schedule. Study staff will provide designated blocks for CBO recruitment staff to schedule interviews each week. If an eligible potential participant is unable to participate during the pre-established times, the study staff will try to accommodate the potential participants schedule though it will not be guaranteed. </w:t>
      </w:r>
      <w:r w:rsidRPr="00F462EA">
        <w:t xml:space="preserve">If a </w:t>
      </w:r>
      <w:r>
        <w:t xml:space="preserve">healthcare </w:t>
      </w:r>
      <w:r w:rsidRPr="00F462EA">
        <w:t>provider declines participation, they will be replaced with a similar provider from the pool of provider and clinic names. For example, if an infectious disease provider in Atlanta is unable to participate, we will attempt to contact another infectious disease provider in Atlanta.</w:t>
      </w:r>
    </w:p>
    <w:p w14:paraId="4839F524" w14:textId="77777777" w:rsidR="00F462EA" w:rsidRDefault="007D3934" w:rsidP="007B4308">
      <w:r>
        <w:t>The following data collection instruments will be used in this study:</w:t>
      </w:r>
    </w:p>
    <w:p w14:paraId="727E4EC0" w14:textId="77777777" w:rsidR="007D3934" w:rsidRDefault="007D3934" w:rsidP="007B4308"/>
    <w:p w14:paraId="72A0126F" w14:textId="70B18196" w:rsidR="007D3934" w:rsidRDefault="007D3934" w:rsidP="007B4308">
      <w:r w:rsidRPr="007D3934">
        <w:rPr>
          <w:i/>
        </w:rPr>
        <w:t>Eligibili</w:t>
      </w:r>
      <w:r w:rsidR="00C262EC">
        <w:rPr>
          <w:i/>
        </w:rPr>
        <w:t xml:space="preserve">ty Screeners for </w:t>
      </w:r>
      <w:r w:rsidRPr="007D3934">
        <w:rPr>
          <w:i/>
        </w:rPr>
        <w:t>Transgender Women</w:t>
      </w:r>
      <w:r>
        <w:t>:</w:t>
      </w:r>
      <w:r w:rsidRPr="007D3934">
        <w:t xml:space="preserve"> Eligibility screeners will be utilized to identify eligible transgender women and take approximately 5 minutes to complete (</w:t>
      </w:r>
      <w:r w:rsidRPr="007D3934">
        <w:rPr>
          <w:b/>
        </w:rPr>
        <w:t xml:space="preserve">Attachment </w:t>
      </w:r>
      <w:r w:rsidR="00C262EC">
        <w:rPr>
          <w:b/>
        </w:rPr>
        <w:t>3a</w:t>
      </w:r>
      <w:r w:rsidRPr="007D3934">
        <w:t xml:space="preserve">). All eligibility screeners will be managed by CBO recruitment staff. As potential interview participants are identified, CBO recruitment staff will administer hard copies of the eligibility screener either in-person or over the phone. CBO recruitment staff will be trained to administer the screener completely. CBO recruitment staff will not provide a justification nor feedback for why an individual is ineligible for the study. The intent of this strategy is to minimize the possibility that individuals provide false information for the purpose of being selected into the study. All HIV-negative potential participants will be required to </w:t>
      </w:r>
      <w:r w:rsidRPr="007D3934">
        <w:lastRenderedPageBreak/>
        <w:t>bring their written HIV</w:t>
      </w:r>
      <w:r w:rsidR="00580D3A">
        <w:t xml:space="preserve"> test result to their interview</w:t>
      </w:r>
      <w:r w:rsidRPr="007D3934">
        <w:t xml:space="preserve"> so that </w:t>
      </w:r>
      <w:r w:rsidR="00971839">
        <w:t>contractor</w:t>
      </w:r>
      <w:r w:rsidRPr="007D3934">
        <w:t xml:space="preserve"> and CBO recruitment staff can verify status. CBO recruitment staff will not maintain a copy of HIV test result brought in by potential participants as a part of study records</w:t>
      </w:r>
      <w:r w:rsidRPr="00772D33">
        <w:t xml:space="preserve">. </w:t>
      </w:r>
      <w:r w:rsidR="00580D3A" w:rsidRPr="00772D33">
        <w:t>If a potential participant self-reports being HIV-negative and chooses to test for HIV at the CBO in an effort to verify their status and they subsequently receive an HIV-positive result, then they are immediately linked to care and are ineligible for the study because participants living with HIV are required to have known their status for at least 12 months to answer some of the research questions regarding HIV care and treatment.</w:t>
      </w:r>
      <w:bookmarkStart w:id="3" w:name="_GoBack"/>
      <w:bookmarkEnd w:id="3"/>
      <w:r w:rsidR="00580D3A">
        <w:t xml:space="preserve"> </w:t>
      </w:r>
      <w:r w:rsidRPr="007D3934">
        <w:t>If an HIV-negative par</w:t>
      </w:r>
      <w:r w:rsidR="00971839">
        <w:t xml:space="preserve">ticipant is recruited after </w:t>
      </w:r>
      <w:r w:rsidRPr="007D3934">
        <w:t>HIV testing as part of regular services provided by the CBO, then CBO staff will follow their standard record keeping for HIV-testing procedures</w:t>
      </w:r>
      <w:r w:rsidR="00971839">
        <w:t>.</w:t>
      </w:r>
    </w:p>
    <w:p w14:paraId="01F021BE" w14:textId="77777777" w:rsidR="00971839" w:rsidRDefault="00971839" w:rsidP="007B4308"/>
    <w:p w14:paraId="744B1B69" w14:textId="77777777" w:rsidR="00971839" w:rsidRDefault="00971839" w:rsidP="007B4308">
      <w:r>
        <w:rPr>
          <w:i/>
        </w:rPr>
        <w:t>Demographic Questionnaires:</w:t>
      </w:r>
      <w:r w:rsidRPr="00971839">
        <w:t xml:space="preserve"> </w:t>
      </w:r>
      <w:r>
        <w:t>Study staff</w:t>
      </w:r>
      <w:r w:rsidRPr="00971839">
        <w:t xml:space="preserve"> will administer one of t</w:t>
      </w:r>
      <w:r>
        <w:t>wo</w:t>
      </w:r>
      <w:r w:rsidRPr="00971839">
        <w:t xml:space="preserve"> demographic questionnaires to all interview participants</w:t>
      </w:r>
      <w:r w:rsidR="00C262EC">
        <w:t xml:space="preserve">) </w:t>
      </w:r>
      <w:r w:rsidRPr="00971839">
        <w:t xml:space="preserve">for </w:t>
      </w:r>
      <w:r w:rsidR="00C262EC">
        <w:t>transgender women and health</w:t>
      </w:r>
      <w:r w:rsidRPr="00971839">
        <w:t>care providers</w:t>
      </w:r>
      <w:r w:rsidR="00C262EC">
        <w:t xml:space="preserve"> </w:t>
      </w:r>
      <w:r>
        <w:t>(</w:t>
      </w:r>
      <w:r w:rsidRPr="00C262EC">
        <w:rPr>
          <w:b/>
        </w:rPr>
        <w:t>Attachments 3b-c</w:t>
      </w:r>
      <w:r w:rsidR="00C262EC">
        <w:t>)</w:t>
      </w:r>
      <w:r w:rsidRPr="00971839">
        <w:t>.  It is estimated that the questionna</w:t>
      </w:r>
      <w:r w:rsidR="00C262EC">
        <w:t>ire will take approximately 5</w:t>
      </w:r>
      <w:r w:rsidRPr="00971839">
        <w:t xml:space="preserve"> minutes to complete. The questionnaires for transgender women will include variables related to: demographics, education, and length of time living in the jurisdiction. The questionnaire for healthcare providers will include variables related to demographics, provider practice type and training, gender status, sexual orientation, number of years in position, and organizational affiliations.</w:t>
      </w:r>
      <w:r w:rsidR="00C262EC">
        <w:t xml:space="preserve"> </w:t>
      </w:r>
      <w:r w:rsidR="00C262EC" w:rsidRPr="00C262EC">
        <w:t>These data will be</w:t>
      </w:r>
      <w:r w:rsidR="00C262EC">
        <w:t xml:space="preserve"> entered by study staff into a </w:t>
      </w:r>
      <w:r w:rsidR="00C262EC" w:rsidRPr="00C262EC">
        <w:t>database which will be stored on encrypted and password-protected laptops.</w:t>
      </w:r>
    </w:p>
    <w:p w14:paraId="00677D7E" w14:textId="77777777" w:rsidR="007D3934" w:rsidRDefault="007D3934" w:rsidP="007B4308"/>
    <w:p w14:paraId="1D45F602" w14:textId="77777777" w:rsidR="00F462EA" w:rsidRDefault="00C262EC" w:rsidP="007B4308">
      <w:r w:rsidRPr="00C262EC">
        <w:rPr>
          <w:i/>
        </w:rPr>
        <w:t>In-Depth Interviews:</w:t>
      </w:r>
      <w:r w:rsidRPr="00C262EC">
        <w:t xml:space="preserve"> All interviews will be conducted by </w:t>
      </w:r>
      <w:r>
        <w:t>study staff</w:t>
      </w:r>
      <w:r w:rsidRPr="00C262EC">
        <w:t xml:space="preserve"> using one of three separate interview guides for HIV-posi</w:t>
      </w:r>
      <w:r>
        <w:t xml:space="preserve">tive transgender women, </w:t>
      </w:r>
      <w:r w:rsidRPr="00C262EC">
        <w:t>HIV-nega</w:t>
      </w:r>
      <w:r>
        <w:t>tive transgender women, and health</w:t>
      </w:r>
      <w:r w:rsidRPr="00C262EC">
        <w:t>care providers</w:t>
      </w:r>
      <w:r>
        <w:t xml:space="preserve"> (</w:t>
      </w:r>
      <w:r w:rsidRPr="00C262EC">
        <w:rPr>
          <w:b/>
        </w:rPr>
        <w:t>Attachments 3d-f</w:t>
      </w:r>
      <w:r>
        <w:t>)</w:t>
      </w:r>
      <w:r w:rsidRPr="00C262EC">
        <w:t>. One-hour interviews will be conducted with transgender participants and healthcare providers in a private setting such as a CBO private room or a provider’s office.</w:t>
      </w:r>
      <w:r>
        <w:t xml:space="preserve"> </w:t>
      </w:r>
      <w:r w:rsidRPr="00C262EC">
        <w:t xml:space="preserve">All interview data will be recorded by </w:t>
      </w:r>
      <w:r>
        <w:t>study staff</w:t>
      </w:r>
      <w:r w:rsidRPr="00C262EC">
        <w:t xml:space="preserve"> using an encrypted digital audio-recorder (not video-tape) with the consent of interview participants.  Upon completion of an interview, a member from the study </w:t>
      </w:r>
      <w:r>
        <w:t>staff</w:t>
      </w:r>
      <w:r w:rsidRPr="00C262EC">
        <w:t xml:space="preserve"> will upload interview recordings on password protected/encrypted laptops and encrypted flash-drives. Participants will be reminded by the interviewer not to use full names or identifying information during the interview. Study staff will perform the transcription of all audio-recordings and maintain all transcripts on password protected/encrypted laptops.</w:t>
      </w:r>
      <w:r>
        <w:t xml:space="preserve"> </w:t>
      </w:r>
      <w:r w:rsidRPr="00C262EC">
        <w:t>During the interview, responses related to close-ended interview questions will be recorded manually by study staff onto paper forms. These data will be</w:t>
      </w:r>
      <w:r>
        <w:t xml:space="preserve"> entered by study staff into a </w:t>
      </w:r>
      <w:r w:rsidRPr="00C262EC">
        <w:t>database which will be stored on encrypted and password-protected laptops.</w:t>
      </w:r>
    </w:p>
    <w:p w14:paraId="1FFB7D27" w14:textId="77777777" w:rsidR="00F462EA" w:rsidRDefault="00F462EA" w:rsidP="007B4308"/>
    <w:p w14:paraId="0DFCFB8A" w14:textId="77777777" w:rsidR="00720E62" w:rsidRDefault="00720E62" w:rsidP="00720E62">
      <w:pPr>
        <w:autoSpaceDE w:val="0"/>
        <w:autoSpaceDN w:val="0"/>
        <w:adjustRightInd w:val="0"/>
      </w:pPr>
      <w:r w:rsidRPr="003F5C65">
        <w:t xml:space="preserve">Transcripts </w:t>
      </w:r>
      <w:r w:rsidR="00E769A2">
        <w:t xml:space="preserve">will be coded and analyzed used the NVivo qualitative data analysis software program. </w:t>
      </w:r>
      <w:r w:rsidR="0016459B">
        <w:t xml:space="preserve">Information from the structured response questions will be analyzed using the Microsoft Excel and SPSS software programs. </w:t>
      </w:r>
      <w:r w:rsidR="00E769A2">
        <w:t>Individual transcripts</w:t>
      </w:r>
      <w:r w:rsidR="0016459B">
        <w:t>,</w:t>
      </w:r>
      <w:r w:rsidR="00E769A2">
        <w:t xml:space="preserve"> </w:t>
      </w:r>
      <w:r w:rsidRPr="003F5C65">
        <w:t>NVivo</w:t>
      </w:r>
      <w:r w:rsidR="00E557C3">
        <w:t xml:space="preserve"> files</w:t>
      </w:r>
      <w:r w:rsidR="0016459B">
        <w:t>, and oth</w:t>
      </w:r>
      <w:r w:rsidR="00E557C3">
        <w:t>er structured response data fil</w:t>
      </w:r>
      <w:r w:rsidR="0016459B">
        <w:t>es</w:t>
      </w:r>
      <w:r w:rsidR="00AC1ACA">
        <w:t xml:space="preserve"> </w:t>
      </w:r>
      <w:r w:rsidRPr="003F5C65">
        <w:t>will be stored on and edited from a CDC</w:t>
      </w:r>
      <w:r>
        <w:t>-</w:t>
      </w:r>
      <w:r w:rsidRPr="003F5C65">
        <w:t xml:space="preserve">approved encrypted USB drive plugged into a standalone, non-networked </w:t>
      </w:r>
      <w:r>
        <w:t>computer without Internet access</w:t>
      </w:r>
      <w:r w:rsidRPr="003F5C65">
        <w:t>. Only project staff will have access to the records, study documents, and data.</w:t>
      </w:r>
    </w:p>
    <w:p w14:paraId="3D4AA3B7" w14:textId="77777777" w:rsidR="004F75AD" w:rsidRDefault="004F75AD" w:rsidP="00720E62">
      <w:pPr>
        <w:autoSpaceDE w:val="0"/>
        <w:autoSpaceDN w:val="0"/>
        <w:adjustRightInd w:val="0"/>
      </w:pPr>
    </w:p>
    <w:p w14:paraId="7377815D" w14:textId="77777777" w:rsidR="00720E62" w:rsidRDefault="00720E62" w:rsidP="00720E62">
      <w:pPr>
        <w:autoSpaceDE w:val="0"/>
        <w:autoSpaceDN w:val="0"/>
        <w:adjustRightInd w:val="0"/>
      </w:pPr>
    </w:p>
    <w:p w14:paraId="4AAABD7A" w14:textId="77777777" w:rsidR="005342FB" w:rsidRDefault="005342FB" w:rsidP="005342FB">
      <w:pPr>
        <w:pStyle w:val="Heading1"/>
      </w:pPr>
      <w:bookmarkStart w:id="4" w:name="_Toc445107013"/>
      <w:r>
        <w:t>Methods to Maximize Response Rates and Deal with No Response</w:t>
      </w:r>
      <w:bookmarkEnd w:id="4"/>
    </w:p>
    <w:p w14:paraId="1333D25B" w14:textId="77777777" w:rsidR="005342FB" w:rsidRDefault="005342FB" w:rsidP="005342FB"/>
    <w:p w14:paraId="4619A927" w14:textId="77777777" w:rsidR="0014326C" w:rsidRDefault="0014326C" w:rsidP="0014326C">
      <w:pPr>
        <w:autoSpaceDE w:val="0"/>
        <w:autoSpaceDN w:val="0"/>
        <w:adjustRightInd w:val="0"/>
        <w:rPr>
          <w:bCs/>
        </w:rPr>
      </w:pPr>
      <w:r>
        <w:rPr>
          <w:bCs/>
        </w:rPr>
        <w:t>We will use the following procedures to maximize cooperation and to achieve the desired high response rate:</w:t>
      </w:r>
    </w:p>
    <w:p w14:paraId="617B0A91" w14:textId="77777777" w:rsidR="0014326C" w:rsidRDefault="0014326C" w:rsidP="0014326C">
      <w:pPr>
        <w:autoSpaceDE w:val="0"/>
        <w:autoSpaceDN w:val="0"/>
        <w:adjustRightInd w:val="0"/>
        <w:rPr>
          <w:bCs/>
        </w:rPr>
      </w:pPr>
    </w:p>
    <w:p w14:paraId="48514EDE" w14:textId="77777777" w:rsidR="004F75AD" w:rsidRDefault="009410ED" w:rsidP="004F75AD">
      <w:pPr>
        <w:numPr>
          <w:ilvl w:val="0"/>
          <w:numId w:val="8"/>
        </w:numPr>
        <w:autoSpaceDE w:val="0"/>
        <w:autoSpaceDN w:val="0"/>
        <w:adjustRightInd w:val="0"/>
        <w:jc w:val="both"/>
        <w:rPr>
          <w:bCs/>
        </w:rPr>
      </w:pPr>
      <w:bookmarkStart w:id="5" w:name="_Toc445107014"/>
      <w:r>
        <w:rPr>
          <w:bCs/>
        </w:rPr>
        <w:t>Transgender women</w:t>
      </w:r>
      <w:r w:rsidR="004F75AD">
        <w:rPr>
          <w:bCs/>
        </w:rPr>
        <w:t xml:space="preserve"> will be identified through </w:t>
      </w:r>
      <w:r>
        <w:rPr>
          <w:bCs/>
        </w:rPr>
        <w:t>CBOs that do transgender-relate work</w:t>
      </w:r>
      <w:r w:rsidR="004F75AD">
        <w:rPr>
          <w:bCs/>
        </w:rPr>
        <w:t xml:space="preserve"> in each of the jurisdictions. </w:t>
      </w:r>
    </w:p>
    <w:p w14:paraId="724B6D97" w14:textId="77777777" w:rsidR="009410ED" w:rsidRDefault="009410ED" w:rsidP="004F75AD">
      <w:pPr>
        <w:numPr>
          <w:ilvl w:val="0"/>
          <w:numId w:val="8"/>
        </w:numPr>
        <w:autoSpaceDE w:val="0"/>
        <w:autoSpaceDN w:val="0"/>
        <w:adjustRightInd w:val="0"/>
        <w:jc w:val="both"/>
        <w:rPr>
          <w:bCs/>
        </w:rPr>
      </w:pPr>
      <w:r>
        <w:rPr>
          <w:bCs/>
        </w:rPr>
        <w:lastRenderedPageBreak/>
        <w:t>Healthcare providers will be recruited via direct referrals from participants and study staff.</w:t>
      </w:r>
    </w:p>
    <w:p w14:paraId="52B83CFB" w14:textId="77777777" w:rsidR="004F75AD" w:rsidRDefault="004F75AD" w:rsidP="004F75AD">
      <w:pPr>
        <w:numPr>
          <w:ilvl w:val="0"/>
          <w:numId w:val="8"/>
        </w:numPr>
        <w:autoSpaceDE w:val="0"/>
        <w:autoSpaceDN w:val="0"/>
        <w:adjustRightInd w:val="0"/>
        <w:jc w:val="both"/>
        <w:rPr>
          <w:bCs/>
        </w:rPr>
      </w:pPr>
      <w:r>
        <w:rPr>
          <w:bCs/>
        </w:rPr>
        <w:t xml:space="preserve">A token of appreciation of $40, in the form of </w:t>
      </w:r>
      <w:r w:rsidR="009410ED">
        <w:rPr>
          <w:bCs/>
        </w:rPr>
        <w:t>gift card/money order</w:t>
      </w:r>
      <w:r>
        <w:rPr>
          <w:bCs/>
        </w:rPr>
        <w:t xml:space="preserve">, will be provided to participants upon completion of the interview. </w:t>
      </w:r>
    </w:p>
    <w:p w14:paraId="01083E3B" w14:textId="77777777" w:rsidR="004F75AD" w:rsidRDefault="004F75AD" w:rsidP="004F75AD">
      <w:pPr>
        <w:numPr>
          <w:ilvl w:val="0"/>
          <w:numId w:val="8"/>
        </w:numPr>
        <w:autoSpaceDE w:val="0"/>
        <w:autoSpaceDN w:val="0"/>
        <w:adjustRightInd w:val="0"/>
        <w:jc w:val="both"/>
        <w:rPr>
          <w:b/>
          <w:bCs/>
        </w:rPr>
      </w:pPr>
      <w:r>
        <w:rPr>
          <w:bCs/>
        </w:rPr>
        <w:t xml:space="preserve">All recruitment materials indicate the voluntary nature of the study and high participation is due in part to interest in the study and participation from </w:t>
      </w:r>
      <w:r w:rsidR="009410ED">
        <w:rPr>
          <w:bCs/>
        </w:rPr>
        <w:t>transgender women</w:t>
      </w:r>
      <w:r>
        <w:rPr>
          <w:bCs/>
        </w:rPr>
        <w:t xml:space="preserve"> </w:t>
      </w:r>
    </w:p>
    <w:p w14:paraId="34481721" w14:textId="77777777" w:rsidR="005342FB" w:rsidRDefault="005342FB" w:rsidP="005342FB">
      <w:pPr>
        <w:pStyle w:val="Heading1"/>
      </w:pPr>
      <w:r>
        <w:t>Tests of Procedures or Methods to be Undertaken</w:t>
      </w:r>
      <w:bookmarkEnd w:id="5"/>
    </w:p>
    <w:p w14:paraId="4CAC2195" w14:textId="77777777" w:rsidR="008A18E1" w:rsidRDefault="008A18E1" w:rsidP="005342FB"/>
    <w:p w14:paraId="0291393F" w14:textId="77777777" w:rsidR="004F75AD" w:rsidRDefault="004F75AD" w:rsidP="004F75AD">
      <w:pPr>
        <w:autoSpaceDE w:val="0"/>
        <w:autoSpaceDN w:val="0"/>
        <w:adjustRightInd w:val="0"/>
        <w:jc w:val="both"/>
      </w:pPr>
      <w:bookmarkStart w:id="6" w:name="_Toc445107015"/>
      <w:r>
        <w:t xml:space="preserve">Our </w:t>
      </w:r>
      <w:r w:rsidR="00C24CB1">
        <w:t xml:space="preserve">research </w:t>
      </w:r>
      <w:r>
        <w:t xml:space="preserve">team includes experts with </w:t>
      </w:r>
      <w:r w:rsidR="00C24CB1">
        <w:t>experience conducting HIV research with</w:t>
      </w:r>
      <w:r w:rsidR="009410ED">
        <w:t xml:space="preserve"> health departments, CBOs, LGBT</w:t>
      </w:r>
      <w:r>
        <w:t xml:space="preserve"> populations and qualitative research, including screening and interview development and testing. The </w:t>
      </w:r>
      <w:r w:rsidR="009410ED">
        <w:t>contractor</w:t>
      </w:r>
      <w:r>
        <w:t xml:space="preserve"> will conduct pretesting of the screening tool and interviews on three to five mock respondents to assess question wording, skip patterns, question sensitivity, and overall flow of the interview</w:t>
      </w:r>
      <w:r w:rsidR="00DE77DD">
        <w:t xml:space="preserve"> and t</w:t>
      </w:r>
      <w:r w:rsidRPr="004F75AD">
        <w:t>o estimate respo</w:t>
      </w:r>
      <w:r w:rsidR="00DE77DD">
        <w:t>nse burden for each respondent</w:t>
      </w:r>
      <w:r w:rsidRPr="004F75AD">
        <w:t xml:space="preserve">. </w:t>
      </w:r>
      <w:r w:rsidR="00C24CB1">
        <w:t xml:space="preserve">Non-CDC members of the research team will be responsible for recruiting respondents and collecting the data in the </w:t>
      </w:r>
      <w:r w:rsidR="009410ED">
        <w:t>three cities</w:t>
      </w:r>
      <w:r w:rsidR="00C24CB1">
        <w:t xml:space="preserve"> as well as for generating transcripts that contain no PII.</w:t>
      </w:r>
      <w:r w:rsidRPr="004F75AD">
        <w:t xml:space="preserve"> </w:t>
      </w:r>
    </w:p>
    <w:p w14:paraId="184DD518" w14:textId="77777777" w:rsidR="005342FB" w:rsidRDefault="005342FB" w:rsidP="005342FB">
      <w:pPr>
        <w:pStyle w:val="Heading1"/>
      </w:pPr>
      <w:r>
        <w:t>Individuals Consulted on Statistical Aspects and Individuals Collecting and/or Analyzing Data</w:t>
      </w:r>
      <w:bookmarkEnd w:id="6"/>
    </w:p>
    <w:p w14:paraId="7CF4BDD4" w14:textId="77777777" w:rsidR="008A18E1" w:rsidRDefault="008A18E1" w:rsidP="005342FB"/>
    <w:p w14:paraId="54236321" w14:textId="77777777" w:rsidR="005342FB" w:rsidRDefault="008A18E1" w:rsidP="005342FB">
      <w:r w:rsidRPr="008A18E1">
        <w:t xml:space="preserve">Exhibit </w:t>
      </w:r>
      <w:r w:rsidR="00FF1B1C">
        <w:t>5.1</w:t>
      </w:r>
      <w:r>
        <w:t xml:space="preserve"> </w:t>
      </w:r>
      <w:r w:rsidRPr="008A18E1">
        <w:t xml:space="preserve">below lists the project team members who were consulted on the aspects of research design and those who will be collecting and analyzing the data. Please note: The CDC </w:t>
      </w:r>
      <w:r>
        <w:t>staff</w:t>
      </w:r>
      <w:r w:rsidRPr="008A18E1">
        <w:t xml:space="preserve">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The </w:t>
      </w:r>
      <w:r w:rsidR="00C24CB1">
        <w:t xml:space="preserve">CDC </w:t>
      </w:r>
      <w:r>
        <w:t>staff</w:t>
      </w:r>
      <w:r w:rsidRPr="008A18E1">
        <w:t xml:space="preserve"> will neither collect data from nor interact with research participants. Data will be collected by members of contractor project staff listed. No individual identifiers will be linkable to collected data, and no individually identifiable private information will be shared with or accessible by CDC staff. </w:t>
      </w:r>
      <w:r w:rsidR="00C24CB1">
        <w:t>All members of the research team will work together to analyze the data and generate reports containing summaries of the findings.</w:t>
      </w:r>
    </w:p>
    <w:p w14:paraId="6C9EBF3A" w14:textId="77777777" w:rsidR="007F29CE" w:rsidRDefault="007F29CE" w:rsidP="005342FB"/>
    <w:p w14:paraId="211B16E6" w14:textId="77777777" w:rsidR="008A18E1" w:rsidRDefault="007F29CE" w:rsidP="007F29CE">
      <w:pPr>
        <w:pStyle w:val="Caption"/>
      </w:pPr>
      <w:bookmarkStart w:id="7" w:name="_Toc450750946"/>
      <w:r>
        <w:t xml:space="preserve">Exhibit </w:t>
      </w:r>
      <w:fldSimple w:instr=" STYLEREF 1 \s ">
        <w:r w:rsidR="008B2F17">
          <w:rPr>
            <w:noProof/>
          </w:rPr>
          <w:t>5</w:t>
        </w:r>
      </w:fldSimple>
      <w:r>
        <w:t>.</w:t>
      </w:r>
      <w:fldSimple w:instr=" SEQ Exhibit \* ARABIC \s 1 ">
        <w:r w:rsidR="008B2F17">
          <w:rPr>
            <w:noProof/>
          </w:rPr>
          <w:t>1</w:t>
        </w:r>
      </w:fldSimple>
      <w:r>
        <w:t>: Statistical Consultants</w:t>
      </w:r>
      <w:bookmarkEnd w:id="7"/>
    </w:p>
    <w:tbl>
      <w:tblPr>
        <w:tblStyle w:val="TableGrid"/>
        <w:tblW w:w="0" w:type="auto"/>
        <w:tblLook w:val="04A0" w:firstRow="1" w:lastRow="0" w:firstColumn="1" w:lastColumn="0" w:noHBand="0" w:noVBand="1"/>
      </w:tblPr>
      <w:tblGrid>
        <w:gridCol w:w="2138"/>
        <w:gridCol w:w="2494"/>
        <w:gridCol w:w="3558"/>
      </w:tblGrid>
      <w:tr w:rsidR="00B423EE" w:rsidRPr="008A18E1" w14:paraId="36EE182B" w14:textId="77777777" w:rsidTr="00DE77DD">
        <w:tc>
          <w:tcPr>
            <w:tcW w:w="2138" w:type="dxa"/>
            <w:shd w:val="clear" w:color="auto" w:fill="C2D69B" w:themeFill="accent3" w:themeFillTint="99"/>
          </w:tcPr>
          <w:p w14:paraId="274A2EBA" w14:textId="77777777" w:rsidR="00B423EE" w:rsidRPr="00B423EE" w:rsidRDefault="00B423EE" w:rsidP="005342FB">
            <w:pPr>
              <w:rPr>
                <w:b/>
                <w:sz w:val="20"/>
                <w:szCs w:val="20"/>
              </w:rPr>
            </w:pPr>
            <w:r w:rsidRPr="00B423EE">
              <w:rPr>
                <w:b/>
                <w:sz w:val="20"/>
                <w:szCs w:val="20"/>
              </w:rPr>
              <w:t>Team Member</w:t>
            </w:r>
          </w:p>
        </w:tc>
        <w:tc>
          <w:tcPr>
            <w:tcW w:w="2494" w:type="dxa"/>
            <w:shd w:val="clear" w:color="auto" w:fill="C2D69B" w:themeFill="accent3" w:themeFillTint="99"/>
          </w:tcPr>
          <w:p w14:paraId="63EF5FBF" w14:textId="77777777" w:rsidR="00B423EE" w:rsidRPr="00B423EE" w:rsidRDefault="00B423EE" w:rsidP="005342FB">
            <w:pPr>
              <w:rPr>
                <w:b/>
                <w:sz w:val="20"/>
                <w:szCs w:val="20"/>
              </w:rPr>
            </w:pPr>
            <w:r w:rsidRPr="00B423EE">
              <w:rPr>
                <w:b/>
                <w:sz w:val="20"/>
                <w:szCs w:val="20"/>
              </w:rPr>
              <w:t>Organization</w:t>
            </w:r>
          </w:p>
        </w:tc>
        <w:tc>
          <w:tcPr>
            <w:tcW w:w="3558" w:type="dxa"/>
            <w:shd w:val="clear" w:color="auto" w:fill="C2D69B" w:themeFill="accent3" w:themeFillTint="99"/>
          </w:tcPr>
          <w:p w14:paraId="71391BD8" w14:textId="77777777" w:rsidR="00B423EE" w:rsidRPr="00B423EE" w:rsidRDefault="00B423EE" w:rsidP="005342FB">
            <w:pPr>
              <w:rPr>
                <w:b/>
                <w:sz w:val="20"/>
                <w:szCs w:val="20"/>
              </w:rPr>
            </w:pPr>
            <w:r w:rsidRPr="00B423EE">
              <w:rPr>
                <w:b/>
                <w:sz w:val="20"/>
                <w:szCs w:val="20"/>
              </w:rPr>
              <w:t>Email</w:t>
            </w:r>
          </w:p>
        </w:tc>
      </w:tr>
      <w:tr w:rsidR="00B423EE" w:rsidRPr="008A18E1" w14:paraId="0A565939" w14:textId="77777777" w:rsidTr="00DE77DD">
        <w:tc>
          <w:tcPr>
            <w:tcW w:w="2138" w:type="dxa"/>
          </w:tcPr>
          <w:p w14:paraId="6721F645" w14:textId="77777777" w:rsidR="00B423EE" w:rsidRPr="00B423EE" w:rsidRDefault="00B423EE" w:rsidP="005342FB">
            <w:pPr>
              <w:rPr>
                <w:sz w:val="20"/>
                <w:szCs w:val="20"/>
              </w:rPr>
            </w:pPr>
            <w:r w:rsidRPr="00B423EE">
              <w:rPr>
                <w:sz w:val="20"/>
                <w:szCs w:val="20"/>
              </w:rPr>
              <w:t>Damian Denson</w:t>
            </w:r>
          </w:p>
        </w:tc>
        <w:tc>
          <w:tcPr>
            <w:tcW w:w="2494" w:type="dxa"/>
          </w:tcPr>
          <w:p w14:paraId="1CF1AE4E" w14:textId="77777777" w:rsidR="00B423EE" w:rsidRPr="00B423EE" w:rsidRDefault="00B423EE" w:rsidP="005342FB">
            <w:pPr>
              <w:rPr>
                <w:sz w:val="20"/>
                <w:szCs w:val="20"/>
              </w:rPr>
            </w:pPr>
            <w:r w:rsidRPr="00B423EE">
              <w:rPr>
                <w:sz w:val="20"/>
                <w:szCs w:val="20"/>
              </w:rPr>
              <w:t>CDC</w:t>
            </w:r>
          </w:p>
        </w:tc>
        <w:tc>
          <w:tcPr>
            <w:tcW w:w="3558" w:type="dxa"/>
          </w:tcPr>
          <w:p w14:paraId="7EB895C3" w14:textId="77777777" w:rsidR="00B423EE" w:rsidRPr="00B423EE" w:rsidRDefault="00B423EE" w:rsidP="005342FB">
            <w:pPr>
              <w:rPr>
                <w:sz w:val="20"/>
                <w:szCs w:val="20"/>
              </w:rPr>
            </w:pPr>
            <w:r w:rsidRPr="00B423EE">
              <w:rPr>
                <w:sz w:val="20"/>
                <w:szCs w:val="20"/>
              </w:rPr>
              <w:t>Dvd5@cdc.gov</w:t>
            </w:r>
          </w:p>
        </w:tc>
      </w:tr>
      <w:tr w:rsidR="00B423EE" w:rsidRPr="008A18E1" w14:paraId="5504FD9E" w14:textId="77777777" w:rsidTr="00DE77DD">
        <w:tc>
          <w:tcPr>
            <w:tcW w:w="2138" w:type="dxa"/>
          </w:tcPr>
          <w:p w14:paraId="2DA98B18" w14:textId="77777777" w:rsidR="00B423EE" w:rsidRPr="00B423EE" w:rsidRDefault="00B423EE" w:rsidP="005342FB">
            <w:pPr>
              <w:rPr>
                <w:sz w:val="20"/>
                <w:szCs w:val="20"/>
              </w:rPr>
            </w:pPr>
            <w:r>
              <w:rPr>
                <w:sz w:val="20"/>
                <w:szCs w:val="20"/>
              </w:rPr>
              <w:t>Deborah Gelaude</w:t>
            </w:r>
          </w:p>
        </w:tc>
        <w:tc>
          <w:tcPr>
            <w:tcW w:w="2494" w:type="dxa"/>
          </w:tcPr>
          <w:p w14:paraId="5C49D1B6" w14:textId="77777777" w:rsidR="00B423EE" w:rsidRPr="00B423EE" w:rsidRDefault="00B423EE" w:rsidP="005342FB">
            <w:pPr>
              <w:rPr>
                <w:sz w:val="20"/>
                <w:szCs w:val="20"/>
              </w:rPr>
            </w:pPr>
            <w:r>
              <w:rPr>
                <w:sz w:val="20"/>
                <w:szCs w:val="20"/>
              </w:rPr>
              <w:t>CDC</w:t>
            </w:r>
          </w:p>
        </w:tc>
        <w:tc>
          <w:tcPr>
            <w:tcW w:w="3558" w:type="dxa"/>
          </w:tcPr>
          <w:p w14:paraId="16FF2396" w14:textId="77777777" w:rsidR="00B423EE" w:rsidRPr="00B423EE" w:rsidRDefault="00B423EE" w:rsidP="005342FB">
            <w:pPr>
              <w:rPr>
                <w:sz w:val="20"/>
                <w:szCs w:val="20"/>
              </w:rPr>
            </w:pPr>
            <w:r>
              <w:rPr>
                <w:sz w:val="20"/>
                <w:szCs w:val="20"/>
              </w:rPr>
              <w:t>Zoi1@cdc.gov</w:t>
            </w:r>
          </w:p>
        </w:tc>
      </w:tr>
      <w:tr w:rsidR="00B423EE" w:rsidRPr="008A18E1" w14:paraId="6127CD90" w14:textId="77777777" w:rsidTr="00DE77DD">
        <w:tc>
          <w:tcPr>
            <w:tcW w:w="2138" w:type="dxa"/>
          </w:tcPr>
          <w:p w14:paraId="3B828538" w14:textId="77777777" w:rsidR="00B423EE" w:rsidRPr="00B423EE" w:rsidRDefault="00B423EE" w:rsidP="005342FB">
            <w:pPr>
              <w:rPr>
                <w:sz w:val="20"/>
                <w:szCs w:val="20"/>
              </w:rPr>
            </w:pPr>
            <w:r w:rsidRPr="00B423EE">
              <w:rPr>
                <w:sz w:val="20"/>
                <w:szCs w:val="20"/>
              </w:rPr>
              <w:t>James Carey</w:t>
            </w:r>
          </w:p>
        </w:tc>
        <w:tc>
          <w:tcPr>
            <w:tcW w:w="2494" w:type="dxa"/>
          </w:tcPr>
          <w:p w14:paraId="193D81A0" w14:textId="77777777" w:rsidR="00B423EE" w:rsidRPr="00B423EE" w:rsidRDefault="00B423EE" w:rsidP="005342FB">
            <w:pPr>
              <w:rPr>
                <w:sz w:val="20"/>
                <w:szCs w:val="20"/>
              </w:rPr>
            </w:pPr>
            <w:r w:rsidRPr="00B423EE">
              <w:rPr>
                <w:sz w:val="20"/>
                <w:szCs w:val="20"/>
              </w:rPr>
              <w:t>CDC</w:t>
            </w:r>
          </w:p>
        </w:tc>
        <w:tc>
          <w:tcPr>
            <w:tcW w:w="3558" w:type="dxa"/>
          </w:tcPr>
          <w:p w14:paraId="67A28727" w14:textId="77777777" w:rsidR="00B423EE" w:rsidRPr="00B423EE" w:rsidRDefault="00B423EE" w:rsidP="005342FB">
            <w:pPr>
              <w:rPr>
                <w:sz w:val="20"/>
                <w:szCs w:val="20"/>
              </w:rPr>
            </w:pPr>
            <w:r w:rsidRPr="00B423EE">
              <w:rPr>
                <w:sz w:val="20"/>
                <w:szCs w:val="20"/>
              </w:rPr>
              <w:t>Jfc9@cdc.gov</w:t>
            </w:r>
          </w:p>
        </w:tc>
      </w:tr>
      <w:tr w:rsidR="00B423EE" w:rsidRPr="008A18E1" w14:paraId="78EB57E0" w14:textId="77777777" w:rsidTr="00DE77DD">
        <w:tc>
          <w:tcPr>
            <w:tcW w:w="2138" w:type="dxa"/>
          </w:tcPr>
          <w:p w14:paraId="4F060AD1" w14:textId="77777777" w:rsidR="00B423EE" w:rsidRPr="00B423EE" w:rsidRDefault="00B423EE" w:rsidP="00B423EE">
            <w:pPr>
              <w:rPr>
                <w:sz w:val="20"/>
                <w:szCs w:val="20"/>
              </w:rPr>
            </w:pPr>
            <w:r w:rsidRPr="00B423EE">
              <w:rPr>
                <w:sz w:val="20"/>
                <w:szCs w:val="20"/>
              </w:rPr>
              <w:t>Jamie Hart</w:t>
            </w:r>
          </w:p>
        </w:tc>
        <w:tc>
          <w:tcPr>
            <w:tcW w:w="2494" w:type="dxa"/>
          </w:tcPr>
          <w:p w14:paraId="35D9D748" w14:textId="77777777" w:rsidR="00B423EE" w:rsidRPr="00B423EE" w:rsidRDefault="00B423EE" w:rsidP="00B423EE">
            <w:pPr>
              <w:rPr>
                <w:sz w:val="20"/>
                <w:szCs w:val="20"/>
              </w:rPr>
            </w:pPr>
            <w:r w:rsidRPr="00B423EE">
              <w:rPr>
                <w:sz w:val="20"/>
                <w:szCs w:val="20"/>
              </w:rPr>
              <w:t>Atlas</w:t>
            </w:r>
          </w:p>
        </w:tc>
        <w:tc>
          <w:tcPr>
            <w:tcW w:w="3558" w:type="dxa"/>
          </w:tcPr>
          <w:p w14:paraId="0124B974" w14:textId="77777777" w:rsidR="00B423EE" w:rsidRPr="00B423EE" w:rsidRDefault="00B423EE" w:rsidP="00B423EE">
            <w:pPr>
              <w:rPr>
                <w:sz w:val="20"/>
                <w:szCs w:val="20"/>
              </w:rPr>
            </w:pPr>
            <w:r w:rsidRPr="00B423EE">
              <w:rPr>
                <w:sz w:val="20"/>
                <w:szCs w:val="20"/>
              </w:rPr>
              <w:t>jhart@atlasresearch.us</w:t>
            </w:r>
          </w:p>
        </w:tc>
      </w:tr>
      <w:tr w:rsidR="00B423EE" w:rsidRPr="008A18E1" w14:paraId="500BB100" w14:textId="77777777" w:rsidTr="00DE77DD">
        <w:tc>
          <w:tcPr>
            <w:tcW w:w="2138" w:type="dxa"/>
          </w:tcPr>
          <w:p w14:paraId="77972A2D" w14:textId="77777777" w:rsidR="00B423EE" w:rsidRPr="00B423EE" w:rsidRDefault="00B423EE" w:rsidP="00B423EE">
            <w:pPr>
              <w:rPr>
                <w:sz w:val="20"/>
                <w:szCs w:val="20"/>
              </w:rPr>
            </w:pPr>
            <w:r w:rsidRPr="00B423EE">
              <w:rPr>
                <w:sz w:val="20"/>
                <w:szCs w:val="20"/>
              </w:rPr>
              <w:t>Julia Rollison</w:t>
            </w:r>
          </w:p>
        </w:tc>
        <w:tc>
          <w:tcPr>
            <w:tcW w:w="2494" w:type="dxa"/>
          </w:tcPr>
          <w:p w14:paraId="7D3A0B30" w14:textId="77777777" w:rsidR="00B423EE" w:rsidRPr="00B423EE" w:rsidRDefault="00B423EE" w:rsidP="00B423EE">
            <w:pPr>
              <w:rPr>
                <w:sz w:val="20"/>
                <w:szCs w:val="20"/>
              </w:rPr>
            </w:pPr>
            <w:r w:rsidRPr="00B423EE">
              <w:rPr>
                <w:sz w:val="20"/>
                <w:szCs w:val="20"/>
              </w:rPr>
              <w:t>Atlas</w:t>
            </w:r>
          </w:p>
        </w:tc>
        <w:tc>
          <w:tcPr>
            <w:tcW w:w="3558" w:type="dxa"/>
          </w:tcPr>
          <w:p w14:paraId="36CC209B" w14:textId="77777777" w:rsidR="00B423EE" w:rsidRPr="00B423EE" w:rsidRDefault="00B423EE" w:rsidP="00B423EE">
            <w:pPr>
              <w:rPr>
                <w:sz w:val="20"/>
                <w:szCs w:val="20"/>
              </w:rPr>
            </w:pPr>
            <w:r w:rsidRPr="00B423EE">
              <w:rPr>
                <w:sz w:val="20"/>
                <w:szCs w:val="20"/>
              </w:rPr>
              <w:t>jrollison@atlasresearch.us</w:t>
            </w:r>
          </w:p>
        </w:tc>
      </w:tr>
      <w:tr w:rsidR="00B423EE" w:rsidRPr="008A18E1" w14:paraId="40BD3618" w14:textId="77777777" w:rsidTr="00DE77DD">
        <w:tc>
          <w:tcPr>
            <w:tcW w:w="2138" w:type="dxa"/>
          </w:tcPr>
          <w:p w14:paraId="6B922CE8" w14:textId="77777777" w:rsidR="00B423EE" w:rsidRPr="00B423EE" w:rsidRDefault="00B423EE" w:rsidP="00B423EE">
            <w:pPr>
              <w:rPr>
                <w:sz w:val="20"/>
                <w:szCs w:val="20"/>
              </w:rPr>
            </w:pPr>
            <w:r w:rsidRPr="00B423EE">
              <w:rPr>
                <w:sz w:val="20"/>
                <w:szCs w:val="20"/>
              </w:rPr>
              <w:t>Clarke Erickson</w:t>
            </w:r>
          </w:p>
        </w:tc>
        <w:tc>
          <w:tcPr>
            <w:tcW w:w="2494" w:type="dxa"/>
          </w:tcPr>
          <w:p w14:paraId="61D1AD4D" w14:textId="77777777" w:rsidR="00B423EE" w:rsidRPr="00B423EE" w:rsidRDefault="00B423EE" w:rsidP="00B423EE">
            <w:pPr>
              <w:rPr>
                <w:sz w:val="20"/>
                <w:szCs w:val="20"/>
              </w:rPr>
            </w:pPr>
            <w:r w:rsidRPr="00B423EE">
              <w:rPr>
                <w:sz w:val="20"/>
                <w:szCs w:val="20"/>
              </w:rPr>
              <w:t>Atlas</w:t>
            </w:r>
          </w:p>
        </w:tc>
        <w:tc>
          <w:tcPr>
            <w:tcW w:w="3558" w:type="dxa"/>
          </w:tcPr>
          <w:p w14:paraId="43F247E7" w14:textId="77777777" w:rsidR="00B423EE" w:rsidRPr="00B423EE" w:rsidRDefault="00B423EE" w:rsidP="00B423EE">
            <w:pPr>
              <w:rPr>
                <w:sz w:val="20"/>
                <w:szCs w:val="20"/>
              </w:rPr>
            </w:pPr>
            <w:r w:rsidRPr="00B423EE">
              <w:rPr>
                <w:sz w:val="20"/>
                <w:szCs w:val="20"/>
              </w:rPr>
              <w:t>cerickson@atlasresearch.us</w:t>
            </w:r>
          </w:p>
        </w:tc>
      </w:tr>
      <w:tr w:rsidR="00B423EE" w:rsidRPr="008A18E1" w14:paraId="29C5AFB9" w14:textId="77777777" w:rsidTr="00DE77DD">
        <w:tc>
          <w:tcPr>
            <w:tcW w:w="2138" w:type="dxa"/>
          </w:tcPr>
          <w:p w14:paraId="35D11401" w14:textId="77777777" w:rsidR="00B423EE" w:rsidRPr="00B423EE" w:rsidRDefault="00B423EE" w:rsidP="00B423EE">
            <w:pPr>
              <w:rPr>
                <w:sz w:val="20"/>
                <w:szCs w:val="20"/>
              </w:rPr>
            </w:pPr>
            <w:r w:rsidRPr="00B423EE">
              <w:rPr>
                <w:sz w:val="20"/>
                <w:szCs w:val="20"/>
              </w:rPr>
              <w:t>Joanne Keatley</w:t>
            </w:r>
          </w:p>
        </w:tc>
        <w:tc>
          <w:tcPr>
            <w:tcW w:w="2494" w:type="dxa"/>
          </w:tcPr>
          <w:p w14:paraId="30F949AC" w14:textId="77777777" w:rsidR="00B423EE" w:rsidRPr="00B423EE" w:rsidRDefault="00B423EE" w:rsidP="00B423EE">
            <w:pPr>
              <w:rPr>
                <w:sz w:val="20"/>
                <w:szCs w:val="20"/>
              </w:rPr>
            </w:pPr>
            <w:r>
              <w:rPr>
                <w:sz w:val="20"/>
                <w:szCs w:val="20"/>
              </w:rPr>
              <w:t>UC</w:t>
            </w:r>
            <w:r w:rsidRPr="00B423EE">
              <w:rPr>
                <w:sz w:val="20"/>
                <w:szCs w:val="20"/>
              </w:rPr>
              <w:t>SF</w:t>
            </w:r>
          </w:p>
        </w:tc>
        <w:tc>
          <w:tcPr>
            <w:tcW w:w="3558" w:type="dxa"/>
          </w:tcPr>
          <w:p w14:paraId="668C271F" w14:textId="77777777" w:rsidR="00B423EE" w:rsidRPr="00B423EE" w:rsidRDefault="00B423EE" w:rsidP="00B423EE">
            <w:pPr>
              <w:rPr>
                <w:sz w:val="20"/>
                <w:szCs w:val="20"/>
              </w:rPr>
            </w:pPr>
            <w:r w:rsidRPr="00B423EE">
              <w:rPr>
                <w:sz w:val="20"/>
                <w:szCs w:val="20"/>
              </w:rPr>
              <w:t>joanne.keatley@ucsf.edu</w:t>
            </w:r>
          </w:p>
        </w:tc>
      </w:tr>
      <w:tr w:rsidR="00B423EE" w:rsidRPr="008A18E1" w14:paraId="7383BC99" w14:textId="77777777" w:rsidTr="00DE77DD">
        <w:tc>
          <w:tcPr>
            <w:tcW w:w="2138" w:type="dxa"/>
          </w:tcPr>
          <w:p w14:paraId="1FF30F6C" w14:textId="77777777" w:rsidR="00B423EE" w:rsidRPr="00B423EE" w:rsidRDefault="00B423EE" w:rsidP="00B423EE">
            <w:pPr>
              <w:rPr>
                <w:sz w:val="20"/>
                <w:szCs w:val="20"/>
              </w:rPr>
            </w:pPr>
            <w:r w:rsidRPr="00B423EE">
              <w:rPr>
                <w:sz w:val="20"/>
                <w:szCs w:val="20"/>
              </w:rPr>
              <w:t>Alex Mijares</w:t>
            </w:r>
          </w:p>
        </w:tc>
        <w:tc>
          <w:tcPr>
            <w:tcW w:w="2494" w:type="dxa"/>
          </w:tcPr>
          <w:p w14:paraId="4AA35316" w14:textId="77777777" w:rsidR="00B423EE" w:rsidRPr="00B423EE" w:rsidRDefault="00B423EE" w:rsidP="00B423EE">
            <w:pPr>
              <w:rPr>
                <w:sz w:val="20"/>
                <w:szCs w:val="20"/>
              </w:rPr>
            </w:pPr>
            <w:r w:rsidRPr="00B423EE">
              <w:rPr>
                <w:sz w:val="20"/>
                <w:szCs w:val="20"/>
              </w:rPr>
              <w:t xml:space="preserve">Abt Associates </w:t>
            </w:r>
          </w:p>
        </w:tc>
        <w:tc>
          <w:tcPr>
            <w:tcW w:w="3558" w:type="dxa"/>
          </w:tcPr>
          <w:p w14:paraId="76B75D50" w14:textId="77777777" w:rsidR="00B423EE" w:rsidRPr="00B423EE" w:rsidRDefault="00B423EE" w:rsidP="00B423EE">
            <w:pPr>
              <w:rPr>
                <w:sz w:val="20"/>
                <w:szCs w:val="20"/>
              </w:rPr>
            </w:pPr>
            <w:r w:rsidRPr="00B423EE">
              <w:rPr>
                <w:sz w:val="20"/>
                <w:szCs w:val="20"/>
              </w:rPr>
              <w:t>Alex_Mijares@abtassoc.com</w:t>
            </w:r>
          </w:p>
        </w:tc>
      </w:tr>
      <w:tr w:rsidR="00B423EE" w:rsidRPr="008A18E1" w14:paraId="5C010BE9" w14:textId="77777777" w:rsidTr="00DE77DD">
        <w:tc>
          <w:tcPr>
            <w:tcW w:w="2138" w:type="dxa"/>
          </w:tcPr>
          <w:p w14:paraId="1FE72136" w14:textId="77777777" w:rsidR="00B423EE" w:rsidRPr="00B423EE" w:rsidRDefault="00B423EE" w:rsidP="00B423EE">
            <w:pPr>
              <w:rPr>
                <w:sz w:val="20"/>
                <w:szCs w:val="20"/>
              </w:rPr>
            </w:pPr>
            <w:r w:rsidRPr="00B423EE">
              <w:rPr>
                <w:sz w:val="20"/>
                <w:szCs w:val="20"/>
              </w:rPr>
              <w:t>Cynthia Klein</w:t>
            </w:r>
          </w:p>
        </w:tc>
        <w:tc>
          <w:tcPr>
            <w:tcW w:w="2494" w:type="dxa"/>
          </w:tcPr>
          <w:p w14:paraId="00F1D030" w14:textId="77777777" w:rsidR="00B423EE" w:rsidRPr="00B423EE" w:rsidRDefault="00B423EE" w:rsidP="00B423EE">
            <w:pPr>
              <w:rPr>
                <w:sz w:val="20"/>
                <w:szCs w:val="20"/>
              </w:rPr>
            </w:pPr>
            <w:r w:rsidRPr="00B423EE">
              <w:rPr>
                <w:sz w:val="20"/>
                <w:szCs w:val="20"/>
              </w:rPr>
              <w:t xml:space="preserve">Abt Associates </w:t>
            </w:r>
          </w:p>
        </w:tc>
        <w:tc>
          <w:tcPr>
            <w:tcW w:w="3558" w:type="dxa"/>
          </w:tcPr>
          <w:p w14:paraId="57CC846C" w14:textId="77777777" w:rsidR="00B423EE" w:rsidRPr="00B423EE" w:rsidRDefault="00B423EE" w:rsidP="00B423EE">
            <w:pPr>
              <w:rPr>
                <w:sz w:val="20"/>
                <w:szCs w:val="20"/>
              </w:rPr>
            </w:pPr>
            <w:r w:rsidRPr="00B423EE">
              <w:rPr>
                <w:sz w:val="20"/>
                <w:szCs w:val="20"/>
              </w:rPr>
              <w:t>Cynthia_Klein@abtassoc.com</w:t>
            </w:r>
          </w:p>
        </w:tc>
      </w:tr>
      <w:tr w:rsidR="00B423EE" w:rsidRPr="008A18E1" w14:paraId="2FD8124C" w14:textId="77777777" w:rsidTr="00DE77DD">
        <w:tc>
          <w:tcPr>
            <w:tcW w:w="2138" w:type="dxa"/>
          </w:tcPr>
          <w:p w14:paraId="2F32C56F" w14:textId="77777777" w:rsidR="00B423EE" w:rsidRPr="00B423EE" w:rsidRDefault="00B423EE" w:rsidP="00B423EE">
            <w:pPr>
              <w:rPr>
                <w:sz w:val="20"/>
                <w:szCs w:val="20"/>
              </w:rPr>
            </w:pPr>
            <w:r w:rsidRPr="00B423EE">
              <w:rPr>
                <w:sz w:val="20"/>
                <w:szCs w:val="20"/>
              </w:rPr>
              <w:t>Marian Creasy</w:t>
            </w:r>
          </w:p>
        </w:tc>
        <w:tc>
          <w:tcPr>
            <w:tcW w:w="2494" w:type="dxa"/>
          </w:tcPr>
          <w:p w14:paraId="49CCFA5B" w14:textId="77777777" w:rsidR="00B423EE" w:rsidRPr="00B423EE" w:rsidRDefault="00B423EE" w:rsidP="00B423EE">
            <w:pPr>
              <w:rPr>
                <w:sz w:val="20"/>
                <w:szCs w:val="20"/>
              </w:rPr>
            </w:pPr>
            <w:r w:rsidRPr="00B423EE">
              <w:rPr>
                <w:sz w:val="20"/>
                <w:szCs w:val="20"/>
              </w:rPr>
              <w:t xml:space="preserve">Abt Associates </w:t>
            </w:r>
          </w:p>
        </w:tc>
        <w:tc>
          <w:tcPr>
            <w:tcW w:w="3558" w:type="dxa"/>
          </w:tcPr>
          <w:p w14:paraId="57AD5664" w14:textId="77777777" w:rsidR="00B423EE" w:rsidRPr="00B423EE" w:rsidRDefault="00B423EE" w:rsidP="00B423EE">
            <w:pPr>
              <w:rPr>
                <w:sz w:val="20"/>
                <w:szCs w:val="20"/>
              </w:rPr>
            </w:pPr>
            <w:r w:rsidRPr="00B423EE">
              <w:rPr>
                <w:sz w:val="20"/>
                <w:szCs w:val="20"/>
              </w:rPr>
              <w:t>Marian_Creasy@abtassoc.com</w:t>
            </w:r>
          </w:p>
        </w:tc>
      </w:tr>
    </w:tbl>
    <w:p w14:paraId="0F42AA88" w14:textId="77777777" w:rsidR="00013F21" w:rsidRDefault="00DE77DD" w:rsidP="00B423EE">
      <w:pPr>
        <w:pStyle w:val="Heading1"/>
        <w:numPr>
          <w:ilvl w:val="0"/>
          <w:numId w:val="0"/>
        </w:numPr>
        <w:tabs>
          <w:tab w:val="left" w:pos="5748"/>
        </w:tabs>
      </w:pPr>
      <w:r>
        <w:t>R</w:t>
      </w:r>
      <w:r w:rsidR="00013F21">
        <w:t>eferences</w:t>
      </w:r>
      <w:r w:rsidR="00B423EE">
        <w:tab/>
      </w:r>
    </w:p>
    <w:p w14:paraId="0B94CA5F" w14:textId="77777777" w:rsidR="0053739F" w:rsidRDefault="0053739F" w:rsidP="00013F21"/>
    <w:p w14:paraId="6624635E" w14:textId="0A96627C" w:rsidR="00B423EE" w:rsidRDefault="00B423EE" w:rsidP="00013F21">
      <w:r w:rsidRPr="00B423EE">
        <w:t>Flores, A. R., Herman, J. L., Gates, G. J., &amp; Brown, T. (2016). How Many Adults Identify As Transgender In The United States?.</w:t>
      </w:r>
      <w:r w:rsidR="00FB42B0">
        <w:t xml:space="preserve"> The Williams Institute. Los Angeles.</w:t>
      </w:r>
      <w:r w:rsidR="00151B30">
        <w:t xml:space="preserve"> Available online: </w:t>
      </w:r>
      <w:hyperlink r:id="rId8" w:history="1">
        <w:r w:rsidR="003D1CCB" w:rsidRPr="00F8100D">
          <w:rPr>
            <w:rStyle w:val="Hyperlink"/>
          </w:rPr>
          <w:t>http://williamsinstitute.law.ucla.edu/wp-content/uploads/How-Many-Adults-Identify-as-Transgender-in-the-United-States.pdf</w:t>
        </w:r>
      </w:hyperlink>
    </w:p>
    <w:p w14:paraId="4B2DE009" w14:textId="77777777" w:rsidR="003D1CCB" w:rsidRDefault="003D1CCB" w:rsidP="00013F21"/>
    <w:p w14:paraId="1D050A95" w14:textId="115376AB" w:rsidR="00013F21" w:rsidRDefault="0053739F" w:rsidP="00013F21">
      <w:r>
        <w:rPr>
          <w:noProof/>
        </w:rPr>
        <w:fldChar w:fldCharType="begin"/>
      </w:r>
      <w:r>
        <w:instrText xml:space="preserve"> ADDIN EN.REFLIST </w:instrText>
      </w:r>
      <w:r>
        <w:rPr>
          <w:noProof/>
        </w:rPr>
        <w:fldChar w:fldCharType="end"/>
      </w:r>
    </w:p>
    <w:sectPr w:rsidR="00013F21" w:rsidSect="006C6578">
      <w:footerReference w:type="default" r:id="rId9"/>
      <w:endnotePr>
        <w:numFmt w:val="decimal"/>
      </w:end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C69A" w14:textId="77777777" w:rsidR="001272C8" w:rsidRDefault="001272C8" w:rsidP="008B5D54">
      <w:r>
        <w:separator/>
      </w:r>
    </w:p>
  </w:endnote>
  <w:endnote w:type="continuationSeparator" w:id="0">
    <w:p w14:paraId="2EF32EC4" w14:textId="77777777" w:rsidR="001272C8" w:rsidRDefault="001272C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164076"/>
      <w:docPartObj>
        <w:docPartGallery w:val="Page Numbers (Bottom of Page)"/>
        <w:docPartUnique/>
      </w:docPartObj>
    </w:sdtPr>
    <w:sdtEndPr>
      <w:rPr>
        <w:noProof/>
      </w:rPr>
    </w:sdtEndPr>
    <w:sdtContent>
      <w:p w14:paraId="701C99FF" w14:textId="77777777" w:rsidR="007F29CE" w:rsidRDefault="007F29CE">
        <w:pPr>
          <w:pStyle w:val="Footer"/>
          <w:jc w:val="right"/>
        </w:pPr>
        <w:r>
          <w:fldChar w:fldCharType="begin"/>
        </w:r>
        <w:r>
          <w:instrText xml:space="preserve"> PAGE   \* MERGEFORMAT </w:instrText>
        </w:r>
        <w:r>
          <w:fldChar w:fldCharType="separate"/>
        </w:r>
        <w:r w:rsidR="00772D33">
          <w:rPr>
            <w:noProof/>
          </w:rPr>
          <w:t>7</w:t>
        </w:r>
        <w:r>
          <w:rPr>
            <w:noProof/>
          </w:rPr>
          <w:fldChar w:fldCharType="end"/>
        </w:r>
      </w:p>
    </w:sdtContent>
  </w:sdt>
  <w:p w14:paraId="144CBD9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8BEC9" w14:textId="77777777" w:rsidR="001272C8" w:rsidRDefault="001272C8" w:rsidP="008B5D54">
      <w:r>
        <w:separator/>
      </w:r>
    </w:p>
  </w:footnote>
  <w:footnote w:type="continuationSeparator" w:id="0">
    <w:p w14:paraId="6EE8C4FD" w14:textId="77777777" w:rsidR="001272C8" w:rsidRDefault="001272C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D2C5F"/>
    <w:multiLevelType w:val="hybridMultilevel"/>
    <w:tmpl w:val="D75EC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5"/>
  </w:num>
  <w:num w:numId="5">
    <w:abstractNumId w:val="8"/>
  </w:num>
  <w:num w:numId="6">
    <w:abstractNumId w:val="2"/>
  </w:num>
  <w:num w:numId="7">
    <w:abstractNumId w:val="0"/>
  </w:num>
  <w:num w:numId="8">
    <w:abstractNumId w:val="3"/>
  </w:num>
  <w:num w:numId="9">
    <w:abstractNumId w:val="11"/>
  </w:num>
  <w:num w:numId="10">
    <w:abstractNumId w:val="10"/>
  </w:num>
  <w:num w:numId="11">
    <w:abstractNumId w:val="9"/>
  </w:num>
  <w:num w:numId="12">
    <w:abstractNumId w:val="13"/>
  </w:num>
  <w:num w:numId="13">
    <w:abstractNumId w:val="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1FF0"/>
    <w:rsid w:val="00013F21"/>
    <w:rsid w:val="000366A9"/>
    <w:rsid w:val="000D03CA"/>
    <w:rsid w:val="00100746"/>
    <w:rsid w:val="00103914"/>
    <w:rsid w:val="00104443"/>
    <w:rsid w:val="001272C8"/>
    <w:rsid w:val="0014326C"/>
    <w:rsid w:val="00151B30"/>
    <w:rsid w:val="0016459B"/>
    <w:rsid w:val="00187F1C"/>
    <w:rsid w:val="002A4110"/>
    <w:rsid w:val="00311E64"/>
    <w:rsid w:val="0031423B"/>
    <w:rsid w:val="0032129A"/>
    <w:rsid w:val="00325C9D"/>
    <w:rsid w:val="00361089"/>
    <w:rsid w:val="003908E6"/>
    <w:rsid w:val="003978FC"/>
    <w:rsid w:val="003A2A70"/>
    <w:rsid w:val="003D1CCB"/>
    <w:rsid w:val="003D3BBE"/>
    <w:rsid w:val="003D4F04"/>
    <w:rsid w:val="0040239B"/>
    <w:rsid w:val="004F75AD"/>
    <w:rsid w:val="00527188"/>
    <w:rsid w:val="005339B7"/>
    <w:rsid w:val="005342FB"/>
    <w:rsid w:val="0053739F"/>
    <w:rsid w:val="00554673"/>
    <w:rsid w:val="0055675E"/>
    <w:rsid w:val="00580D3A"/>
    <w:rsid w:val="005A3A8D"/>
    <w:rsid w:val="005A6CB0"/>
    <w:rsid w:val="005C226C"/>
    <w:rsid w:val="005D0F7C"/>
    <w:rsid w:val="005E2E30"/>
    <w:rsid w:val="005F079D"/>
    <w:rsid w:val="00606E0F"/>
    <w:rsid w:val="00607C89"/>
    <w:rsid w:val="00615AD1"/>
    <w:rsid w:val="00644E20"/>
    <w:rsid w:val="00656863"/>
    <w:rsid w:val="00670D29"/>
    <w:rsid w:val="00686860"/>
    <w:rsid w:val="006B0155"/>
    <w:rsid w:val="006C6578"/>
    <w:rsid w:val="006E3721"/>
    <w:rsid w:val="00720E62"/>
    <w:rsid w:val="00772D33"/>
    <w:rsid w:val="00786952"/>
    <w:rsid w:val="00792029"/>
    <w:rsid w:val="007A56E0"/>
    <w:rsid w:val="007B4308"/>
    <w:rsid w:val="007C43A0"/>
    <w:rsid w:val="007D3934"/>
    <w:rsid w:val="007F29CE"/>
    <w:rsid w:val="007F5034"/>
    <w:rsid w:val="008238F6"/>
    <w:rsid w:val="008253CC"/>
    <w:rsid w:val="00851A91"/>
    <w:rsid w:val="00892BA9"/>
    <w:rsid w:val="00896EEA"/>
    <w:rsid w:val="008A05ED"/>
    <w:rsid w:val="008A18E1"/>
    <w:rsid w:val="008B22CA"/>
    <w:rsid w:val="008B2F17"/>
    <w:rsid w:val="008B5D54"/>
    <w:rsid w:val="008D34B2"/>
    <w:rsid w:val="008D61A7"/>
    <w:rsid w:val="008F519C"/>
    <w:rsid w:val="00914C58"/>
    <w:rsid w:val="0092419F"/>
    <w:rsid w:val="0092509A"/>
    <w:rsid w:val="00937383"/>
    <w:rsid w:val="009410ED"/>
    <w:rsid w:val="00945206"/>
    <w:rsid w:val="00947E53"/>
    <w:rsid w:val="009665D0"/>
    <w:rsid w:val="00971839"/>
    <w:rsid w:val="00A9552C"/>
    <w:rsid w:val="00AB6846"/>
    <w:rsid w:val="00AC1ACA"/>
    <w:rsid w:val="00AC47D6"/>
    <w:rsid w:val="00AF3A32"/>
    <w:rsid w:val="00B27474"/>
    <w:rsid w:val="00B423EE"/>
    <w:rsid w:val="00B55735"/>
    <w:rsid w:val="00B608AC"/>
    <w:rsid w:val="00B96201"/>
    <w:rsid w:val="00C24CB1"/>
    <w:rsid w:val="00C262EC"/>
    <w:rsid w:val="00C33466"/>
    <w:rsid w:val="00C722C4"/>
    <w:rsid w:val="00C946C2"/>
    <w:rsid w:val="00CC00C1"/>
    <w:rsid w:val="00CC755C"/>
    <w:rsid w:val="00CD1409"/>
    <w:rsid w:val="00CD6D16"/>
    <w:rsid w:val="00D0040C"/>
    <w:rsid w:val="00D025A5"/>
    <w:rsid w:val="00D14157"/>
    <w:rsid w:val="00D207FC"/>
    <w:rsid w:val="00D3747B"/>
    <w:rsid w:val="00D554F6"/>
    <w:rsid w:val="00D90173"/>
    <w:rsid w:val="00DC57CC"/>
    <w:rsid w:val="00DE69FC"/>
    <w:rsid w:val="00DE77DD"/>
    <w:rsid w:val="00DF4654"/>
    <w:rsid w:val="00DF6A21"/>
    <w:rsid w:val="00E04084"/>
    <w:rsid w:val="00E3297C"/>
    <w:rsid w:val="00E451A4"/>
    <w:rsid w:val="00E557C3"/>
    <w:rsid w:val="00E769A2"/>
    <w:rsid w:val="00EA0E5E"/>
    <w:rsid w:val="00EE64BF"/>
    <w:rsid w:val="00F013BE"/>
    <w:rsid w:val="00F21E20"/>
    <w:rsid w:val="00F462EA"/>
    <w:rsid w:val="00FA09E0"/>
    <w:rsid w:val="00FB42B0"/>
    <w:rsid w:val="00FC0B16"/>
    <w:rsid w:val="00FC2972"/>
    <w:rsid w:val="00FE576A"/>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6B252"/>
  <w15:chartTrackingRefBased/>
  <w15:docId w15:val="{27F2B1FB-DD94-450C-ABA5-EE0B9192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styleId="TableGrid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diumGrid1-Accent21">
    <w:name w:val="Medium Grid 1 - Accent 21"/>
    <w:basedOn w:val="Normal"/>
    <w:link w:val="MediumGrid1-Accent2Char"/>
    <w:uiPriority w:val="34"/>
    <w:qFormat/>
    <w:rsid w:val="002A411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2A4110"/>
    <w:rPr>
      <w:rFonts w:ascii="Cambria" w:eastAsia="MS Mincho" w:hAnsi="Cambria" w:cs="Times New Roman"/>
      <w:sz w:val="24"/>
      <w:szCs w:val="24"/>
    </w:rPr>
  </w:style>
  <w:style w:type="character" w:customStyle="1" w:styleId="ListParagraphChar">
    <w:name w:val="List Paragraph Char"/>
    <w:link w:val="ListParagraph"/>
    <w:uiPriority w:val="34"/>
    <w:locked/>
    <w:rsid w:val="00896E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38378754">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lliamsinstitute.law.ucla.edu/wp-content/uploads/How-Many-Adults-Identify-as-Transgender-in-the-United-Stat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0C74D8-F092-4869-95D0-EEAA8297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3150</Words>
  <Characters>17956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Bonds, Constance (CDC/OID/NCHHSTP)</cp:lastModifiedBy>
  <cp:revision>2</cp:revision>
  <dcterms:created xsi:type="dcterms:W3CDTF">2017-01-11T18:50:00Z</dcterms:created>
  <dcterms:modified xsi:type="dcterms:W3CDTF">2017-01-11T18:50:00Z</dcterms:modified>
</cp:coreProperties>
</file>