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838515" w14:textId="77777777" w:rsidR="006869D4" w:rsidRDefault="006869D4" w:rsidP="006869D4">
      <w:pPr>
        <w:pStyle w:val="NoSpacing"/>
        <w:jc w:val="center"/>
        <w:rPr>
          <w:b/>
        </w:rPr>
      </w:pPr>
    </w:p>
    <w:p w14:paraId="278826FC" w14:textId="54A4C0EC" w:rsidR="00E227E6" w:rsidRDefault="001B433F" w:rsidP="006869D4">
      <w:pPr>
        <w:pStyle w:val="NoSpacing"/>
        <w:jc w:val="center"/>
        <w:rPr>
          <w:b/>
        </w:rPr>
      </w:pPr>
      <w:r w:rsidRPr="001B433F">
        <w:rPr>
          <w:b/>
        </w:rPr>
        <w:t>Barriers and Facilitators to HIV Prevention, Care, and Treatment among Transgender Women in Atlanta, GA, Philadelphia, PA, and Washington, DC</w:t>
      </w:r>
      <w:r w:rsidR="00B12276">
        <w:rPr>
          <w:b/>
        </w:rPr>
        <w:t xml:space="preserve"> (T-</w:t>
      </w:r>
      <w:proofErr w:type="spellStart"/>
      <w:r w:rsidR="00B12276">
        <w:rPr>
          <w:b/>
        </w:rPr>
        <w:t>Qual</w:t>
      </w:r>
      <w:proofErr w:type="spellEnd"/>
      <w:r w:rsidR="00B12276">
        <w:rPr>
          <w:b/>
        </w:rPr>
        <w:t>)</w:t>
      </w:r>
    </w:p>
    <w:p w14:paraId="6E77AC01" w14:textId="77777777" w:rsidR="001B433F" w:rsidRDefault="001B433F" w:rsidP="006869D4">
      <w:pPr>
        <w:pStyle w:val="NoSpacing"/>
        <w:jc w:val="center"/>
        <w:rPr>
          <w:b/>
        </w:rPr>
      </w:pPr>
    </w:p>
    <w:p w14:paraId="2D4C5522" w14:textId="6C1A4BFE" w:rsidR="00E227E6" w:rsidRDefault="00E227E6" w:rsidP="006869D4">
      <w:pPr>
        <w:pStyle w:val="NoSpacing"/>
        <w:jc w:val="center"/>
        <w:rPr>
          <w:b/>
        </w:rPr>
      </w:pPr>
      <w:r>
        <w:rPr>
          <w:b/>
        </w:rPr>
        <w:t>Gen</w:t>
      </w:r>
      <w:r w:rsidR="001F2D33">
        <w:rPr>
          <w:b/>
        </w:rPr>
        <w:t>eric</w:t>
      </w:r>
      <w:r>
        <w:rPr>
          <w:b/>
        </w:rPr>
        <w:t xml:space="preserve"> Information Collection Request under OMB #0920-</w:t>
      </w:r>
      <w:r w:rsidR="001F2D33">
        <w:rPr>
          <w:b/>
        </w:rPr>
        <w:t>1091</w:t>
      </w:r>
    </w:p>
    <w:p w14:paraId="646ACD0B" w14:textId="77777777" w:rsidR="00E227E6" w:rsidRDefault="00E227E6" w:rsidP="006869D4">
      <w:pPr>
        <w:pStyle w:val="NoSpacing"/>
        <w:jc w:val="center"/>
        <w:rPr>
          <w:b/>
        </w:rPr>
      </w:pPr>
    </w:p>
    <w:p w14:paraId="70491B13" w14:textId="77777777" w:rsidR="00E227E6" w:rsidRDefault="00E227E6" w:rsidP="006869D4">
      <w:pPr>
        <w:pStyle w:val="NoSpacing"/>
        <w:jc w:val="center"/>
        <w:rPr>
          <w:b/>
        </w:rPr>
      </w:pPr>
    </w:p>
    <w:p w14:paraId="3FA0A050" w14:textId="77777777" w:rsidR="0098673D" w:rsidRDefault="0098673D" w:rsidP="006869D4">
      <w:pPr>
        <w:pStyle w:val="NoSpacing"/>
        <w:jc w:val="center"/>
        <w:rPr>
          <w:b/>
        </w:rPr>
      </w:pPr>
    </w:p>
    <w:p w14:paraId="1032F302" w14:textId="77777777" w:rsidR="0098673D" w:rsidRDefault="0098673D" w:rsidP="006869D4">
      <w:pPr>
        <w:pStyle w:val="NoSpacing"/>
        <w:jc w:val="center"/>
        <w:rPr>
          <w:b/>
        </w:rPr>
      </w:pPr>
    </w:p>
    <w:p w14:paraId="0DA15451" w14:textId="77777777" w:rsidR="0098673D" w:rsidRDefault="0098673D" w:rsidP="006869D4">
      <w:pPr>
        <w:pStyle w:val="NoSpacing"/>
        <w:jc w:val="center"/>
        <w:rPr>
          <w:b/>
        </w:rPr>
      </w:pPr>
      <w:r>
        <w:rPr>
          <w:b/>
        </w:rPr>
        <w:t>Section A: Supporting Statement</w:t>
      </w:r>
    </w:p>
    <w:p w14:paraId="012C70EF" w14:textId="77777777" w:rsidR="0098673D" w:rsidRDefault="0098673D" w:rsidP="006869D4">
      <w:pPr>
        <w:pStyle w:val="NoSpacing"/>
        <w:jc w:val="center"/>
        <w:rPr>
          <w:b/>
        </w:rPr>
      </w:pPr>
    </w:p>
    <w:p w14:paraId="20F53B92" w14:textId="77777777" w:rsidR="0098673D" w:rsidRDefault="0098673D" w:rsidP="006869D4">
      <w:pPr>
        <w:pStyle w:val="NoSpacing"/>
        <w:jc w:val="center"/>
        <w:rPr>
          <w:b/>
        </w:rPr>
      </w:pPr>
    </w:p>
    <w:p w14:paraId="7AFB1319" w14:textId="77777777" w:rsidR="00053671" w:rsidRDefault="00053671" w:rsidP="006869D4">
      <w:pPr>
        <w:pStyle w:val="NoSpacing"/>
        <w:jc w:val="center"/>
        <w:rPr>
          <w:b/>
        </w:rPr>
      </w:pPr>
    </w:p>
    <w:p w14:paraId="04EE08F6" w14:textId="77777777" w:rsidR="00053671" w:rsidRDefault="00053671" w:rsidP="006869D4">
      <w:pPr>
        <w:pStyle w:val="NoSpacing"/>
        <w:jc w:val="center"/>
        <w:rPr>
          <w:b/>
        </w:rPr>
      </w:pPr>
    </w:p>
    <w:p w14:paraId="3C674D0A" w14:textId="18564FBB" w:rsidR="001B433F" w:rsidRDefault="00996C86" w:rsidP="001B433F">
      <w:pPr>
        <w:pStyle w:val="NoSpacing"/>
        <w:jc w:val="center"/>
        <w:rPr>
          <w:b/>
        </w:rPr>
      </w:pPr>
      <w:r>
        <w:rPr>
          <w:b/>
        </w:rPr>
        <w:t>December 7</w:t>
      </w:r>
      <w:r w:rsidR="00E91107">
        <w:rPr>
          <w:b/>
        </w:rPr>
        <w:t>, 2016</w:t>
      </w:r>
    </w:p>
    <w:p w14:paraId="3ADA8582" w14:textId="77777777" w:rsidR="00053671" w:rsidRDefault="00053671" w:rsidP="006869D4">
      <w:pPr>
        <w:pStyle w:val="NoSpacing"/>
        <w:jc w:val="center"/>
        <w:rPr>
          <w:b/>
        </w:rPr>
      </w:pPr>
    </w:p>
    <w:p w14:paraId="6C409248" w14:textId="77777777" w:rsidR="00053671" w:rsidRDefault="00053671" w:rsidP="006869D4">
      <w:pPr>
        <w:pStyle w:val="NoSpacing"/>
        <w:jc w:val="center"/>
        <w:rPr>
          <w:b/>
        </w:rPr>
      </w:pPr>
    </w:p>
    <w:p w14:paraId="0438CDFE" w14:textId="77777777" w:rsidR="00053671" w:rsidRDefault="00053671" w:rsidP="006869D4">
      <w:pPr>
        <w:pStyle w:val="NoSpacing"/>
        <w:jc w:val="center"/>
        <w:rPr>
          <w:b/>
        </w:rPr>
      </w:pPr>
      <w:r>
        <w:rPr>
          <w:b/>
        </w:rPr>
        <w:t>CONTACT</w:t>
      </w:r>
    </w:p>
    <w:p w14:paraId="12434A3D" w14:textId="0F04544E" w:rsidR="00053671" w:rsidRPr="00603813" w:rsidRDefault="001B433F" w:rsidP="00053671">
      <w:pPr>
        <w:jc w:val="center"/>
        <w:rPr>
          <w:shd w:val="clear" w:color="auto" w:fill="FFFFFF"/>
        </w:rPr>
      </w:pPr>
      <w:r>
        <w:rPr>
          <w:bCs/>
          <w:shd w:val="clear" w:color="auto" w:fill="FFFFFF"/>
        </w:rPr>
        <w:t>Damian J. Denson</w:t>
      </w:r>
      <w:r w:rsidR="00053671" w:rsidRPr="00603813">
        <w:rPr>
          <w:bCs/>
          <w:shd w:val="clear" w:color="auto" w:fill="FFFFFF"/>
        </w:rPr>
        <w:t>, PhD</w:t>
      </w:r>
      <w:r w:rsidR="00AC254E">
        <w:t>, MPH</w:t>
      </w:r>
      <w:r w:rsidR="00053671" w:rsidRPr="00603813">
        <w:br/>
      </w:r>
      <w:r>
        <w:t>Technical Monitor</w:t>
      </w:r>
    </w:p>
    <w:p w14:paraId="35C162D9" w14:textId="3BC1D59D" w:rsidR="004657BF" w:rsidRDefault="00053671" w:rsidP="00053671">
      <w:pPr>
        <w:pStyle w:val="NoSpacing"/>
        <w:jc w:val="center"/>
        <w:rPr>
          <w:shd w:val="clear" w:color="auto" w:fill="FFFFFF"/>
        </w:rPr>
      </w:pPr>
      <w:r w:rsidRPr="00603813">
        <w:rPr>
          <w:shd w:val="clear" w:color="auto" w:fill="FFFFFF"/>
        </w:rPr>
        <w:t>Centers for Disease Control and Prevention</w:t>
      </w:r>
      <w:r w:rsidRPr="00603813">
        <w:br/>
      </w:r>
      <w:r w:rsidRPr="00603813">
        <w:rPr>
          <w:shd w:val="clear" w:color="auto" w:fill="FFFFFF"/>
        </w:rPr>
        <w:t>Division of HIV/AIDS Prevention</w:t>
      </w:r>
      <w:r w:rsidRPr="00603813">
        <w:t xml:space="preserve"> </w:t>
      </w:r>
      <w:r w:rsidRPr="00603813">
        <w:br/>
      </w:r>
      <w:r w:rsidRPr="00603813">
        <w:rPr>
          <w:shd w:val="clear" w:color="auto" w:fill="FFFFFF"/>
        </w:rPr>
        <w:t>1600 Clifton Road, NE, Mailstop E-37</w:t>
      </w:r>
      <w:r w:rsidRPr="00603813">
        <w:br/>
      </w:r>
      <w:r w:rsidRPr="00603813">
        <w:rPr>
          <w:shd w:val="clear" w:color="auto" w:fill="FFFFFF"/>
        </w:rPr>
        <w:t>Atlanta, GA 30333</w:t>
      </w:r>
      <w:r w:rsidRPr="00603813">
        <w:br/>
      </w:r>
      <w:r w:rsidRPr="00603813">
        <w:rPr>
          <w:shd w:val="clear" w:color="auto" w:fill="FFFFFF"/>
        </w:rPr>
        <w:t xml:space="preserve">Phone: </w:t>
      </w:r>
      <w:r w:rsidR="004657BF">
        <w:rPr>
          <w:shd w:val="clear" w:color="auto" w:fill="FFFFFF"/>
        </w:rPr>
        <w:t>404-639-</w:t>
      </w:r>
      <w:r w:rsidR="001B433F">
        <w:rPr>
          <w:shd w:val="clear" w:color="auto" w:fill="FFFFFF"/>
        </w:rPr>
        <w:t>6125</w:t>
      </w:r>
    </w:p>
    <w:p w14:paraId="3A83CC25" w14:textId="27275120" w:rsidR="00053671" w:rsidRDefault="00053671" w:rsidP="00053671">
      <w:pPr>
        <w:pStyle w:val="NoSpacing"/>
        <w:jc w:val="center"/>
      </w:pPr>
      <w:r w:rsidRPr="00603813">
        <w:rPr>
          <w:shd w:val="clear" w:color="auto" w:fill="FFFFFF"/>
        </w:rPr>
        <w:t>Fax: 404-639-1950</w:t>
      </w:r>
      <w:r w:rsidRPr="00603813">
        <w:br/>
      </w:r>
      <w:r w:rsidRPr="00603813">
        <w:rPr>
          <w:shd w:val="clear" w:color="auto" w:fill="FFFFFF"/>
        </w:rPr>
        <w:t>E-mail:</w:t>
      </w:r>
      <w:r w:rsidRPr="00603813">
        <w:t> </w:t>
      </w:r>
      <w:r w:rsidR="00905CCE">
        <w:t>dvd5</w:t>
      </w:r>
      <w:r w:rsidR="00542640">
        <w:t>@cdc.gov</w:t>
      </w:r>
    </w:p>
    <w:p w14:paraId="6D3B73F1" w14:textId="77777777" w:rsidR="00542640" w:rsidRDefault="00542640" w:rsidP="00053671">
      <w:pPr>
        <w:pStyle w:val="NoSpacing"/>
        <w:jc w:val="center"/>
        <w:rPr>
          <w:b/>
        </w:rPr>
      </w:pPr>
    </w:p>
    <w:p w14:paraId="1CDBCFDA" w14:textId="77777777" w:rsidR="00542640" w:rsidRDefault="00542640" w:rsidP="00053671">
      <w:pPr>
        <w:pStyle w:val="NoSpacing"/>
        <w:jc w:val="center"/>
        <w:rPr>
          <w:b/>
        </w:rPr>
      </w:pPr>
    </w:p>
    <w:p w14:paraId="37C195DE" w14:textId="77777777" w:rsidR="00542640" w:rsidRDefault="00542640" w:rsidP="00053671">
      <w:pPr>
        <w:pStyle w:val="NoSpacing"/>
        <w:jc w:val="center"/>
        <w:rPr>
          <w:b/>
        </w:rPr>
      </w:pPr>
    </w:p>
    <w:p w14:paraId="189F3DEB" w14:textId="77777777" w:rsidR="00542640" w:rsidRDefault="00542640" w:rsidP="00053671">
      <w:pPr>
        <w:pStyle w:val="NoSpacing"/>
        <w:jc w:val="center"/>
        <w:rPr>
          <w:b/>
        </w:rPr>
      </w:pPr>
    </w:p>
    <w:p w14:paraId="301712CD" w14:textId="77777777" w:rsidR="00542640" w:rsidRDefault="00542640">
      <w:pPr>
        <w:spacing w:after="200" w:line="276" w:lineRule="auto"/>
        <w:rPr>
          <w:rFonts w:eastAsiaTheme="minorHAnsi" w:cstheme="minorBidi"/>
          <w:b/>
          <w:szCs w:val="22"/>
        </w:rPr>
      </w:pPr>
      <w:r>
        <w:rPr>
          <w:b/>
        </w:rPr>
        <w:br w:type="page"/>
      </w:r>
    </w:p>
    <w:p w14:paraId="0038FF52" w14:textId="77777777" w:rsidR="00542640" w:rsidRDefault="00542640" w:rsidP="00542640">
      <w:pPr>
        <w:pStyle w:val="NoSpacing"/>
        <w:pBdr>
          <w:bottom w:val="single" w:sz="4" w:space="1" w:color="auto"/>
        </w:pBdr>
        <w:rPr>
          <w:b/>
        </w:rPr>
      </w:pPr>
      <w:r w:rsidRPr="00E2574F">
        <w:rPr>
          <w:b/>
        </w:rPr>
        <w:lastRenderedPageBreak/>
        <w:t>TABLE OF CONTENTS</w:t>
      </w:r>
    </w:p>
    <w:p w14:paraId="25A78CC9" w14:textId="77777777" w:rsidR="00542640" w:rsidRDefault="00542640" w:rsidP="00542640">
      <w:pPr>
        <w:pStyle w:val="NoSpacing"/>
        <w:rPr>
          <w:b/>
        </w:rPr>
      </w:pPr>
    </w:p>
    <w:sdt>
      <w:sdtPr>
        <w:id w:val="1602600070"/>
        <w:docPartObj>
          <w:docPartGallery w:val="Table of Contents"/>
          <w:docPartUnique/>
        </w:docPartObj>
      </w:sdtPr>
      <w:sdtEndPr>
        <w:rPr>
          <w:b/>
          <w:bCs/>
          <w:noProof/>
        </w:rPr>
      </w:sdtEndPr>
      <w:sdtContent>
        <w:p w14:paraId="166B3B02" w14:textId="77777777" w:rsidR="006C655A" w:rsidRDefault="00B12EA3" w:rsidP="00E56897">
          <w:pPr>
            <w:pStyle w:val="TOC1"/>
            <w:tabs>
              <w:tab w:val="left" w:pos="480"/>
              <w:tab w:val="right" w:leader="dot" w:pos="10070"/>
            </w:tabs>
            <w:spacing w:after="0"/>
            <w:rPr>
              <w:rFonts w:asciiTheme="minorHAnsi" w:eastAsiaTheme="minorEastAsia" w:hAnsiTheme="minorHAnsi" w:cstheme="minorBidi"/>
              <w:noProof/>
              <w:sz w:val="22"/>
              <w:szCs w:val="22"/>
            </w:rPr>
          </w:pPr>
          <w:r w:rsidRPr="00B12EA3">
            <w:fldChar w:fldCharType="begin"/>
          </w:r>
          <w:r w:rsidRPr="00B12EA3">
            <w:instrText xml:space="preserve"> TOC \o "1-3" \h \z \u </w:instrText>
          </w:r>
          <w:r w:rsidRPr="00B12EA3">
            <w:fldChar w:fldCharType="separate"/>
          </w:r>
          <w:hyperlink w:anchor="_Toc448296072" w:history="1">
            <w:r w:rsidR="006C655A" w:rsidRPr="00CF5A5B">
              <w:rPr>
                <w:rStyle w:val="Hyperlink"/>
                <w:noProof/>
              </w:rPr>
              <w:t>1.</w:t>
            </w:r>
            <w:r w:rsidR="006C655A">
              <w:rPr>
                <w:rFonts w:asciiTheme="minorHAnsi" w:eastAsiaTheme="minorEastAsia" w:hAnsiTheme="minorHAnsi" w:cstheme="minorBidi"/>
                <w:noProof/>
                <w:sz w:val="22"/>
                <w:szCs w:val="22"/>
              </w:rPr>
              <w:tab/>
            </w:r>
            <w:r w:rsidR="006C655A" w:rsidRPr="00CF5A5B">
              <w:rPr>
                <w:rStyle w:val="Hyperlink"/>
                <w:noProof/>
              </w:rPr>
              <w:t>Circumstances Making the Collection of Information Necessary</w:t>
            </w:r>
            <w:r w:rsidR="006C655A">
              <w:rPr>
                <w:noProof/>
                <w:webHidden/>
              </w:rPr>
              <w:tab/>
            </w:r>
            <w:r w:rsidR="006C655A">
              <w:rPr>
                <w:noProof/>
                <w:webHidden/>
              </w:rPr>
              <w:fldChar w:fldCharType="begin"/>
            </w:r>
            <w:r w:rsidR="006C655A">
              <w:rPr>
                <w:noProof/>
                <w:webHidden/>
              </w:rPr>
              <w:instrText xml:space="preserve"> PAGEREF _Toc448296072 \h </w:instrText>
            </w:r>
            <w:r w:rsidR="006C655A">
              <w:rPr>
                <w:noProof/>
                <w:webHidden/>
              </w:rPr>
            </w:r>
            <w:r w:rsidR="006C655A">
              <w:rPr>
                <w:noProof/>
                <w:webHidden/>
              </w:rPr>
              <w:fldChar w:fldCharType="separate"/>
            </w:r>
            <w:r w:rsidR="005E6F8D">
              <w:rPr>
                <w:noProof/>
                <w:webHidden/>
              </w:rPr>
              <w:t>3</w:t>
            </w:r>
            <w:r w:rsidR="006C655A">
              <w:rPr>
                <w:noProof/>
                <w:webHidden/>
              </w:rPr>
              <w:fldChar w:fldCharType="end"/>
            </w:r>
          </w:hyperlink>
        </w:p>
        <w:p w14:paraId="2AC37EA4" w14:textId="77777777" w:rsidR="006C655A" w:rsidRDefault="00996C86" w:rsidP="00E56897">
          <w:pPr>
            <w:pStyle w:val="TOC1"/>
            <w:tabs>
              <w:tab w:val="left" w:pos="480"/>
              <w:tab w:val="right" w:leader="dot" w:pos="10070"/>
            </w:tabs>
            <w:spacing w:after="0"/>
            <w:rPr>
              <w:rFonts w:asciiTheme="minorHAnsi" w:eastAsiaTheme="minorEastAsia" w:hAnsiTheme="minorHAnsi" w:cstheme="minorBidi"/>
              <w:noProof/>
              <w:sz w:val="22"/>
              <w:szCs w:val="22"/>
            </w:rPr>
          </w:pPr>
          <w:hyperlink w:anchor="_Toc448296073" w:history="1">
            <w:r w:rsidR="006C655A" w:rsidRPr="00CF5A5B">
              <w:rPr>
                <w:rStyle w:val="Hyperlink"/>
                <w:noProof/>
              </w:rPr>
              <w:t>2.</w:t>
            </w:r>
            <w:r w:rsidR="006C655A">
              <w:rPr>
                <w:rFonts w:asciiTheme="minorHAnsi" w:eastAsiaTheme="minorEastAsia" w:hAnsiTheme="minorHAnsi" w:cstheme="minorBidi"/>
                <w:noProof/>
                <w:sz w:val="22"/>
                <w:szCs w:val="22"/>
              </w:rPr>
              <w:tab/>
            </w:r>
            <w:r w:rsidR="006C655A" w:rsidRPr="00CF5A5B">
              <w:rPr>
                <w:rStyle w:val="Hyperlink"/>
                <w:noProof/>
              </w:rPr>
              <w:t>Purpose and Use of the Information Collection</w:t>
            </w:r>
            <w:r w:rsidR="006C655A">
              <w:rPr>
                <w:noProof/>
                <w:webHidden/>
              </w:rPr>
              <w:tab/>
            </w:r>
            <w:r w:rsidR="006C655A">
              <w:rPr>
                <w:noProof/>
                <w:webHidden/>
              </w:rPr>
              <w:fldChar w:fldCharType="begin"/>
            </w:r>
            <w:r w:rsidR="006C655A">
              <w:rPr>
                <w:noProof/>
                <w:webHidden/>
              </w:rPr>
              <w:instrText xml:space="preserve"> PAGEREF _Toc448296073 \h </w:instrText>
            </w:r>
            <w:r w:rsidR="006C655A">
              <w:rPr>
                <w:noProof/>
                <w:webHidden/>
              </w:rPr>
            </w:r>
            <w:r w:rsidR="006C655A">
              <w:rPr>
                <w:noProof/>
                <w:webHidden/>
              </w:rPr>
              <w:fldChar w:fldCharType="separate"/>
            </w:r>
            <w:r w:rsidR="005E6F8D">
              <w:rPr>
                <w:noProof/>
                <w:webHidden/>
              </w:rPr>
              <w:t>4</w:t>
            </w:r>
            <w:r w:rsidR="006C655A">
              <w:rPr>
                <w:noProof/>
                <w:webHidden/>
              </w:rPr>
              <w:fldChar w:fldCharType="end"/>
            </w:r>
          </w:hyperlink>
        </w:p>
        <w:p w14:paraId="28DE14EC" w14:textId="77777777" w:rsidR="006C655A" w:rsidRDefault="00996C86" w:rsidP="00E56897">
          <w:pPr>
            <w:pStyle w:val="TOC1"/>
            <w:tabs>
              <w:tab w:val="left" w:pos="480"/>
              <w:tab w:val="right" w:leader="dot" w:pos="10070"/>
            </w:tabs>
            <w:spacing w:after="0"/>
            <w:rPr>
              <w:rFonts w:asciiTheme="minorHAnsi" w:eastAsiaTheme="minorEastAsia" w:hAnsiTheme="minorHAnsi" w:cstheme="minorBidi"/>
              <w:noProof/>
              <w:sz w:val="22"/>
              <w:szCs w:val="22"/>
            </w:rPr>
          </w:pPr>
          <w:hyperlink w:anchor="_Toc448296074" w:history="1">
            <w:r w:rsidR="006C655A" w:rsidRPr="00CF5A5B">
              <w:rPr>
                <w:rStyle w:val="Hyperlink"/>
                <w:noProof/>
              </w:rPr>
              <w:t>3.</w:t>
            </w:r>
            <w:r w:rsidR="006C655A">
              <w:rPr>
                <w:rFonts w:asciiTheme="minorHAnsi" w:eastAsiaTheme="minorEastAsia" w:hAnsiTheme="minorHAnsi" w:cstheme="minorBidi"/>
                <w:noProof/>
                <w:sz w:val="22"/>
                <w:szCs w:val="22"/>
              </w:rPr>
              <w:tab/>
            </w:r>
            <w:r w:rsidR="006C655A" w:rsidRPr="00CF5A5B">
              <w:rPr>
                <w:rStyle w:val="Hyperlink"/>
                <w:noProof/>
              </w:rPr>
              <w:t>Use of Improved Information Technology and Burden Reduction</w:t>
            </w:r>
            <w:r w:rsidR="006C655A">
              <w:rPr>
                <w:noProof/>
                <w:webHidden/>
              </w:rPr>
              <w:tab/>
            </w:r>
            <w:r w:rsidR="006C655A">
              <w:rPr>
                <w:noProof/>
                <w:webHidden/>
              </w:rPr>
              <w:fldChar w:fldCharType="begin"/>
            </w:r>
            <w:r w:rsidR="006C655A">
              <w:rPr>
                <w:noProof/>
                <w:webHidden/>
              </w:rPr>
              <w:instrText xml:space="preserve"> PAGEREF _Toc448296074 \h </w:instrText>
            </w:r>
            <w:r w:rsidR="006C655A">
              <w:rPr>
                <w:noProof/>
                <w:webHidden/>
              </w:rPr>
            </w:r>
            <w:r w:rsidR="006C655A">
              <w:rPr>
                <w:noProof/>
                <w:webHidden/>
              </w:rPr>
              <w:fldChar w:fldCharType="separate"/>
            </w:r>
            <w:r w:rsidR="005E6F8D">
              <w:rPr>
                <w:noProof/>
                <w:webHidden/>
              </w:rPr>
              <w:t>5</w:t>
            </w:r>
            <w:r w:rsidR="006C655A">
              <w:rPr>
                <w:noProof/>
                <w:webHidden/>
              </w:rPr>
              <w:fldChar w:fldCharType="end"/>
            </w:r>
          </w:hyperlink>
        </w:p>
        <w:p w14:paraId="6AD5762D" w14:textId="77777777" w:rsidR="006C655A" w:rsidRDefault="00996C86" w:rsidP="00E56897">
          <w:pPr>
            <w:pStyle w:val="TOC1"/>
            <w:tabs>
              <w:tab w:val="left" w:pos="480"/>
              <w:tab w:val="right" w:leader="dot" w:pos="10070"/>
            </w:tabs>
            <w:spacing w:after="0"/>
            <w:rPr>
              <w:rFonts w:asciiTheme="minorHAnsi" w:eastAsiaTheme="minorEastAsia" w:hAnsiTheme="minorHAnsi" w:cstheme="minorBidi"/>
              <w:noProof/>
              <w:sz w:val="22"/>
              <w:szCs w:val="22"/>
            </w:rPr>
          </w:pPr>
          <w:hyperlink w:anchor="_Toc448296075" w:history="1">
            <w:r w:rsidR="006C655A" w:rsidRPr="00CF5A5B">
              <w:rPr>
                <w:rStyle w:val="Hyperlink"/>
                <w:noProof/>
              </w:rPr>
              <w:t>4.</w:t>
            </w:r>
            <w:r w:rsidR="006C655A">
              <w:rPr>
                <w:rFonts w:asciiTheme="minorHAnsi" w:eastAsiaTheme="minorEastAsia" w:hAnsiTheme="minorHAnsi" w:cstheme="minorBidi"/>
                <w:noProof/>
                <w:sz w:val="22"/>
                <w:szCs w:val="22"/>
              </w:rPr>
              <w:tab/>
            </w:r>
            <w:r w:rsidR="006C655A" w:rsidRPr="00CF5A5B">
              <w:rPr>
                <w:rStyle w:val="Hyperlink"/>
                <w:noProof/>
              </w:rPr>
              <w:t>Efforts to Identify Duplication and Use of Similar Information</w:t>
            </w:r>
            <w:r w:rsidR="006C655A">
              <w:rPr>
                <w:noProof/>
                <w:webHidden/>
              </w:rPr>
              <w:tab/>
            </w:r>
            <w:r w:rsidR="006C655A">
              <w:rPr>
                <w:noProof/>
                <w:webHidden/>
              </w:rPr>
              <w:fldChar w:fldCharType="begin"/>
            </w:r>
            <w:r w:rsidR="006C655A">
              <w:rPr>
                <w:noProof/>
                <w:webHidden/>
              </w:rPr>
              <w:instrText xml:space="preserve"> PAGEREF _Toc448296075 \h </w:instrText>
            </w:r>
            <w:r w:rsidR="006C655A">
              <w:rPr>
                <w:noProof/>
                <w:webHidden/>
              </w:rPr>
            </w:r>
            <w:r w:rsidR="006C655A">
              <w:rPr>
                <w:noProof/>
                <w:webHidden/>
              </w:rPr>
              <w:fldChar w:fldCharType="separate"/>
            </w:r>
            <w:r w:rsidR="005E6F8D">
              <w:rPr>
                <w:noProof/>
                <w:webHidden/>
              </w:rPr>
              <w:t>6</w:t>
            </w:r>
            <w:r w:rsidR="006C655A">
              <w:rPr>
                <w:noProof/>
                <w:webHidden/>
              </w:rPr>
              <w:fldChar w:fldCharType="end"/>
            </w:r>
          </w:hyperlink>
        </w:p>
        <w:p w14:paraId="1A239163" w14:textId="77777777" w:rsidR="006C655A" w:rsidRDefault="00996C86" w:rsidP="00E56897">
          <w:pPr>
            <w:pStyle w:val="TOC1"/>
            <w:tabs>
              <w:tab w:val="left" w:pos="480"/>
              <w:tab w:val="right" w:leader="dot" w:pos="10070"/>
            </w:tabs>
            <w:spacing w:after="0"/>
            <w:rPr>
              <w:rFonts w:asciiTheme="minorHAnsi" w:eastAsiaTheme="minorEastAsia" w:hAnsiTheme="minorHAnsi" w:cstheme="minorBidi"/>
              <w:noProof/>
              <w:sz w:val="22"/>
              <w:szCs w:val="22"/>
            </w:rPr>
          </w:pPr>
          <w:hyperlink w:anchor="_Toc448296076" w:history="1">
            <w:r w:rsidR="006C655A" w:rsidRPr="00CF5A5B">
              <w:rPr>
                <w:rStyle w:val="Hyperlink"/>
                <w:noProof/>
              </w:rPr>
              <w:t>5.</w:t>
            </w:r>
            <w:r w:rsidR="006C655A">
              <w:rPr>
                <w:rFonts w:asciiTheme="minorHAnsi" w:eastAsiaTheme="minorEastAsia" w:hAnsiTheme="minorHAnsi" w:cstheme="minorBidi"/>
                <w:noProof/>
                <w:sz w:val="22"/>
                <w:szCs w:val="22"/>
              </w:rPr>
              <w:tab/>
            </w:r>
            <w:r w:rsidR="006C655A" w:rsidRPr="00CF5A5B">
              <w:rPr>
                <w:rStyle w:val="Hyperlink"/>
                <w:noProof/>
              </w:rPr>
              <w:t>Impact on Small Businesses or Other Small Entities</w:t>
            </w:r>
            <w:r w:rsidR="006C655A">
              <w:rPr>
                <w:noProof/>
                <w:webHidden/>
              </w:rPr>
              <w:tab/>
            </w:r>
            <w:r w:rsidR="006C655A">
              <w:rPr>
                <w:noProof/>
                <w:webHidden/>
              </w:rPr>
              <w:fldChar w:fldCharType="begin"/>
            </w:r>
            <w:r w:rsidR="006C655A">
              <w:rPr>
                <w:noProof/>
                <w:webHidden/>
              </w:rPr>
              <w:instrText xml:space="preserve"> PAGEREF _Toc448296076 \h </w:instrText>
            </w:r>
            <w:r w:rsidR="006C655A">
              <w:rPr>
                <w:noProof/>
                <w:webHidden/>
              </w:rPr>
            </w:r>
            <w:r w:rsidR="006C655A">
              <w:rPr>
                <w:noProof/>
                <w:webHidden/>
              </w:rPr>
              <w:fldChar w:fldCharType="separate"/>
            </w:r>
            <w:r w:rsidR="005E6F8D">
              <w:rPr>
                <w:noProof/>
                <w:webHidden/>
              </w:rPr>
              <w:t>6</w:t>
            </w:r>
            <w:r w:rsidR="006C655A">
              <w:rPr>
                <w:noProof/>
                <w:webHidden/>
              </w:rPr>
              <w:fldChar w:fldCharType="end"/>
            </w:r>
          </w:hyperlink>
        </w:p>
        <w:p w14:paraId="618D5250" w14:textId="77777777" w:rsidR="006C655A" w:rsidRDefault="00996C86" w:rsidP="00E56897">
          <w:pPr>
            <w:pStyle w:val="TOC1"/>
            <w:tabs>
              <w:tab w:val="left" w:pos="480"/>
              <w:tab w:val="right" w:leader="dot" w:pos="10070"/>
            </w:tabs>
            <w:spacing w:after="0"/>
            <w:rPr>
              <w:rFonts w:asciiTheme="minorHAnsi" w:eastAsiaTheme="minorEastAsia" w:hAnsiTheme="minorHAnsi" w:cstheme="minorBidi"/>
              <w:noProof/>
              <w:sz w:val="22"/>
              <w:szCs w:val="22"/>
            </w:rPr>
          </w:pPr>
          <w:hyperlink w:anchor="_Toc448296077" w:history="1">
            <w:r w:rsidR="006C655A" w:rsidRPr="00CF5A5B">
              <w:rPr>
                <w:rStyle w:val="Hyperlink"/>
                <w:noProof/>
              </w:rPr>
              <w:t>6.</w:t>
            </w:r>
            <w:r w:rsidR="006C655A">
              <w:rPr>
                <w:rFonts w:asciiTheme="minorHAnsi" w:eastAsiaTheme="minorEastAsia" w:hAnsiTheme="minorHAnsi" w:cstheme="minorBidi"/>
                <w:noProof/>
                <w:sz w:val="22"/>
                <w:szCs w:val="22"/>
              </w:rPr>
              <w:tab/>
            </w:r>
            <w:r w:rsidR="006C655A" w:rsidRPr="00CF5A5B">
              <w:rPr>
                <w:rStyle w:val="Hyperlink"/>
                <w:noProof/>
              </w:rPr>
              <w:t>Consequences of Collecting the Information Less Frequently</w:t>
            </w:r>
            <w:r w:rsidR="006C655A">
              <w:rPr>
                <w:noProof/>
                <w:webHidden/>
              </w:rPr>
              <w:tab/>
            </w:r>
            <w:r w:rsidR="006C655A">
              <w:rPr>
                <w:noProof/>
                <w:webHidden/>
              </w:rPr>
              <w:fldChar w:fldCharType="begin"/>
            </w:r>
            <w:r w:rsidR="006C655A">
              <w:rPr>
                <w:noProof/>
                <w:webHidden/>
              </w:rPr>
              <w:instrText xml:space="preserve"> PAGEREF _Toc448296077 \h </w:instrText>
            </w:r>
            <w:r w:rsidR="006C655A">
              <w:rPr>
                <w:noProof/>
                <w:webHidden/>
              </w:rPr>
            </w:r>
            <w:r w:rsidR="006C655A">
              <w:rPr>
                <w:noProof/>
                <w:webHidden/>
              </w:rPr>
              <w:fldChar w:fldCharType="separate"/>
            </w:r>
            <w:r w:rsidR="005E6F8D">
              <w:rPr>
                <w:noProof/>
                <w:webHidden/>
              </w:rPr>
              <w:t>6</w:t>
            </w:r>
            <w:r w:rsidR="006C655A">
              <w:rPr>
                <w:noProof/>
                <w:webHidden/>
              </w:rPr>
              <w:fldChar w:fldCharType="end"/>
            </w:r>
          </w:hyperlink>
        </w:p>
        <w:p w14:paraId="059BAE9E" w14:textId="77777777" w:rsidR="006C655A" w:rsidRDefault="00996C86" w:rsidP="00E56897">
          <w:pPr>
            <w:pStyle w:val="TOC1"/>
            <w:tabs>
              <w:tab w:val="left" w:pos="480"/>
              <w:tab w:val="right" w:leader="dot" w:pos="10070"/>
            </w:tabs>
            <w:spacing w:after="0"/>
            <w:rPr>
              <w:rFonts w:asciiTheme="minorHAnsi" w:eastAsiaTheme="minorEastAsia" w:hAnsiTheme="minorHAnsi" w:cstheme="minorBidi"/>
              <w:noProof/>
              <w:sz w:val="22"/>
              <w:szCs w:val="22"/>
            </w:rPr>
          </w:pPr>
          <w:hyperlink w:anchor="_Toc448296078" w:history="1">
            <w:r w:rsidR="006C655A" w:rsidRPr="00CF5A5B">
              <w:rPr>
                <w:rStyle w:val="Hyperlink"/>
                <w:noProof/>
              </w:rPr>
              <w:t>7.</w:t>
            </w:r>
            <w:r w:rsidR="006C655A">
              <w:rPr>
                <w:rFonts w:asciiTheme="minorHAnsi" w:eastAsiaTheme="minorEastAsia" w:hAnsiTheme="minorHAnsi" w:cstheme="minorBidi"/>
                <w:noProof/>
                <w:sz w:val="22"/>
                <w:szCs w:val="22"/>
              </w:rPr>
              <w:tab/>
            </w:r>
            <w:r w:rsidR="006C655A" w:rsidRPr="00CF5A5B">
              <w:rPr>
                <w:rStyle w:val="Hyperlink"/>
                <w:noProof/>
              </w:rPr>
              <w:t>Special Circumstances Relating to the Guidelines of 5 CFR 1320.5</w:t>
            </w:r>
            <w:r w:rsidR="006C655A">
              <w:rPr>
                <w:noProof/>
                <w:webHidden/>
              </w:rPr>
              <w:tab/>
            </w:r>
            <w:r w:rsidR="006C655A">
              <w:rPr>
                <w:noProof/>
                <w:webHidden/>
              </w:rPr>
              <w:fldChar w:fldCharType="begin"/>
            </w:r>
            <w:r w:rsidR="006C655A">
              <w:rPr>
                <w:noProof/>
                <w:webHidden/>
              </w:rPr>
              <w:instrText xml:space="preserve"> PAGEREF _Toc448296078 \h </w:instrText>
            </w:r>
            <w:r w:rsidR="006C655A">
              <w:rPr>
                <w:noProof/>
                <w:webHidden/>
              </w:rPr>
            </w:r>
            <w:r w:rsidR="006C655A">
              <w:rPr>
                <w:noProof/>
                <w:webHidden/>
              </w:rPr>
              <w:fldChar w:fldCharType="separate"/>
            </w:r>
            <w:r w:rsidR="005E6F8D">
              <w:rPr>
                <w:noProof/>
                <w:webHidden/>
              </w:rPr>
              <w:t>6</w:t>
            </w:r>
            <w:r w:rsidR="006C655A">
              <w:rPr>
                <w:noProof/>
                <w:webHidden/>
              </w:rPr>
              <w:fldChar w:fldCharType="end"/>
            </w:r>
          </w:hyperlink>
        </w:p>
        <w:p w14:paraId="408697EC" w14:textId="77777777" w:rsidR="006C655A" w:rsidRDefault="00996C86" w:rsidP="00E56897">
          <w:pPr>
            <w:pStyle w:val="TOC1"/>
            <w:tabs>
              <w:tab w:val="left" w:pos="480"/>
              <w:tab w:val="right" w:leader="dot" w:pos="10070"/>
            </w:tabs>
            <w:spacing w:after="0"/>
            <w:rPr>
              <w:rFonts w:asciiTheme="minorHAnsi" w:eastAsiaTheme="minorEastAsia" w:hAnsiTheme="minorHAnsi" w:cstheme="minorBidi"/>
              <w:noProof/>
              <w:sz w:val="22"/>
              <w:szCs w:val="22"/>
            </w:rPr>
          </w:pPr>
          <w:hyperlink w:anchor="_Toc448296079" w:history="1">
            <w:r w:rsidR="006C655A" w:rsidRPr="00CF5A5B">
              <w:rPr>
                <w:rStyle w:val="Hyperlink"/>
                <w:noProof/>
              </w:rPr>
              <w:t>8.</w:t>
            </w:r>
            <w:r w:rsidR="006C655A">
              <w:rPr>
                <w:rFonts w:asciiTheme="minorHAnsi" w:eastAsiaTheme="minorEastAsia" w:hAnsiTheme="minorHAnsi" w:cstheme="minorBidi"/>
                <w:noProof/>
                <w:sz w:val="22"/>
                <w:szCs w:val="22"/>
              </w:rPr>
              <w:tab/>
            </w:r>
            <w:r w:rsidR="006C655A" w:rsidRPr="00CF5A5B">
              <w:rPr>
                <w:rStyle w:val="Hyperlink"/>
                <w:noProof/>
              </w:rPr>
              <w:t>Comments in Response to the Federal Register Notice and Efforts to Consult Outside the Agency</w:t>
            </w:r>
            <w:r w:rsidR="006C655A">
              <w:rPr>
                <w:noProof/>
                <w:webHidden/>
              </w:rPr>
              <w:tab/>
            </w:r>
            <w:r w:rsidR="006C655A">
              <w:rPr>
                <w:noProof/>
                <w:webHidden/>
              </w:rPr>
              <w:fldChar w:fldCharType="begin"/>
            </w:r>
            <w:r w:rsidR="006C655A">
              <w:rPr>
                <w:noProof/>
                <w:webHidden/>
              </w:rPr>
              <w:instrText xml:space="preserve"> PAGEREF _Toc448296079 \h </w:instrText>
            </w:r>
            <w:r w:rsidR="006C655A">
              <w:rPr>
                <w:noProof/>
                <w:webHidden/>
              </w:rPr>
            </w:r>
            <w:r w:rsidR="006C655A">
              <w:rPr>
                <w:noProof/>
                <w:webHidden/>
              </w:rPr>
              <w:fldChar w:fldCharType="separate"/>
            </w:r>
            <w:r w:rsidR="005E6F8D">
              <w:rPr>
                <w:noProof/>
                <w:webHidden/>
              </w:rPr>
              <w:t>6</w:t>
            </w:r>
            <w:r w:rsidR="006C655A">
              <w:rPr>
                <w:noProof/>
                <w:webHidden/>
              </w:rPr>
              <w:fldChar w:fldCharType="end"/>
            </w:r>
          </w:hyperlink>
        </w:p>
        <w:p w14:paraId="067F1F3D" w14:textId="77777777" w:rsidR="006C655A" w:rsidRDefault="00996C86" w:rsidP="00E56897">
          <w:pPr>
            <w:pStyle w:val="TOC1"/>
            <w:tabs>
              <w:tab w:val="left" w:pos="480"/>
              <w:tab w:val="right" w:leader="dot" w:pos="10070"/>
            </w:tabs>
            <w:spacing w:after="0"/>
            <w:rPr>
              <w:rFonts w:asciiTheme="minorHAnsi" w:eastAsiaTheme="minorEastAsia" w:hAnsiTheme="minorHAnsi" w:cstheme="minorBidi"/>
              <w:noProof/>
              <w:sz w:val="22"/>
              <w:szCs w:val="22"/>
            </w:rPr>
          </w:pPr>
          <w:hyperlink w:anchor="_Toc448296080" w:history="1">
            <w:r w:rsidR="006C655A" w:rsidRPr="00CF5A5B">
              <w:rPr>
                <w:rStyle w:val="Hyperlink"/>
                <w:noProof/>
              </w:rPr>
              <w:t>9.</w:t>
            </w:r>
            <w:r w:rsidR="006C655A">
              <w:rPr>
                <w:rFonts w:asciiTheme="minorHAnsi" w:eastAsiaTheme="minorEastAsia" w:hAnsiTheme="minorHAnsi" w:cstheme="minorBidi"/>
                <w:noProof/>
                <w:sz w:val="22"/>
                <w:szCs w:val="22"/>
              </w:rPr>
              <w:tab/>
            </w:r>
            <w:r w:rsidR="006C655A" w:rsidRPr="00CF5A5B">
              <w:rPr>
                <w:rStyle w:val="Hyperlink"/>
                <w:noProof/>
              </w:rPr>
              <w:t>Explanation of Any Payment or Gift to Respondents</w:t>
            </w:r>
            <w:r w:rsidR="006C655A">
              <w:rPr>
                <w:noProof/>
                <w:webHidden/>
              </w:rPr>
              <w:tab/>
            </w:r>
            <w:r w:rsidR="006C655A">
              <w:rPr>
                <w:noProof/>
                <w:webHidden/>
              </w:rPr>
              <w:fldChar w:fldCharType="begin"/>
            </w:r>
            <w:r w:rsidR="006C655A">
              <w:rPr>
                <w:noProof/>
                <w:webHidden/>
              </w:rPr>
              <w:instrText xml:space="preserve"> PAGEREF _Toc448296080 \h </w:instrText>
            </w:r>
            <w:r w:rsidR="006C655A">
              <w:rPr>
                <w:noProof/>
                <w:webHidden/>
              </w:rPr>
            </w:r>
            <w:r w:rsidR="006C655A">
              <w:rPr>
                <w:noProof/>
                <w:webHidden/>
              </w:rPr>
              <w:fldChar w:fldCharType="separate"/>
            </w:r>
            <w:r w:rsidR="005E6F8D">
              <w:rPr>
                <w:noProof/>
                <w:webHidden/>
              </w:rPr>
              <w:t>7</w:t>
            </w:r>
            <w:r w:rsidR="006C655A">
              <w:rPr>
                <w:noProof/>
                <w:webHidden/>
              </w:rPr>
              <w:fldChar w:fldCharType="end"/>
            </w:r>
          </w:hyperlink>
        </w:p>
        <w:p w14:paraId="55DE2D38" w14:textId="77777777" w:rsidR="006C655A" w:rsidRDefault="00996C86" w:rsidP="00E56897">
          <w:pPr>
            <w:pStyle w:val="TOC1"/>
            <w:tabs>
              <w:tab w:val="left" w:pos="660"/>
              <w:tab w:val="right" w:leader="dot" w:pos="10070"/>
            </w:tabs>
            <w:spacing w:after="0"/>
            <w:rPr>
              <w:rFonts w:asciiTheme="minorHAnsi" w:eastAsiaTheme="minorEastAsia" w:hAnsiTheme="minorHAnsi" w:cstheme="minorBidi"/>
              <w:noProof/>
              <w:sz w:val="22"/>
              <w:szCs w:val="22"/>
            </w:rPr>
          </w:pPr>
          <w:hyperlink w:anchor="_Toc448296081" w:history="1">
            <w:r w:rsidR="006C655A" w:rsidRPr="00CF5A5B">
              <w:rPr>
                <w:rStyle w:val="Hyperlink"/>
                <w:noProof/>
              </w:rPr>
              <w:t>10.</w:t>
            </w:r>
            <w:r w:rsidR="006C655A">
              <w:rPr>
                <w:rFonts w:asciiTheme="minorHAnsi" w:eastAsiaTheme="minorEastAsia" w:hAnsiTheme="minorHAnsi" w:cstheme="minorBidi"/>
                <w:noProof/>
                <w:sz w:val="22"/>
                <w:szCs w:val="22"/>
              </w:rPr>
              <w:tab/>
            </w:r>
            <w:r w:rsidR="006C655A" w:rsidRPr="00CF5A5B">
              <w:rPr>
                <w:rStyle w:val="Hyperlink"/>
                <w:noProof/>
              </w:rPr>
              <w:t>Protection of the Privacy and Confidentiality of Information Provided by Respondents</w:t>
            </w:r>
            <w:r w:rsidR="006C655A">
              <w:rPr>
                <w:noProof/>
                <w:webHidden/>
              </w:rPr>
              <w:tab/>
            </w:r>
            <w:r w:rsidR="006C655A">
              <w:rPr>
                <w:noProof/>
                <w:webHidden/>
              </w:rPr>
              <w:fldChar w:fldCharType="begin"/>
            </w:r>
            <w:r w:rsidR="006C655A">
              <w:rPr>
                <w:noProof/>
                <w:webHidden/>
              </w:rPr>
              <w:instrText xml:space="preserve"> PAGEREF _Toc448296081 \h </w:instrText>
            </w:r>
            <w:r w:rsidR="006C655A">
              <w:rPr>
                <w:noProof/>
                <w:webHidden/>
              </w:rPr>
            </w:r>
            <w:r w:rsidR="006C655A">
              <w:rPr>
                <w:noProof/>
                <w:webHidden/>
              </w:rPr>
              <w:fldChar w:fldCharType="separate"/>
            </w:r>
            <w:r w:rsidR="005E6F8D">
              <w:rPr>
                <w:noProof/>
                <w:webHidden/>
              </w:rPr>
              <w:t>8</w:t>
            </w:r>
            <w:r w:rsidR="006C655A">
              <w:rPr>
                <w:noProof/>
                <w:webHidden/>
              </w:rPr>
              <w:fldChar w:fldCharType="end"/>
            </w:r>
          </w:hyperlink>
        </w:p>
        <w:p w14:paraId="477990D0" w14:textId="77777777" w:rsidR="006C655A" w:rsidRDefault="00996C86" w:rsidP="00E56897">
          <w:pPr>
            <w:pStyle w:val="TOC1"/>
            <w:tabs>
              <w:tab w:val="left" w:pos="660"/>
              <w:tab w:val="right" w:leader="dot" w:pos="10070"/>
            </w:tabs>
            <w:spacing w:after="0"/>
            <w:rPr>
              <w:rFonts w:asciiTheme="minorHAnsi" w:eastAsiaTheme="minorEastAsia" w:hAnsiTheme="minorHAnsi" w:cstheme="minorBidi"/>
              <w:noProof/>
              <w:sz w:val="22"/>
              <w:szCs w:val="22"/>
            </w:rPr>
          </w:pPr>
          <w:hyperlink w:anchor="_Toc448296082" w:history="1">
            <w:r w:rsidR="006C655A" w:rsidRPr="00CF5A5B">
              <w:rPr>
                <w:rStyle w:val="Hyperlink"/>
                <w:noProof/>
              </w:rPr>
              <w:t>11.</w:t>
            </w:r>
            <w:r w:rsidR="006C655A">
              <w:rPr>
                <w:rFonts w:asciiTheme="minorHAnsi" w:eastAsiaTheme="minorEastAsia" w:hAnsiTheme="minorHAnsi" w:cstheme="minorBidi"/>
                <w:noProof/>
                <w:sz w:val="22"/>
                <w:szCs w:val="22"/>
              </w:rPr>
              <w:tab/>
            </w:r>
            <w:r w:rsidR="006C655A" w:rsidRPr="00CF5A5B">
              <w:rPr>
                <w:rStyle w:val="Hyperlink"/>
                <w:noProof/>
              </w:rPr>
              <w:t>Institutional Review Board (IRB) and Justification for Sensitive Questions</w:t>
            </w:r>
            <w:r w:rsidR="006C655A">
              <w:rPr>
                <w:noProof/>
                <w:webHidden/>
              </w:rPr>
              <w:tab/>
            </w:r>
            <w:r w:rsidR="006C655A">
              <w:rPr>
                <w:noProof/>
                <w:webHidden/>
              </w:rPr>
              <w:fldChar w:fldCharType="begin"/>
            </w:r>
            <w:r w:rsidR="006C655A">
              <w:rPr>
                <w:noProof/>
                <w:webHidden/>
              </w:rPr>
              <w:instrText xml:space="preserve"> PAGEREF _Toc448296082 \h </w:instrText>
            </w:r>
            <w:r w:rsidR="006C655A">
              <w:rPr>
                <w:noProof/>
                <w:webHidden/>
              </w:rPr>
            </w:r>
            <w:r w:rsidR="006C655A">
              <w:rPr>
                <w:noProof/>
                <w:webHidden/>
              </w:rPr>
              <w:fldChar w:fldCharType="separate"/>
            </w:r>
            <w:r w:rsidR="005E6F8D">
              <w:rPr>
                <w:noProof/>
                <w:webHidden/>
              </w:rPr>
              <w:t>9</w:t>
            </w:r>
            <w:r w:rsidR="006C655A">
              <w:rPr>
                <w:noProof/>
                <w:webHidden/>
              </w:rPr>
              <w:fldChar w:fldCharType="end"/>
            </w:r>
          </w:hyperlink>
        </w:p>
        <w:p w14:paraId="1DB562BE" w14:textId="77777777" w:rsidR="006C655A" w:rsidRDefault="00996C86" w:rsidP="00E56897">
          <w:pPr>
            <w:pStyle w:val="TOC1"/>
            <w:tabs>
              <w:tab w:val="left" w:pos="660"/>
              <w:tab w:val="right" w:leader="dot" w:pos="10070"/>
            </w:tabs>
            <w:spacing w:after="0"/>
            <w:rPr>
              <w:rFonts w:asciiTheme="minorHAnsi" w:eastAsiaTheme="minorEastAsia" w:hAnsiTheme="minorHAnsi" w:cstheme="minorBidi"/>
              <w:noProof/>
              <w:sz w:val="22"/>
              <w:szCs w:val="22"/>
            </w:rPr>
          </w:pPr>
          <w:hyperlink w:anchor="_Toc448296083" w:history="1">
            <w:r w:rsidR="006C655A" w:rsidRPr="00CF5A5B">
              <w:rPr>
                <w:rStyle w:val="Hyperlink"/>
                <w:noProof/>
              </w:rPr>
              <w:t>12.</w:t>
            </w:r>
            <w:r w:rsidR="006C655A">
              <w:rPr>
                <w:rFonts w:asciiTheme="minorHAnsi" w:eastAsiaTheme="minorEastAsia" w:hAnsiTheme="minorHAnsi" w:cstheme="minorBidi"/>
                <w:noProof/>
                <w:sz w:val="22"/>
                <w:szCs w:val="22"/>
              </w:rPr>
              <w:tab/>
            </w:r>
            <w:r w:rsidR="006C655A" w:rsidRPr="00CF5A5B">
              <w:rPr>
                <w:rStyle w:val="Hyperlink"/>
                <w:noProof/>
              </w:rPr>
              <w:t>Estimates of Annualized Burden Hours and Costs</w:t>
            </w:r>
            <w:r w:rsidR="006C655A">
              <w:rPr>
                <w:noProof/>
                <w:webHidden/>
              </w:rPr>
              <w:tab/>
            </w:r>
            <w:r w:rsidR="006C655A">
              <w:rPr>
                <w:noProof/>
                <w:webHidden/>
              </w:rPr>
              <w:fldChar w:fldCharType="begin"/>
            </w:r>
            <w:r w:rsidR="006C655A">
              <w:rPr>
                <w:noProof/>
                <w:webHidden/>
              </w:rPr>
              <w:instrText xml:space="preserve"> PAGEREF _Toc448296083 \h </w:instrText>
            </w:r>
            <w:r w:rsidR="006C655A">
              <w:rPr>
                <w:noProof/>
                <w:webHidden/>
              </w:rPr>
            </w:r>
            <w:r w:rsidR="006C655A">
              <w:rPr>
                <w:noProof/>
                <w:webHidden/>
              </w:rPr>
              <w:fldChar w:fldCharType="separate"/>
            </w:r>
            <w:r w:rsidR="005E6F8D">
              <w:rPr>
                <w:noProof/>
                <w:webHidden/>
              </w:rPr>
              <w:t>9</w:t>
            </w:r>
            <w:r w:rsidR="006C655A">
              <w:rPr>
                <w:noProof/>
                <w:webHidden/>
              </w:rPr>
              <w:fldChar w:fldCharType="end"/>
            </w:r>
          </w:hyperlink>
        </w:p>
        <w:p w14:paraId="5299CB12" w14:textId="77777777" w:rsidR="006C655A" w:rsidRDefault="00996C86" w:rsidP="00E56897">
          <w:pPr>
            <w:pStyle w:val="TOC2"/>
            <w:tabs>
              <w:tab w:val="left" w:pos="1100"/>
              <w:tab w:val="right" w:leader="dot" w:pos="10070"/>
            </w:tabs>
            <w:spacing w:after="0"/>
            <w:rPr>
              <w:rFonts w:asciiTheme="minorHAnsi" w:eastAsiaTheme="minorEastAsia" w:hAnsiTheme="minorHAnsi" w:cstheme="minorBidi"/>
              <w:noProof/>
              <w:sz w:val="22"/>
              <w:szCs w:val="22"/>
            </w:rPr>
          </w:pPr>
          <w:hyperlink w:anchor="_Toc448296084" w:history="1">
            <w:r w:rsidR="006C655A" w:rsidRPr="00CF5A5B">
              <w:rPr>
                <w:rStyle w:val="Hyperlink"/>
                <w:noProof/>
              </w:rPr>
              <w:t>12A.</w:t>
            </w:r>
            <w:r w:rsidR="006C655A">
              <w:rPr>
                <w:rFonts w:asciiTheme="minorHAnsi" w:eastAsiaTheme="minorEastAsia" w:hAnsiTheme="minorHAnsi" w:cstheme="minorBidi"/>
                <w:noProof/>
                <w:sz w:val="22"/>
                <w:szCs w:val="22"/>
              </w:rPr>
              <w:tab/>
            </w:r>
            <w:r w:rsidR="006C655A" w:rsidRPr="00CF5A5B">
              <w:rPr>
                <w:rStyle w:val="Hyperlink"/>
                <w:noProof/>
              </w:rPr>
              <w:t>Estimated Annualized Burden Hours</w:t>
            </w:r>
            <w:r w:rsidR="006C655A">
              <w:rPr>
                <w:noProof/>
                <w:webHidden/>
              </w:rPr>
              <w:tab/>
            </w:r>
            <w:r w:rsidR="006C655A">
              <w:rPr>
                <w:noProof/>
                <w:webHidden/>
              </w:rPr>
              <w:fldChar w:fldCharType="begin"/>
            </w:r>
            <w:r w:rsidR="006C655A">
              <w:rPr>
                <w:noProof/>
                <w:webHidden/>
              </w:rPr>
              <w:instrText xml:space="preserve"> PAGEREF _Toc448296084 \h </w:instrText>
            </w:r>
            <w:r w:rsidR="006C655A">
              <w:rPr>
                <w:noProof/>
                <w:webHidden/>
              </w:rPr>
            </w:r>
            <w:r w:rsidR="006C655A">
              <w:rPr>
                <w:noProof/>
                <w:webHidden/>
              </w:rPr>
              <w:fldChar w:fldCharType="separate"/>
            </w:r>
            <w:r w:rsidR="005E6F8D">
              <w:rPr>
                <w:noProof/>
                <w:webHidden/>
              </w:rPr>
              <w:t>9</w:t>
            </w:r>
            <w:r w:rsidR="006C655A">
              <w:rPr>
                <w:noProof/>
                <w:webHidden/>
              </w:rPr>
              <w:fldChar w:fldCharType="end"/>
            </w:r>
          </w:hyperlink>
        </w:p>
        <w:p w14:paraId="71104648" w14:textId="77777777" w:rsidR="006C655A" w:rsidRDefault="00996C86" w:rsidP="00E56897">
          <w:pPr>
            <w:pStyle w:val="TOC2"/>
            <w:tabs>
              <w:tab w:val="left" w:pos="1100"/>
              <w:tab w:val="right" w:leader="dot" w:pos="10070"/>
            </w:tabs>
            <w:spacing w:after="0"/>
            <w:rPr>
              <w:rFonts w:asciiTheme="minorHAnsi" w:eastAsiaTheme="minorEastAsia" w:hAnsiTheme="minorHAnsi" w:cstheme="minorBidi"/>
              <w:noProof/>
              <w:sz w:val="22"/>
              <w:szCs w:val="22"/>
            </w:rPr>
          </w:pPr>
          <w:hyperlink w:anchor="_Toc448296085" w:history="1">
            <w:r w:rsidR="006C655A" w:rsidRPr="00CF5A5B">
              <w:rPr>
                <w:rStyle w:val="Hyperlink"/>
                <w:noProof/>
              </w:rPr>
              <w:t>12B.</w:t>
            </w:r>
            <w:r w:rsidR="006C655A">
              <w:rPr>
                <w:rFonts w:asciiTheme="minorHAnsi" w:eastAsiaTheme="minorEastAsia" w:hAnsiTheme="minorHAnsi" w:cstheme="minorBidi"/>
                <w:noProof/>
                <w:sz w:val="22"/>
                <w:szCs w:val="22"/>
              </w:rPr>
              <w:tab/>
            </w:r>
            <w:r w:rsidR="006C655A" w:rsidRPr="00CF5A5B">
              <w:rPr>
                <w:rStyle w:val="Hyperlink"/>
                <w:noProof/>
              </w:rPr>
              <w:t>Estimated Annualized Burden Costs</w:t>
            </w:r>
            <w:r w:rsidR="006C655A">
              <w:rPr>
                <w:noProof/>
                <w:webHidden/>
              </w:rPr>
              <w:tab/>
            </w:r>
            <w:r w:rsidR="006C655A">
              <w:rPr>
                <w:noProof/>
                <w:webHidden/>
              </w:rPr>
              <w:fldChar w:fldCharType="begin"/>
            </w:r>
            <w:r w:rsidR="006C655A">
              <w:rPr>
                <w:noProof/>
                <w:webHidden/>
              </w:rPr>
              <w:instrText xml:space="preserve"> PAGEREF _Toc448296085 \h </w:instrText>
            </w:r>
            <w:r w:rsidR="006C655A">
              <w:rPr>
                <w:noProof/>
                <w:webHidden/>
              </w:rPr>
            </w:r>
            <w:r w:rsidR="006C655A">
              <w:rPr>
                <w:noProof/>
                <w:webHidden/>
              </w:rPr>
              <w:fldChar w:fldCharType="separate"/>
            </w:r>
            <w:r w:rsidR="005E6F8D">
              <w:rPr>
                <w:noProof/>
                <w:webHidden/>
              </w:rPr>
              <w:t>10</w:t>
            </w:r>
            <w:r w:rsidR="006C655A">
              <w:rPr>
                <w:noProof/>
                <w:webHidden/>
              </w:rPr>
              <w:fldChar w:fldCharType="end"/>
            </w:r>
          </w:hyperlink>
        </w:p>
        <w:p w14:paraId="186522B5" w14:textId="77777777" w:rsidR="006C655A" w:rsidRDefault="00996C86" w:rsidP="00E56897">
          <w:pPr>
            <w:pStyle w:val="TOC1"/>
            <w:tabs>
              <w:tab w:val="left" w:pos="660"/>
              <w:tab w:val="right" w:leader="dot" w:pos="10070"/>
            </w:tabs>
            <w:spacing w:after="0"/>
            <w:rPr>
              <w:rFonts w:asciiTheme="minorHAnsi" w:eastAsiaTheme="minorEastAsia" w:hAnsiTheme="minorHAnsi" w:cstheme="minorBidi"/>
              <w:noProof/>
              <w:sz w:val="22"/>
              <w:szCs w:val="22"/>
            </w:rPr>
          </w:pPr>
          <w:hyperlink w:anchor="_Toc448296086" w:history="1">
            <w:r w:rsidR="006C655A" w:rsidRPr="00CF5A5B">
              <w:rPr>
                <w:rStyle w:val="Hyperlink"/>
                <w:noProof/>
              </w:rPr>
              <w:t>13.</w:t>
            </w:r>
            <w:r w:rsidR="006C655A">
              <w:rPr>
                <w:rFonts w:asciiTheme="minorHAnsi" w:eastAsiaTheme="minorEastAsia" w:hAnsiTheme="minorHAnsi" w:cstheme="minorBidi"/>
                <w:noProof/>
                <w:sz w:val="22"/>
                <w:szCs w:val="22"/>
              </w:rPr>
              <w:tab/>
            </w:r>
            <w:r w:rsidR="006C655A" w:rsidRPr="00CF5A5B">
              <w:rPr>
                <w:rStyle w:val="Hyperlink"/>
                <w:noProof/>
              </w:rPr>
              <w:t>Estimates of Other Total Annual Cost Burden to Respondents and Record Keepers</w:t>
            </w:r>
            <w:r w:rsidR="006C655A">
              <w:rPr>
                <w:noProof/>
                <w:webHidden/>
              </w:rPr>
              <w:tab/>
            </w:r>
            <w:r w:rsidR="006C655A">
              <w:rPr>
                <w:noProof/>
                <w:webHidden/>
              </w:rPr>
              <w:fldChar w:fldCharType="begin"/>
            </w:r>
            <w:r w:rsidR="006C655A">
              <w:rPr>
                <w:noProof/>
                <w:webHidden/>
              </w:rPr>
              <w:instrText xml:space="preserve"> PAGEREF _Toc448296086 \h </w:instrText>
            </w:r>
            <w:r w:rsidR="006C655A">
              <w:rPr>
                <w:noProof/>
                <w:webHidden/>
              </w:rPr>
            </w:r>
            <w:r w:rsidR="006C655A">
              <w:rPr>
                <w:noProof/>
                <w:webHidden/>
              </w:rPr>
              <w:fldChar w:fldCharType="separate"/>
            </w:r>
            <w:r w:rsidR="005E6F8D">
              <w:rPr>
                <w:noProof/>
                <w:webHidden/>
              </w:rPr>
              <w:t>10</w:t>
            </w:r>
            <w:r w:rsidR="006C655A">
              <w:rPr>
                <w:noProof/>
                <w:webHidden/>
              </w:rPr>
              <w:fldChar w:fldCharType="end"/>
            </w:r>
          </w:hyperlink>
        </w:p>
        <w:p w14:paraId="7AF1389E" w14:textId="77777777" w:rsidR="006C655A" w:rsidRDefault="00996C86" w:rsidP="00E56897">
          <w:pPr>
            <w:pStyle w:val="TOC1"/>
            <w:tabs>
              <w:tab w:val="left" w:pos="660"/>
              <w:tab w:val="right" w:leader="dot" w:pos="10070"/>
            </w:tabs>
            <w:spacing w:after="0"/>
            <w:rPr>
              <w:rFonts w:asciiTheme="minorHAnsi" w:eastAsiaTheme="minorEastAsia" w:hAnsiTheme="minorHAnsi" w:cstheme="minorBidi"/>
              <w:noProof/>
              <w:sz w:val="22"/>
              <w:szCs w:val="22"/>
            </w:rPr>
          </w:pPr>
          <w:hyperlink w:anchor="_Toc448296087" w:history="1">
            <w:r w:rsidR="006C655A" w:rsidRPr="00CF5A5B">
              <w:rPr>
                <w:rStyle w:val="Hyperlink"/>
                <w:noProof/>
              </w:rPr>
              <w:t>14.</w:t>
            </w:r>
            <w:r w:rsidR="006C655A">
              <w:rPr>
                <w:rFonts w:asciiTheme="minorHAnsi" w:eastAsiaTheme="minorEastAsia" w:hAnsiTheme="minorHAnsi" w:cstheme="minorBidi"/>
                <w:noProof/>
                <w:sz w:val="22"/>
                <w:szCs w:val="22"/>
              </w:rPr>
              <w:tab/>
            </w:r>
            <w:r w:rsidR="006C655A" w:rsidRPr="00CF5A5B">
              <w:rPr>
                <w:rStyle w:val="Hyperlink"/>
                <w:noProof/>
              </w:rPr>
              <w:t>Annualized Cost to the Federal Government</w:t>
            </w:r>
            <w:r w:rsidR="006C655A">
              <w:rPr>
                <w:noProof/>
                <w:webHidden/>
              </w:rPr>
              <w:tab/>
            </w:r>
            <w:r w:rsidR="006C655A">
              <w:rPr>
                <w:noProof/>
                <w:webHidden/>
              </w:rPr>
              <w:fldChar w:fldCharType="begin"/>
            </w:r>
            <w:r w:rsidR="006C655A">
              <w:rPr>
                <w:noProof/>
                <w:webHidden/>
              </w:rPr>
              <w:instrText xml:space="preserve"> PAGEREF _Toc448296087 \h </w:instrText>
            </w:r>
            <w:r w:rsidR="006C655A">
              <w:rPr>
                <w:noProof/>
                <w:webHidden/>
              </w:rPr>
            </w:r>
            <w:r w:rsidR="006C655A">
              <w:rPr>
                <w:noProof/>
                <w:webHidden/>
              </w:rPr>
              <w:fldChar w:fldCharType="separate"/>
            </w:r>
            <w:r w:rsidR="005E6F8D">
              <w:rPr>
                <w:noProof/>
                <w:webHidden/>
              </w:rPr>
              <w:t>10</w:t>
            </w:r>
            <w:r w:rsidR="006C655A">
              <w:rPr>
                <w:noProof/>
                <w:webHidden/>
              </w:rPr>
              <w:fldChar w:fldCharType="end"/>
            </w:r>
          </w:hyperlink>
        </w:p>
        <w:p w14:paraId="1315EE73" w14:textId="77777777" w:rsidR="006C655A" w:rsidRDefault="00996C86" w:rsidP="00E56897">
          <w:pPr>
            <w:pStyle w:val="TOC1"/>
            <w:tabs>
              <w:tab w:val="left" w:pos="660"/>
              <w:tab w:val="right" w:leader="dot" w:pos="10070"/>
            </w:tabs>
            <w:spacing w:after="0"/>
            <w:rPr>
              <w:rFonts w:asciiTheme="minorHAnsi" w:eastAsiaTheme="minorEastAsia" w:hAnsiTheme="minorHAnsi" w:cstheme="minorBidi"/>
              <w:noProof/>
              <w:sz w:val="22"/>
              <w:szCs w:val="22"/>
            </w:rPr>
          </w:pPr>
          <w:hyperlink w:anchor="_Toc448296088" w:history="1">
            <w:r w:rsidR="006C655A" w:rsidRPr="00CF5A5B">
              <w:rPr>
                <w:rStyle w:val="Hyperlink"/>
                <w:noProof/>
              </w:rPr>
              <w:t>15.</w:t>
            </w:r>
            <w:r w:rsidR="006C655A">
              <w:rPr>
                <w:rFonts w:asciiTheme="minorHAnsi" w:eastAsiaTheme="minorEastAsia" w:hAnsiTheme="minorHAnsi" w:cstheme="minorBidi"/>
                <w:noProof/>
                <w:sz w:val="22"/>
                <w:szCs w:val="22"/>
              </w:rPr>
              <w:tab/>
            </w:r>
            <w:r w:rsidR="006C655A" w:rsidRPr="00CF5A5B">
              <w:rPr>
                <w:rStyle w:val="Hyperlink"/>
                <w:noProof/>
              </w:rPr>
              <w:t>Explanation for Program Changes or Adjustments</w:t>
            </w:r>
            <w:r w:rsidR="006C655A">
              <w:rPr>
                <w:noProof/>
                <w:webHidden/>
              </w:rPr>
              <w:tab/>
            </w:r>
            <w:r w:rsidR="006C655A">
              <w:rPr>
                <w:noProof/>
                <w:webHidden/>
              </w:rPr>
              <w:fldChar w:fldCharType="begin"/>
            </w:r>
            <w:r w:rsidR="006C655A">
              <w:rPr>
                <w:noProof/>
                <w:webHidden/>
              </w:rPr>
              <w:instrText xml:space="preserve"> PAGEREF _Toc448296088 \h </w:instrText>
            </w:r>
            <w:r w:rsidR="006C655A">
              <w:rPr>
                <w:noProof/>
                <w:webHidden/>
              </w:rPr>
            </w:r>
            <w:r w:rsidR="006C655A">
              <w:rPr>
                <w:noProof/>
                <w:webHidden/>
              </w:rPr>
              <w:fldChar w:fldCharType="separate"/>
            </w:r>
            <w:r w:rsidR="005E6F8D">
              <w:rPr>
                <w:noProof/>
                <w:webHidden/>
              </w:rPr>
              <w:t>10</w:t>
            </w:r>
            <w:r w:rsidR="006C655A">
              <w:rPr>
                <w:noProof/>
                <w:webHidden/>
              </w:rPr>
              <w:fldChar w:fldCharType="end"/>
            </w:r>
          </w:hyperlink>
        </w:p>
        <w:p w14:paraId="4B697EBA" w14:textId="77777777" w:rsidR="006C655A" w:rsidRDefault="00996C86" w:rsidP="00E56897">
          <w:pPr>
            <w:pStyle w:val="TOC1"/>
            <w:tabs>
              <w:tab w:val="left" w:pos="660"/>
              <w:tab w:val="right" w:leader="dot" w:pos="10070"/>
            </w:tabs>
            <w:spacing w:after="0"/>
            <w:rPr>
              <w:rFonts w:asciiTheme="minorHAnsi" w:eastAsiaTheme="minorEastAsia" w:hAnsiTheme="minorHAnsi" w:cstheme="minorBidi"/>
              <w:noProof/>
              <w:sz w:val="22"/>
              <w:szCs w:val="22"/>
            </w:rPr>
          </w:pPr>
          <w:hyperlink w:anchor="_Toc448296089" w:history="1">
            <w:r w:rsidR="006C655A" w:rsidRPr="00CF5A5B">
              <w:rPr>
                <w:rStyle w:val="Hyperlink"/>
                <w:noProof/>
              </w:rPr>
              <w:t>16.</w:t>
            </w:r>
            <w:r w:rsidR="006C655A">
              <w:rPr>
                <w:rFonts w:asciiTheme="minorHAnsi" w:eastAsiaTheme="minorEastAsia" w:hAnsiTheme="minorHAnsi" w:cstheme="minorBidi"/>
                <w:noProof/>
                <w:sz w:val="22"/>
                <w:szCs w:val="22"/>
              </w:rPr>
              <w:tab/>
            </w:r>
            <w:r w:rsidR="006C655A" w:rsidRPr="00CF5A5B">
              <w:rPr>
                <w:rStyle w:val="Hyperlink"/>
                <w:noProof/>
              </w:rPr>
              <w:t>Plans for Tabulation and Publication and Project Time Schedule</w:t>
            </w:r>
            <w:r w:rsidR="006C655A">
              <w:rPr>
                <w:noProof/>
                <w:webHidden/>
              </w:rPr>
              <w:tab/>
            </w:r>
            <w:r w:rsidR="006C655A">
              <w:rPr>
                <w:noProof/>
                <w:webHidden/>
              </w:rPr>
              <w:fldChar w:fldCharType="begin"/>
            </w:r>
            <w:r w:rsidR="006C655A">
              <w:rPr>
                <w:noProof/>
                <w:webHidden/>
              </w:rPr>
              <w:instrText xml:space="preserve"> PAGEREF _Toc448296089 \h </w:instrText>
            </w:r>
            <w:r w:rsidR="006C655A">
              <w:rPr>
                <w:noProof/>
                <w:webHidden/>
              </w:rPr>
            </w:r>
            <w:r w:rsidR="006C655A">
              <w:rPr>
                <w:noProof/>
                <w:webHidden/>
              </w:rPr>
              <w:fldChar w:fldCharType="separate"/>
            </w:r>
            <w:r w:rsidR="005E6F8D">
              <w:rPr>
                <w:noProof/>
                <w:webHidden/>
              </w:rPr>
              <w:t>11</w:t>
            </w:r>
            <w:r w:rsidR="006C655A">
              <w:rPr>
                <w:noProof/>
                <w:webHidden/>
              </w:rPr>
              <w:fldChar w:fldCharType="end"/>
            </w:r>
          </w:hyperlink>
        </w:p>
        <w:p w14:paraId="292F9451" w14:textId="77777777" w:rsidR="006C655A" w:rsidRDefault="00996C86" w:rsidP="00E56897">
          <w:pPr>
            <w:pStyle w:val="TOC1"/>
            <w:tabs>
              <w:tab w:val="left" w:pos="660"/>
              <w:tab w:val="right" w:leader="dot" w:pos="10070"/>
            </w:tabs>
            <w:spacing w:after="0"/>
            <w:rPr>
              <w:rFonts w:asciiTheme="minorHAnsi" w:eastAsiaTheme="minorEastAsia" w:hAnsiTheme="minorHAnsi" w:cstheme="minorBidi"/>
              <w:noProof/>
              <w:sz w:val="22"/>
              <w:szCs w:val="22"/>
            </w:rPr>
          </w:pPr>
          <w:hyperlink w:anchor="_Toc448296090" w:history="1">
            <w:r w:rsidR="006C655A" w:rsidRPr="00CF5A5B">
              <w:rPr>
                <w:rStyle w:val="Hyperlink"/>
                <w:noProof/>
              </w:rPr>
              <w:t>17.</w:t>
            </w:r>
            <w:r w:rsidR="006C655A">
              <w:rPr>
                <w:rFonts w:asciiTheme="minorHAnsi" w:eastAsiaTheme="minorEastAsia" w:hAnsiTheme="minorHAnsi" w:cstheme="minorBidi"/>
                <w:noProof/>
                <w:sz w:val="22"/>
                <w:szCs w:val="22"/>
              </w:rPr>
              <w:tab/>
            </w:r>
            <w:r w:rsidR="006C655A" w:rsidRPr="00CF5A5B">
              <w:rPr>
                <w:rStyle w:val="Hyperlink"/>
                <w:noProof/>
              </w:rPr>
              <w:t>Reason(s) Display of OMB Expiration Date is Inappropriate</w:t>
            </w:r>
            <w:r w:rsidR="006C655A">
              <w:rPr>
                <w:noProof/>
                <w:webHidden/>
              </w:rPr>
              <w:tab/>
            </w:r>
            <w:r w:rsidR="006C655A">
              <w:rPr>
                <w:noProof/>
                <w:webHidden/>
              </w:rPr>
              <w:fldChar w:fldCharType="begin"/>
            </w:r>
            <w:r w:rsidR="006C655A">
              <w:rPr>
                <w:noProof/>
                <w:webHidden/>
              </w:rPr>
              <w:instrText xml:space="preserve"> PAGEREF _Toc448296090 \h </w:instrText>
            </w:r>
            <w:r w:rsidR="006C655A">
              <w:rPr>
                <w:noProof/>
                <w:webHidden/>
              </w:rPr>
            </w:r>
            <w:r w:rsidR="006C655A">
              <w:rPr>
                <w:noProof/>
                <w:webHidden/>
              </w:rPr>
              <w:fldChar w:fldCharType="separate"/>
            </w:r>
            <w:r w:rsidR="005E6F8D">
              <w:rPr>
                <w:noProof/>
                <w:webHidden/>
              </w:rPr>
              <w:t>11</w:t>
            </w:r>
            <w:r w:rsidR="006C655A">
              <w:rPr>
                <w:noProof/>
                <w:webHidden/>
              </w:rPr>
              <w:fldChar w:fldCharType="end"/>
            </w:r>
          </w:hyperlink>
        </w:p>
        <w:p w14:paraId="2159ACBD" w14:textId="77777777" w:rsidR="006C655A" w:rsidRDefault="00996C86" w:rsidP="00E56897">
          <w:pPr>
            <w:pStyle w:val="TOC1"/>
            <w:tabs>
              <w:tab w:val="left" w:pos="660"/>
              <w:tab w:val="right" w:leader="dot" w:pos="10070"/>
            </w:tabs>
            <w:spacing w:after="0"/>
            <w:rPr>
              <w:rFonts w:asciiTheme="minorHAnsi" w:eastAsiaTheme="minorEastAsia" w:hAnsiTheme="minorHAnsi" w:cstheme="minorBidi"/>
              <w:noProof/>
              <w:sz w:val="22"/>
              <w:szCs w:val="22"/>
            </w:rPr>
          </w:pPr>
          <w:hyperlink w:anchor="_Toc448296091" w:history="1">
            <w:r w:rsidR="006C655A" w:rsidRPr="00CF5A5B">
              <w:rPr>
                <w:rStyle w:val="Hyperlink"/>
                <w:noProof/>
              </w:rPr>
              <w:t>18.</w:t>
            </w:r>
            <w:r w:rsidR="006C655A">
              <w:rPr>
                <w:rFonts w:asciiTheme="minorHAnsi" w:eastAsiaTheme="minorEastAsia" w:hAnsiTheme="minorHAnsi" w:cstheme="minorBidi"/>
                <w:noProof/>
                <w:sz w:val="22"/>
                <w:szCs w:val="22"/>
              </w:rPr>
              <w:tab/>
            </w:r>
            <w:r w:rsidR="006C655A" w:rsidRPr="00CF5A5B">
              <w:rPr>
                <w:rStyle w:val="Hyperlink"/>
                <w:noProof/>
              </w:rPr>
              <w:t>Exceptions to Certification for Paperwork Reduction Act Submissions</w:t>
            </w:r>
            <w:r w:rsidR="006C655A">
              <w:rPr>
                <w:noProof/>
                <w:webHidden/>
              </w:rPr>
              <w:tab/>
            </w:r>
            <w:r w:rsidR="006C655A">
              <w:rPr>
                <w:noProof/>
                <w:webHidden/>
              </w:rPr>
              <w:fldChar w:fldCharType="begin"/>
            </w:r>
            <w:r w:rsidR="006C655A">
              <w:rPr>
                <w:noProof/>
                <w:webHidden/>
              </w:rPr>
              <w:instrText xml:space="preserve"> PAGEREF _Toc448296091 \h </w:instrText>
            </w:r>
            <w:r w:rsidR="006C655A">
              <w:rPr>
                <w:noProof/>
                <w:webHidden/>
              </w:rPr>
            </w:r>
            <w:r w:rsidR="006C655A">
              <w:rPr>
                <w:noProof/>
                <w:webHidden/>
              </w:rPr>
              <w:fldChar w:fldCharType="separate"/>
            </w:r>
            <w:r w:rsidR="005E6F8D">
              <w:rPr>
                <w:noProof/>
                <w:webHidden/>
              </w:rPr>
              <w:t>11</w:t>
            </w:r>
            <w:r w:rsidR="006C655A">
              <w:rPr>
                <w:noProof/>
                <w:webHidden/>
              </w:rPr>
              <w:fldChar w:fldCharType="end"/>
            </w:r>
          </w:hyperlink>
        </w:p>
        <w:p w14:paraId="084482D0" w14:textId="77777777" w:rsidR="006C655A" w:rsidRDefault="00996C86" w:rsidP="00E56897">
          <w:pPr>
            <w:pStyle w:val="TOC1"/>
            <w:tabs>
              <w:tab w:val="right" w:leader="dot" w:pos="10070"/>
            </w:tabs>
            <w:spacing w:after="0"/>
            <w:rPr>
              <w:rFonts w:asciiTheme="minorHAnsi" w:eastAsiaTheme="minorEastAsia" w:hAnsiTheme="minorHAnsi" w:cstheme="minorBidi"/>
              <w:noProof/>
              <w:sz w:val="22"/>
              <w:szCs w:val="22"/>
            </w:rPr>
          </w:pPr>
          <w:hyperlink w:anchor="_Toc448296092" w:history="1">
            <w:r w:rsidR="006C655A" w:rsidRPr="00CF5A5B">
              <w:rPr>
                <w:rStyle w:val="Hyperlink"/>
                <w:noProof/>
              </w:rPr>
              <w:t>References:</w:t>
            </w:r>
            <w:r w:rsidR="006C655A">
              <w:rPr>
                <w:noProof/>
                <w:webHidden/>
              </w:rPr>
              <w:tab/>
            </w:r>
            <w:r w:rsidR="006C655A">
              <w:rPr>
                <w:noProof/>
                <w:webHidden/>
              </w:rPr>
              <w:fldChar w:fldCharType="begin"/>
            </w:r>
            <w:r w:rsidR="006C655A">
              <w:rPr>
                <w:noProof/>
                <w:webHidden/>
              </w:rPr>
              <w:instrText xml:space="preserve"> PAGEREF _Toc448296092 \h </w:instrText>
            </w:r>
            <w:r w:rsidR="006C655A">
              <w:rPr>
                <w:noProof/>
                <w:webHidden/>
              </w:rPr>
            </w:r>
            <w:r w:rsidR="006C655A">
              <w:rPr>
                <w:noProof/>
                <w:webHidden/>
              </w:rPr>
              <w:fldChar w:fldCharType="separate"/>
            </w:r>
            <w:r w:rsidR="005E6F8D">
              <w:rPr>
                <w:noProof/>
                <w:webHidden/>
              </w:rPr>
              <w:t>12</w:t>
            </w:r>
            <w:r w:rsidR="006C655A">
              <w:rPr>
                <w:noProof/>
                <w:webHidden/>
              </w:rPr>
              <w:fldChar w:fldCharType="end"/>
            </w:r>
          </w:hyperlink>
        </w:p>
        <w:p w14:paraId="1BBE6876" w14:textId="77777777" w:rsidR="00B12EA3" w:rsidRDefault="00B12EA3">
          <w:r w:rsidRPr="00B12EA3">
            <w:rPr>
              <w:bCs/>
              <w:noProof/>
            </w:rPr>
            <w:fldChar w:fldCharType="end"/>
          </w:r>
        </w:p>
      </w:sdtContent>
    </w:sdt>
    <w:p w14:paraId="054F860B" w14:textId="56D5F962" w:rsidR="009221FF" w:rsidRDefault="009221FF" w:rsidP="00C46977">
      <w:pPr>
        <w:pStyle w:val="NoSpacing"/>
        <w:pBdr>
          <w:bottom w:val="single" w:sz="4" w:space="1" w:color="auto"/>
        </w:pBdr>
        <w:rPr>
          <w:b/>
        </w:rPr>
      </w:pPr>
      <w:r>
        <w:rPr>
          <w:b/>
        </w:rPr>
        <w:t>EXHIBITS</w:t>
      </w:r>
    </w:p>
    <w:p w14:paraId="0B9738F4" w14:textId="77777777" w:rsidR="009221FF" w:rsidRPr="009221FF" w:rsidRDefault="009221FF" w:rsidP="00542640">
      <w:pPr>
        <w:pStyle w:val="NoSpacing"/>
        <w:rPr>
          <w:b/>
        </w:rPr>
      </w:pPr>
    </w:p>
    <w:p w14:paraId="495A81B6" w14:textId="77777777" w:rsidR="00CF44C9" w:rsidRDefault="009221FF">
      <w:pPr>
        <w:pStyle w:val="TableofFigures"/>
        <w:tabs>
          <w:tab w:val="right" w:leader="dot" w:pos="10070"/>
        </w:tabs>
        <w:rPr>
          <w:rFonts w:asciiTheme="minorHAnsi" w:eastAsiaTheme="minorEastAsia" w:hAnsiTheme="minorHAnsi" w:cstheme="minorBidi"/>
          <w:noProof/>
          <w:sz w:val="22"/>
          <w:szCs w:val="22"/>
        </w:rPr>
      </w:pPr>
      <w:r>
        <w:rPr>
          <w:b/>
        </w:rPr>
        <w:fldChar w:fldCharType="begin"/>
      </w:r>
      <w:r>
        <w:rPr>
          <w:b/>
        </w:rPr>
        <w:instrText xml:space="preserve"> TOC \h \z \c "Exhibit" </w:instrText>
      </w:r>
      <w:r>
        <w:rPr>
          <w:b/>
        </w:rPr>
        <w:fldChar w:fldCharType="separate"/>
      </w:r>
      <w:hyperlink w:anchor="_Toc449541622" w:history="1">
        <w:r w:rsidR="00CF44C9" w:rsidRPr="00702F75">
          <w:rPr>
            <w:rStyle w:val="Hyperlink"/>
            <w:noProof/>
          </w:rPr>
          <w:t>Exhibit 2.1: Overview of Key Variables</w:t>
        </w:r>
        <w:r w:rsidR="00CF44C9">
          <w:rPr>
            <w:noProof/>
            <w:webHidden/>
          </w:rPr>
          <w:tab/>
        </w:r>
        <w:r w:rsidR="00CF44C9">
          <w:rPr>
            <w:noProof/>
            <w:webHidden/>
          </w:rPr>
          <w:fldChar w:fldCharType="begin"/>
        </w:r>
        <w:r w:rsidR="00CF44C9">
          <w:rPr>
            <w:noProof/>
            <w:webHidden/>
          </w:rPr>
          <w:instrText xml:space="preserve"> PAGEREF _Toc449541622 \h </w:instrText>
        </w:r>
        <w:r w:rsidR="00CF44C9">
          <w:rPr>
            <w:noProof/>
            <w:webHidden/>
          </w:rPr>
        </w:r>
        <w:r w:rsidR="00CF44C9">
          <w:rPr>
            <w:noProof/>
            <w:webHidden/>
          </w:rPr>
          <w:fldChar w:fldCharType="separate"/>
        </w:r>
        <w:r w:rsidR="005E6F8D">
          <w:rPr>
            <w:noProof/>
            <w:webHidden/>
          </w:rPr>
          <w:t>5</w:t>
        </w:r>
        <w:r w:rsidR="00CF44C9">
          <w:rPr>
            <w:noProof/>
            <w:webHidden/>
          </w:rPr>
          <w:fldChar w:fldCharType="end"/>
        </w:r>
      </w:hyperlink>
    </w:p>
    <w:p w14:paraId="302EED39" w14:textId="77777777" w:rsidR="00CF44C9" w:rsidRDefault="00996C86">
      <w:pPr>
        <w:pStyle w:val="TableofFigures"/>
        <w:tabs>
          <w:tab w:val="right" w:leader="dot" w:pos="10070"/>
        </w:tabs>
        <w:rPr>
          <w:rFonts w:asciiTheme="minorHAnsi" w:eastAsiaTheme="minorEastAsia" w:hAnsiTheme="minorHAnsi" w:cstheme="minorBidi"/>
          <w:noProof/>
          <w:sz w:val="22"/>
          <w:szCs w:val="22"/>
        </w:rPr>
      </w:pPr>
      <w:hyperlink w:anchor="_Toc449541623" w:history="1">
        <w:r w:rsidR="00CF44C9" w:rsidRPr="00702F75">
          <w:rPr>
            <w:rStyle w:val="Hyperlink"/>
            <w:noProof/>
          </w:rPr>
          <w:t>Exhibit 12.1: Estimated Annualized Burden Hours</w:t>
        </w:r>
        <w:r w:rsidR="00CF44C9">
          <w:rPr>
            <w:noProof/>
            <w:webHidden/>
          </w:rPr>
          <w:tab/>
        </w:r>
        <w:r w:rsidR="00CF44C9">
          <w:rPr>
            <w:noProof/>
            <w:webHidden/>
          </w:rPr>
          <w:fldChar w:fldCharType="begin"/>
        </w:r>
        <w:r w:rsidR="00CF44C9">
          <w:rPr>
            <w:noProof/>
            <w:webHidden/>
          </w:rPr>
          <w:instrText xml:space="preserve"> PAGEREF _Toc449541623 \h </w:instrText>
        </w:r>
        <w:r w:rsidR="00CF44C9">
          <w:rPr>
            <w:noProof/>
            <w:webHidden/>
          </w:rPr>
        </w:r>
        <w:r w:rsidR="00CF44C9">
          <w:rPr>
            <w:noProof/>
            <w:webHidden/>
          </w:rPr>
          <w:fldChar w:fldCharType="separate"/>
        </w:r>
        <w:r w:rsidR="005E6F8D">
          <w:rPr>
            <w:noProof/>
            <w:webHidden/>
          </w:rPr>
          <w:t>9</w:t>
        </w:r>
        <w:r w:rsidR="00CF44C9">
          <w:rPr>
            <w:noProof/>
            <w:webHidden/>
          </w:rPr>
          <w:fldChar w:fldCharType="end"/>
        </w:r>
      </w:hyperlink>
    </w:p>
    <w:p w14:paraId="134F6FD6" w14:textId="77777777" w:rsidR="00CF44C9" w:rsidRDefault="00996C86">
      <w:pPr>
        <w:pStyle w:val="TableofFigures"/>
        <w:tabs>
          <w:tab w:val="right" w:leader="dot" w:pos="10070"/>
        </w:tabs>
        <w:rPr>
          <w:rFonts w:asciiTheme="minorHAnsi" w:eastAsiaTheme="minorEastAsia" w:hAnsiTheme="minorHAnsi" w:cstheme="minorBidi"/>
          <w:noProof/>
          <w:sz w:val="22"/>
          <w:szCs w:val="22"/>
        </w:rPr>
      </w:pPr>
      <w:hyperlink w:anchor="_Toc449541624" w:history="1">
        <w:r w:rsidR="00CF44C9" w:rsidRPr="00702F75">
          <w:rPr>
            <w:rStyle w:val="Hyperlink"/>
            <w:noProof/>
          </w:rPr>
          <w:t>Exhibit 12.2: Estimated Annualized Burden Costs</w:t>
        </w:r>
        <w:r w:rsidR="00CF44C9">
          <w:rPr>
            <w:noProof/>
            <w:webHidden/>
          </w:rPr>
          <w:tab/>
        </w:r>
        <w:r w:rsidR="00CF44C9">
          <w:rPr>
            <w:noProof/>
            <w:webHidden/>
          </w:rPr>
          <w:fldChar w:fldCharType="begin"/>
        </w:r>
        <w:r w:rsidR="00CF44C9">
          <w:rPr>
            <w:noProof/>
            <w:webHidden/>
          </w:rPr>
          <w:instrText xml:space="preserve"> PAGEREF _Toc449541624 \h </w:instrText>
        </w:r>
        <w:r w:rsidR="00CF44C9">
          <w:rPr>
            <w:noProof/>
            <w:webHidden/>
          </w:rPr>
        </w:r>
        <w:r w:rsidR="00CF44C9">
          <w:rPr>
            <w:noProof/>
            <w:webHidden/>
          </w:rPr>
          <w:fldChar w:fldCharType="separate"/>
        </w:r>
        <w:r w:rsidR="005E6F8D">
          <w:rPr>
            <w:noProof/>
            <w:webHidden/>
          </w:rPr>
          <w:t>10</w:t>
        </w:r>
        <w:r w:rsidR="00CF44C9">
          <w:rPr>
            <w:noProof/>
            <w:webHidden/>
          </w:rPr>
          <w:fldChar w:fldCharType="end"/>
        </w:r>
      </w:hyperlink>
    </w:p>
    <w:p w14:paraId="69822D32" w14:textId="77777777" w:rsidR="00CF44C9" w:rsidRDefault="00996C86">
      <w:pPr>
        <w:pStyle w:val="TableofFigures"/>
        <w:tabs>
          <w:tab w:val="right" w:leader="dot" w:pos="10070"/>
        </w:tabs>
        <w:rPr>
          <w:rFonts w:asciiTheme="minorHAnsi" w:eastAsiaTheme="minorEastAsia" w:hAnsiTheme="minorHAnsi" w:cstheme="minorBidi"/>
          <w:noProof/>
          <w:sz w:val="22"/>
          <w:szCs w:val="22"/>
        </w:rPr>
      </w:pPr>
      <w:hyperlink w:anchor="_Toc449541625" w:history="1">
        <w:r w:rsidR="00CF44C9" w:rsidRPr="00702F75">
          <w:rPr>
            <w:rStyle w:val="Hyperlink"/>
            <w:noProof/>
          </w:rPr>
          <w:t>Exhibit 14.1: Annualized Cost to the Government</w:t>
        </w:r>
        <w:r w:rsidR="00CF44C9">
          <w:rPr>
            <w:noProof/>
            <w:webHidden/>
          </w:rPr>
          <w:tab/>
        </w:r>
        <w:r w:rsidR="00CF44C9">
          <w:rPr>
            <w:noProof/>
            <w:webHidden/>
          </w:rPr>
          <w:fldChar w:fldCharType="begin"/>
        </w:r>
        <w:r w:rsidR="00CF44C9">
          <w:rPr>
            <w:noProof/>
            <w:webHidden/>
          </w:rPr>
          <w:instrText xml:space="preserve"> PAGEREF _Toc449541625 \h </w:instrText>
        </w:r>
        <w:r w:rsidR="00CF44C9">
          <w:rPr>
            <w:noProof/>
            <w:webHidden/>
          </w:rPr>
        </w:r>
        <w:r w:rsidR="00CF44C9">
          <w:rPr>
            <w:noProof/>
            <w:webHidden/>
          </w:rPr>
          <w:fldChar w:fldCharType="separate"/>
        </w:r>
        <w:r w:rsidR="005E6F8D">
          <w:rPr>
            <w:noProof/>
            <w:webHidden/>
          </w:rPr>
          <w:t>10</w:t>
        </w:r>
        <w:r w:rsidR="00CF44C9">
          <w:rPr>
            <w:noProof/>
            <w:webHidden/>
          </w:rPr>
          <w:fldChar w:fldCharType="end"/>
        </w:r>
      </w:hyperlink>
    </w:p>
    <w:p w14:paraId="420CC9CE" w14:textId="77777777" w:rsidR="00CF44C9" w:rsidRDefault="00996C86">
      <w:pPr>
        <w:pStyle w:val="TableofFigures"/>
        <w:tabs>
          <w:tab w:val="right" w:leader="dot" w:pos="10070"/>
        </w:tabs>
        <w:rPr>
          <w:rFonts w:asciiTheme="minorHAnsi" w:eastAsiaTheme="minorEastAsia" w:hAnsiTheme="minorHAnsi" w:cstheme="minorBidi"/>
          <w:noProof/>
          <w:sz w:val="22"/>
          <w:szCs w:val="22"/>
        </w:rPr>
      </w:pPr>
      <w:hyperlink w:anchor="_Toc449541626" w:history="1">
        <w:r w:rsidR="00CF44C9" w:rsidRPr="00702F75">
          <w:rPr>
            <w:rStyle w:val="Hyperlink"/>
            <w:noProof/>
          </w:rPr>
          <w:t>Exhibit 16.1: Project Time Schedule</w:t>
        </w:r>
        <w:r w:rsidR="00CF44C9">
          <w:rPr>
            <w:noProof/>
            <w:webHidden/>
          </w:rPr>
          <w:tab/>
        </w:r>
        <w:r w:rsidR="00CF44C9">
          <w:rPr>
            <w:noProof/>
            <w:webHidden/>
          </w:rPr>
          <w:fldChar w:fldCharType="begin"/>
        </w:r>
        <w:r w:rsidR="00CF44C9">
          <w:rPr>
            <w:noProof/>
            <w:webHidden/>
          </w:rPr>
          <w:instrText xml:space="preserve"> PAGEREF _Toc449541626 \h </w:instrText>
        </w:r>
        <w:r w:rsidR="00CF44C9">
          <w:rPr>
            <w:noProof/>
            <w:webHidden/>
          </w:rPr>
        </w:r>
        <w:r w:rsidR="00CF44C9">
          <w:rPr>
            <w:noProof/>
            <w:webHidden/>
          </w:rPr>
          <w:fldChar w:fldCharType="separate"/>
        </w:r>
        <w:r w:rsidR="005E6F8D">
          <w:rPr>
            <w:noProof/>
            <w:webHidden/>
          </w:rPr>
          <w:t>11</w:t>
        </w:r>
        <w:r w:rsidR="00CF44C9">
          <w:rPr>
            <w:noProof/>
            <w:webHidden/>
          </w:rPr>
          <w:fldChar w:fldCharType="end"/>
        </w:r>
      </w:hyperlink>
    </w:p>
    <w:p w14:paraId="37EABEA8" w14:textId="77777777" w:rsidR="00347120" w:rsidRDefault="009221FF" w:rsidP="00C46977">
      <w:pPr>
        <w:pStyle w:val="NoSpacing"/>
      </w:pPr>
      <w:r>
        <w:fldChar w:fldCharType="end"/>
      </w:r>
    </w:p>
    <w:p w14:paraId="2D50569E" w14:textId="6DC06BD1" w:rsidR="00347120" w:rsidRPr="00C46977" w:rsidRDefault="00347120" w:rsidP="00925BA9">
      <w:pPr>
        <w:pStyle w:val="NoSpacing"/>
        <w:pBdr>
          <w:bottom w:val="single" w:sz="4" w:space="1" w:color="auto"/>
        </w:pBdr>
        <w:rPr>
          <w:b/>
        </w:rPr>
      </w:pPr>
      <w:r w:rsidRPr="00C46977">
        <w:rPr>
          <w:b/>
        </w:rPr>
        <w:t>LIST OF ATTACHMENTS</w:t>
      </w:r>
    </w:p>
    <w:p w14:paraId="09F5260B" w14:textId="77777777" w:rsidR="00347120" w:rsidRDefault="00347120" w:rsidP="00C46977">
      <w:pPr>
        <w:pStyle w:val="NoSpacing"/>
      </w:pPr>
    </w:p>
    <w:p w14:paraId="792DF4DC" w14:textId="7DF2A12D" w:rsidR="009951A9" w:rsidRPr="009951A9" w:rsidRDefault="009951A9" w:rsidP="00C46977">
      <w:pPr>
        <w:pStyle w:val="NoSpacing"/>
        <w:tabs>
          <w:tab w:val="left" w:pos="360"/>
        </w:tabs>
      </w:pPr>
      <w:r>
        <w:rPr>
          <w:b/>
        </w:rPr>
        <w:t>Attachment 1</w:t>
      </w:r>
      <w:r>
        <w:t xml:space="preserve"> Recruitment Materials</w:t>
      </w:r>
    </w:p>
    <w:p w14:paraId="7317A676" w14:textId="77777777" w:rsidR="009951A9" w:rsidRPr="001A5BFA" w:rsidRDefault="009951A9" w:rsidP="00C46977">
      <w:pPr>
        <w:pStyle w:val="NoSpacing"/>
        <w:tabs>
          <w:tab w:val="left" w:pos="360"/>
        </w:tabs>
        <w:rPr>
          <w:b/>
          <w:sz w:val="16"/>
          <w:szCs w:val="16"/>
        </w:rPr>
      </w:pPr>
    </w:p>
    <w:p w14:paraId="7032D2FF" w14:textId="3A432D78" w:rsidR="00E72740" w:rsidRDefault="009951A9" w:rsidP="00CF44C9">
      <w:pPr>
        <w:pStyle w:val="NoSpacing"/>
        <w:tabs>
          <w:tab w:val="left" w:pos="360"/>
        </w:tabs>
      </w:pPr>
      <w:r>
        <w:rPr>
          <w:b/>
        </w:rPr>
        <w:t>Attachment 2</w:t>
      </w:r>
      <w:r w:rsidR="00347120">
        <w:rPr>
          <w:b/>
        </w:rPr>
        <w:t xml:space="preserve"> </w:t>
      </w:r>
      <w:r w:rsidR="00CF44C9">
        <w:t>Consent Form</w:t>
      </w:r>
    </w:p>
    <w:p w14:paraId="56D80B56" w14:textId="77777777" w:rsidR="00347120" w:rsidRPr="001A5BFA" w:rsidRDefault="00347120" w:rsidP="00C46977">
      <w:pPr>
        <w:pStyle w:val="NoSpacing"/>
        <w:tabs>
          <w:tab w:val="left" w:pos="360"/>
        </w:tabs>
        <w:rPr>
          <w:sz w:val="16"/>
          <w:szCs w:val="16"/>
        </w:rPr>
      </w:pPr>
    </w:p>
    <w:p w14:paraId="2A318390" w14:textId="7104D99B" w:rsidR="00347120" w:rsidRDefault="009951A9" w:rsidP="00C46977">
      <w:pPr>
        <w:pStyle w:val="NoSpacing"/>
        <w:tabs>
          <w:tab w:val="left" w:pos="360"/>
        </w:tabs>
      </w:pPr>
      <w:r>
        <w:rPr>
          <w:b/>
        </w:rPr>
        <w:t>Attachment 3</w:t>
      </w:r>
      <w:r w:rsidR="00347120">
        <w:t xml:space="preserve"> </w:t>
      </w:r>
      <w:r w:rsidR="00CF44C9">
        <w:t>Data Collection Instruments</w:t>
      </w:r>
    </w:p>
    <w:p w14:paraId="7E34262B" w14:textId="6329671F" w:rsidR="00347120" w:rsidRDefault="009951A9" w:rsidP="00C46977">
      <w:pPr>
        <w:pStyle w:val="NoSpacing"/>
        <w:tabs>
          <w:tab w:val="left" w:pos="360"/>
        </w:tabs>
      </w:pPr>
      <w:r>
        <w:tab/>
        <w:t>3</w:t>
      </w:r>
      <w:r w:rsidR="00CF5EFA">
        <w:t>a</w:t>
      </w:r>
      <w:r w:rsidR="00347120">
        <w:t xml:space="preserve">. </w:t>
      </w:r>
      <w:r w:rsidR="00E91107" w:rsidRPr="00E91107">
        <w:t>Eligibility Screener: Transgender Women</w:t>
      </w:r>
    </w:p>
    <w:p w14:paraId="6D9E4776" w14:textId="77777777" w:rsidR="00E91107" w:rsidRDefault="009951A9" w:rsidP="00E91107">
      <w:pPr>
        <w:pStyle w:val="NoSpacing"/>
        <w:tabs>
          <w:tab w:val="left" w:pos="360"/>
        </w:tabs>
      </w:pPr>
      <w:r>
        <w:tab/>
        <w:t>3</w:t>
      </w:r>
      <w:r w:rsidR="00CF5EFA">
        <w:t xml:space="preserve">b. </w:t>
      </w:r>
      <w:r w:rsidR="00E91107" w:rsidRPr="00E91107">
        <w:t>Demographic Questionnaire: Transgender Women</w:t>
      </w:r>
    </w:p>
    <w:p w14:paraId="10315C25" w14:textId="663A0FB6" w:rsidR="00E91107" w:rsidRDefault="00E91107" w:rsidP="00E91107">
      <w:pPr>
        <w:pStyle w:val="NoSpacing"/>
        <w:tabs>
          <w:tab w:val="left" w:pos="360"/>
        </w:tabs>
      </w:pPr>
      <w:r>
        <w:tab/>
        <w:t>3c. Demographic Questionnaire: Healthcare Providers</w:t>
      </w:r>
    </w:p>
    <w:p w14:paraId="50A8B5B5" w14:textId="6DBBD04D" w:rsidR="00E91107" w:rsidRDefault="00E91107" w:rsidP="00E91107">
      <w:pPr>
        <w:pStyle w:val="NoSpacing"/>
        <w:tabs>
          <w:tab w:val="left" w:pos="360"/>
        </w:tabs>
      </w:pPr>
      <w:r>
        <w:tab/>
        <w:t>3d. Interview Guide: HIV-Negative Transgender Women</w:t>
      </w:r>
    </w:p>
    <w:p w14:paraId="734FB86B" w14:textId="63A45FBF" w:rsidR="00E91107" w:rsidRDefault="00E91107" w:rsidP="00E91107">
      <w:pPr>
        <w:pStyle w:val="NoSpacing"/>
        <w:tabs>
          <w:tab w:val="left" w:pos="360"/>
        </w:tabs>
      </w:pPr>
      <w:r>
        <w:tab/>
        <w:t xml:space="preserve">3e. Interview Guide: HIV-Positive Transgender Women </w:t>
      </w:r>
    </w:p>
    <w:p w14:paraId="2E3DB2B0" w14:textId="20F7F5FB" w:rsidR="00347120" w:rsidRDefault="00E91107" w:rsidP="00E91107">
      <w:pPr>
        <w:pStyle w:val="NoSpacing"/>
        <w:tabs>
          <w:tab w:val="left" w:pos="360"/>
        </w:tabs>
      </w:pPr>
      <w:r>
        <w:tab/>
        <w:t xml:space="preserve">3f. Interview Guide: Healthcare Providers </w:t>
      </w:r>
    </w:p>
    <w:p w14:paraId="3AE58F22" w14:textId="77777777" w:rsidR="00347120" w:rsidRPr="001A5BFA" w:rsidRDefault="00347120" w:rsidP="00C46977">
      <w:pPr>
        <w:pStyle w:val="NoSpacing"/>
        <w:tabs>
          <w:tab w:val="left" w:pos="360"/>
        </w:tabs>
        <w:rPr>
          <w:sz w:val="16"/>
          <w:szCs w:val="16"/>
        </w:rPr>
      </w:pPr>
    </w:p>
    <w:p w14:paraId="6D169B09" w14:textId="77777777" w:rsidR="001A5BFA" w:rsidRDefault="009951A9" w:rsidP="001A5BFA">
      <w:pPr>
        <w:pStyle w:val="NoSpacing"/>
        <w:tabs>
          <w:tab w:val="left" w:pos="360"/>
        </w:tabs>
      </w:pPr>
      <w:r>
        <w:rPr>
          <w:b/>
        </w:rPr>
        <w:t>Attachment 4</w:t>
      </w:r>
      <w:r w:rsidR="00347120">
        <w:t xml:space="preserve"> </w:t>
      </w:r>
      <w:proofErr w:type="spellStart"/>
      <w:r w:rsidR="00E91107">
        <w:t>Abt</w:t>
      </w:r>
      <w:proofErr w:type="spellEnd"/>
      <w:r w:rsidR="00CF44C9">
        <w:t xml:space="preserve"> IRB Letter of Approval</w:t>
      </w:r>
    </w:p>
    <w:p w14:paraId="6233EDDE" w14:textId="77777777" w:rsidR="001A5BFA" w:rsidRPr="001A5BFA" w:rsidRDefault="001A5BFA" w:rsidP="001A5BFA">
      <w:pPr>
        <w:pStyle w:val="NoSpacing"/>
        <w:tabs>
          <w:tab w:val="left" w:pos="360"/>
        </w:tabs>
        <w:rPr>
          <w:sz w:val="16"/>
          <w:szCs w:val="16"/>
        </w:rPr>
      </w:pPr>
    </w:p>
    <w:p w14:paraId="6E137FD1" w14:textId="1746A720" w:rsidR="00542640" w:rsidRPr="001A5BFA" w:rsidRDefault="001A5BFA" w:rsidP="001A5BFA">
      <w:pPr>
        <w:pStyle w:val="NoSpacing"/>
        <w:tabs>
          <w:tab w:val="left" w:pos="360"/>
        </w:tabs>
      </w:pPr>
      <w:r w:rsidRPr="001A5BFA">
        <w:rPr>
          <w:b/>
        </w:rPr>
        <w:t>Attachment 5</w:t>
      </w:r>
      <w:r>
        <w:t xml:space="preserve"> Certificate of Confidentiality</w:t>
      </w:r>
      <w:r w:rsidR="00542640">
        <w:rPr>
          <w:b/>
        </w:rPr>
        <w:br w:type="page"/>
      </w:r>
    </w:p>
    <w:tbl>
      <w:tblPr>
        <w:tblStyle w:val="TableGrid"/>
        <w:tblW w:w="0" w:type="auto"/>
        <w:tblLook w:val="04A0" w:firstRow="1" w:lastRow="0" w:firstColumn="1" w:lastColumn="0" w:noHBand="0" w:noVBand="1"/>
      </w:tblPr>
      <w:tblGrid>
        <w:gridCol w:w="10070"/>
      </w:tblGrid>
      <w:tr w:rsidR="00B12EA3" w14:paraId="04906BCF" w14:textId="77777777" w:rsidTr="00E2574F">
        <w:trPr>
          <w:trHeight w:val="3860"/>
        </w:trPr>
        <w:tc>
          <w:tcPr>
            <w:tcW w:w="10070" w:type="dxa"/>
          </w:tcPr>
          <w:p w14:paraId="7D1B57C1" w14:textId="391CACB1" w:rsidR="00810B9E" w:rsidRPr="006B07DF" w:rsidRDefault="00B12EA3" w:rsidP="00B12276">
            <w:pPr>
              <w:pStyle w:val="NoSpacing"/>
              <w:numPr>
                <w:ilvl w:val="0"/>
                <w:numId w:val="1"/>
              </w:numPr>
              <w:rPr>
                <w:b/>
              </w:rPr>
            </w:pPr>
            <w:r w:rsidRPr="003E2A65">
              <w:rPr>
                <w:b/>
              </w:rPr>
              <w:lastRenderedPageBreak/>
              <w:t xml:space="preserve">Goals of the study: </w:t>
            </w:r>
            <w:r w:rsidR="00B328D6">
              <w:t>The purpose of this</w:t>
            </w:r>
            <w:r w:rsidR="005248A5">
              <w:t xml:space="preserve"> </w:t>
            </w:r>
            <w:r w:rsidR="004657BF">
              <w:t>qualitative</w:t>
            </w:r>
            <w:r w:rsidR="004D5389">
              <w:t xml:space="preserve"> </w:t>
            </w:r>
            <w:r w:rsidR="004E3544">
              <w:t>research</w:t>
            </w:r>
            <w:r w:rsidR="00B343E9">
              <w:t xml:space="preserve"> </w:t>
            </w:r>
            <w:r w:rsidR="00965E71">
              <w:t xml:space="preserve">study is </w:t>
            </w:r>
            <w:r w:rsidR="009A2571">
              <w:t xml:space="preserve">to </w:t>
            </w:r>
            <w:r w:rsidR="00B250E0">
              <w:t>identify barriers</w:t>
            </w:r>
            <w:r w:rsidR="009A2571">
              <w:t xml:space="preserve"> </w:t>
            </w:r>
            <w:r w:rsidR="00B250E0">
              <w:t xml:space="preserve">and facilitators </w:t>
            </w:r>
            <w:r w:rsidR="00B12276">
              <w:t>to HIV prevention, care, and treatment among transgender women.</w:t>
            </w:r>
            <w:r w:rsidR="00B12276" w:rsidRPr="00B12276">
              <w:t xml:space="preserve"> </w:t>
            </w:r>
          </w:p>
          <w:p w14:paraId="1D02776F" w14:textId="26EE44F3" w:rsidR="00B12EA3" w:rsidRPr="003E2A65" w:rsidRDefault="00B12EA3" w:rsidP="003E2A65">
            <w:pPr>
              <w:pStyle w:val="NoSpacing"/>
              <w:numPr>
                <w:ilvl w:val="0"/>
                <w:numId w:val="1"/>
              </w:numPr>
              <w:rPr>
                <w:b/>
              </w:rPr>
            </w:pPr>
            <w:r w:rsidRPr="003E2A65">
              <w:rPr>
                <w:b/>
              </w:rPr>
              <w:t>Intended use:</w:t>
            </w:r>
            <w:r w:rsidR="00B328D6" w:rsidRPr="003E2A65">
              <w:rPr>
                <w:b/>
              </w:rPr>
              <w:t xml:space="preserve"> </w:t>
            </w:r>
            <w:r w:rsidR="00B328D6">
              <w:t>Data collected th</w:t>
            </w:r>
            <w:r w:rsidR="00731B24">
              <w:t>rough this stu</w:t>
            </w:r>
            <w:r w:rsidR="00B12276">
              <w:t xml:space="preserve">dy will be used </w:t>
            </w:r>
            <w:r w:rsidR="00731B24">
              <w:t>to improve</w:t>
            </w:r>
            <w:r w:rsidR="009A2571">
              <w:t xml:space="preserve"> HIV services</w:t>
            </w:r>
            <w:r w:rsidR="00731B24">
              <w:t xml:space="preserve"> </w:t>
            </w:r>
            <w:r w:rsidR="00F353ED">
              <w:t xml:space="preserve">and programs </w:t>
            </w:r>
            <w:r w:rsidR="00731B24">
              <w:t xml:space="preserve">for </w:t>
            </w:r>
            <w:r w:rsidR="00B12276">
              <w:t>transgender women</w:t>
            </w:r>
            <w:r w:rsidR="00731B24">
              <w:t>; the results of this study are not intended to be generalized to the larger population.</w:t>
            </w:r>
          </w:p>
          <w:p w14:paraId="02AC9B98" w14:textId="0736E9BB" w:rsidR="00810B9E" w:rsidRPr="006B07DF" w:rsidRDefault="00B12EA3" w:rsidP="003E2A65">
            <w:pPr>
              <w:pStyle w:val="NoSpacing"/>
              <w:numPr>
                <w:ilvl w:val="0"/>
                <w:numId w:val="1"/>
              </w:numPr>
              <w:rPr>
                <w:b/>
              </w:rPr>
            </w:pPr>
            <w:r w:rsidRPr="003E2A65">
              <w:rPr>
                <w:b/>
              </w:rPr>
              <w:t>Methods to be used to collect data:</w:t>
            </w:r>
            <w:r w:rsidR="00A34D13" w:rsidRPr="003E2A65">
              <w:rPr>
                <w:b/>
              </w:rPr>
              <w:t xml:space="preserve"> </w:t>
            </w:r>
            <w:r w:rsidR="00A34D13">
              <w:t xml:space="preserve">Data will be collected </w:t>
            </w:r>
            <w:r w:rsidR="003E2A65">
              <w:t xml:space="preserve">from </w:t>
            </w:r>
            <w:r w:rsidR="00B12276">
              <w:t>5</w:t>
            </w:r>
            <w:r w:rsidR="009A2571">
              <w:t xml:space="preserve">0 individuals through </w:t>
            </w:r>
            <w:r w:rsidR="00731B24">
              <w:t>semi-structured</w:t>
            </w:r>
            <w:r w:rsidR="009A2571">
              <w:t xml:space="preserve">, </w:t>
            </w:r>
            <w:r w:rsidR="00E91107">
              <w:t>in-</w:t>
            </w:r>
            <w:r w:rsidR="00DE0EA1">
              <w:t xml:space="preserve">depth </w:t>
            </w:r>
            <w:r w:rsidR="009A2571">
              <w:t>qualitative</w:t>
            </w:r>
            <w:r w:rsidR="00F353ED">
              <w:t xml:space="preserve"> </w:t>
            </w:r>
            <w:r w:rsidR="009A2571">
              <w:t>interviews</w:t>
            </w:r>
            <w:r w:rsidR="00731B24">
              <w:t>.</w:t>
            </w:r>
          </w:p>
          <w:p w14:paraId="65D47543" w14:textId="7D7EC234" w:rsidR="00B12276" w:rsidRPr="00B12276" w:rsidRDefault="00B12EA3" w:rsidP="00B12276">
            <w:pPr>
              <w:pStyle w:val="NoSpacing"/>
              <w:numPr>
                <w:ilvl w:val="0"/>
                <w:numId w:val="1"/>
              </w:numPr>
              <w:rPr>
                <w:b/>
              </w:rPr>
            </w:pPr>
            <w:r w:rsidRPr="003E2A65">
              <w:rPr>
                <w:b/>
              </w:rPr>
              <w:t>The subpopulation to be studied:</w:t>
            </w:r>
            <w:r w:rsidR="00207534" w:rsidRPr="003E2A65">
              <w:rPr>
                <w:b/>
              </w:rPr>
              <w:t xml:space="preserve"> </w:t>
            </w:r>
            <w:r w:rsidR="00B12276" w:rsidRPr="00B12276">
              <w:t>Data will be collected from 20 HIV-positive transgender women, 20 HIV-negative transgender women, and 10 healthcare providers who provide care to transgender women</w:t>
            </w:r>
            <w:r w:rsidR="003E2A65" w:rsidRPr="006B07DF">
              <w:t>.</w:t>
            </w:r>
            <w:r w:rsidR="00CB62C5">
              <w:t xml:space="preserve"> Participants will </w:t>
            </w:r>
            <w:r w:rsidR="00BF4C06">
              <w:t xml:space="preserve">be </w:t>
            </w:r>
            <w:r w:rsidR="00B12276">
              <w:t xml:space="preserve">recruited </w:t>
            </w:r>
            <w:r w:rsidR="00BF4C06">
              <w:t>from</w:t>
            </w:r>
            <w:r w:rsidR="00CB62C5">
              <w:t xml:space="preserve"> </w:t>
            </w:r>
            <w:r w:rsidR="00B12276" w:rsidRPr="00B12276">
              <w:t>Atlanta, GA, Philadelphia, PA, and Washington, DC</w:t>
            </w:r>
            <w:r w:rsidR="00B12276">
              <w:t>.</w:t>
            </w:r>
          </w:p>
          <w:p w14:paraId="67C82716" w14:textId="225CCDE3" w:rsidR="00B12EA3" w:rsidRPr="00B12EA3" w:rsidRDefault="00B12EA3" w:rsidP="00B12276">
            <w:pPr>
              <w:pStyle w:val="NoSpacing"/>
              <w:numPr>
                <w:ilvl w:val="0"/>
                <w:numId w:val="1"/>
              </w:numPr>
              <w:rPr>
                <w:b/>
              </w:rPr>
            </w:pPr>
            <w:r w:rsidRPr="00B12EA3">
              <w:rPr>
                <w:b/>
              </w:rPr>
              <w:t>How data will be analyzed:</w:t>
            </w:r>
            <w:r w:rsidR="003539FB">
              <w:rPr>
                <w:b/>
              </w:rPr>
              <w:t xml:space="preserve"> </w:t>
            </w:r>
            <w:r w:rsidR="003E2A65">
              <w:rPr>
                <w:noProof/>
                <w:szCs w:val="24"/>
              </w:rPr>
              <w:t xml:space="preserve">Qualitative coding </w:t>
            </w:r>
            <w:r w:rsidR="00950C89">
              <w:rPr>
                <w:noProof/>
                <w:szCs w:val="24"/>
              </w:rPr>
              <w:t xml:space="preserve">and thematic analysis </w:t>
            </w:r>
            <w:r w:rsidR="003E2A65">
              <w:rPr>
                <w:noProof/>
                <w:szCs w:val="24"/>
              </w:rPr>
              <w:t xml:space="preserve">of </w:t>
            </w:r>
            <w:r w:rsidR="00B12276">
              <w:rPr>
                <w:noProof/>
                <w:szCs w:val="24"/>
              </w:rPr>
              <w:t>50</w:t>
            </w:r>
            <w:r w:rsidR="003E2A65">
              <w:rPr>
                <w:noProof/>
                <w:szCs w:val="24"/>
              </w:rPr>
              <w:t xml:space="preserve"> in</w:t>
            </w:r>
            <w:r w:rsidR="007447B9">
              <w:rPr>
                <w:noProof/>
                <w:szCs w:val="24"/>
              </w:rPr>
              <w:t>-d</w:t>
            </w:r>
            <w:r w:rsidR="003E2A65">
              <w:rPr>
                <w:noProof/>
                <w:szCs w:val="24"/>
              </w:rPr>
              <w:t>epth inter</w:t>
            </w:r>
            <w:r w:rsidR="00CB62C5">
              <w:rPr>
                <w:noProof/>
                <w:szCs w:val="24"/>
              </w:rPr>
              <w:t>view transcripts using computer-</w:t>
            </w:r>
            <w:r w:rsidR="003E2A65">
              <w:rPr>
                <w:noProof/>
                <w:szCs w:val="24"/>
              </w:rPr>
              <w:t>assisted qualitative data analysis software.</w:t>
            </w:r>
          </w:p>
        </w:tc>
        <w:bookmarkStart w:id="0" w:name="_GoBack"/>
        <w:bookmarkEnd w:id="0"/>
      </w:tr>
    </w:tbl>
    <w:p w14:paraId="33849E7F" w14:textId="77777777" w:rsidR="00B12EA3" w:rsidRDefault="00B12EA3" w:rsidP="00B12EA3">
      <w:pPr>
        <w:pStyle w:val="NoSpacing"/>
      </w:pPr>
    </w:p>
    <w:p w14:paraId="01C12DC1" w14:textId="77777777" w:rsidR="00B12EA3" w:rsidRDefault="00B12EA3" w:rsidP="00B12EA3">
      <w:pPr>
        <w:pStyle w:val="NoSpacing"/>
      </w:pPr>
    </w:p>
    <w:p w14:paraId="6B0500C1" w14:textId="77777777" w:rsidR="00F734ED" w:rsidRPr="00F734ED" w:rsidRDefault="00F734ED" w:rsidP="00B12EA3">
      <w:pPr>
        <w:pStyle w:val="NoSpacing"/>
        <w:rPr>
          <w:b/>
        </w:rPr>
      </w:pPr>
      <w:r w:rsidRPr="00F734ED">
        <w:rPr>
          <w:b/>
        </w:rPr>
        <w:t>Supporting Statement</w:t>
      </w:r>
    </w:p>
    <w:p w14:paraId="39FADC6F" w14:textId="77777777" w:rsidR="00B12EA3" w:rsidRDefault="00B12EA3" w:rsidP="00B12EA3">
      <w:pPr>
        <w:pStyle w:val="NoSpacing"/>
      </w:pPr>
    </w:p>
    <w:p w14:paraId="32E1ACF3" w14:textId="2F1C42DA" w:rsidR="00B12EA3" w:rsidRPr="00E90840" w:rsidRDefault="00F734ED" w:rsidP="00B12EA3">
      <w:pPr>
        <w:pStyle w:val="NoSpacing"/>
        <w:rPr>
          <w:b/>
        </w:rPr>
      </w:pPr>
      <w:r w:rsidRPr="00F734ED">
        <w:rPr>
          <w:b/>
        </w:rPr>
        <w:t xml:space="preserve">A. </w:t>
      </w:r>
      <w:r w:rsidRPr="00F734ED">
        <w:rPr>
          <w:b/>
          <w:u w:val="single"/>
        </w:rPr>
        <w:t>Justification</w:t>
      </w:r>
    </w:p>
    <w:p w14:paraId="16B4B2A2" w14:textId="21511C47" w:rsidR="00B12EA3" w:rsidRDefault="00B12EA3" w:rsidP="00E53653">
      <w:pPr>
        <w:pStyle w:val="Heading1"/>
      </w:pPr>
      <w:bookmarkStart w:id="1" w:name="_Toc448296072"/>
      <w:r w:rsidRPr="00B12EA3">
        <w:t>Circumstances Making the Collection of Information Necessary</w:t>
      </w:r>
      <w:bookmarkEnd w:id="1"/>
    </w:p>
    <w:p w14:paraId="2D35A7DA" w14:textId="77777777" w:rsidR="000D10E8" w:rsidRDefault="000D10E8" w:rsidP="000D10E8"/>
    <w:p w14:paraId="5F472E7A" w14:textId="64BB36C5" w:rsidR="00067E1B" w:rsidRDefault="00067E1B" w:rsidP="002F426C">
      <w:pPr>
        <w:spacing w:line="276" w:lineRule="auto"/>
      </w:pPr>
      <w:r w:rsidRPr="00067E1B">
        <w:t>The Centers for Disease Control and Prevention’s</w:t>
      </w:r>
      <w:r w:rsidR="00F94AE4">
        <w:t xml:space="preserve"> (CDC)</w:t>
      </w:r>
      <w:r w:rsidRPr="00067E1B">
        <w:t xml:space="preserve"> Division of HIV/AIDS Prevention, (DHA</w:t>
      </w:r>
      <w:r w:rsidR="00F15707">
        <w:t>P) requests OMB approval for a qualitative</w:t>
      </w:r>
      <w:r w:rsidR="00F94AE4">
        <w:t xml:space="preserve"> extramural</w:t>
      </w:r>
      <w:r w:rsidRPr="00067E1B">
        <w:t xml:space="preserve"> research study entitled, “</w:t>
      </w:r>
      <w:r w:rsidR="00B12276" w:rsidRPr="00B12276">
        <w:rPr>
          <w:bCs/>
        </w:rPr>
        <w:t>Barriers and Facilitators to HIV Prevention, Care, and Treatment among Transgender Women in Atlanta, GA, Philadelphia, PA, and Washington, DC (T-</w:t>
      </w:r>
      <w:proofErr w:type="spellStart"/>
      <w:r w:rsidR="00B12276" w:rsidRPr="00B12276">
        <w:rPr>
          <w:bCs/>
        </w:rPr>
        <w:t>Qual</w:t>
      </w:r>
      <w:proofErr w:type="spellEnd"/>
      <w:r w:rsidR="00B12276" w:rsidRPr="00B12276">
        <w:rPr>
          <w:bCs/>
        </w:rPr>
        <w:t>)</w:t>
      </w:r>
      <w:r w:rsidRPr="00067E1B">
        <w:t xml:space="preserve">” under </w:t>
      </w:r>
      <w:r w:rsidR="00BF4C06">
        <w:t>the Using Qualitative Methods to Understand Issues in HIV Prevention, Care and Treatment in the United States</w:t>
      </w:r>
      <w:r w:rsidRPr="00067E1B">
        <w:t xml:space="preserve"> Generic Clearance (OMB #0920-</w:t>
      </w:r>
      <w:r w:rsidR="00F15707">
        <w:t>1091</w:t>
      </w:r>
      <w:r w:rsidRPr="00067E1B">
        <w:t xml:space="preserve">, expires </w:t>
      </w:r>
      <w:r w:rsidR="00F15707">
        <w:t>12/</w:t>
      </w:r>
      <w:r>
        <w:t>31</w:t>
      </w:r>
      <w:r w:rsidR="00F15707">
        <w:t>/2018</w:t>
      </w:r>
      <w:r w:rsidRPr="00067E1B">
        <w:t>).</w:t>
      </w:r>
      <w:r w:rsidR="00F94AE4">
        <w:t xml:space="preserve"> </w:t>
      </w:r>
      <w:r w:rsidR="007325ED">
        <w:t xml:space="preserve">CDC will sponsor this </w:t>
      </w:r>
      <w:r w:rsidR="00582903">
        <w:t>data collection activity</w:t>
      </w:r>
      <w:r w:rsidR="005E6F8D">
        <w:t>.</w:t>
      </w:r>
      <w:r w:rsidR="00582903">
        <w:t xml:space="preserve"> </w:t>
      </w:r>
      <w:r w:rsidR="005E6F8D">
        <w:t>D</w:t>
      </w:r>
      <w:r w:rsidR="007325ED">
        <w:t>ata co</w:t>
      </w:r>
      <w:r w:rsidR="002F426C">
        <w:t>llection will be carried out by</w:t>
      </w:r>
      <w:r w:rsidR="00582903">
        <w:t xml:space="preserve"> CDC’s </w:t>
      </w:r>
      <w:r w:rsidR="007325ED">
        <w:t xml:space="preserve">contractor, </w:t>
      </w:r>
      <w:r w:rsidR="00B12276">
        <w:t>Atlas Research</w:t>
      </w:r>
      <w:r w:rsidR="00582903">
        <w:t xml:space="preserve">, in conjunction </w:t>
      </w:r>
      <w:r w:rsidR="002F426C">
        <w:t>with its subcontracting partner</w:t>
      </w:r>
      <w:r w:rsidR="00582903">
        <w:t xml:space="preserve">, </w:t>
      </w:r>
      <w:proofErr w:type="spellStart"/>
      <w:r w:rsidR="00B12276">
        <w:t>Abt</w:t>
      </w:r>
      <w:proofErr w:type="spellEnd"/>
      <w:r w:rsidR="00B12276">
        <w:t xml:space="preserve"> Associates</w:t>
      </w:r>
      <w:r w:rsidR="007325ED">
        <w:t xml:space="preserve">. </w:t>
      </w:r>
    </w:p>
    <w:p w14:paraId="7864263D" w14:textId="77777777" w:rsidR="00067E1B" w:rsidRDefault="00067E1B" w:rsidP="00E53653"/>
    <w:p w14:paraId="7630A000" w14:textId="29F1256E" w:rsidR="002F426C" w:rsidRPr="002F426C" w:rsidRDefault="002F426C" w:rsidP="002F426C">
      <w:pPr>
        <w:tabs>
          <w:tab w:val="left" w:pos="2054"/>
        </w:tabs>
        <w:spacing w:line="276" w:lineRule="auto"/>
        <w:rPr>
          <w:rFonts w:cs="Arial"/>
        </w:rPr>
      </w:pPr>
      <w:r>
        <w:rPr>
          <w:rFonts w:cs="Arial"/>
        </w:rPr>
        <w:t>L</w:t>
      </w:r>
      <w:r w:rsidRPr="002F426C">
        <w:rPr>
          <w:rFonts w:cs="Arial"/>
        </w:rPr>
        <w:t>ittle research has been conducted to understand the unique complexities surrounding transgender women’s experiences related to HIV prevention, care, and treatment</w:t>
      </w:r>
      <w:r>
        <w:rPr>
          <w:rFonts w:cs="Arial"/>
        </w:rPr>
        <w:t xml:space="preserve"> even though HIV incidence is higher among transgender women as compared to other populations</w:t>
      </w:r>
      <w:r w:rsidRPr="002F426C">
        <w:rPr>
          <w:rFonts w:cs="Arial"/>
        </w:rPr>
        <w:t xml:space="preserve">. To effectively address the HIV epidemic in this population, more must be known and understood about the nature of transgender women’s risks for HIV infection, and what evidence-based HIV prevention, care and treatment strategies are available and can be adapted to better meet the needs of transgender women. Qualitative research provides a unique opportunity to address these gaps. </w:t>
      </w:r>
    </w:p>
    <w:p w14:paraId="1C028FC5" w14:textId="2B4015DF" w:rsidR="00BF4C06" w:rsidRDefault="00BF4C06" w:rsidP="00BF4C06">
      <w:pPr>
        <w:tabs>
          <w:tab w:val="left" w:pos="2054"/>
        </w:tabs>
      </w:pPr>
      <w:r>
        <w:tab/>
      </w:r>
    </w:p>
    <w:p w14:paraId="32365A92" w14:textId="5AAC3BE4" w:rsidR="002F426C" w:rsidRDefault="002F426C" w:rsidP="002F426C">
      <w:pPr>
        <w:pStyle w:val="Normal1"/>
        <w:spacing w:line="276" w:lineRule="auto"/>
      </w:pPr>
      <w:r>
        <w:t>According to a 2008 systematic review of 29 studies measuring HIV prevalence among U.S. transgender populations, pooled data from four studies reporting HIV test results indicated a 28</w:t>
      </w:r>
      <w:r w:rsidR="002521ED">
        <w:t xml:space="preserve">% HIV </w:t>
      </w:r>
      <w:r>
        <w:t xml:space="preserve">prevalence among transgender women, and data from 18 studies reporting participants’ self-reported HIV status indicated 12% HIV prevalence (Herbst et al., 2008). Furthermore, a higher proportion of African American transgender women have tested positive for HIV infection (56.3%), compared to Latina and White transgender women (Herbst, et al., 2008). </w:t>
      </w:r>
    </w:p>
    <w:p w14:paraId="6A3D526D" w14:textId="77777777" w:rsidR="002F426C" w:rsidRDefault="002F426C" w:rsidP="002F426C">
      <w:pPr>
        <w:pStyle w:val="Normal1"/>
        <w:spacing w:line="276" w:lineRule="auto"/>
      </w:pPr>
    </w:p>
    <w:p w14:paraId="4D901310" w14:textId="092B08EE" w:rsidR="002F426C" w:rsidRDefault="002F426C" w:rsidP="002F426C">
      <w:pPr>
        <w:pStyle w:val="Normal1"/>
        <w:spacing w:line="276" w:lineRule="auto"/>
      </w:pPr>
      <w:r>
        <w:lastRenderedPageBreak/>
        <w:t xml:space="preserve">Many transgender women engage in behaviors that increase their risk for HIV infection, including having multiple sex partners, </w:t>
      </w:r>
      <w:proofErr w:type="spellStart"/>
      <w:r>
        <w:t>condomless</w:t>
      </w:r>
      <w:proofErr w:type="spellEnd"/>
      <w:r>
        <w:t xml:space="preserve"> receptive anal sex, alcohol and drug use, and needle exchange for recreational drugs, hormone therapy (HT) or injecting silicone (</w:t>
      </w:r>
      <w:proofErr w:type="spellStart"/>
      <w:r>
        <w:t>Bockting</w:t>
      </w:r>
      <w:proofErr w:type="spellEnd"/>
      <w:r>
        <w:t xml:space="preserve">, Robinson, &amp; Rosser, 1998; Brennan, et </w:t>
      </w:r>
      <w:r w:rsidR="00711044">
        <w:t>al., 2012; Crosby &amp; Pitts, 2007;</w:t>
      </w:r>
      <w:r>
        <w:t xml:space="preserve"> </w:t>
      </w:r>
      <w:proofErr w:type="spellStart"/>
      <w:r>
        <w:t>Nemoto</w:t>
      </w:r>
      <w:proofErr w:type="spellEnd"/>
      <w:r>
        <w:t xml:space="preserve">, </w:t>
      </w:r>
      <w:proofErr w:type="spellStart"/>
      <w:r>
        <w:t>Operario</w:t>
      </w:r>
      <w:proofErr w:type="spellEnd"/>
      <w:r>
        <w:t xml:space="preserve">, </w:t>
      </w:r>
      <w:proofErr w:type="spellStart"/>
      <w:r>
        <w:t>Keatley</w:t>
      </w:r>
      <w:proofErr w:type="spellEnd"/>
      <w:r>
        <w:t>, &amp; Villegas, 2004). Transgender women are stigmatized and ostracized by society (transphobia), which can make them extremely vul</w:t>
      </w:r>
      <w:r w:rsidR="002521ED">
        <w:t>nerable to engaging in sex work</w:t>
      </w:r>
      <w:r>
        <w:t xml:space="preserve"> and experiencing homelessness. Several studies have shown that perception</w:t>
      </w:r>
      <w:r w:rsidR="002521ED">
        <w:t>s</w:t>
      </w:r>
      <w:r>
        <w:t xml:space="preserve"> of low risk, low educational attainment and experiencing discrimination from potential employers and society at large, may drive transgender women to engage in sex work to survive (Herbst, et al., 2008;</w:t>
      </w:r>
      <w:r w:rsidR="00711044">
        <w:t xml:space="preserve"> </w:t>
      </w:r>
      <w:proofErr w:type="spellStart"/>
      <w:r>
        <w:t>Kosenko</w:t>
      </w:r>
      <w:proofErr w:type="spellEnd"/>
      <w:r>
        <w:t xml:space="preserve">, 2011; </w:t>
      </w:r>
      <w:proofErr w:type="spellStart"/>
      <w:r>
        <w:t>Nemoto</w:t>
      </w:r>
      <w:proofErr w:type="spellEnd"/>
      <w:r w:rsidR="00711044">
        <w:t xml:space="preserve"> et al.</w:t>
      </w:r>
      <w:r>
        <w:t xml:space="preserve">, 2004; </w:t>
      </w:r>
      <w:proofErr w:type="spellStart"/>
      <w:r>
        <w:t>Sevelius</w:t>
      </w:r>
      <w:proofErr w:type="spellEnd"/>
      <w:r>
        <w:t xml:space="preserve">, </w:t>
      </w:r>
      <w:proofErr w:type="spellStart"/>
      <w:r>
        <w:t>Patouhas</w:t>
      </w:r>
      <w:proofErr w:type="spellEnd"/>
      <w:r>
        <w:t xml:space="preserve">, </w:t>
      </w:r>
      <w:proofErr w:type="spellStart"/>
      <w:r>
        <w:t>Keatley</w:t>
      </w:r>
      <w:proofErr w:type="spellEnd"/>
      <w:r>
        <w:t>, &amp; Johnson, 2014). Along with this, studies have indicated that the need t</w:t>
      </w:r>
      <w:r w:rsidR="002521ED">
        <w:t>o have gender identity affirmed</w:t>
      </w:r>
      <w:r>
        <w:t xml:space="preserve"> may lead transgender women to engage in unprotected anal sex with main partners or clients (Crosby &amp; Pitts, 2007; </w:t>
      </w:r>
      <w:proofErr w:type="spellStart"/>
      <w:r>
        <w:t>Nemoto</w:t>
      </w:r>
      <w:proofErr w:type="spellEnd"/>
      <w:r>
        <w:t xml:space="preserve">, </w:t>
      </w:r>
      <w:r w:rsidR="00711044">
        <w:t>et al.</w:t>
      </w:r>
      <w:r>
        <w:t xml:space="preserve">, 2004; </w:t>
      </w:r>
      <w:proofErr w:type="spellStart"/>
      <w:r>
        <w:t>Sevelius</w:t>
      </w:r>
      <w:proofErr w:type="spellEnd"/>
      <w:r>
        <w:t>, 2013).</w:t>
      </w:r>
    </w:p>
    <w:p w14:paraId="2B382322" w14:textId="77777777" w:rsidR="002F426C" w:rsidRDefault="002F426C" w:rsidP="002F426C">
      <w:pPr>
        <w:pStyle w:val="Normal1"/>
        <w:spacing w:line="276" w:lineRule="auto"/>
      </w:pPr>
    </w:p>
    <w:p w14:paraId="23A88C6C" w14:textId="1308526E" w:rsidR="002F426C" w:rsidRDefault="002F426C" w:rsidP="002F426C">
      <w:pPr>
        <w:pStyle w:val="Normal1"/>
        <w:spacing w:line="276" w:lineRule="auto"/>
      </w:pPr>
      <w:r>
        <w:t xml:space="preserve">Furthermore, transgender women experience multiple health care needs that are unattended such as behavioral health </w:t>
      </w:r>
      <w:r w:rsidR="002521ED">
        <w:t>issue</w:t>
      </w:r>
      <w:r>
        <w:t>s (</w:t>
      </w:r>
      <w:proofErr w:type="spellStart"/>
      <w:r>
        <w:t>Nuttbrock</w:t>
      </w:r>
      <w:proofErr w:type="spellEnd"/>
      <w:r>
        <w:t>, et al., 2013), drug use and abuse (</w:t>
      </w:r>
      <w:proofErr w:type="spellStart"/>
      <w:r>
        <w:t>Nemoto</w:t>
      </w:r>
      <w:proofErr w:type="spellEnd"/>
      <w:r w:rsidR="00711044">
        <w:t xml:space="preserve"> et al., 2004; </w:t>
      </w:r>
      <w:proofErr w:type="spellStart"/>
      <w:r w:rsidR="00711044">
        <w:t>Sevelius</w:t>
      </w:r>
      <w:proofErr w:type="spellEnd"/>
      <w:r w:rsidR="00711044">
        <w:t xml:space="preserve"> et al.</w:t>
      </w:r>
      <w:r>
        <w:t>, 2014), access t</w:t>
      </w:r>
      <w:r w:rsidR="00711044">
        <w:t>o safe hormone therapy (Herbst</w:t>
      </w:r>
      <w:r>
        <w:t xml:space="preserve"> et al., 2008) and </w:t>
      </w:r>
      <w:proofErr w:type="spellStart"/>
      <w:r>
        <w:t>antiretrovirals</w:t>
      </w:r>
      <w:proofErr w:type="spellEnd"/>
      <w:r>
        <w:t xml:space="preserve"> (ARVs) for HIV/AIDS care</w:t>
      </w:r>
      <w:r w:rsidR="002521ED">
        <w:t xml:space="preserve"> and treatment</w:t>
      </w:r>
      <w:r>
        <w:t xml:space="preserve"> (</w:t>
      </w:r>
      <w:proofErr w:type="spellStart"/>
      <w:r>
        <w:t>Sevelius</w:t>
      </w:r>
      <w:proofErr w:type="spellEnd"/>
      <w:r w:rsidR="00711044">
        <w:t xml:space="preserve"> et al.</w:t>
      </w:r>
      <w:r>
        <w:t xml:space="preserve">, 2014). These </w:t>
      </w:r>
      <w:r w:rsidR="002521ED">
        <w:t>risk behaviors and unmet health</w:t>
      </w:r>
      <w:r>
        <w:t>care needs unfold in the context of stigma, social isolation, e</w:t>
      </w:r>
      <w:r w:rsidR="002521ED">
        <w:t>conomic necessity, and violence</w:t>
      </w:r>
      <w:r>
        <w:t xml:space="preserve"> (Herbst, et al., 2008; </w:t>
      </w:r>
      <w:proofErr w:type="spellStart"/>
      <w:r>
        <w:t>Kosenko</w:t>
      </w:r>
      <w:proofErr w:type="spellEnd"/>
      <w:r>
        <w:t xml:space="preserve">, 2011; Lombardi, </w:t>
      </w:r>
      <w:proofErr w:type="spellStart"/>
      <w:r>
        <w:t>Wilchins</w:t>
      </w:r>
      <w:proofErr w:type="spellEnd"/>
      <w:r>
        <w:t xml:space="preserve">, </w:t>
      </w:r>
      <w:proofErr w:type="spellStart"/>
      <w:r>
        <w:t>Pr</w:t>
      </w:r>
      <w:r w:rsidR="00711044">
        <w:t>iesing</w:t>
      </w:r>
      <w:proofErr w:type="spellEnd"/>
      <w:r w:rsidR="00711044">
        <w:t xml:space="preserve">, &amp; Malouf, 2001; </w:t>
      </w:r>
      <w:proofErr w:type="spellStart"/>
      <w:r w:rsidR="00711044">
        <w:t>Nemoto</w:t>
      </w:r>
      <w:proofErr w:type="spellEnd"/>
      <w:r w:rsidR="00711044">
        <w:t xml:space="preserve"> et al.</w:t>
      </w:r>
      <w:r>
        <w:t xml:space="preserve">, 2004; </w:t>
      </w:r>
      <w:proofErr w:type="spellStart"/>
      <w:r>
        <w:t>Sevelius</w:t>
      </w:r>
      <w:proofErr w:type="spellEnd"/>
      <w:r>
        <w:t>, 2013)</w:t>
      </w:r>
      <w:r w:rsidR="002521ED">
        <w:t>.</w:t>
      </w:r>
    </w:p>
    <w:p w14:paraId="141FC023" w14:textId="77777777" w:rsidR="002F426C" w:rsidRDefault="002F426C" w:rsidP="002F426C">
      <w:pPr>
        <w:pStyle w:val="Normal1"/>
        <w:spacing w:line="276" w:lineRule="auto"/>
      </w:pPr>
    </w:p>
    <w:p w14:paraId="211ABB56" w14:textId="3D85C87B" w:rsidR="002F426C" w:rsidRDefault="002F426C" w:rsidP="002F426C">
      <w:pPr>
        <w:pStyle w:val="Normal1"/>
        <w:spacing w:line="276" w:lineRule="auto"/>
      </w:pPr>
      <w:r>
        <w:t xml:space="preserve">A study conducted by </w:t>
      </w:r>
      <w:proofErr w:type="spellStart"/>
      <w:r>
        <w:t>Sevelius</w:t>
      </w:r>
      <w:proofErr w:type="spellEnd"/>
      <w:r>
        <w:t xml:space="preserve"> and colleagues (2014) found that transgender women experience several barriers when attempting </w:t>
      </w:r>
      <w:r w:rsidR="002521ED">
        <w:t xml:space="preserve">to engage in HIV prevention, </w:t>
      </w:r>
      <w:r>
        <w:t>care,</w:t>
      </w:r>
      <w:r w:rsidR="002521ED">
        <w:t xml:space="preserve"> and treatment</w:t>
      </w:r>
      <w:r>
        <w:t xml:space="preserve"> including avoiding HIV testing sites that are not considered trans-friendly, avoiding medical care because of previously experienced transphobia from service providers, prioritization of hormonal treatment over ARVs, concerns about confidentiality (e.g. seeing people they know at the health clinic), drug and alcohol use, and lack of social support and mental health services.  </w:t>
      </w:r>
      <w:proofErr w:type="spellStart"/>
      <w:r>
        <w:t>Sevelius</w:t>
      </w:r>
      <w:proofErr w:type="spellEnd"/>
      <w:r>
        <w:t xml:space="preserve"> and colleagues concluded that the single most important facilitator to engage transgender women in care was availability of gender-affirming healthcare, in which healthcare providers were educated in transgender health, and able to provide both HIV care and </w:t>
      </w:r>
      <w:r w:rsidR="00711044">
        <w:t>hormone therapy</w:t>
      </w:r>
      <w:r>
        <w:t>. Thus, the lack of gender-affirming healthcare was seen as a significant barrier to HIV care.  To address this gap in programming, it is important that service providers address the multi-level risks and needs of transgender indiv</w:t>
      </w:r>
      <w:r w:rsidR="002521ED">
        <w:t>iduals (e.g. safe space, health</w:t>
      </w:r>
      <w:r>
        <w:t xml:space="preserve">care, mental health) (Gelaude, </w:t>
      </w:r>
      <w:proofErr w:type="spellStart"/>
      <w:r>
        <w:t>Sovine</w:t>
      </w:r>
      <w:proofErr w:type="spellEnd"/>
      <w:r>
        <w:t xml:space="preserve">, </w:t>
      </w:r>
      <w:proofErr w:type="spellStart"/>
      <w:r>
        <w:t>Swayzer</w:t>
      </w:r>
      <w:proofErr w:type="spellEnd"/>
      <w:r>
        <w:t>, &amp; Herbst, 2013). Currently there is a dearth of effective HIV prevention and treatment interventions for transgender individuals (</w:t>
      </w:r>
      <w:proofErr w:type="spellStart"/>
      <w:r>
        <w:t>Operario</w:t>
      </w:r>
      <w:proofErr w:type="spellEnd"/>
      <w:r>
        <w:t xml:space="preserve"> &amp; </w:t>
      </w:r>
      <w:proofErr w:type="spellStart"/>
      <w:r>
        <w:t>Nemoto</w:t>
      </w:r>
      <w:proofErr w:type="spellEnd"/>
      <w:r>
        <w:t xml:space="preserve">, 2010). </w:t>
      </w:r>
      <w:r w:rsidR="008B01EB">
        <w:t>CDC’s</w:t>
      </w:r>
      <w:r>
        <w:t xml:space="preserve"> Compendium of Evidence-based Interventions and Best Practices for HIV Prevention has not identified any HIV prevention interventions or best practices for transgender participants that satisfy CDC’s evidence-based criteria for efficacy (</w:t>
      </w:r>
      <w:r w:rsidR="008B01EB">
        <w:t>CDC</w:t>
      </w:r>
      <w:r>
        <w:t>, 2014). Several risk reduction interventions have been developed for transgender women (</w:t>
      </w:r>
      <w:proofErr w:type="spellStart"/>
      <w:r>
        <w:t>Bockting</w:t>
      </w:r>
      <w:proofErr w:type="spellEnd"/>
      <w:r>
        <w:t xml:space="preserve"> et al., 1998; </w:t>
      </w:r>
      <w:proofErr w:type="spellStart"/>
      <w:r>
        <w:t>Bockting</w:t>
      </w:r>
      <w:proofErr w:type="spellEnd"/>
      <w:r>
        <w:t xml:space="preserve">, Robinson, </w:t>
      </w:r>
      <w:proofErr w:type="spellStart"/>
      <w:r>
        <w:t>Forberg</w:t>
      </w:r>
      <w:proofErr w:type="spellEnd"/>
      <w:r>
        <w:t xml:space="preserve">, &amp; </w:t>
      </w:r>
      <w:proofErr w:type="spellStart"/>
      <w:r>
        <w:t>Scheltema</w:t>
      </w:r>
      <w:proofErr w:type="spellEnd"/>
      <w:r>
        <w:t xml:space="preserve">, 2005; </w:t>
      </w:r>
      <w:proofErr w:type="spellStart"/>
      <w:r>
        <w:t>Garofalo</w:t>
      </w:r>
      <w:proofErr w:type="spellEnd"/>
      <w:r>
        <w:t xml:space="preserve">, Deleon, </w:t>
      </w:r>
      <w:proofErr w:type="spellStart"/>
      <w:r>
        <w:t>Osmer</w:t>
      </w:r>
      <w:proofErr w:type="spellEnd"/>
      <w:r>
        <w:t xml:space="preserve">, Doll, &amp; </w:t>
      </w:r>
      <w:proofErr w:type="spellStart"/>
      <w:r>
        <w:t>Harpe</w:t>
      </w:r>
      <w:proofErr w:type="spellEnd"/>
      <w:r>
        <w:t xml:space="preserve">, 2006; </w:t>
      </w:r>
      <w:proofErr w:type="spellStart"/>
      <w:r>
        <w:t>Garofalo</w:t>
      </w:r>
      <w:proofErr w:type="spellEnd"/>
      <w:r>
        <w:t xml:space="preserve">, Johnson, </w:t>
      </w:r>
      <w:proofErr w:type="spellStart"/>
      <w:r>
        <w:t>Kuhns</w:t>
      </w:r>
      <w:proofErr w:type="spellEnd"/>
      <w:r>
        <w:t xml:space="preserve">, </w:t>
      </w:r>
      <w:proofErr w:type="spellStart"/>
      <w:r>
        <w:t>Cotten</w:t>
      </w:r>
      <w:proofErr w:type="spellEnd"/>
      <w:r>
        <w:t xml:space="preserve">, Joseph, &amp; Margolis, 2012; </w:t>
      </w:r>
      <w:proofErr w:type="spellStart"/>
      <w:r>
        <w:t>Nemoto</w:t>
      </w:r>
      <w:proofErr w:type="spellEnd"/>
      <w:r>
        <w:t xml:space="preserve"> et al., 2004; Taylor, </w:t>
      </w:r>
      <w:proofErr w:type="spellStart"/>
      <w:r>
        <w:t>Bimbi</w:t>
      </w:r>
      <w:proofErr w:type="spellEnd"/>
      <w:r>
        <w:t>, Joseph, Margolis, &amp; Parsons, 2011). However, four of the above mentioned interventions have not been rigorously evaluated and two are currently undergoing RCTs (</w:t>
      </w:r>
      <w:proofErr w:type="spellStart"/>
      <w:r>
        <w:t>Garofalo</w:t>
      </w:r>
      <w:proofErr w:type="spellEnd"/>
      <w:r>
        <w:t xml:space="preserve"> et al., 2012; Taylor et al., 2011). </w:t>
      </w:r>
    </w:p>
    <w:p w14:paraId="199183B3" w14:textId="77777777" w:rsidR="002F426C" w:rsidRDefault="002F426C" w:rsidP="002F426C">
      <w:pPr>
        <w:pStyle w:val="Normal1"/>
        <w:spacing w:line="276" w:lineRule="auto"/>
      </w:pPr>
    </w:p>
    <w:p w14:paraId="7E761901" w14:textId="77777777" w:rsidR="002F426C" w:rsidRDefault="002F426C" w:rsidP="002F426C">
      <w:pPr>
        <w:pStyle w:val="Normal1"/>
        <w:spacing w:line="276" w:lineRule="auto"/>
      </w:pPr>
    </w:p>
    <w:p w14:paraId="65102695" w14:textId="108A7BCC" w:rsidR="00BF4C06" w:rsidRPr="008B01EB" w:rsidRDefault="002F426C" w:rsidP="004F65C6">
      <w:pPr>
        <w:pStyle w:val="Normal1"/>
        <w:spacing w:line="276" w:lineRule="auto"/>
        <w:rPr>
          <w:sz w:val="22"/>
          <w:szCs w:val="22"/>
        </w:rPr>
      </w:pPr>
      <w:r>
        <w:t>One of the most promising prevention innovations to reduce HIV transmission rates is pre-exposure prophylaxis (</w:t>
      </w:r>
      <w:proofErr w:type="spellStart"/>
      <w:r>
        <w:t>PrEP</w:t>
      </w:r>
      <w:proofErr w:type="spellEnd"/>
      <w:r>
        <w:t xml:space="preserve">) as a part of a comprehensive HIV prevention approach. The publication of Clinical Practice Guidelines for </w:t>
      </w:r>
      <w:proofErr w:type="spellStart"/>
      <w:r>
        <w:t>PrEP</w:t>
      </w:r>
      <w:proofErr w:type="spellEnd"/>
      <w:r>
        <w:t xml:space="preserve"> by CDC (May 2014) has highlighted an urgency to investigate circumstances that facilitate or hinder access to </w:t>
      </w:r>
      <w:proofErr w:type="spellStart"/>
      <w:r>
        <w:t>PrEP.</w:t>
      </w:r>
      <w:proofErr w:type="spellEnd"/>
      <w:r>
        <w:t xml:space="preserve"> Yet despite years of </w:t>
      </w:r>
      <w:proofErr w:type="spellStart"/>
      <w:r>
        <w:t>PrEP</w:t>
      </w:r>
      <w:proofErr w:type="spellEnd"/>
      <w:r>
        <w:t xml:space="preserve"> research, we know very little about transgender women and </w:t>
      </w:r>
      <w:proofErr w:type="spellStart"/>
      <w:r>
        <w:t>PrEP.</w:t>
      </w:r>
      <w:proofErr w:type="spellEnd"/>
      <w:r>
        <w:t xml:space="preserve"> Unfortunately, studies </w:t>
      </w:r>
      <w:r w:rsidR="008B01EB">
        <w:t>seldom</w:t>
      </w:r>
      <w:r>
        <w:t xml:space="preserve"> include tr</w:t>
      </w:r>
      <w:r w:rsidR="002521ED">
        <w:t>ansgender women in their sample</w:t>
      </w:r>
      <w:r>
        <w:t xml:space="preserve"> or </w:t>
      </w:r>
      <w:r w:rsidR="002521ED">
        <w:t xml:space="preserve">they only </w:t>
      </w:r>
      <w:r>
        <w:t xml:space="preserve">include small </w:t>
      </w:r>
      <w:r w:rsidR="008B01EB">
        <w:t>sub</w:t>
      </w:r>
      <w:r>
        <w:t xml:space="preserve">samples of transgender women. For instance, a study conducted with both men who have sex with men (MSM) and transgender women on barriers and facilitators to </w:t>
      </w:r>
      <w:proofErr w:type="spellStart"/>
      <w:r>
        <w:t>PrEP</w:t>
      </w:r>
      <w:proofErr w:type="spellEnd"/>
      <w:r>
        <w:t xml:space="preserve">, included 177 MSM in their sample and only seven transgender women (Golub, </w:t>
      </w:r>
      <w:proofErr w:type="spellStart"/>
      <w:r>
        <w:t>Gamarel</w:t>
      </w:r>
      <w:proofErr w:type="spellEnd"/>
      <w:r>
        <w:t xml:space="preserve">, </w:t>
      </w:r>
      <w:proofErr w:type="spellStart"/>
      <w:r>
        <w:t>Rendina</w:t>
      </w:r>
      <w:proofErr w:type="spellEnd"/>
      <w:r>
        <w:t xml:space="preserve">, </w:t>
      </w:r>
      <w:proofErr w:type="spellStart"/>
      <w:r>
        <w:t>Surace</w:t>
      </w:r>
      <w:proofErr w:type="spellEnd"/>
      <w:r>
        <w:t xml:space="preserve">, &amp; </w:t>
      </w:r>
      <w:proofErr w:type="spellStart"/>
      <w:r>
        <w:t>Lelutiu</w:t>
      </w:r>
      <w:proofErr w:type="spellEnd"/>
      <w:r>
        <w:t xml:space="preserve">-Weinberger, 2013). Furthermore, a recent analysis of the </w:t>
      </w:r>
      <w:proofErr w:type="spellStart"/>
      <w:r>
        <w:t>iPrEx</w:t>
      </w:r>
      <w:proofErr w:type="spellEnd"/>
      <w:r>
        <w:t xml:space="preserve"> trial found that </w:t>
      </w:r>
      <w:proofErr w:type="spellStart"/>
      <w:r>
        <w:t>PrEP</w:t>
      </w:r>
      <w:proofErr w:type="spellEnd"/>
      <w:r>
        <w:t xml:space="preserve"> could be effective in preventing HIV infection among transgender women. However, transgender women (especially those who are at higher risk for HIV) experience barriers to adherence (Deutsch, et al., 2015). Additional research is needed to increase our </w:t>
      </w:r>
      <w:r w:rsidR="002521ED">
        <w:t>understanding</w:t>
      </w:r>
      <w:r>
        <w:t xml:space="preserve"> of barriers and facilitators to HIV prevention, care and treatment experienced by transgender women at an individual, interpersonal and structural level; as well as the role that their healthcare providers can play in engaging transgender women in protective behaviors. </w:t>
      </w:r>
    </w:p>
    <w:p w14:paraId="24BFF15F" w14:textId="08B54DEB" w:rsidR="00CC6AB1" w:rsidRDefault="00CC6AB1" w:rsidP="00E53653">
      <w:pPr>
        <w:pStyle w:val="Heading1"/>
      </w:pPr>
      <w:bookmarkStart w:id="2" w:name="_Toc448296073"/>
      <w:r w:rsidRPr="00B12EA3">
        <w:t>Purpose and Use of the Information Collection</w:t>
      </w:r>
      <w:bookmarkEnd w:id="2"/>
    </w:p>
    <w:p w14:paraId="729B9CAE" w14:textId="77777777" w:rsidR="00CC6AB1" w:rsidRDefault="00CC6AB1" w:rsidP="00F951D1"/>
    <w:p w14:paraId="7BB86F97" w14:textId="2BBBECA5" w:rsidR="00582903" w:rsidRDefault="00D01AB3" w:rsidP="00F951D1">
      <w:r>
        <w:t xml:space="preserve">The purpose of this </w:t>
      </w:r>
      <w:r w:rsidR="007325ED">
        <w:t xml:space="preserve">information collection </w:t>
      </w:r>
      <w:r>
        <w:t xml:space="preserve">is to conduct </w:t>
      </w:r>
      <w:r w:rsidR="002521ED">
        <w:t>in-</w:t>
      </w:r>
      <w:r w:rsidR="00DE0EA1">
        <w:t>depth interviews among tra</w:t>
      </w:r>
      <w:r w:rsidR="002521ED">
        <w:t>nsgender women and their health</w:t>
      </w:r>
      <w:r w:rsidR="00DE0EA1">
        <w:t>care providers to identify barriers and facilitators to HIV prevention, care, and treatment.</w:t>
      </w:r>
      <w:r w:rsidR="00DE0EA1" w:rsidRPr="00B12276">
        <w:t xml:space="preserve"> </w:t>
      </w:r>
      <w:r>
        <w:t xml:space="preserve"> </w:t>
      </w:r>
      <w:r w:rsidR="00081E33">
        <w:t xml:space="preserve">The information collected through this study will </w:t>
      </w:r>
      <w:r w:rsidR="00DE0EA1">
        <w:t>also</w:t>
      </w:r>
      <w:r w:rsidR="00081E33">
        <w:t xml:space="preserve"> be used </w:t>
      </w:r>
      <w:r w:rsidR="00DE0EA1" w:rsidRPr="00DE0EA1">
        <w:t xml:space="preserve">to improve </w:t>
      </w:r>
      <w:r w:rsidR="00F936F5">
        <w:t xml:space="preserve">local and national </w:t>
      </w:r>
      <w:r w:rsidR="00DE0EA1" w:rsidRPr="00DE0EA1">
        <w:t xml:space="preserve">HIV </w:t>
      </w:r>
      <w:r w:rsidR="00890B50">
        <w:t xml:space="preserve">prevention and/or treatment </w:t>
      </w:r>
      <w:r w:rsidR="00DE0EA1" w:rsidRPr="00DE0EA1">
        <w:t>services and</w:t>
      </w:r>
      <w:r w:rsidR="00DE0EA1">
        <w:t xml:space="preserve"> programs for transgender women</w:t>
      </w:r>
      <w:r w:rsidR="00DE0EA1" w:rsidRPr="00DE0EA1">
        <w:t>.</w:t>
      </w:r>
      <w:r w:rsidR="00DE0EA1">
        <w:t xml:space="preserve"> </w:t>
      </w:r>
    </w:p>
    <w:p w14:paraId="018A4F5F" w14:textId="77777777" w:rsidR="006A15E8" w:rsidRDefault="006A15E8" w:rsidP="000F4D42">
      <w:pPr>
        <w:pStyle w:val="BodyText"/>
        <w:spacing w:after="0"/>
      </w:pPr>
    </w:p>
    <w:p w14:paraId="08ACC570" w14:textId="214D0031" w:rsidR="006A15E8" w:rsidRDefault="00890B50" w:rsidP="006A15E8">
      <w:pPr>
        <w:pStyle w:val="BodyText"/>
        <w:spacing w:after="0"/>
        <w:rPr>
          <w:rFonts w:eastAsia="Arial Narrow"/>
          <w:bCs/>
          <w:spacing w:val="2"/>
          <w:position w:val="-1"/>
        </w:rPr>
      </w:pPr>
      <w:r>
        <w:t>The</w:t>
      </w:r>
      <w:r w:rsidR="000F4D42" w:rsidRPr="000F4D42">
        <w:t xml:space="preserve"> </w:t>
      </w:r>
      <w:r w:rsidR="003D2D57">
        <w:t xml:space="preserve">planned </w:t>
      </w:r>
      <w:r w:rsidR="000F4D42" w:rsidRPr="000F4D42">
        <w:t>study design will sam</w:t>
      </w:r>
      <w:r w:rsidR="00F936F5">
        <w:t>ple 2</w:t>
      </w:r>
      <w:r w:rsidR="002521ED">
        <w:t xml:space="preserve">0 HIV infected and </w:t>
      </w:r>
      <w:r w:rsidR="00F936F5">
        <w:t xml:space="preserve">20 HIV </w:t>
      </w:r>
      <w:r w:rsidR="002521ED">
        <w:t>uninfected</w:t>
      </w:r>
      <w:r w:rsidR="000F4D42" w:rsidRPr="000F4D42">
        <w:t xml:space="preserve"> transgender women identified and recr</w:t>
      </w:r>
      <w:r w:rsidR="002521ED">
        <w:t>uited through local transgender-</w:t>
      </w:r>
      <w:r w:rsidR="000F4D42" w:rsidRPr="000F4D42">
        <w:t xml:space="preserve">serving CBOs, and a small convenience sample of 10 healthcare providers referred by </w:t>
      </w:r>
      <w:r w:rsidR="006A15E8">
        <w:t xml:space="preserve">the transgender women </w:t>
      </w:r>
      <w:r w:rsidR="000F4D42" w:rsidRPr="000F4D42">
        <w:t>participants or identified by study staff. Study instruments will include an in-depth qualit</w:t>
      </w:r>
      <w:r w:rsidR="002521ED">
        <w:t>ative interview with both closed</w:t>
      </w:r>
      <w:r w:rsidR="000F4D42" w:rsidRPr="000F4D42">
        <w:t xml:space="preserve"> and open-ended questions.</w:t>
      </w:r>
      <w:r w:rsidR="006A15E8">
        <w:t xml:space="preserve"> </w:t>
      </w:r>
      <w:r w:rsidR="00CE4B90" w:rsidRPr="00CE4B90">
        <w:rPr>
          <w:rFonts w:eastAsia="Arial Narrow"/>
          <w:bCs/>
          <w:spacing w:val="2"/>
          <w:position w:val="-1"/>
        </w:rPr>
        <w:t xml:space="preserve">Participants will be selected from three Metropolitan Statistical Areas (MSAs) with high HIV prevalence: Atlanta, GA; Philadelphia, PA; and Washington, DC. Due to potential challenges in identifying and recruiting transgender women, we anticipate that multiple sampling and recruitment strategies will be utilized to ensure an adequate number of participants. </w:t>
      </w:r>
    </w:p>
    <w:p w14:paraId="41FA6873" w14:textId="77777777" w:rsidR="00F936F5" w:rsidRPr="00F936F5" w:rsidRDefault="00F936F5" w:rsidP="00F936F5">
      <w:pPr>
        <w:pStyle w:val="BodyText"/>
        <w:rPr>
          <w:rFonts w:cs="Arial"/>
          <w:w w:val="105"/>
        </w:rPr>
      </w:pPr>
    </w:p>
    <w:p w14:paraId="32097742" w14:textId="504D6CD0" w:rsidR="00F936F5" w:rsidRDefault="00F936F5" w:rsidP="00F936F5">
      <w:pPr>
        <w:pStyle w:val="BodyText"/>
        <w:spacing w:after="0"/>
        <w:rPr>
          <w:rFonts w:cs="Arial"/>
          <w:w w:val="105"/>
        </w:rPr>
      </w:pPr>
      <w:r w:rsidRPr="00F936F5">
        <w:rPr>
          <w:rFonts w:cs="Arial"/>
          <w:w w:val="105"/>
        </w:rPr>
        <w:t xml:space="preserve">We will use qualitative, in-depth interviews to collect </w:t>
      </w:r>
      <w:r w:rsidR="003D2D57">
        <w:rPr>
          <w:rFonts w:cs="Arial"/>
          <w:w w:val="105"/>
        </w:rPr>
        <w:t>data</w:t>
      </w:r>
      <w:r w:rsidR="003F3217">
        <w:rPr>
          <w:rFonts w:cs="Arial"/>
          <w:w w:val="105"/>
        </w:rPr>
        <w:t xml:space="preserve"> for this study (</w:t>
      </w:r>
      <w:r w:rsidR="003F3217" w:rsidRPr="00DB7501">
        <w:rPr>
          <w:rFonts w:cs="Arial"/>
          <w:b/>
          <w:w w:val="105"/>
        </w:rPr>
        <w:t>Attachments 3d-f</w:t>
      </w:r>
      <w:r w:rsidRPr="00F936F5">
        <w:rPr>
          <w:rFonts w:cs="Arial"/>
          <w:w w:val="105"/>
        </w:rPr>
        <w:t xml:space="preserve">). Interviews will include a short, structured response </w:t>
      </w:r>
      <w:r w:rsidR="003D2D57">
        <w:rPr>
          <w:rFonts w:cs="Arial"/>
          <w:w w:val="105"/>
        </w:rPr>
        <w:t>instrument</w:t>
      </w:r>
      <w:r w:rsidRPr="00F936F5">
        <w:rPr>
          <w:rFonts w:cs="Arial"/>
          <w:w w:val="105"/>
        </w:rPr>
        <w:t xml:space="preserve"> to collect participants’ demographic information</w:t>
      </w:r>
      <w:r w:rsidR="008A2E78">
        <w:rPr>
          <w:rFonts w:cs="Arial"/>
          <w:w w:val="105"/>
        </w:rPr>
        <w:t xml:space="preserve"> (</w:t>
      </w:r>
      <w:r w:rsidR="008A2E78" w:rsidRPr="00DB7501">
        <w:rPr>
          <w:rFonts w:cs="Arial"/>
          <w:b/>
          <w:w w:val="105"/>
        </w:rPr>
        <w:t>Attachments 3b-c</w:t>
      </w:r>
      <w:r>
        <w:rPr>
          <w:rFonts w:cs="Arial"/>
          <w:w w:val="105"/>
        </w:rPr>
        <w:t>)</w:t>
      </w:r>
      <w:r w:rsidRPr="00F936F5">
        <w:rPr>
          <w:rFonts w:cs="Arial"/>
          <w:w w:val="105"/>
        </w:rPr>
        <w:t xml:space="preserve">. The </w:t>
      </w:r>
      <w:r>
        <w:rPr>
          <w:rFonts w:cs="Arial"/>
          <w:w w:val="105"/>
        </w:rPr>
        <w:t xml:space="preserve">in-depth </w:t>
      </w:r>
      <w:r w:rsidRPr="00F936F5">
        <w:rPr>
          <w:rFonts w:cs="Arial"/>
          <w:w w:val="105"/>
        </w:rPr>
        <w:t xml:space="preserve">interviews will primarily include open-ended questions </w:t>
      </w:r>
      <w:r>
        <w:rPr>
          <w:rFonts w:cs="Arial"/>
          <w:w w:val="105"/>
        </w:rPr>
        <w:t xml:space="preserve">with some closed-ended questions </w:t>
      </w:r>
      <w:r w:rsidRPr="00F936F5">
        <w:rPr>
          <w:rFonts w:cs="Arial"/>
          <w:w w:val="105"/>
        </w:rPr>
        <w:t xml:space="preserve">designed to elicit information on HIV prevention, care and treatment among </w:t>
      </w:r>
      <w:r>
        <w:rPr>
          <w:rFonts w:cs="Arial"/>
          <w:w w:val="105"/>
        </w:rPr>
        <w:t>transgender women</w:t>
      </w:r>
      <w:r w:rsidRPr="00F936F5">
        <w:rPr>
          <w:rFonts w:cs="Arial"/>
          <w:w w:val="105"/>
        </w:rPr>
        <w:t xml:space="preserve"> in the jurisdiction</w:t>
      </w:r>
      <w:r w:rsidR="003D2D57">
        <w:rPr>
          <w:rFonts w:cs="Arial"/>
          <w:w w:val="105"/>
        </w:rPr>
        <w:t>s</w:t>
      </w:r>
      <w:r>
        <w:rPr>
          <w:rFonts w:cs="Arial"/>
          <w:w w:val="105"/>
        </w:rPr>
        <w:t xml:space="preserve"> (</w:t>
      </w:r>
      <w:r w:rsidRPr="00DB7501">
        <w:rPr>
          <w:rFonts w:cs="Arial"/>
          <w:b/>
          <w:w w:val="105"/>
        </w:rPr>
        <w:t xml:space="preserve">Attachments </w:t>
      </w:r>
      <w:r w:rsidR="008A2E78" w:rsidRPr="00DB7501">
        <w:rPr>
          <w:rFonts w:cs="Arial"/>
          <w:b/>
          <w:w w:val="105"/>
        </w:rPr>
        <w:t>3d-f</w:t>
      </w:r>
      <w:r w:rsidRPr="00DB7501">
        <w:rPr>
          <w:rFonts w:cs="Arial"/>
          <w:b/>
          <w:w w:val="105"/>
        </w:rPr>
        <w:t>).</w:t>
      </w:r>
      <w:r w:rsidRPr="00F936F5">
        <w:rPr>
          <w:rFonts w:cs="Arial"/>
          <w:w w:val="105"/>
        </w:rPr>
        <w:t xml:space="preserve"> Key variables to be explored through the interviews are described in Exhibit 2.1 below. All data collection instruments have been approved by the </w:t>
      </w:r>
      <w:proofErr w:type="spellStart"/>
      <w:r>
        <w:rPr>
          <w:rFonts w:cs="Arial"/>
          <w:w w:val="105"/>
        </w:rPr>
        <w:t>Abt</w:t>
      </w:r>
      <w:proofErr w:type="spellEnd"/>
      <w:r>
        <w:rPr>
          <w:rFonts w:cs="Arial"/>
          <w:w w:val="105"/>
        </w:rPr>
        <w:t xml:space="preserve"> Associates</w:t>
      </w:r>
      <w:r w:rsidRPr="00F936F5">
        <w:rPr>
          <w:rFonts w:cs="Arial"/>
          <w:w w:val="105"/>
        </w:rPr>
        <w:t xml:space="preserve"> IRB (</w:t>
      </w:r>
      <w:r w:rsidRPr="00DB7501">
        <w:rPr>
          <w:rFonts w:cs="Arial"/>
          <w:b/>
          <w:w w:val="105"/>
        </w:rPr>
        <w:t>Attachment 4</w:t>
      </w:r>
      <w:r w:rsidRPr="00F936F5">
        <w:rPr>
          <w:rFonts w:cs="Arial"/>
          <w:w w:val="105"/>
        </w:rPr>
        <w:t>).</w:t>
      </w:r>
    </w:p>
    <w:p w14:paraId="61E8BA0B" w14:textId="77777777" w:rsidR="00F936F5" w:rsidRDefault="00F936F5" w:rsidP="00F936F5">
      <w:pPr>
        <w:pStyle w:val="BodyText"/>
        <w:spacing w:after="0"/>
        <w:rPr>
          <w:rFonts w:cs="Arial"/>
          <w:w w:val="105"/>
        </w:rPr>
      </w:pPr>
    </w:p>
    <w:p w14:paraId="75251270" w14:textId="73D75B2A" w:rsidR="000F4D42" w:rsidRPr="00414B08" w:rsidRDefault="000F4D42" w:rsidP="00F936F5">
      <w:pPr>
        <w:pStyle w:val="BodyText"/>
        <w:spacing w:after="0"/>
        <w:rPr>
          <w:rFonts w:cs="Arial"/>
          <w:w w:val="105"/>
        </w:rPr>
      </w:pPr>
      <w:r w:rsidRPr="006E4075">
        <w:rPr>
          <w:rFonts w:cs="Arial"/>
          <w:w w:val="105"/>
        </w:rPr>
        <w:t>CDC, in</w:t>
      </w:r>
      <w:r>
        <w:rPr>
          <w:rFonts w:cs="Arial"/>
          <w:w w:val="105"/>
        </w:rPr>
        <w:t xml:space="preserve"> partnership with the contractor </w:t>
      </w:r>
      <w:r w:rsidRPr="006E4075">
        <w:rPr>
          <w:rFonts w:cs="Arial"/>
          <w:w w:val="105"/>
        </w:rPr>
        <w:t xml:space="preserve">staff, will identify and develop appropriate dissemination opportunities for these findings. </w:t>
      </w:r>
      <w:r w:rsidR="003D2D57" w:rsidRPr="00890B50">
        <w:rPr>
          <w:rFonts w:cs="Arial"/>
          <w:w w:val="105"/>
        </w:rPr>
        <w:t>The results of this study are not intended to be generalized to the larger population.</w:t>
      </w:r>
      <w:r w:rsidR="003D2D57">
        <w:rPr>
          <w:rFonts w:cs="Arial"/>
          <w:w w:val="105"/>
        </w:rPr>
        <w:t xml:space="preserve"> </w:t>
      </w:r>
      <w:r w:rsidR="00F936F5" w:rsidRPr="00F936F5">
        <w:rPr>
          <w:rFonts w:cs="Arial"/>
          <w:w w:val="105"/>
        </w:rPr>
        <w:t>CDC and/or its partners may also analyze these data and publish results in peer-reviewed journals.</w:t>
      </w:r>
      <w:r w:rsidR="00F936F5">
        <w:rPr>
          <w:rFonts w:cs="Arial"/>
          <w:w w:val="105"/>
        </w:rPr>
        <w:t xml:space="preserve"> </w:t>
      </w:r>
      <w:r w:rsidRPr="006E4075">
        <w:rPr>
          <w:rFonts w:cs="Arial"/>
          <w:w w:val="105"/>
        </w:rPr>
        <w:t xml:space="preserve">Stakeholders from the </w:t>
      </w:r>
      <w:r w:rsidR="003D2D57">
        <w:rPr>
          <w:rFonts w:cs="Arial"/>
          <w:w w:val="105"/>
        </w:rPr>
        <w:t xml:space="preserve">participating </w:t>
      </w:r>
      <w:r w:rsidRPr="006E4075">
        <w:rPr>
          <w:rFonts w:cs="Arial"/>
          <w:w w:val="105"/>
        </w:rPr>
        <w:t>CBOs</w:t>
      </w:r>
      <w:r>
        <w:rPr>
          <w:rFonts w:cs="Arial"/>
          <w:w w:val="105"/>
        </w:rPr>
        <w:t xml:space="preserve"> will also be briefed by contractor staff on the study findings (e.g., memo summarizing findings).</w:t>
      </w:r>
      <w:r w:rsidR="00890B50" w:rsidRPr="00890B50">
        <w:t xml:space="preserve"> </w:t>
      </w:r>
    </w:p>
    <w:p w14:paraId="35F97AD9" w14:textId="79B17D8B" w:rsidR="00F72954" w:rsidRDefault="00F72954" w:rsidP="00F72954">
      <w:bookmarkStart w:id="3" w:name="_Toc448296074"/>
    </w:p>
    <w:p w14:paraId="1A7585C2" w14:textId="3E43C6FA" w:rsidR="00F72954" w:rsidRPr="00C91C02" w:rsidRDefault="00C91C02" w:rsidP="00C91C02">
      <w:pPr>
        <w:pStyle w:val="Caption"/>
      </w:pPr>
      <w:bookmarkStart w:id="4" w:name="_Toc449541622"/>
      <w:r w:rsidRPr="00C91C02">
        <w:t xml:space="preserve">Exhibit </w:t>
      </w:r>
      <w:r w:rsidR="00D452E0">
        <w:fldChar w:fldCharType="begin"/>
      </w:r>
      <w:r w:rsidR="00D452E0">
        <w:instrText xml:space="preserve"> STYLEREF 1 \s </w:instrText>
      </w:r>
      <w:r w:rsidR="00D452E0">
        <w:fldChar w:fldCharType="separate"/>
      </w:r>
      <w:r w:rsidRPr="00C91C02">
        <w:rPr>
          <w:noProof/>
        </w:rPr>
        <w:t>2</w:t>
      </w:r>
      <w:r w:rsidR="00D452E0">
        <w:rPr>
          <w:noProof/>
        </w:rPr>
        <w:fldChar w:fldCharType="end"/>
      </w:r>
      <w:r w:rsidRPr="00C91C02">
        <w:t>.</w:t>
      </w:r>
      <w:r w:rsidR="00D452E0">
        <w:fldChar w:fldCharType="begin"/>
      </w:r>
      <w:r w:rsidR="00D452E0">
        <w:instrText xml:space="preserve"> SEQ Exhibit \* ARABIC \s 1 </w:instrText>
      </w:r>
      <w:r w:rsidR="00D452E0">
        <w:fldChar w:fldCharType="separate"/>
      </w:r>
      <w:r w:rsidRPr="00C91C02">
        <w:rPr>
          <w:noProof/>
        </w:rPr>
        <w:t>1</w:t>
      </w:r>
      <w:r w:rsidR="00D452E0">
        <w:rPr>
          <w:noProof/>
        </w:rPr>
        <w:fldChar w:fldCharType="end"/>
      </w:r>
      <w:r w:rsidRPr="00C91C02">
        <w:t>: Overview of Key Variables</w:t>
      </w:r>
      <w:bookmarkEnd w:id="4"/>
    </w:p>
    <w:p w14:paraId="684F3FED" w14:textId="493528DB" w:rsidR="00C91C02" w:rsidRPr="00C91C02" w:rsidRDefault="00C91C02" w:rsidP="00C91C02"/>
    <w:tbl>
      <w:tblPr>
        <w:tblStyle w:val="TableGrid"/>
        <w:tblW w:w="0" w:type="auto"/>
        <w:tblLook w:val="04A0" w:firstRow="1" w:lastRow="0" w:firstColumn="1" w:lastColumn="0" w:noHBand="0" w:noVBand="1"/>
      </w:tblPr>
      <w:tblGrid>
        <w:gridCol w:w="4888"/>
        <w:gridCol w:w="4888"/>
      </w:tblGrid>
      <w:tr w:rsidR="00F72954" w14:paraId="174053D7" w14:textId="2EB751E6" w:rsidTr="00F72954">
        <w:tc>
          <w:tcPr>
            <w:tcW w:w="4888" w:type="dxa"/>
          </w:tcPr>
          <w:p w14:paraId="32C8A612" w14:textId="4A2AEB39" w:rsidR="00F72954" w:rsidRPr="00F72954" w:rsidRDefault="00AC3B51" w:rsidP="008A2E78">
            <w:pPr>
              <w:pStyle w:val="ListParagraph"/>
              <w:ind w:left="360"/>
              <w:jc w:val="center"/>
              <w:rPr>
                <w:rFonts w:ascii="Times New Roman" w:hAnsi="Times New Roman"/>
                <w:b/>
                <w:sz w:val="20"/>
                <w:szCs w:val="20"/>
              </w:rPr>
            </w:pPr>
            <w:r>
              <w:rPr>
                <w:rFonts w:ascii="Times New Roman" w:hAnsi="Times New Roman"/>
                <w:b/>
                <w:sz w:val="20"/>
                <w:szCs w:val="20"/>
                <w:lang w:val="en-US"/>
              </w:rPr>
              <w:t>HIV-positive and HIV-negative Transgender Women</w:t>
            </w:r>
            <w:r w:rsidR="00F72954" w:rsidRPr="00F72954">
              <w:rPr>
                <w:rFonts w:ascii="Times New Roman" w:hAnsi="Times New Roman"/>
                <w:b/>
                <w:sz w:val="20"/>
                <w:szCs w:val="20"/>
              </w:rPr>
              <w:t xml:space="preserve"> (Att</w:t>
            </w:r>
            <w:r>
              <w:rPr>
                <w:rFonts w:ascii="Times New Roman" w:hAnsi="Times New Roman"/>
                <w:b/>
                <w:sz w:val="20"/>
                <w:szCs w:val="20"/>
                <w:lang w:val="en-US"/>
              </w:rPr>
              <w:t>achment</w:t>
            </w:r>
            <w:r w:rsidR="00F936F5">
              <w:rPr>
                <w:rFonts w:ascii="Times New Roman" w:hAnsi="Times New Roman"/>
                <w:b/>
                <w:sz w:val="20"/>
                <w:szCs w:val="20"/>
                <w:lang w:val="en-US"/>
              </w:rPr>
              <w:t>s</w:t>
            </w:r>
            <w:r w:rsidR="00F72954" w:rsidRPr="00F72954">
              <w:rPr>
                <w:rFonts w:ascii="Times New Roman" w:hAnsi="Times New Roman"/>
                <w:b/>
                <w:sz w:val="20"/>
                <w:szCs w:val="20"/>
              </w:rPr>
              <w:t xml:space="preserve"> </w:t>
            </w:r>
            <w:r w:rsidR="008A2E78">
              <w:rPr>
                <w:rFonts w:ascii="Times New Roman" w:hAnsi="Times New Roman"/>
                <w:b/>
                <w:sz w:val="20"/>
                <w:szCs w:val="20"/>
                <w:lang w:val="en-US"/>
              </w:rPr>
              <w:t>3d-e</w:t>
            </w:r>
            <w:r w:rsidR="00F72954" w:rsidRPr="00F72954">
              <w:rPr>
                <w:rFonts w:ascii="Times New Roman" w:hAnsi="Times New Roman"/>
                <w:b/>
                <w:sz w:val="20"/>
                <w:szCs w:val="20"/>
              </w:rPr>
              <w:t>)</w:t>
            </w:r>
          </w:p>
        </w:tc>
        <w:tc>
          <w:tcPr>
            <w:tcW w:w="4888" w:type="dxa"/>
          </w:tcPr>
          <w:p w14:paraId="5697C3D3" w14:textId="34C7B8CD" w:rsidR="00F72954" w:rsidRPr="00F72954" w:rsidRDefault="00F936F5" w:rsidP="008A2E78">
            <w:pPr>
              <w:spacing w:line="276" w:lineRule="auto"/>
              <w:jc w:val="center"/>
              <w:rPr>
                <w:b/>
                <w:sz w:val="20"/>
                <w:szCs w:val="20"/>
              </w:rPr>
            </w:pPr>
            <w:r>
              <w:rPr>
                <w:b/>
                <w:sz w:val="20"/>
                <w:szCs w:val="20"/>
              </w:rPr>
              <w:t xml:space="preserve">Healthcare </w:t>
            </w:r>
            <w:r w:rsidR="00AC3B51">
              <w:rPr>
                <w:b/>
                <w:sz w:val="20"/>
                <w:szCs w:val="20"/>
              </w:rPr>
              <w:t>Providers</w:t>
            </w:r>
            <w:r w:rsidR="00F72954" w:rsidRPr="00F72954">
              <w:rPr>
                <w:b/>
                <w:sz w:val="20"/>
                <w:szCs w:val="20"/>
              </w:rPr>
              <w:t xml:space="preserve"> (Att</w:t>
            </w:r>
            <w:r w:rsidR="00AC3B51">
              <w:rPr>
                <w:b/>
                <w:sz w:val="20"/>
                <w:szCs w:val="20"/>
              </w:rPr>
              <w:t>achment</w:t>
            </w:r>
            <w:r w:rsidR="00F72954" w:rsidRPr="00F72954">
              <w:rPr>
                <w:b/>
                <w:sz w:val="20"/>
                <w:szCs w:val="20"/>
              </w:rPr>
              <w:t xml:space="preserve"> </w:t>
            </w:r>
            <w:r w:rsidR="008A2E78">
              <w:rPr>
                <w:b/>
                <w:sz w:val="20"/>
                <w:szCs w:val="20"/>
              </w:rPr>
              <w:t>3f</w:t>
            </w:r>
            <w:r w:rsidR="00F72954" w:rsidRPr="00F72954">
              <w:rPr>
                <w:b/>
                <w:sz w:val="20"/>
                <w:szCs w:val="20"/>
              </w:rPr>
              <w:t>)</w:t>
            </w:r>
          </w:p>
        </w:tc>
      </w:tr>
      <w:tr w:rsidR="00F72954" w14:paraId="5097009E" w14:textId="5F849DB8" w:rsidTr="00F72954">
        <w:tc>
          <w:tcPr>
            <w:tcW w:w="4888" w:type="dxa"/>
          </w:tcPr>
          <w:p w14:paraId="68E311BD" w14:textId="6A2C79A4" w:rsidR="00AC3B51" w:rsidRPr="00AC3B51" w:rsidRDefault="00AC3B51" w:rsidP="00AC3B51">
            <w:pPr>
              <w:pStyle w:val="ListParagraph"/>
              <w:numPr>
                <w:ilvl w:val="0"/>
                <w:numId w:val="12"/>
              </w:numPr>
              <w:rPr>
                <w:sz w:val="20"/>
                <w:szCs w:val="20"/>
              </w:rPr>
            </w:pPr>
            <w:r>
              <w:rPr>
                <w:rFonts w:ascii="Times New Roman" w:hAnsi="Times New Roman"/>
                <w:sz w:val="20"/>
                <w:szCs w:val="20"/>
                <w:lang w:val="en-US"/>
              </w:rPr>
              <w:t>Demographics</w:t>
            </w:r>
          </w:p>
          <w:p w14:paraId="1EE991B0" w14:textId="0FB5C92E" w:rsidR="00AC3B51" w:rsidRPr="00AC3B51" w:rsidRDefault="00AC3B51" w:rsidP="00AC3B51">
            <w:pPr>
              <w:pStyle w:val="ListParagraph"/>
              <w:numPr>
                <w:ilvl w:val="0"/>
                <w:numId w:val="12"/>
              </w:numPr>
              <w:rPr>
                <w:sz w:val="20"/>
                <w:szCs w:val="20"/>
              </w:rPr>
            </w:pPr>
            <w:r>
              <w:rPr>
                <w:rFonts w:ascii="Times New Roman" w:hAnsi="Times New Roman"/>
                <w:sz w:val="20"/>
                <w:szCs w:val="20"/>
              </w:rPr>
              <w:t>HIV testing</w:t>
            </w:r>
          </w:p>
          <w:p w14:paraId="2C78F2B0" w14:textId="7F752BFD" w:rsidR="00AC3B51" w:rsidRPr="00AC3B51" w:rsidRDefault="00AC3B51" w:rsidP="00AC3B51">
            <w:pPr>
              <w:pStyle w:val="ListParagraph"/>
              <w:numPr>
                <w:ilvl w:val="0"/>
                <w:numId w:val="12"/>
              </w:numPr>
              <w:rPr>
                <w:sz w:val="20"/>
                <w:szCs w:val="20"/>
              </w:rPr>
            </w:pPr>
            <w:r>
              <w:rPr>
                <w:rFonts w:ascii="Times New Roman" w:hAnsi="Times New Roman"/>
                <w:sz w:val="20"/>
                <w:szCs w:val="20"/>
              </w:rPr>
              <w:t>HIV prevention</w:t>
            </w:r>
            <w:r w:rsidRPr="00AC3B51">
              <w:rPr>
                <w:rFonts w:ascii="Times New Roman" w:hAnsi="Times New Roman"/>
                <w:sz w:val="20"/>
                <w:szCs w:val="20"/>
              </w:rPr>
              <w:t xml:space="preserve"> </w:t>
            </w:r>
          </w:p>
          <w:p w14:paraId="34C7A6BF" w14:textId="77777777" w:rsidR="00AC3B51" w:rsidRPr="00F936F5" w:rsidRDefault="00AC3B51" w:rsidP="00AC3B51">
            <w:pPr>
              <w:pStyle w:val="ListParagraph"/>
              <w:numPr>
                <w:ilvl w:val="0"/>
                <w:numId w:val="12"/>
              </w:numPr>
              <w:rPr>
                <w:sz w:val="20"/>
                <w:szCs w:val="20"/>
              </w:rPr>
            </w:pPr>
            <w:r w:rsidRPr="00AC3B51">
              <w:rPr>
                <w:rFonts w:ascii="Times New Roman" w:hAnsi="Times New Roman"/>
                <w:sz w:val="20"/>
                <w:szCs w:val="20"/>
              </w:rPr>
              <w:t xml:space="preserve">HIV </w:t>
            </w:r>
            <w:r>
              <w:rPr>
                <w:rFonts w:ascii="Times New Roman" w:hAnsi="Times New Roman"/>
                <w:sz w:val="20"/>
                <w:szCs w:val="20"/>
              </w:rPr>
              <w:t>care and treatment</w:t>
            </w:r>
          </w:p>
          <w:p w14:paraId="3C1844B7" w14:textId="0A10FDB2" w:rsidR="00F936F5" w:rsidRPr="00AC3B51" w:rsidRDefault="00F936F5" w:rsidP="00AC3B51">
            <w:pPr>
              <w:pStyle w:val="ListParagraph"/>
              <w:numPr>
                <w:ilvl w:val="0"/>
                <w:numId w:val="12"/>
              </w:numPr>
              <w:rPr>
                <w:sz w:val="20"/>
                <w:szCs w:val="20"/>
              </w:rPr>
            </w:pPr>
            <w:r>
              <w:rPr>
                <w:rFonts w:ascii="Times New Roman" w:hAnsi="Times New Roman"/>
                <w:sz w:val="20"/>
                <w:szCs w:val="20"/>
                <w:lang w:val="en-US"/>
              </w:rPr>
              <w:t>Transition-related care and treatment</w:t>
            </w:r>
          </w:p>
          <w:p w14:paraId="1981480D" w14:textId="531A8FDD" w:rsidR="00AC3B51" w:rsidRPr="00AC3B51" w:rsidRDefault="00AC3B51" w:rsidP="00AC3B51">
            <w:pPr>
              <w:pStyle w:val="ListParagraph"/>
              <w:numPr>
                <w:ilvl w:val="0"/>
                <w:numId w:val="12"/>
              </w:numPr>
              <w:rPr>
                <w:sz w:val="20"/>
                <w:szCs w:val="20"/>
              </w:rPr>
            </w:pPr>
            <w:r>
              <w:rPr>
                <w:rFonts w:ascii="Times New Roman" w:hAnsi="Times New Roman"/>
                <w:sz w:val="20"/>
                <w:szCs w:val="20"/>
                <w:lang w:val="en-US"/>
              </w:rPr>
              <w:t>Experience</w:t>
            </w:r>
            <w:r w:rsidR="00003E5D">
              <w:rPr>
                <w:rFonts w:ascii="Times New Roman" w:hAnsi="Times New Roman"/>
                <w:sz w:val="20"/>
                <w:szCs w:val="20"/>
                <w:lang w:val="en-US"/>
              </w:rPr>
              <w:t>s</w:t>
            </w:r>
            <w:r>
              <w:rPr>
                <w:rFonts w:ascii="Times New Roman" w:hAnsi="Times New Roman"/>
                <w:sz w:val="20"/>
                <w:szCs w:val="20"/>
              </w:rPr>
              <w:t xml:space="preserve"> with ancillary services</w:t>
            </w:r>
          </w:p>
          <w:p w14:paraId="50E53E2F" w14:textId="77777777" w:rsidR="00AC3B51" w:rsidRPr="00AC3B51" w:rsidRDefault="00AC3B51" w:rsidP="00AC3B51">
            <w:pPr>
              <w:pStyle w:val="ListParagraph"/>
              <w:numPr>
                <w:ilvl w:val="0"/>
                <w:numId w:val="12"/>
              </w:numPr>
              <w:rPr>
                <w:sz w:val="20"/>
                <w:szCs w:val="20"/>
              </w:rPr>
            </w:pPr>
            <w:r>
              <w:rPr>
                <w:rFonts w:ascii="Times New Roman" w:hAnsi="Times New Roman"/>
                <w:sz w:val="20"/>
                <w:szCs w:val="20"/>
              </w:rPr>
              <w:t>HIV risk behaviors</w:t>
            </w:r>
            <w:r w:rsidRPr="00AC3B51">
              <w:rPr>
                <w:rFonts w:ascii="Times New Roman" w:hAnsi="Times New Roman"/>
                <w:sz w:val="20"/>
                <w:szCs w:val="20"/>
              </w:rPr>
              <w:t xml:space="preserve"> </w:t>
            </w:r>
          </w:p>
          <w:p w14:paraId="48DAB482" w14:textId="5A596216" w:rsidR="00F72954" w:rsidRPr="00AC3B51" w:rsidRDefault="00AC3B51" w:rsidP="00AC3B51">
            <w:pPr>
              <w:pStyle w:val="ListParagraph"/>
              <w:numPr>
                <w:ilvl w:val="0"/>
                <w:numId w:val="12"/>
              </w:numPr>
              <w:rPr>
                <w:sz w:val="20"/>
                <w:szCs w:val="20"/>
              </w:rPr>
            </w:pPr>
            <w:r>
              <w:rPr>
                <w:rFonts w:ascii="Times New Roman" w:hAnsi="Times New Roman"/>
                <w:sz w:val="20"/>
                <w:szCs w:val="20"/>
              </w:rPr>
              <w:t>I</w:t>
            </w:r>
            <w:r w:rsidRPr="00AC3B51">
              <w:rPr>
                <w:rFonts w:ascii="Times New Roman" w:hAnsi="Times New Roman"/>
                <w:sz w:val="20"/>
                <w:szCs w:val="20"/>
              </w:rPr>
              <w:t>nsurance and assistance programs</w:t>
            </w:r>
          </w:p>
        </w:tc>
        <w:tc>
          <w:tcPr>
            <w:tcW w:w="4888" w:type="dxa"/>
          </w:tcPr>
          <w:p w14:paraId="48E147A4" w14:textId="05863E57" w:rsidR="00F936F5" w:rsidRPr="00F936F5" w:rsidRDefault="00F936F5" w:rsidP="00AC3B51">
            <w:pPr>
              <w:pStyle w:val="ListParagraph"/>
              <w:numPr>
                <w:ilvl w:val="0"/>
                <w:numId w:val="11"/>
              </w:numPr>
              <w:spacing w:after="0"/>
              <w:rPr>
                <w:rFonts w:ascii="Times New Roman" w:hAnsi="Times New Roman"/>
                <w:sz w:val="20"/>
                <w:szCs w:val="20"/>
              </w:rPr>
            </w:pPr>
            <w:r w:rsidRPr="00F936F5">
              <w:rPr>
                <w:rFonts w:ascii="Times New Roman" w:hAnsi="Times New Roman"/>
                <w:sz w:val="20"/>
                <w:szCs w:val="20"/>
                <w:lang w:val="en-US"/>
              </w:rPr>
              <w:t>Demographics</w:t>
            </w:r>
          </w:p>
          <w:p w14:paraId="3A1E5484" w14:textId="77777777" w:rsidR="00AC3B51" w:rsidRPr="00003E5D" w:rsidRDefault="00AC3B51" w:rsidP="00AC3B51">
            <w:pPr>
              <w:pStyle w:val="ListParagraph"/>
              <w:numPr>
                <w:ilvl w:val="0"/>
                <w:numId w:val="11"/>
              </w:numPr>
              <w:spacing w:after="0"/>
              <w:rPr>
                <w:sz w:val="20"/>
                <w:szCs w:val="20"/>
              </w:rPr>
            </w:pPr>
            <w:r>
              <w:rPr>
                <w:rFonts w:ascii="Times New Roman" w:hAnsi="Times New Roman"/>
                <w:sz w:val="20"/>
                <w:szCs w:val="20"/>
              </w:rPr>
              <w:t>Practice type</w:t>
            </w:r>
          </w:p>
          <w:p w14:paraId="3620CB96" w14:textId="0CDE9C30" w:rsidR="00003E5D" w:rsidRPr="00AC3B51" w:rsidRDefault="00003E5D" w:rsidP="00AC3B51">
            <w:pPr>
              <w:pStyle w:val="ListParagraph"/>
              <w:numPr>
                <w:ilvl w:val="0"/>
                <w:numId w:val="11"/>
              </w:numPr>
              <w:spacing w:after="0"/>
              <w:rPr>
                <w:sz w:val="20"/>
                <w:szCs w:val="20"/>
              </w:rPr>
            </w:pPr>
            <w:r>
              <w:rPr>
                <w:rFonts w:ascii="Times New Roman" w:hAnsi="Times New Roman"/>
                <w:sz w:val="20"/>
                <w:szCs w:val="20"/>
              </w:rPr>
              <w:t>Services provided</w:t>
            </w:r>
          </w:p>
          <w:p w14:paraId="75ABE25A" w14:textId="77777777" w:rsidR="00AC3B51" w:rsidRPr="00AC3B51" w:rsidRDefault="00AC3B51" w:rsidP="00AC3B51">
            <w:pPr>
              <w:pStyle w:val="ListParagraph"/>
              <w:numPr>
                <w:ilvl w:val="0"/>
                <w:numId w:val="11"/>
              </w:numPr>
              <w:spacing w:after="0"/>
              <w:rPr>
                <w:sz w:val="20"/>
                <w:szCs w:val="20"/>
              </w:rPr>
            </w:pPr>
            <w:r>
              <w:rPr>
                <w:rFonts w:ascii="Times New Roman" w:hAnsi="Times New Roman"/>
                <w:sz w:val="20"/>
                <w:szCs w:val="20"/>
                <w:lang w:val="en-US"/>
              </w:rPr>
              <w:t xml:space="preserve">Professional </w:t>
            </w:r>
            <w:r>
              <w:rPr>
                <w:rFonts w:ascii="Times New Roman" w:hAnsi="Times New Roman"/>
                <w:sz w:val="20"/>
                <w:szCs w:val="20"/>
              </w:rPr>
              <w:t>training</w:t>
            </w:r>
          </w:p>
          <w:p w14:paraId="7A96FCB2" w14:textId="77777777" w:rsidR="00AC3B51" w:rsidRPr="00AC3B51" w:rsidRDefault="00AC3B51" w:rsidP="00AC3B51">
            <w:pPr>
              <w:pStyle w:val="ListParagraph"/>
              <w:numPr>
                <w:ilvl w:val="0"/>
                <w:numId w:val="11"/>
              </w:numPr>
              <w:spacing w:after="0"/>
              <w:rPr>
                <w:sz w:val="20"/>
                <w:szCs w:val="20"/>
              </w:rPr>
            </w:pPr>
            <w:r>
              <w:rPr>
                <w:rFonts w:ascii="Times New Roman" w:hAnsi="Times New Roman"/>
                <w:sz w:val="20"/>
                <w:szCs w:val="20"/>
              </w:rPr>
              <w:t xml:space="preserve">Experience providing HIV prevention, care, </w:t>
            </w:r>
            <w:r w:rsidRPr="00AC3B51">
              <w:rPr>
                <w:rFonts w:ascii="Times New Roman" w:hAnsi="Times New Roman"/>
                <w:sz w:val="20"/>
                <w:szCs w:val="20"/>
              </w:rPr>
              <w:t>and</w:t>
            </w:r>
            <w:r>
              <w:rPr>
                <w:rFonts w:ascii="Times New Roman" w:hAnsi="Times New Roman"/>
                <w:sz w:val="20"/>
                <w:szCs w:val="20"/>
                <w:lang w:val="en-US"/>
              </w:rPr>
              <w:t xml:space="preserve"> treatment</w:t>
            </w:r>
          </w:p>
          <w:p w14:paraId="5B694C21" w14:textId="77777777" w:rsidR="00F72954" w:rsidRDefault="00AC3B51" w:rsidP="00003E5D">
            <w:pPr>
              <w:pStyle w:val="ListParagraph"/>
              <w:numPr>
                <w:ilvl w:val="0"/>
                <w:numId w:val="11"/>
              </w:numPr>
              <w:spacing w:after="0"/>
              <w:rPr>
                <w:sz w:val="20"/>
                <w:szCs w:val="20"/>
              </w:rPr>
            </w:pPr>
            <w:r>
              <w:rPr>
                <w:rFonts w:ascii="Times New Roman" w:hAnsi="Times New Roman"/>
                <w:sz w:val="20"/>
                <w:szCs w:val="20"/>
                <w:lang w:val="en-US"/>
              </w:rPr>
              <w:t>Experience providing care to</w:t>
            </w:r>
            <w:r w:rsidRPr="00AC3B51">
              <w:rPr>
                <w:rFonts w:ascii="Times New Roman" w:hAnsi="Times New Roman"/>
                <w:sz w:val="20"/>
                <w:szCs w:val="20"/>
              </w:rPr>
              <w:t xml:space="preserve"> t</w:t>
            </w:r>
            <w:r>
              <w:rPr>
                <w:rFonts w:ascii="Times New Roman" w:hAnsi="Times New Roman"/>
                <w:sz w:val="20"/>
                <w:szCs w:val="20"/>
              </w:rPr>
              <w:t>ransgender patients</w:t>
            </w:r>
            <w:r w:rsidRPr="00AC3B51">
              <w:rPr>
                <w:rFonts w:ascii="Times New Roman" w:hAnsi="Times New Roman"/>
                <w:sz w:val="20"/>
                <w:szCs w:val="20"/>
              </w:rPr>
              <w:t xml:space="preserve"> </w:t>
            </w:r>
          </w:p>
          <w:p w14:paraId="5DA9A7CB" w14:textId="719A7D54" w:rsidR="00003E5D" w:rsidRPr="00003E5D" w:rsidRDefault="00003E5D" w:rsidP="00003E5D">
            <w:pPr>
              <w:pStyle w:val="ListParagraph"/>
              <w:numPr>
                <w:ilvl w:val="0"/>
                <w:numId w:val="11"/>
              </w:numPr>
              <w:spacing w:after="0"/>
              <w:rPr>
                <w:rFonts w:ascii="Times New Roman" w:hAnsi="Times New Roman"/>
                <w:sz w:val="20"/>
                <w:szCs w:val="20"/>
              </w:rPr>
            </w:pPr>
            <w:r w:rsidRPr="00003E5D">
              <w:rPr>
                <w:rFonts w:ascii="Times New Roman" w:hAnsi="Times New Roman"/>
                <w:sz w:val="20"/>
                <w:szCs w:val="20"/>
                <w:lang w:val="en-US"/>
              </w:rPr>
              <w:t>Experience providing transition related care</w:t>
            </w:r>
          </w:p>
        </w:tc>
      </w:tr>
    </w:tbl>
    <w:p w14:paraId="32E4AA00" w14:textId="0D693400" w:rsidR="00F72954" w:rsidRDefault="00F72954" w:rsidP="00F72954"/>
    <w:p w14:paraId="607EBA2E" w14:textId="650FCE14" w:rsidR="00CC6AB1" w:rsidRDefault="00CC6AB1" w:rsidP="00F72954">
      <w:pPr>
        <w:pStyle w:val="Heading1"/>
      </w:pPr>
      <w:r w:rsidRPr="00B12EA3">
        <w:t>Use of Improved Information Technology and Burden Reduction</w:t>
      </w:r>
      <w:bookmarkEnd w:id="3"/>
    </w:p>
    <w:p w14:paraId="78B96B39" w14:textId="77777777" w:rsidR="00CC6AB1" w:rsidRDefault="00CC6AB1" w:rsidP="00F951D1"/>
    <w:p w14:paraId="6A8EFB70" w14:textId="7822D5DC" w:rsidR="006775DC" w:rsidRDefault="00933271" w:rsidP="00933271">
      <w:pPr>
        <w:jc w:val="both"/>
      </w:pPr>
      <w:r>
        <w:t xml:space="preserve">The </w:t>
      </w:r>
      <w:r w:rsidR="00003E5D">
        <w:t>contractor</w:t>
      </w:r>
      <w:r>
        <w:t xml:space="preserve"> </w:t>
      </w:r>
      <w:r w:rsidRPr="00603813">
        <w:t>will conduct individual interviews</w:t>
      </w:r>
      <w:r>
        <w:t xml:space="preserve"> at a time and location that is convenient to the selected key participants</w:t>
      </w:r>
      <w:r w:rsidRPr="00603813">
        <w:t xml:space="preserve">. Telephone interviews or visual remote interviews (such as web or Skype interviews) are not a good vehicle for developing the necessary rapport between interviewer and respondent for a successful qualitative interview on a sensitive topic. Body language and facial cues are critical to understand where additional probing may be needed or should stop, and telephone or web interviews limit the interviewer’s ability to read both. Thus, </w:t>
      </w:r>
      <w:r>
        <w:t xml:space="preserve">the </w:t>
      </w:r>
      <w:r w:rsidR="00003E5D">
        <w:t>contractor</w:t>
      </w:r>
      <w:r>
        <w:t xml:space="preserve"> </w:t>
      </w:r>
      <w:r w:rsidRPr="00603813">
        <w:t xml:space="preserve">will conduct the individual, in-depth interviews (IDIs) in person. After asking for and receiving permission from the respondent, </w:t>
      </w:r>
      <w:r w:rsidRPr="00397E6E">
        <w:t xml:space="preserve">the </w:t>
      </w:r>
      <w:r w:rsidR="00003E5D">
        <w:t>contractor</w:t>
      </w:r>
      <w:r w:rsidRPr="00397E6E">
        <w:t xml:space="preserve"> </w:t>
      </w:r>
      <w:r w:rsidRPr="00603813">
        <w:t>will audio-recor</w:t>
      </w:r>
      <w:r>
        <w:t>d the interviews and transcribe</w:t>
      </w:r>
      <w:r w:rsidRPr="00603813">
        <w:t xml:space="preserve"> recordings after the interview. This limits the burden on the respondent (no additional burden after completing the interview) and allows the interviewer to focus on building and maintaining rapport with the respondent.</w:t>
      </w:r>
    </w:p>
    <w:p w14:paraId="708EF615" w14:textId="77777777" w:rsidR="005E6F8D" w:rsidRDefault="005E6F8D" w:rsidP="00933271">
      <w:pPr>
        <w:jc w:val="both"/>
      </w:pPr>
    </w:p>
    <w:p w14:paraId="0F163E5C" w14:textId="22597E96" w:rsidR="00CC6AB1" w:rsidRDefault="00CC6AB1" w:rsidP="00E53653">
      <w:pPr>
        <w:pStyle w:val="Heading1"/>
      </w:pPr>
      <w:bookmarkStart w:id="5" w:name="_Toc448296075"/>
      <w:r w:rsidRPr="00B12EA3">
        <w:t>Efforts to Identify Duplication and Use of Similar Information</w:t>
      </w:r>
      <w:bookmarkEnd w:id="5"/>
    </w:p>
    <w:p w14:paraId="6362FFD3" w14:textId="77777777" w:rsidR="00CC6AB1" w:rsidRDefault="00CC6AB1" w:rsidP="00F75369"/>
    <w:p w14:paraId="6C5766A6" w14:textId="26284D6D" w:rsidR="00933271" w:rsidRDefault="00003E5D" w:rsidP="00F75369">
      <w:r w:rsidRPr="00003E5D">
        <w:t xml:space="preserve">The interviews will collect key information that the Agency believes is not captured elsewhere. The Agency believes no other survey data collection effort has been conducted or has been planned to collect similar information for these populations. CDC conducted a review of similar studies prior to the issuance of the contract, and determined that this study is collecting unique information from the populations. Therefore, our evaluation requires the collection of this new primary data. There would be no reason for another </w:t>
      </w:r>
      <w:r w:rsidR="00B30AEA">
        <w:t>Federal Agency to evaluate this</w:t>
      </w:r>
      <w:r w:rsidR="00933271" w:rsidRPr="0096557A">
        <w:t>.</w:t>
      </w:r>
    </w:p>
    <w:p w14:paraId="6A51B86A" w14:textId="3ACF01FA" w:rsidR="00CC6AB1" w:rsidRDefault="00CC6AB1" w:rsidP="00F75369">
      <w:pPr>
        <w:pStyle w:val="Heading1"/>
      </w:pPr>
      <w:bookmarkStart w:id="6" w:name="_Toc448296076"/>
      <w:r w:rsidRPr="00B12EA3">
        <w:t>Impact on Small Businesses or Other Small Entities</w:t>
      </w:r>
      <w:bookmarkEnd w:id="6"/>
    </w:p>
    <w:p w14:paraId="2A80B1E5" w14:textId="02F8B40E" w:rsidR="00B30AEA" w:rsidRPr="00B30AEA" w:rsidRDefault="003D2D57" w:rsidP="00B30AEA">
      <w:pPr>
        <w:pStyle w:val="Heading1"/>
        <w:numPr>
          <w:ilvl w:val="0"/>
          <w:numId w:val="0"/>
        </w:numPr>
      </w:pPr>
      <w:bookmarkStart w:id="7" w:name="_Toc448296077"/>
      <w:r>
        <w:rPr>
          <w:rFonts w:eastAsia="Times New Roman" w:cs="Times New Roman"/>
          <w:b w:val="0"/>
          <w:szCs w:val="24"/>
        </w:rPr>
        <w:t>This study will partner with</w:t>
      </w:r>
      <w:r w:rsidR="00B30AEA" w:rsidRPr="00B30AEA">
        <w:rPr>
          <w:rFonts w:eastAsia="Times New Roman" w:cs="Times New Roman"/>
          <w:b w:val="0"/>
          <w:szCs w:val="24"/>
        </w:rPr>
        <w:t xml:space="preserve"> </w:t>
      </w:r>
      <w:r w:rsidR="00B30AEA">
        <w:rPr>
          <w:rFonts w:eastAsia="Times New Roman" w:cs="Times New Roman"/>
          <w:b w:val="0"/>
          <w:szCs w:val="24"/>
        </w:rPr>
        <w:t xml:space="preserve">transgender-serving </w:t>
      </w:r>
      <w:r w:rsidR="00B30AEA" w:rsidRPr="00B30AEA">
        <w:rPr>
          <w:rFonts w:eastAsia="Times New Roman" w:cs="Times New Roman"/>
          <w:b w:val="0"/>
          <w:szCs w:val="24"/>
        </w:rPr>
        <w:t xml:space="preserve">community based organizations to aid in recruiting potential respondents by identifying eligible potential participants </w:t>
      </w:r>
      <w:r w:rsidR="003F3217">
        <w:rPr>
          <w:rFonts w:eastAsia="Times New Roman" w:cs="Times New Roman"/>
          <w:b w:val="0"/>
          <w:szCs w:val="24"/>
        </w:rPr>
        <w:t xml:space="preserve">through their routine </w:t>
      </w:r>
      <w:r>
        <w:rPr>
          <w:rFonts w:eastAsia="Times New Roman" w:cs="Times New Roman"/>
          <w:b w:val="0"/>
          <w:szCs w:val="24"/>
        </w:rPr>
        <w:t xml:space="preserve">and regularly occurring </w:t>
      </w:r>
      <w:r w:rsidR="003F3217">
        <w:rPr>
          <w:rFonts w:eastAsia="Times New Roman" w:cs="Times New Roman"/>
          <w:b w:val="0"/>
          <w:szCs w:val="24"/>
        </w:rPr>
        <w:t xml:space="preserve">activities </w:t>
      </w:r>
      <w:r w:rsidR="00B30AEA" w:rsidRPr="00B30AEA">
        <w:rPr>
          <w:rFonts w:eastAsia="Times New Roman" w:cs="Times New Roman"/>
          <w:b w:val="0"/>
          <w:szCs w:val="24"/>
        </w:rPr>
        <w:t xml:space="preserve">and </w:t>
      </w:r>
      <w:r w:rsidR="00B30AEA">
        <w:rPr>
          <w:rFonts w:eastAsia="Times New Roman" w:cs="Times New Roman"/>
          <w:b w:val="0"/>
          <w:szCs w:val="24"/>
        </w:rPr>
        <w:t>referring them to the study</w:t>
      </w:r>
      <w:r w:rsidR="00B30AEA" w:rsidRPr="00B30AEA">
        <w:rPr>
          <w:rFonts w:eastAsia="Times New Roman" w:cs="Times New Roman"/>
          <w:b w:val="0"/>
          <w:szCs w:val="24"/>
        </w:rPr>
        <w:t>. We do not anticipate substantial burden.</w:t>
      </w:r>
    </w:p>
    <w:p w14:paraId="55BE02A1" w14:textId="26355CFC" w:rsidR="00CC6AB1" w:rsidRDefault="00CC6AB1" w:rsidP="00B30AEA">
      <w:pPr>
        <w:pStyle w:val="Heading1"/>
      </w:pPr>
      <w:r w:rsidRPr="00F9622C">
        <w:t>Consequences</w:t>
      </w:r>
      <w:r w:rsidRPr="00B12EA3">
        <w:t xml:space="preserve"> of Collecting the Information Less Frequently</w:t>
      </w:r>
      <w:bookmarkEnd w:id="7"/>
    </w:p>
    <w:p w14:paraId="79605A84" w14:textId="5475AA1F" w:rsidR="00856DCF" w:rsidRPr="00856DCF" w:rsidRDefault="00856DCF" w:rsidP="00856DCF">
      <w:pPr>
        <w:pStyle w:val="Heading1"/>
        <w:numPr>
          <w:ilvl w:val="0"/>
          <w:numId w:val="0"/>
        </w:numPr>
      </w:pPr>
      <w:bookmarkStart w:id="8" w:name="_Toc448296078"/>
      <w:r w:rsidRPr="00856DCF">
        <w:rPr>
          <w:rFonts w:eastAsia="Times New Roman" w:cs="Times New Roman"/>
          <w:b w:val="0"/>
          <w:bCs/>
          <w:szCs w:val="24"/>
        </w:rPr>
        <w:t>The present study will provide the primary qualitative data needed to understand barriers and</w:t>
      </w:r>
      <w:r>
        <w:rPr>
          <w:rFonts w:eastAsia="Times New Roman" w:cs="Times New Roman"/>
          <w:b w:val="0"/>
          <w:bCs/>
          <w:szCs w:val="24"/>
        </w:rPr>
        <w:t xml:space="preserve"> facilitators to HIV prevention, care, and treatment </w:t>
      </w:r>
      <w:r w:rsidRPr="00856DCF">
        <w:rPr>
          <w:rFonts w:eastAsia="Times New Roman" w:cs="Times New Roman"/>
          <w:b w:val="0"/>
          <w:bCs/>
          <w:szCs w:val="24"/>
        </w:rPr>
        <w:t xml:space="preserve">among </w:t>
      </w:r>
      <w:r>
        <w:rPr>
          <w:rFonts w:eastAsia="Times New Roman" w:cs="Times New Roman"/>
          <w:b w:val="0"/>
          <w:bCs/>
          <w:szCs w:val="24"/>
        </w:rPr>
        <w:t>transgender women</w:t>
      </w:r>
      <w:r w:rsidRPr="00856DCF">
        <w:rPr>
          <w:rFonts w:eastAsia="Times New Roman" w:cs="Times New Roman"/>
          <w:b w:val="0"/>
          <w:bCs/>
          <w:szCs w:val="24"/>
        </w:rPr>
        <w:t xml:space="preserve"> at the greatest risk for HIV infection </w:t>
      </w:r>
      <w:r>
        <w:rPr>
          <w:rFonts w:eastAsia="Times New Roman" w:cs="Times New Roman"/>
          <w:b w:val="0"/>
          <w:bCs/>
          <w:szCs w:val="24"/>
        </w:rPr>
        <w:t xml:space="preserve">and transmission </w:t>
      </w:r>
      <w:r w:rsidRPr="00856DCF">
        <w:rPr>
          <w:rFonts w:eastAsia="Times New Roman" w:cs="Times New Roman"/>
          <w:b w:val="0"/>
          <w:bCs/>
          <w:szCs w:val="24"/>
        </w:rPr>
        <w:t>in the U.S. If this evaluation were not conducted, it would not be possible to identify barriers and facilitators and to use this information to strengthen HIV prevention</w:t>
      </w:r>
      <w:r>
        <w:rPr>
          <w:rFonts w:eastAsia="Times New Roman" w:cs="Times New Roman"/>
          <w:b w:val="0"/>
          <w:bCs/>
          <w:szCs w:val="24"/>
        </w:rPr>
        <w:t>, care, and treatment</w:t>
      </w:r>
      <w:r w:rsidRPr="00856DCF">
        <w:rPr>
          <w:rFonts w:eastAsia="Times New Roman" w:cs="Times New Roman"/>
          <w:b w:val="0"/>
          <w:bCs/>
          <w:szCs w:val="24"/>
        </w:rPr>
        <w:t xml:space="preserve"> with these vulnerable populations. The length of data collection is 2-3 months and data will only be collected once.</w:t>
      </w:r>
    </w:p>
    <w:p w14:paraId="19581741" w14:textId="007D7DAE" w:rsidR="00CC6AB1" w:rsidRDefault="00CC6AB1" w:rsidP="00856DCF">
      <w:pPr>
        <w:pStyle w:val="Heading1"/>
      </w:pPr>
      <w:r w:rsidRPr="00B12EA3">
        <w:t>Special Circumstances Relating to the Guidelines of 5 CFR 1320.5</w:t>
      </w:r>
      <w:bookmarkEnd w:id="8"/>
    </w:p>
    <w:p w14:paraId="6380C57E" w14:textId="77777777" w:rsidR="00CC6AB1" w:rsidRDefault="00CC6AB1" w:rsidP="00F951D1"/>
    <w:p w14:paraId="5C965F8D" w14:textId="683E860C" w:rsidR="00CC6AB1" w:rsidRPr="00D467C4" w:rsidRDefault="00CC6AB1" w:rsidP="00F951D1">
      <w:r w:rsidRPr="007C2B6F">
        <w:t>This data collection effort doe</w:t>
      </w:r>
      <w:r>
        <w:t xml:space="preserve">s </w:t>
      </w:r>
      <w:r w:rsidRPr="007C2B6F">
        <w:t>not involve any special circumstances.</w:t>
      </w:r>
    </w:p>
    <w:p w14:paraId="0FDC9E36" w14:textId="109020A0" w:rsidR="00CC6AB1" w:rsidRDefault="00CC6AB1" w:rsidP="00E53653">
      <w:pPr>
        <w:pStyle w:val="Heading1"/>
      </w:pPr>
      <w:bookmarkStart w:id="9" w:name="_Toc448296079"/>
      <w:r w:rsidRPr="00B12EA3">
        <w:t>Comments in Response to the Federal Register Notice and Efforts to Consult Outside the Agency</w:t>
      </w:r>
      <w:bookmarkEnd w:id="9"/>
    </w:p>
    <w:p w14:paraId="1DAE2602" w14:textId="77777777" w:rsidR="00CC6AB1" w:rsidRDefault="00CC6AB1" w:rsidP="00D467C4"/>
    <w:p w14:paraId="74F8AA59" w14:textId="3B1A9AEB" w:rsidR="00CC6AB1" w:rsidRDefault="00CC6AB1" w:rsidP="00D467C4">
      <w:r w:rsidRPr="00006403">
        <w:t xml:space="preserve">A 60 day </w:t>
      </w:r>
      <w:r>
        <w:t xml:space="preserve">FRN </w:t>
      </w:r>
      <w:r w:rsidRPr="00006403">
        <w:t>notice to solicit public comments was published</w:t>
      </w:r>
      <w:r>
        <w:t xml:space="preserve"> for the Generic umbrella collection (0920-</w:t>
      </w:r>
      <w:r w:rsidR="00D329C3">
        <w:t>1091</w:t>
      </w:r>
      <w:r>
        <w:t>)</w:t>
      </w:r>
      <w:r w:rsidRPr="00006403">
        <w:t xml:space="preserve"> in the Federal Register on </w:t>
      </w:r>
      <w:r w:rsidR="00F15707">
        <w:t>02/24/2015</w:t>
      </w:r>
      <w:r w:rsidRPr="00006403">
        <w:t>, Volume 80, Number</w:t>
      </w:r>
      <w:r w:rsidR="00F15707">
        <w:t xml:space="preserve"> 36</w:t>
      </w:r>
      <w:r w:rsidRPr="00006403">
        <w:t xml:space="preserve">, </w:t>
      </w:r>
      <w:proofErr w:type="gramStart"/>
      <w:r w:rsidRPr="00006403">
        <w:t>Page</w:t>
      </w:r>
      <w:proofErr w:type="gramEnd"/>
      <w:r w:rsidRPr="00006403">
        <w:t xml:space="preserve"> Number </w:t>
      </w:r>
      <w:r w:rsidR="00F15707">
        <w:t>9727</w:t>
      </w:r>
      <w:r>
        <w:t>-</w:t>
      </w:r>
      <w:r w:rsidR="00F15707">
        <w:t>9728</w:t>
      </w:r>
      <w:r w:rsidRPr="00006403">
        <w:t xml:space="preserve">.   </w:t>
      </w:r>
      <w:r>
        <w:t>No public comments were received.</w:t>
      </w:r>
    </w:p>
    <w:p w14:paraId="33EBE1D9" w14:textId="77777777" w:rsidR="00244D05" w:rsidRDefault="00244D05" w:rsidP="00D467C4"/>
    <w:p w14:paraId="5700D26F" w14:textId="6711A268" w:rsidR="00C1216F" w:rsidRDefault="00C1216F" w:rsidP="00C1216F">
      <w:r>
        <w:t xml:space="preserve">In addition, </w:t>
      </w:r>
      <w:r w:rsidR="008A498C">
        <w:t>t</w:t>
      </w:r>
      <w:r w:rsidR="003D2D57">
        <w:t>he following contractor staffs</w:t>
      </w:r>
      <w:r w:rsidR="003F3217">
        <w:t xml:space="preserve"> at </w:t>
      </w:r>
      <w:r w:rsidR="008A498C">
        <w:t xml:space="preserve">Atlas Research and </w:t>
      </w:r>
      <w:proofErr w:type="spellStart"/>
      <w:r w:rsidR="008A498C">
        <w:t>Abt</w:t>
      </w:r>
      <w:proofErr w:type="spellEnd"/>
      <w:r w:rsidR="008A498C">
        <w:t xml:space="preserve"> Associates</w:t>
      </w:r>
      <w:r w:rsidR="00A71916">
        <w:t xml:space="preserve"> were consulted for the development of this study. There were no unresolved issues associated with the consultation process. Aside from the official 60 day public comment period</w:t>
      </w:r>
      <w:r w:rsidR="0014691A">
        <w:t xml:space="preserve"> for the Generic data collection</w:t>
      </w:r>
      <w:r w:rsidR="00A71916">
        <w:t xml:space="preserve">, there were no other public contacts or opportunities for public comment on this </w:t>
      </w:r>
      <w:r w:rsidR="007F7EDD">
        <w:t>information collection</w:t>
      </w:r>
      <w:r w:rsidR="00A71916">
        <w:t xml:space="preserve">. </w:t>
      </w:r>
    </w:p>
    <w:p w14:paraId="4B5F9462" w14:textId="77777777" w:rsidR="005E6F8D" w:rsidRDefault="005E6F8D" w:rsidP="00C1216F"/>
    <w:p w14:paraId="12960E9E" w14:textId="77777777" w:rsidR="00A71916" w:rsidRDefault="00A71916" w:rsidP="00C1216F"/>
    <w:tbl>
      <w:tblPr>
        <w:tblStyle w:val="TableGrid"/>
        <w:tblW w:w="0" w:type="auto"/>
        <w:tblLook w:val="04A0" w:firstRow="1" w:lastRow="0" w:firstColumn="1" w:lastColumn="0" w:noHBand="0" w:noVBand="1"/>
      </w:tblPr>
      <w:tblGrid>
        <w:gridCol w:w="5035"/>
        <w:gridCol w:w="5035"/>
      </w:tblGrid>
      <w:tr w:rsidR="00A71916" w14:paraId="4ADCB37A" w14:textId="77777777" w:rsidTr="00A71916">
        <w:tc>
          <w:tcPr>
            <w:tcW w:w="5035" w:type="dxa"/>
          </w:tcPr>
          <w:p w14:paraId="1FD57A99" w14:textId="5EF809EE" w:rsidR="008A498C" w:rsidRDefault="008A498C" w:rsidP="00C1216F">
            <w:r w:rsidRPr="008A498C">
              <w:t xml:space="preserve">Jamie Hart, PhD, MPH </w:t>
            </w:r>
          </w:p>
          <w:p w14:paraId="00DD6662" w14:textId="77777777" w:rsidR="008A498C" w:rsidRDefault="008A498C" w:rsidP="00C1216F">
            <w:r w:rsidRPr="008A498C">
              <w:t xml:space="preserve">Senior Project Investigator </w:t>
            </w:r>
          </w:p>
          <w:p w14:paraId="36F88572" w14:textId="77243B28" w:rsidR="00F12DA9" w:rsidRDefault="00F12DA9" w:rsidP="00C1216F">
            <w:r>
              <w:t>Vice President</w:t>
            </w:r>
          </w:p>
          <w:p w14:paraId="42648C18" w14:textId="77777777" w:rsidR="008A498C" w:rsidRDefault="008A498C" w:rsidP="00C1216F">
            <w:r>
              <w:t>Atlas Research</w:t>
            </w:r>
          </w:p>
          <w:p w14:paraId="700084EA" w14:textId="77777777" w:rsidR="008A498C" w:rsidRDefault="008A498C" w:rsidP="00C1216F">
            <w:r>
              <w:t>805 15th St NW #910</w:t>
            </w:r>
          </w:p>
          <w:p w14:paraId="6CA1D24A" w14:textId="77777777" w:rsidR="008A498C" w:rsidRDefault="008A498C" w:rsidP="00C1216F">
            <w:r w:rsidRPr="008A498C">
              <w:t xml:space="preserve">Washington, DC 20005 </w:t>
            </w:r>
          </w:p>
          <w:p w14:paraId="4B217BC5" w14:textId="77777777" w:rsidR="008A498C" w:rsidRDefault="008A498C" w:rsidP="00C1216F">
            <w:r w:rsidRPr="008A498C">
              <w:t xml:space="preserve">202-717-8716 </w:t>
            </w:r>
          </w:p>
          <w:p w14:paraId="055A2B75" w14:textId="05E7F2F4" w:rsidR="008A498C" w:rsidRDefault="00996C86" w:rsidP="008A498C">
            <w:hyperlink r:id="rId8" w:history="1">
              <w:r w:rsidR="008A498C" w:rsidRPr="00C0624D">
                <w:rPr>
                  <w:rStyle w:val="Hyperlink"/>
                </w:rPr>
                <w:t>jhart@atlasresearch.us</w:t>
              </w:r>
            </w:hyperlink>
          </w:p>
        </w:tc>
        <w:tc>
          <w:tcPr>
            <w:tcW w:w="5035" w:type="dxa"/>
          </w:tcPr>
          <w:p w14:paraId="6D8DAE43" w14:textId="77777777" w:rsidR="00F12DA9" w:rsidRDefault="00F12DA9" w:rsidP="00026DB7">
            <w:r>
              <w:t xml:space="preserve">Julia </w:t>
            </w:r>
            <w:proofErr w:type="spellStart"/>
            <w:r>
              <w:t>Rollison</w:t>
            </w:r>
            <w:proofErr w:type="spellEnd"/>
            <w:r>
              <w:t>, PhD</w:t>
            </w:r>
          </w:p>
          <w:p w14:paraId="40DDBAC9" w14:textId="77777777" w:rsidR="00F12DA9" w:rsidRDefault="00F12DA9" w:rsidP="00F12DA9">
            <w:r w:rsidRPr="00F12DA9">
              <w:t>Director of Research and Evaluation</w:t>
            </w:r>
          </w:p>
          <w:p w14:paraId="48ED1D14" w14:textId="15538744" w:rsidR="00F12DA9" w:rsidRDefault="00F12DA9" w:rsidP="00F12DA9">
            <w:r>
              <w:t>Atlas Research</w:t>
            </w:r>
          </w:p>
          <w:p w14:paraId="4B815751" w14:textId="77777777" w:rsidR="00F12DA9" w:rsidRDefault="00F12DA9" w:rsidP="00F12DA9">
            <w:r>
              <w:t>805 15th St NW #910</w:t>
            </w:r>
          </w:p>
          <w:p w14:paraId="3BFF8A1B" w14:textId="77777777" w:rsidR="00F12DA9" w:rsidRDefault="00F12DA9" w:rsidP="00F12DA9">
            <w:r w:rsidRPr="008A498C">
              <w:t xml:space="preserve">Washington, DC 20005 </w:t>
            </w:r>
          </w:p>
          <w:p w14:paraId="4927DB13" w14:textId="61A2A09D" w:rsidR="00026DB7" w:rsidRDefault="00026DB7" w:rsidP="00026DB7">
            <w:r>
              <w:t xml:space="preserve"> </w:t>
            </w:r>
            <w:r w:rsidR="00F12DA9">
              <w:t>240-717-</w:t>
            </w:r>
            <w:r w:rsidR="00F12DA9" w:rsidRPr="00F12DA9">
              <w:t>8710</w:t>
            </w:r>
          </w:p>
          <w:p w14:paraId="6F41D030" w14:textId="6B234FCC" w:rsidR="00F12DA9" w:rsidRDefault="00996C86" w:rsidP="00F12DA9">
            <w:hyperlink r:id="rId9" w:history="1">
              <w:r w:rsidR="00F12DA9" w:rsidRPr="00C0624D">
                <w:rPr>
                  <w:rStyle w:val="Hyperlink"/>
                </w:rPr>
                <w:t>jrollison@atlasresearch.us</w:t>
              </w:r>
            </w:hyperlink>
          </w:p>
        </w:tc>
      </w:tr>
      <w:tr w:rsidR="00A71916" w14:paraId="7B26C142" w14:textId="77777777" w:rsidTr="00A71916">
        <w:tc>
          <w:tcPr>
            <w:tcW w:w="5035" w:type="dxa"/>
          </w:tcPr>
          <w:p w14:paraId="553A8974" w14:textId="42CE4903" w:rsidR="00F12DA9" w:rsidRDefault="00F12DA9" w:rsidP="00334FDA">
            <w:pPr>
              <w:rPr>
                <w:color w:val="000000"/>
              </w:rPr>
            </w:pPr>
            <w:r>
              <w:rPr>
                <w:color w:val="000000"/>
              </w:rPr>
              <w:t>Clarke Erickson, MPA</w:t>
            </w:r>
          </w:p>
          <w:p w14:paraId="08305F8D" w14:textId="77777777" w:rsidR="00A71916" w:rsidRDefault="00F12DA9" w:rsidP="00334FDA">
            <w:pPr>
              <w:rPr>
                <w:color w:val="000000"/>
              </w:rPr>
            </w:pPr>
            <w:r>
              <w:rPr>
                <w:color w:val="000000"/>
              </w:rPr>
              <w:t>Project Manager, Data Collection Lead</w:t>
            </w:r>
          </w:p>
          <w:p w14:paraId="7ED3D90B" w14:textId="77777777" w:rsidR="00F12DA9" w:rsidRDefault="00F12DA9" w:rsidP="00F12DA9">
            <w:r>
              <w:t>Atlas Research</w:t>
            </w:r>
          </w:p>
          <w:p w14:paraId="203A7CD9" w14:textId="77777777" w:rsidR="00F12DA9" w:rsidRDefault="00F12DA9" w:rsidP="00F12DA9">
            <w:r>
              <w:t>805 15th St NW #910</w:t>
            </w:r>
          </w:p>
          <w:p w14:paraId="7ED4626D" w14:textId="77777777" w:rsidR="00F12DA9" w:rsidRDefault="00F12DA9" w:rsidP="00F12DA9">
            <w:r w:rsidRPr="008A498C">
              <w:t xml:space="preserve">Washington, DC 20005 </w:t>
            </w:r>
          </w:p>
          <w:p w14:paraId="1DDEB742" w14:textId="77777777" w:rsidR="00F12DA9" w:rsidRDefault="00F12DA9" w:rsidP="00334FDA">
            <w:pPr>
              <w:rPr>
                <w:color w:val="000000"/>
              </w:rPr>
            </w:pPr>
            <w:r w:rsidRPr="00F12DA9">
              <w:rPr>
                <w:color w:val="000000"/>
              </w:rPr>
              <w:t>202-717-8080</w:t>
            </w:r>
          </w:p>
          <w:p w14:paraId="0FDE3AD8" w14:textId="3C3F3E5F" w:rsidR="00F12DA9" w:rsidRPr="00026DB7" w:rsidRDefault="00996C86" w:rsidP="00F12DA9">
            <w:pPr>
              <w:rPr>
                <w:color w:val="000000"/>
              </w:rPr>
            </w:pPr>
            <w:hyperlink r:id="rId10" w:history="1">
              <w:r w:rsidR="00F12DA9" w:rsidRPr="00C0624D">
                <w:rPr>
                  <w:rStyle w:val="Hyperlink"/>
                </w:rPr>
                <w:t>cerickson@atlasresearch.us</w:t>
              </w:r>
            </w:hyperlink>
          </w:p>
        </w:tc>
        <w:tc>
          <w:tcPr>
            <w:tcW w:w="5035" w:type="dxa"/>
          </w:tcPr>
          <w:p w14:paraId="7953313A" w14:textId="77777777" w:rsidR="00A71916" w:rsidRDefault="00F12DA9" w:rsidP="00026DB7">
            <w:pPr>
              <w:rPr>
                <w:color w:val="000000"/>
              </w:rPr>
            </w:pPr>
            <w:r>
              <w:rPr>
                <w:color w:val="000000"/>
              </w:rPr>
              <w:t xml:space="preserve">Joanne </w:t>
            </w:r>
            <w:proofErr w:type="spellStart"/>
            <w:r>
              <w:rPr>
                <w:color w:val="000000"/>
              </w:rPr>
              <w:t>Keatley</w:t>
            </w:r>
            <w:proofErr w:type="spellEnd"/>
            <w:r>
              <w:rPr>
                <w:color w:val="000000"/>
              </w:rPr>
              <w:t>, MSW</w:t>
            </w:r>
          </w:p>
          <w:p w14:paraId="63841A37" w14:textId="77777777" w:rsidR="00F12DA9" w:rsidRDefault="00F12DA9" w:rsidP="00026DB7">
            <w:pPr>
              <w:rPr>
                <w:color w:val="000000"/>
              </w:rPr>
            </w:pPr>
            <w:r>
              <w:rPr>
                <w:color w:val="000000"/>
              </w:rPr>
              <w:t>Consultant</w:t>
            </w:r>
          </w:p>
          <w:p w14:paraId="7606D0C0" w14:textId="77777777" w:rsidR="00F12DA9" w:rsidRDefault="00F12DA9" w:rsidP="00026DB7">
            <w:pPr>
              <w:rPr>
                <w:color w:val="000000"/>
              </w:rPr>
            </w:pPr>
            <w:r>
              <w:rPr>
                <w:color w:val="000000"/>
              </w:rPr>
              <w:t>University of California – San Francisco</w:t>
            </w:r>
          </w:p>
          <w:p w14:paraId="1EDAE839" w14:textId="4F0B8715" w:rsidR="00F12DA9" w:rsidRDefault="00F12DA9" w:rsidP="00026DB7">
            <w:pPr>
              <w:rPr>
                <w:color w:val="000000"/>
              </w:rPr>
            </w:pPr>
            <w:r>
              <w:rPr>
                <w:color w:val="000000"/>
              </w:rPr>
              <w:t>Center of Excellence for Transgender Health</w:t>
            </w:r>
          </w:p>
          <w:p w14:paraId="0C0842EF" w14:textId="475079CD" w:rsidR="00F12DA9" w:rsidRDefault="00F12DA9" w:rsidP="00026DB7">
            <w:pPr>
              <w:rPr>
                <w:color w:val="000000"/>
              </w:rPr>
            </w:pPr>
            <w:r w:rsidRPr="00F12DA9">
              <w:rPr>
                <w:color w:val="000000"/>
              </w:rPr>
              <w:t>415-476-6146</w:t>
            </w:r>
          </w:p>
          <w:p w14:paraId="212FA090" w14:textId="6FCC4F39" w:rsidR="00F12DA9" w:rsidRDefault="00996C86" w:rsidP="00F12DA9">
            <w:hyperlink r:id="rId11" w:history="1">
              <w:r w:rsidR="00F12DA9" w:rsidRPr="00C0624D">
                <w:rPr>
                  <w:rStyle w:val="Hyperlink"/>
                </w:rPr>
                <w:t>joanne.keatley@ucsf.edu</w:t>
              </w:r>
            </w:hyperlink>
          </w:p>
          <w:p w14:paraId="5B843D0B" w14:textId="2376D755" w:rsidR="00F12DA9" w:rsidRDefault="00F12DA9" w:rsidP="00F12DA9"/>
        </w:tc>
      </w:tr>
      <w:tr w:rsidR="00A71916" w14:paraId="5565D9E1" w14:textId="77777777" w:rsidTr="00A71916">
        <w:tc>
          <w:tcPr>
            <w:tcW w:w="5035" w:type="dxa"/>
          </w:tcPr>
          <w:p w14:paraId="2A0A34BC" w14:textId="565AF02F" w:rsidR="00F12DA9" w:rsidRDefault="00F12DA9" w:rsidP="00026DB7">
            <w:pPr>
              <w:rPr>
                <w:color w:val="000000"/>
              </w:rPr>
            </w:pPr>
            <w:r w:rsidRPr="00F12DA9">
              <w:rPr>
                <w:color w:val="000000"/>
              </w:rPr>
              <w:t xml:space="preserve">Alex </w:t>
            </w:r>
            <w:proofErr w:type="spellStart"/>
            <w:r w:rsidRPr="00F12DA9">
              <w:rPr>
                <w:color w:val="000000"/>
              </w:rPr>
              <w:t>Mijares</w:t>
            </w:r>
            <w:proofErr w:type="spellEnd"/>
            <w:r>
              <w:rPr>
                <w:color w:val="000000"/>
              </w:rPr>
              <w:t>, MPH</w:t>
            </w:r>
            <w:r w:rsidRPr="00F12DA9">
              <w:rPr>
                <w:color w:val="000000"/>
              </w:rPr>
              <w:tab/>
            </w:r>
          </w:p>
          <w:p w14:paraId="15D937B9" w14:textId="77777777" w:rsidR="00F12DA9" w:rsidRDefault="00F12DA9" w:rsidP="00F12DA9">
            <w:pPr>
              <w:rPr>
                <w:color w:val="000000"/>
              </w:rPr>
            </w:pPr>
            <w:r w:rsidRPr="00F12DA9">
              <w:rPr>
                <w:color w:val="000000"/>
              </w:rPr>
              <w:t>Data Analysis Lead</w:t>
            </w:r>
          </w:p>
          <w:p w14:paraId="0A6CA0B4" w14:textId="77777777" w:rsidR="00F12DA9" w:rsidRDefault="00F12DA9" w:rsidP="00026DB7">
            <w:pPr>
              <w:rPr>
                <w:color w:val="000000"/>
              </w:rPr>
            </w:pPr>
            <w:proofErr w:type="spellStart"/>
            <w:r w:rsidRPr="00F12DA9">
              <w:rPr>
                <w:color w:val="000000"/>
              </w:rPr>
              <w:t>Abt</w:t>
            </w:r>
            <w:proofErr w:type="spellEnd"/>
            <w:r w:rsidRPr="00F12DA9">
              <w:rPr>
                <w:color w:val="000000"/>
              </w:rPr>
              <w:t xml:space="preserve"> Associates</w:t>
            </w:r>
          </w:p>
          <w:p w14:paraId="750BA87C" w14:textId="77777777" w:rsidR="00F12DA9" w:rsidRDefault="00F12DA9" w:rsidP="00026DB7">
            <w:pPr>
              <w:rPr>
                <w:color w:val="000000"/>
              </w:rPr>
            </w:pPr>
            <w:r>
              <w:rPr>
                <w:color w:val="000000"/>
              </w:rPr>
              <w:t>2200 Century Parkway, Suite 950</w:t>
            </w:r>
            <w:r w:rsidRPr="00F12DA9">
              <w:rPr>
                <w:color w:val="000000"/>
              </w:rPr>
              <w:t xml:space="preserve"> </w:t>
            </w:r>
          </w:p>
          <w:p w14:paraId="65751BB2" w14:textId="7D5B4353" w:rsidR="00F12DA9" w:rsidRDefault="00F12DA9" w:rsidP="00026DB7">
            <w:pPr>
              <w:rPr>
                <w:color w:val="000000"/>
              </w:rPr>
            </w:pPr>
            <w:r w:rsidRPr="00F12DA9">
              <w:rPr>
                <w:color w:val="000000"/>
              </w:rPr>
              <w:t>Atlanta</w:t>
            </w:r>
            <w:r>
              <w:rPr>
                <w:color w:val="000000"/>
              </w:rPr>
              <w:t>,</w:t>
            </w:r>
            <w:r w:rsidRPr="00F12DA9">
              <w:rPr>
                <w:color w:val="000000"/>
              </w:rPr>
              <w:t xml:space="preserve"> GA  30345</w:t>
            </w:r>
            <w:r w:rsidRPr="00F12DA9">
              <w:rPr>
                <w:color w:val="000000"/>
              </w:rPr>
              <w:tab/>
            </w:r>
          </w:p>
          <w:p w14:paraId="1D6897B0" w14:textId="2D45ED9D" w:rsidR="00F12DA9" w:rsidRDefault="00F12DA9" w:rsidP="00026DB7">
            <w:pPr>
              <w:rPr>
                <w:color w:val="000000"/>
              </w:rPr>
            </w:pPr>
            <w:r w:rsidRPr="00F12DA9">
              <w:rPr>
                <w:color w:val="000000"/>
              </w:rPr>
              <w:t>404-946-6378</w:t>
            </w:r>
            <w:r w:rsidRPr="00F12DA9">
              <w:rPr>
                <w:color w:val="000000"/>
              </w:rPr>
              <w:tab/>
            </w:r>
          </w:p>
          <w:p w14:paraId="18D10142" w14:textId="0F3A126F" w:rsidR="00334FDA" w:rsidRPr="00F12DA9" w:rsidRDefault="00996C86" w:rsidP="00F12DA9">
            <w:pPr>
              <w:rPr>
                <w:color w:val="000000"/>
              </w:rPr>
            </w:pPr>
            <w:hyperlink r:id="rId12" w:history="1">
              <w:r w:rsidR="00F12DA9" w:rsidRPr="00C0624D">
                <w:rPr>
                  <w:rStyle w:val="Hyperlink"/>
                </w:rPr>
                <w:t>Alex_Mijares@abtassoc.com</w:t>
              </w:r>
            </w:hyperlink>
          </w:p>
        </w:tc>
        <w:tc>
          <w:tcPr>
            <w:tcW w:w="5035" w:type="dxa"/>
          </w:tcPr>
          <w:p w14:paraId="71280470" w14:textId="79BD2BB0" w:rsidR="00F12DA9" w:rsidRDefault="00F12DA9" w:rsidP="00F12DA9">
            <w:r w:rsidRPr="00F12DA9">
              <w:t>Cynthia Klein</w:t>
            </w:r>
            <w:r>
              <w:t>, PhD</w:t>
            </w:r>
            <w:r w:rsidRPr="00F12DA9">
              <w:tab/>
            </w:r>
            <w:r w:rsidRPr="00F12DA9">
              <w:tab/>
            </w:r>
          </w:p>
          <w:p w14:paraId="5E149210" w14:textId="273F213E" w:rsidR="00F12DA9" w:rsidRDefault="00F12DA9" w:rsidP="00F12DA9">
            <w:r w:rsidRPr="00F12DA9">
              <w:t>Senior Qualitative Research Advisor</w:t>
            </w:r>
          </w:p>
          <w:p w14:paraId="162A6284" w14:textId="77777777" w:rsidR="00F12DA9" w:rsidRDefault="00F12DA9" w:rsidP="00F12DA9">
            <w:proofErr w:type="spellStart"/>
            <w:r w:rsidRPr="00F12DA9">
              <w:t>Abt</w:t>
            </w:r>
            <w:proofErr w:type="spellEnd"/>
            <w:r w:rsidRPr="00F12DA9">
              <w:t xml:space="preserve"> Associates </w:t>
            </w:r>
          </w:p>
          <w:p w14:paraId="51612998" w14:textId="731211D4" w:rsidR="00F12DA9" w:rsidRDefault="00F12DA9" w:rsidP="00F12DA9">
            <w:r>
              <w:t>2200 Century Parkway, Suite 950</w:t>
            </w:r>
            <w:r w:rsidRPr="00F12DA9">
              <w:t xml:space="preserve"> </w:t>
            </w:r>
          </w:p>
          <w:p w14:paraId="1C6D9E25" w14:textId="77777777" w:rsidR="00F12DA9" w:rsidRDefault="00F12DA9" w:rsidP="00F12DA9">
            <w:r w:rsidRPr="00F12DA9">
              <w:t>Atlanta</w:t>
            </w:r>
            <w:r>
              <w:t>,</w:t>
            </w:r>
            <w:r w:rsidRPr="00F12DA9">
              <w:t xml:space="preserve"> GA  30345</w:t>
            </w:r>
            <w:r w:rsidRPr="00F12DA9">
              <w:tab/>
            </w:r>
          </w:p>
          <w:p w14:paraId="07525084" w14:textId="77777777" w:rsidR="00F12DA9" w:rsidRDefault="00F12DA9" w:rsidP="00F12DA9">
            <w:r>
              <w:t>404-946-6310</w:t>
            </w:r>
            <w:r>
              <w:tab/>
            </w:r>
          </w:p>
          <w:p w14:paraId="2529F341" w14:textId="048804AD" w:rsidR="00A71916" w:rsidRDefault="00996C86" w:rsidP="00F12DA9">
            <w:hyperlink r:id="rId13" w:history="1">
              <w:r w:rsidR="00F12DA9" w:rsidRPr="00C0624D">
                <w:rPr>
                  <w:rStyle w:val="Hyperlink"/>
                </w:rPr>
                <w:t>Cynthia_Klein@abtassoc.com</w:t>
              </w:r>
            </w:hyperlink>
            <w:r w:rsidR="00F12DA9" w:rsidRPr="00F12DA9">
              <w:tab/>
            </w:r>
          </w:p>
        </w:tc>
      </w:tr>
      <w:tr w:rsidR="00F12DA9" w14:paraId="1F0C687B" w14:textId="77777777" w:rsidTr="00A71916">
        <w:tc>
          <w:tcPr>
            <w:tcW w:w="5035" w:type="dxa"/>
          </w:tcPr>
          <w:p w14:paraId="5141E78F" w14:textId="77777777" w:rsidR="00F12DA9" w:rsidRDefault="00F12DA9" w:rsidP="00F12DA9">
            <w:pPr>
              <w:rPr>
                <w:color w:val="000000"/>
              </w:rPr>
            </w:pPr>
            <w:r w:rsidRPr="00F12DA9">
              <w:rPr>
                <w:color w:val="000000"/>
              </w:rPr>
              <w:t>Marian Creasy</w:t>
            </w:r>
            <w:r w:rsidRPr="00F12DA9">
              <w:rPr>
                <w:color w:val="000000"/>
              </w:rPr>
              <w:tab/>
            </w:r>
            <w:r w:rsidRPr="00F12DA9">
              <w:rPr>
                <w:color w:val="000000"/>
              </w:rPr>
              <w:tab/>
            </w:r>
          </w:p>
          <w:p w14:paraId="5C32ACE1" w14:textId="77777777" w:rsidR="00F12DA9" w:rsidRDefault="00F12DA9" w:rsidP="00F12DA9">
            <w:pPr>
              <w:rPr>
                <w:color w:val="000000"/>
              </w:rPr>
            </w:pPr>
            <w:r w:rsidRPr="00F12DA9">
              <w:rPr>
                <w:color w:val="000000"/>
              </w:rPr>
              <w:t>Data Collection Analysis</w:t>
            </w:r>
            <w:r w:rsidRPr="00F12DA9">
              <w:rPr>
                <w:color w:val="000000"/>
              </w:rPr>
              <w:tab/>
            </w:r>
          </w:p>
          <w:p w14:paraId="40FA22B9" w14:textId="77777777" w:rsidR="00F12DA9" w:rsidRDefault="00F12DA9" w:rsidP="00F12DA9">
            <w:pPr>
              <w:rPr>
                <w:color w:val="000000"/>
              </w:rPr>
            </w:pPr>
            <w:proofErr w:type="spellStart"/>
            <w:r w:rsidRPr="00F12DA9">
              <w:rPr>
                <w:color w:val="000000"/>
              </w:rPr>
              <w:t>Abt</w:t>
            </w:r>
            <w:proofErr w:type="spellEnd"/>
            <w:r w:rsidRPr="00F12DA9">
              <w:rPr>
                <w:color w:val="000000"/>
              </w:rPr>
              <w:t xml:space="preserve"> Associates</w:t>
            </w:r>
            <w:r w:rsidRPr="00F12DA9">
              <w:rPr>
                <w:color w:val="000000"/>
              </w:rPr>
              <w:tab/>
            </w:r>
          </w:p>
          <w:p w14:paraId="621B7F3B" w14:textId="77777777" w:rsidR="00F12DA9" w:rsidRDefault="00F12DA9" w:rsidP="00F12DA9">
            <w:pPr>
              <w:rPr>
                <w:color w:val="000000"/>
              </w:rPr>
            </w:pPr>
            <w:r>
              <w:rPr>
                <w:color w:val="000000"/>
              </w:rPr>
              <w:t>4550 Montgomery Ave Suite 800N</w:t>
            </w:r>
            <w:r w:rsidRPr="00F12DA9">
              <w:rPr>
                <w:color w:val="000000"/>
              </w:rPr>
              <w:t xml:space="preserve"> </w:t>
            </w:r>
          </w:p>
          <w:p w14:paraId="3FCC10C6" w14:textId="35C73C8C" w:rsidR="00F12DA9" w:rsidRDefault="00F12DA9" w:rsidP="00F12DA9">
            <w:pPr>
              <w:rPr>
                <w:color w:val="000000"/>
              </w:rPr>
            </w:pPr>
            <w:r w:rsidRPr="00F12DA9">
              <w:rPr>
                <w:color w:val="000000"/>
              </w:rPr>
              <w:t>Bethesda, MD 20814</w:t>
            </w:r>
          </w:p>
          <w:p w14:paraId="376AA56B" w14:textId="77777777" w:rsidR="00F12DA9" w:rsidRDefault="00F12DA9" w:rsidP="00F12DA9">
            <w:pPr>
              <w:rPr>
                <w:color w:val="000000"/>
              </w:rPr>
            </w:pPr>
            <w:r w:rsidRPr="00F12DA9">
              <w:rPr>
                <w:color w:val="000000"/>
              </w:rPr>
              <w:t xml:space="preserve">301-347-5732 </w:t>
            </w:r>
          </w:p>
          <w:p w14:paraId="69A64CC1" w14:textId="11070BC3" w:rsidR="00F12DA9" w:rsidRPr="00F12DA9" w:rsidRDefault="00996C86" w:rsidP="00F12DA9">
            <w:pPr>
              <w:rPr>
                <w:color w:val="000000"/>
              </w:rPr>
            </w:pPr>
            <w:hyperlink r:id="rId14" w:history="1">
              <w:r w:rsidR="00F12DA9" w:rsidRPr="00C0624D">
                <w:rPr>
                  <w:rStyle w:val="Hyperlink"/>
                </w:rPr>
                <w:t>Marian_Creasy@abtassoc.com</w:t>
              </w:r>
            </w:hyperlink>
            <w:r w:rsidR="00F12DA9" w:rsidRPr="00F12DA9">
              <w:rPr>
                <w:color w:val="000000"/>
              </w:rPr>
              <w:tab/>
            </w:r>
            <w:r w:rsidR="00F12DA9" w:rsidRPr="00F12DA9">
              <w:rPr>
                <w:color w:val="000000"/>
              </w:rPr>
              <w:tab/>
            </w:r>
          </w:p>
        </w:tc>
        <w:tc>
          <w:tcPr>
            <w:tcW w:w="5035" w:type="dxa"/>
          </w:tcPr>
          <w:p w14:paraId="2BDB81B9" w14:textId="77777777" w:rsidR="00F12DA9" w:rsidRPr="00F12DA9" w:rsidRDefault="00F12DA9" w:rsidP="00F12DA9"/>
        </w:tc>
      </w:tr>
    </w:tbl>
    <w:p w14:paraId="2E4EA80C" w14:textId="7BE79AC9" w:rsidR="00C1216F" w:rsidRDefault="00C1216F" w:rsidP="00D467C4"/>
    <w:p w14:paraId="2F989310" w14:textId="04404510" w:rsidR="00CC6AB1" w:rsidRDefault="00CC6AB1" w:rsidP="00E53653">
      <w:pPr>
        <w:pStyle w:val="Heading1"/>
      </w:pPr>
      <w:bookmarkStart w:id="10" w:name="_Toc448296080"/>
      <w:r w:rsidRPr="00B12EA3">
        <w:t>Explanation of Any Payment or Gift to Respondents</w:t>
      </w:r>
      <w:bookmarkEnd w:id="10"/>
    </w:p>
    <w:p w14:paraId="0B4E88AF" w14:textId="77777777" w:rsidR="00CC6AB1" w:rsidRDefault="00CC6AB1" w:rsidP="00D467C4"/>
    <w:p w14:paraId="6A06AE0C" w14:textId="03D49BF3" w:rsidR="00401AFC" w:rsidRDefault="004B3D61" w:rsidP="00D467C4">
      <w:r>
        <w:t xml:space="preserve">Interview participants will </w:t>
      </w:r>
      <w:r w:rsidR="00D473E4">
        <w:t xml:space="preserve">each </w:t>
      </w:r>
      <w:r>
        <w:t xml:space="preserve">receive </w:t>
      </w:r>
      <w:r w:rsidR="00D473E4">
        <w:t xml:space="preserve">a $40 token of appreciation in the form of </w:t>
      </w:r>
      <w:r w:rsidR="00232A59">
        <w:t>gift cards or money orders</w:t>
      </w:r>
      <w:r w:rsidR="00D473E4">
        <w:t xml:space="preserve">. </w:t>
      </w:r>
      <w:r w:rsidR="00D473E4" w:rsidRPr="007C2B6F">
        <w:t>Although there has been some debate on the necessity of offering tokens of appreciation, numerous studies have shown that tokens of appreciation can significantly increase response rates</w:t>
      </w:r>
      <w:r w:rsidR="00D473E4">
        <w:t>,</w:t>
      </w:r>
      <w:r w:rsidR="00D473E4" w:rsidRPr="007C2B6F">
        <w:t xml:space="preserve"> and the use of modest tokens of appreciation is expected to enhance survey response rates</w:t>
      </w:r>
      <w:r w:rsidR="00D473E4">
        <w:t xml:space="preserve"> without biasing responses.</w:t>
      </w:r>
      <w:r w:rsidR="00401AFC">
        <w:fldChar w:fldCharType="begin"/>
      </w:r>
      <w:r w:rsidR="002F426C">
        <w:instrText xml:space="preserve"> ADDIN EN.CITE &lt;EndNote&gt;&lt;Cite&gt;&lt;Author&gt;Abreu&lt;/Author&gt;&lt;Year&gt;1999&lt;/Year&gt;&lt;RecNum&gt;7&lt;/RecNum&gt;&lt;DisplayText&gt;&lt;style face="superscript"&gt;1, 2&lt;/style&gt;&lt;/DisplayText&gt;&lt;record&gt;&lt;rec-number&gt;7&lt;/rec-number&gt;&lt;foreign-keys&gt;&lt;key app="EN" db-id="dfe2rpadwfdf21ezrr3vdad6zpzrrvzwdv09" timestamp="1461784198"&gt;7&lt;/key&gt;&lt;/foreign-keys&gt;&lt;ref-type name="Journal Article"&gt;17&lt;/ref-type&gt;&lt;contributors&gt;&lt;authors&gt;&lt;author&gt;Abreu, Denise A&lt;/author&gt;&lt;author&gt;Winters, Franklin&lt;/author&gt;&lt;/authors&gt;&lt;/contributors&gt;&lt;titles&gt;&lt;title&gt;Using monetary incentives to reduce attrition in the survey of income and program participation. &lt;/title&gt;&lt;secondary-title&gt;Proceedings of the Survey Research Methods Section of the American Statistical Association&lt;/secondary-title&gt;&lt;/titles&gt;&lt;periodical&gt;&lt;full-title&gt;Proceedings of the Survey Research Methods Section of the American Statistical Association&lt;/full-title&gt;&lt;/periodical&gt;&lt;dates&gt;&lt;year&gt;1999&lt;/year&gt;&lt;/dates&gt;&lt;urls&gt;&lt;/urls&gt;&lt;/record&gt;&lt;/Cite&gt;&lt;Cite&gt;&lt;Author&gt;Shettle&lt;/Author&gt;&lt;Year&gt;1999&lt;/Year&gt;&lt;RecNum&gt;8&lt;/RecNum&gt;&lt;record&gt;&lt;rec-number&gt;8&lt;/rec-number&gt;&lt;foreign-keys&gt;&lt;key app="EN" db-id="dfe2rpadwfdf21ezrr3vdad6zpzrrvzwdv09" timestamp="1461784407"&gt;8&lt;/key&gt;&lt;/foreign-keys&gt;&lt;ref-type name="Journal Article"&gt;17&lt;/ref-type&gt;&lt;contributors&gt;&lt;authors&gt;&lt;author&gt;Shettle, Carolyn&lt;/author&gt;&lt;author&gt;Mooney, Geraldine&lt;/author&gt;&lt;/authors&gt;&lt;/contributors&gt;&lt;titles&gt;&lt;title&gt;Monetary incentives in U.S. government surveys&lt;/title&gt;&lt;secondary-title&gt;Journal of Offical Statistics&lt;/secondary-title&gt;&lt;/titles&gt;&lt;periodical&gt;&lt;full-title&gt;Journal of Offical Statistics&lt;/full-title&gt;&lt;/periodical&gt;&lt;pages&gt;231-50&lt;/pages&gt;&lt;volume&gt;15&lt;/volume&gt;&lt;number&gt;2&lt;/number&gt;&lt;dates&gt;&lt;year&gt;1999&lt;/year&gt;&lt;/dates&gt;&lt;urls&gt;&lt;/urls&gt;&lt;/record&gt;&lt;/Cite&gt;&lt;/EndNote&gt;</w:instrText>
      </w:r>
      <w:r w:rsidR="00401AFC">
        <w:fldChar w:fldCharType="separate"/>
      </w:r>
      <w:r w:rsidR="002F426C" w:rsidRPr="002F426C">
        <w:rPr>
          <w:noProof/>
          <w:vertAlign w:val="superscript"/>
        </w:rPr>
        <w:t>1, 2</w:t>
      </w:r>
      <w:r w:rsidR="00401AFC">
        <w:fldChar w:fldCharType="end"/>
      </w:r>
      <w:r w:rsidR="00401AFC">
        <w:t xml:space="preserve"> </w:t>
      </w:r>
    </w:p>
    <w:p w14:paraId="1EA220F7" w14:textId="77777777" w:rsidR="00401AFC" w:rsidRDefault="00401AFC" w:rsidP="00D467C4"/>
    <w:p w14:paraId="441C1357" w14:textId="5068DE8A" w:rsidR="00401AFC" w:rsidRDefault="00401AFC" w:rsidP="00401AFC">
      <w:r w:rsidRPr="00182660">
        <w:rPr>
          <w:bCs/>
          <w:iCs/>
        </w:rPr>
        <w:t xml:space="preserve">Offering tokens of appreciation is necessary to recruit minorities and historically underrepresented groups into research. </w:t>
      </w:r>
      <w:r w:rsidRPr="007C2B6F">
        <w:t xml:space="preserve">In a recent study of recruitment and retention of Black men who </w:t>
      </w:r>
      <w:r>
        <w:t>have sex</w:t>
      </w:r>
      <w:r w:rsidRPr="007C2B6F">
        <w:t xml:space="preserve"> with men (BMSM) by a Community Based Organization (CBO), recruiters found it difficult to obtain information from the BMSM because many were reluctant to provide their names and contact information because of concerns about being seen giving these personal detail</w:t>
      </w:r>
      <w:r>
        <w:t>s to an HIV prevention program.</w:t>
      </w:r>
      <w:r w:rsidR="00B447EE">
        <w:fldChar w:fldCharType="begin">
          <w:fldData xml:space="preserve">PEVuZE5vdGU+PENpdGU+PEF1dGhvcj5QYWludGVyPC9BdXRob3I+PFllYXI+MjAxMDwvWWVhcj48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</w:fldData>
        </w:fldChar>
      </w:r>
      <w:r w:rsidR="002F426C">
        <w:instrText xml:space="preserve"> ADDIN EN.CITE </w:instrText>
      </w:r>
      <w:r w:rsidR="002F426C">
        <w:fldChar w:fldCharType="begin">
          <w:fldData xml:space="preserve">PEVuZE5vdGU+PENpdGU+PEF1dGhvcj5QYWludGVyPC9BdXRob3I+PFllYXI+MjAxMDwvWWVhcj48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</w:fldData>
        </w:fldChar>
      </w:r>
      <w:r w:rsidR="002F426C">
        <w:instrText xml:space="preserve"> ADDIN EN.CITE.DATA </w:instrText>
      </w:r>
      <w:r w:rsidR="002F426C">
        <w:fldChar w:fldCharType="end"/>
      </w:r>
      <w:r w:rsidR="00B447EE">
        <w:fldChar w:fldCharType="separate"/>
      </w:r>
      <w:r w:rsidR="002F426C" w:rsidRPr="002F426C">
        <w:rPr>
          <w:noProof/>
          <w:vertAlign w:val="superscript"/>
        </w:rPr>
        <w:t>3</w:t>
      </w:r>
      <w:r w:rsidR="00B447EE">
        <w:fldChar w:fldCharType="end"/>
      </w:r>
      <w:r w:rsidR="00D473E4" w:rsidRPr="007C2B6F">
        <w:t xml:space="preserve"> </w:t>
      </w:r>
      <w:r w:rsidR="00D473E4">
        <w:t xml:space="preserve"> </w:t>
      </w:r>
      <w:r>
        <w:t>S</w:t>
      </w:r>
      <w:r w:rsidRPr="007C2B6F">
        <w:t>ome of those who were screened provided incorrect contact information, making it difficult or impossible to locate them later</w:t>
      </w:r>
      <w:r>
        <w:t>.</w:t>
      </w:r>
      <w:r w:rsidRPr="00DC3C26">
        <w:t xml:space="preserve"> </w:t>
      </w:r>
      <w:r w:rsidRPr="007C2B6F">
        <w:t xml:space="preserve">In this study, </w:t>
      </w:r>
      <w:r>
        <w:t xml:space="preserve">offering a </w:t>
      </w:r>
      <w:r w:rsidRPr="007C2B6F">
        <w:t>token</w:t>
      </w:r>
      <w:r>
        <w:t xml:space="preserve"> </w:t>
      </w:r>
      <w:r w:rsidRPr="007C2B6F">
        <w:t xml:space="preserve">of appreciation </w:t>
      </w:r>
      <w:r>
        <w:t>improved participation among BMSM.</w:t>
      </w:r>
      <w:r w:rsidR="00B447EE">
        <w:fldChar w:fldCharType="begin">
          <w:fldData xml:space="preserve">PEVuZE5vdGU+PENpdGU+PEF1dGhvcj5QYWludGVyPC9BdXRob3I+PFllYXI+MjAxMDwvWWVhcj48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</w:fldData>
        </w:fldChar>
      </w:r>
      <w:r w:rsidR="002F426C">
        <w:instrText xml:space="preserve"> ADDIN EN.CITE </w:instrText>
      </w:r>
      <w:r w:rsidR="002F426C">
        <w:fldChar w:fldCharType="begin">
          <w:fldData xml:space="preserve">PEVuZE5vdGU+PENpdGU+PEF1dGhvcj5QYWludGVyPC9BdXRob3I+PFllYXI+MjAxMDwvWWVhcj48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</w:fldData>
        </w:fldChar>
      </w:r>
      <w:r w:rsidR="002F426C">
        <w:instrText xml:space="preserve"> ADDIN EN.CITE.DATA </w:instrText>
      </w:r>
      <w:r w:rsidR="002F426C">
        <w:fldChar w:fldCharType="end"/>
      </w:r>
      <w:r w:rsidR="00B447EE">
        <w:fldChar w:fldCharType="separate"/>
      </w:r>
      <w:r w:rsidR="002F426C" w:rsidRPr="002F426C">
        <w:rPr>
          <w:noProof/>
          <w:vertAlign w:val="superscript"/>
        </w:rPr>
        <w:t>3</w:t>
      </w:r>
      <w:r w:rsidR="00B447EE">
        <w:fldChar w:fldCharType="end"/>
      </w:r>
      <w:r w:rsidRPr="007C2B6F">
        <w:t xml:space="preserve"> </w:t>
      </w:r>
      <w:r>
        <w:t>A meta-analysis of 95 studies published between January 1999 and April 2005 describing methods of increasing minority persons’ enrollment and retention in research studies found that remuneration enhanced retention among this group.</w:t>
      </w:r>
      <w:r w:rsidR="00B447EE">
        <w:fldChar w:fldCharType="begin"/>
      </w:r>
      <w:r w:rsidR="002F426C">
        <w:instrText xml:space="preserve"> ADDIN EN.CITE &lt;EndNote&gt;&lt;Cite&gt;&lt;Author&gt;Yancey&lt;/Author&gt;&lt;Year&gt;2006&lt;/Year&gt;&lt;RecNum&gt;10&lt;/RecNum&gt;&lt;DisplayText&gt;&lt;style face="superscript"&gt;4&lt;/style&gt;&lt;/DisplayText&gt;&lt;record&gt;&lt;rec-number&gt;10&lt;/rec-number&gt;&lt;foreign-keys&gt;&lt;key app="EN" db-id="dfe2rpadwfdf21ezrr3vdad6zpzrrvzwdv09" timestamp="1461784728"&gt;10&lt;/key&gt;&lt;/foreign-keys&gt;&lt;ref-type name="Journal Article"&gt;17&lt;/ref-type&gt;&lt;contributors&gt;&lt;authors&gt;&lt;author&gt;Yancey, A. K.&lt;/author&gt;&lt;author&gt;Ortega, A. N.&lt;/author&gt;&lt;author&gt;Kumanyika, S. K.&lt;/author&gt;&lt;/authors&gt;&lt;/contributors&gt;&lt;auth-address&gt;Department of Health Services and Center to Eliminate Health Disparities, School of Public Health, University of California, Los Angeles, California 90095, USA. ayancey@ucla.edu&lt;/auth-address&gt;&lt;titles&gt;&lt;title&gt;Effective recruitment and retention of minority research participants&lt;/title&gt;&lt;secondary-title&gt;Annu Rev Public Health&lt;/secondary-title&gt;&lt;alt-title&gt;Annual review of public health&lt;/alt-title&gt;&lt;/titles&gt;&lt;periodical&gt;&lt;full-title&gt;Annu Rev Public Health&lt;/full-title&gt;&lt;abbr-1&gt;Annual review of public health&lt;/abbr-1&gt;&lt;/periodical&gt;&lt;alt-periodical&gt;&lt;full-title&gt;Annu Rev Public Health&lt;/full-title&gt;&lt;abbr-1&gt;Annual review of public health&lt;/abbr-1&gt;&lt;/alt-periodical&gt;&lt;pages&gt;1-28&lt;/pages&gt;&lt;volume&gt;27&lt;/volume&gt;&lt;edition&gt;2006/03/15&lt;/edition&gt;&lt;keywords&gt;&lt;keyword&gt;Consumer Participation&lt;/keyword&gt;&lt;keyword&gt;Cultural Diversity&lt;/keyword&gt;&lt;keyword&gt;*Ethnic Groups&lt;/keyword&gt;&lt;keyword&gt;*Health Services Research&lt;/keyword&gt;&lt;keyword&gt;Humans&lt;/keyword&gt;&lt;keyword&gt;*Minority Groups&lt;/keyword&gt;&lt;keyword&gt;Motivation&lt;/keyword&gt;&lt;keyword&gt;*Patient Selection&lt;/keyword&gt;&lt;keyword&gt;*Public Health&lt;/keyword&gt;&lt;keyword&gt;Refusal to Participate/ethnology&lt;/keyword&gt;&lt;keyword&gt;United States&lt;/keyword&gt;&lt;/keywords&gt;&lt;dates&gt;&lt;year&gt;2006&lt;/year&gt;&lt;/dates&gt;&lt;isbn&gt;0163-7525 (Print)&amp;#xD;0163-7525&lt;/isbn&gt;&lt;accession-num&gt;16533107&lt;/accession-num&gt;&lt;urls&gt;&lt;/urls&gt;&lt;electronic-resource-num&gt;10.1146/annurev.publhealth.27.021405.102113&lt;/electronic-resource-num&gt;&lt;remote-database-provider&gt;NLM&lt;/remote-database-provider&gt;&lt;language&gt;eng&lt;/language&gt;&lt;/record&gt;&lt;/Cite&gt;&lt;/EndNote&gt;</w:instrText>
      </w:r>
      <w:r w:rsidR="00B447EE">
        <w:fldChar w:fldCharType="separate"/>
      </w:r>
      <w:r w:rsidR="002F426C" w:rsidRPr="002F426C">
        <w:rPr>
          <w:noProof/>
          <w:vertAlign w:val="superscript"/>
        </w:rPr>
        <w:t>4</w:t>
      </w:r>
      <w:r w:rsidR="00B447EE">
        <w:fldChar w:fldCharType="end"/>
      </w:r>
    </w:p>
    <w:p w14:paraId="1D8CB456" w14:textId="77777777" w:rsidR="00401AFC" w:rsidRDefault="00401AFC" w:rsidP="00401AFC"/>
    <w:p w14:paraId="204BD410" w14:textId="65D7DC84" w:rsidR="00401AFC" w:rsidRDefault="00401AFC" w:rsidP="00401AFC">
      <w:r>
        <w:t xml:space="preserve">Remuneration has been used in other HIV-related CDC data collection efforts, such as for National HIV Behavioral Surveillance (OMB 0920-0770, exp. 5/31/2014) and the Testing Brief Messages for Black and Latino MSM Study (OMB 0920-14SY under 0920-0840, exp. 1/31/2019), which included similar populations and had a similar length of time for completing the client interview as in this proposed research. In all of these other projects, tokens of appreciation were used to help increase participation rates.  </w:t>
      </w:r>
    </w:p>
    <w:p w14:paraId="272B5866" w14:textId="77777777" w:rsidR="005E6F8D" w:rsidRDefault="005E6F8D" w:rsidP="00401AFC"/>
    <w:p w14:paraId="65CCCDCB" w14:textId="1E23E4E7" w:rsidR="00B12EA3" w:rsidRDefault="00B12EA3" w:rsidP="00E53653">
      <w:pPr>
        <w:pStyle w:val="Heading1"/>
      </w:pPr>
      <w:bookmarkStart w:id="11" w:name="_Toc448296081"/>
      <w:r w:rsidRPr="00B12EA3">
        <w:t>Protection of the Privacy and Confidentiality of Information Provided by Respondents</w:t>
      </w:r>
      <w:bookmarkEnd w:id="11"/>
    </w:p>
    <w:p w14:paraId="7CFFD74F" w14:textId="77777777" w:rsidR="007C2B6F" w:rsidRDefault="007C2B6F" w:rsidP="00D467C4"/>
    <w:p w14:paraId="7BF2D512" w14:textId="2E75F816" w:rsidR="00242341" w:rsidRDefault="00242341" w:rsidP="00AF2647">
      <w:r>
        <w:t>The NCHHSTP PRA Coordinator has reviewed this project and determined the Privacy Act does not apply since personally identifiable information (PII) will not be transmitted to the CDC.</w:t>
      </w:r>
    </w:p>
    <w:p w14:paraId="2DE503C8" w14:textId="77777777" w:rsidR="00242341" w:rsidRDefault="00242341" w:rsidP="00AF2647"/>
    <w:p w14:paraId="2E307A72" w14:textId="7432D49A" w:rsidR="00B447EE" w:rsidRDefault="00B447EE" w:rsidP="00AF2647">
      <w:r w:rsidRPr="00603813">
        <w:t xml:space="preserve">We will inform respondents that their responses will be kept private to the extent permitted by the law. All respondents interviewed will be informed that the information collected will not be attributable directly to the respondent and will only be discussed among members of the </w:t>
      </w:r>
      <w:r w:rsidR="007F1E53">
        <w:t xml:space="preserve">research </w:t>
      </w:r>
      <w:r w:rsidRPr="00603813">
        <w:t>team. Terms of the CDC contract authorizing data collection require the contractor to maintain the privacy of all information collected. Accordingly, individuals’ data will be kept private and protected to the extent permitted by law.</w:t>
      </w:r>
    </w:p>
    <w:p w14:paraId="0C3D9708" w14:textId="77777777" w:rsidR="00D6673F" w:rsidRDefault="00D6673F" w:rsidP="00AF2647"/>
    <w:p w14:paraId="46E277C3" w14:textId="17B786B1" w:rsidR="0038668E" w:rsidRDefault="00232A59" w:rsidP="00232A59">
      <w:pPr>
        <w:pStyle w:val="Heading1"/>
        <w:numPr>
          <w:ilvl w:val="0"/>
          <w:numId w:val="0"/>
        </w:numPr>
        <w:rPr>
          <w:rFonts w:eastAsia="Times New Roman" w:cs="Times New Roman"/>
          <w:b w:val="0"/>
          <w:szCs w:val="24"/>
        </w:rPr>
      </w:pPr>
      <w:bookmarkStart w:id="12" w:name="_Toc448296082"/>
      <w:r w:rsidRPr="00232A59">
        <w:rPr>
          <w:rFonts w:eastAsia="Times New Roman" w:cs="Times New Roman"/>
          <w:b w:val="0"/>
          <w:szCs w:val="24"/>
        </w:rPr>
        <w:t>In addition, the study plans to utilize a Certificate of Confidentiality to protect the privacy of respondents enrolled in the study. The certificate protects respondents by withholding from all persons not connected with the conduct of such research, the names or other identifying characteristics of respondents without their consent</w:t>
      </w:r>
      <w:r w:rsidR="001A5BFA">
        <w:rPr>
          <w:rFonts w:eastAsia="Times New Roman" w:cs="Times New Roman"/>
          <w:b w:val="0"/>
          <w:szCs w:val="24"/>
        </w:rPr>
        <w:t xml:space="preserve"> (</w:t>
      </w:r>
      <w:r w:rsidR="001A5BFA" w:rsidRPr="001A5BFA">
        <w:rPr>
          <w:rFonts w:eastAsia="Times New Roman" w:cs="Times New Roman"/>
          <w:szCs w:val="24"/>
        </w:rPr>
        <w:t>attachment 5</w:t>
      </w:r>
      <w:r w:rsidR="001A5BFA">
        <w:rPr>
          <w:rFonts w:eastAsia="Times New Roman" w:cs="Times New Roman"/>
          <w:b w:val="0"/>
          <w:szCs w:val="24"/>
        </w:rPr>
        <w:t>)</w:t>
      </w:r>
      <w:r w:rsidRPr="00232A59">
        <w:rPr>
          <w:rFonts w:eastAsia="Times New Roman" w:cs="Times New Roman"/>
          <w:b w:val="0"/>
          <w:szCs w:val="24"/>
        </w:rPr>
        <w:t>.</w:t>
      </w:r>
    </w:p>
    <w:p w14:paraId="72128784" w14:textId="75C4E4B4" w:rsidR="00B12EA3" w:rsidRPr="0038668E" w:rsidRDefault="00B12EA3" w:rsidP="0038668E">
      <w:pPr>
        <w:pStyle w:val="Heading1"/>
        <w:rPr>
          <w:rFonts w:eastAsia="Times New Roman" w:cs="Times New Roman"/>
          <w:szCs w:val="24"/>
        </w:rPr>
      </w:pPr>
      <w:r w:rsidRPr="00B12EA3">
        <w:t>Institutional Review Board (IRB) and Justification for Sensitive Questions</w:t>
      </w:r>
      <w:bookmarkEnd w:id="12"/>
    </w:p>
    <w:p w14:paraId="4BE5C0CC" w14:textId="77777777" w:rsidR="007C2B6F" w:rsidRDefault="007C2B6F" w:rsidP="00D467C4"/>
    <w:p w14:paraId="6602B565" w14:textId="3EA5B9E1" w:rsidR="00D312D3" w:rsidRDefault="00D312D3" w:rsidP="00D467C4">
      <w:r>
        <w:t>IRB Approval</w:t>
      </w:r>
    </w:p>
    <w:p w14:paraId="10F5BECF" w14:textId="77777777" w:rsidR="00D312D3" w:rsidRDefault="00D312D3" w:rsidP="00D467C4"/>
    <w:p w14:paraId="1F65D3C3" w14:textId="1CE734BF" w:rsidR="003C3C33" w:rsidRDefault="003340FF" w:rsidP="00D467C4">
      <w:r w:rsidRPr="003340FF">
        <w:t xml:space="preserve">This study </w:t>
      </w:r>
      <w:r>
        <w:t xml:space="preserve">has been reviewed and approved by the </w:t>
      </w:r>
      <w:proofErr w:type="spellStart"/>
      <w:r w:rsidR="00232A59">
        <w:t>Abt</w:t>
      </w:r>
      <w:proofErr w:type="spellEnd"/>
      <w:r w:rsidR="00232A59">
        <w:t xml:space="preserve"> Associates’</w:t>
      </w:r>
      <w:r>
        <w:t xml:space="preserve"> IRB</w:t>
      </w:r>
      <w:r w:rsidR="009951A9">
        <w:t xml:space="preserve"> (</w:t>
      </w:r>
      <w:r w:rsidR="009951A9" w:rsidRPr="001A5BFA">
        <w:rPr>
          <w:b/>
        </w:rPr>
        <w:t xml:space="preserve">Attachment </w:t>
      </w:r>
      <w:r w:rsidR="008A2E78" w:rsidRPr="001A5BFA">
        <w:rPr>
          <w:b/>
        </w:rPr>
        <w:t>4</w:t>
      </w:r>
      <w:r w:rsidR="009D6649" w:rsidRPr="001A5BFA">
        <w:t>)</w:t>
      </w:r>
      <w:r>
        <w:t xml:space="preserve">. </w:t>
      </w:r>
    </w:p>
    <w:p w14:paraId="737CD770" w14:textId="77777777" w:rsidR="003C3C33" w:rsidRDefault="003C3C33" w:rsidP="00D467C4"/>
    <w:p w14:paraId="1761E88A" w14:textId="271C53FC" w:rsidR="003C3C33" w:rsidRDefault="003C3C33" w:rsidP="00D467C4">
      <w:r>
        <w:t>Sensitive Questions</w:t>
      </w:r>
    </w:p>
    <w:p w14:paraId="2222AB8F" w14:textId="77777777" w:rsidR="003C3C33" w:rsidRDefault="003C3C33" w:rsidP="00D467C4"/>
    <w:p w14:paraId="6C660CBC" w14:textId="66F2A60F" w:rsidR="00AC254E" w:rsidRDefault="00D6673F" w:rsidP="00D6673F">
      <w:pPr>
        <w:jc w:val="both"/>
      </w:pPr>
      <w:r w:rsidRPr="00603813">
        <w:t xml:space="preserve">This study is an initiative aimed </w:t>
      </w:r>
      <w:r>
        <w:t>to</w:t>
      </w:r>
      <w:r w:rsidR="00232A59" w:rsidRPr="00232A59">
        <w:t xml:space="preserve"> understand barriers and facilitators to HIV prevention, care, and treatment</w:t>
      </w:r>
      <w:r w:rsidR="00232A59">
        <w:t xml:space="preserve"> among transgender women at </w:t>
      </w:r>
      <w:r w:rsidR="00232A59" w:rsidRPr="00232A59">
        <w:t>greatest risk for HIV infect</w:t>
      </w:r>
      <w:r w:rsidR="00232A59">
        <w:t>ion and transmission</w:t>
      </w:r>
      <w:r w:rsidRPr="00603813">
        <w:t xml:space="preserve">. As such, our </w:t>
      </w:r>
      <w:r w:rsidR="007F7EDD">
        <w:t>information collection</w:t>
      </w:r>
      <w:r w:rsidR="007F7EDD" w:rsidRPr="00603813">
        <w:t xml:space="preserve"> </w:t>
      </w:r>
      <w:r w:rsidRPr="00603813">
        <w:t xml:space="preserve">entails measurement of sensitive HIV-related information. </w:t>
      </w:r>
      <w:r>
        <w:t>All contracting</w:t>
      </w:r>
      <w:r w:rsidRPr="00603813">
        <w:t xml:space="preserve"> staff will be trained to provide respondents with city-specific hotlines for HIV and mental health care organizations as needed. No sensitive information will be collected during the semi-structured interviews with </w:t>
      </w:r>
      <w:r w:rsidR="003F3217">
        <w:t>healthcare providers</w:t>
      </w:r>
      <w:r>
        <w:t xml:space="preserve"> </w:t>
      </w:r>
      <w:r w:rsidRPr="00603813">
        <w:t>about the people they work with</w:t>
      </w:r>
      <w:r w:rsidR="003F3217">
        <w:t xml:space="preserve"> or any specific patients</w:t>
      </w:r>
      <w:r>
        <w:t>.</w:t>
      </w:r>
      <w:r w:rsidRPr="00603813">
        <w:t xml:space="preserve"> We will inform all </w:t>
      </w:r>
      <w:r w:rsidRPr="002110FE">
        <w:t>participants</w:t>
      </w:r>
      <w:r w:rsidRPr="00603813">
        <w:t xml:space="preserve"> that they may skip any question or stop participation at any time for any reason.  </w:t>
      </w:r>
    </w:p>
    <w:p w14:paraId="7D1DAD7B" w14:textId="5E01587E" w:rsidR="00B12EA3" w:rsidRDefault="00B12EA3" w:rsidP="00E53653">
      <w:pPr>
        <w:pStyle w:val="Heading1"/>
      </w:pPr>
      <w:bookmarkStart w:id="13" w:name="_Toc448296083"/>
      <w:r w:rsidRPr="00B057DB">
        <w:t>Estimates of Annualized Burden Hours and Costs</w:t>
      </w:r>
      <w:bookmarkEnd w:id="13"/>
    </w:p>
    <w:p w14:paraId="3F2E2C31" w14:textId="77777777" w:rsidR="002D3D0C" w:rsidRDefault="002D3D0C" w:rsidP="002D3D0C"/>
    <w:p w14:paraId="15DCFA81" w14:textId="150252F1" w:rsidR="008452CD" w:rsidRDefault="00232A59" w:rsidP="00D467C4">
      <w:r w:rsidRPr="00232A59">
        <w:t xml:space="preserve">Exhibits A12.1 and A12.2 provide details about how the estimates of burden hours and costs were calculated. We calculated the overall burden per respondent by multiplying the frequency of response by the time to complete each data collection item. We anticipate that screener forms </w:t>
      </w:r>
      <w:r w:rsidR="00F81AFD">
        <w:t>will take 5 minutes to complete</w:t>
      </w:r>
      <w:r w:rsidRPr="00232A59">
        <w:t xml:space="preserve">. We anticipate 50 percent of </w:t>
      </w:r>
      <w:r>
        <w:t xml:space="preserve">transgender women </w:t>
      </w:r>
      <w:r w:rsidRPr="00232A59">
        <w:t xml:space="preserve">screened will be eligible for the study. </w:t>
      </w:r>
      <w:r w:rsidR="00F81AFD">
        <w:t xml:space="preserve">Healthcare providers will be referred to the study directly from the transgender women study participants, so they will not be screened. </w:t>
      </w:r>
      <w:r w:rsidRPr="00232A59">
        <w:t>The in-depth interview</w:t>
      </w:r>
      <w:r>
        <w:t>s</w:t>
      </w:r>
      <w:r w:rsidRPr="00232A59">
        <w:t xml:space="preserve"> for </w:t>
      </w:r>
      <w:r>
        <w:t>transgender women</w:t>
      </w:r>
      <w:r w:rsidRPr="00232A59">
        <w:t xml:space="preserve"> </w:t>
      </w:r>
      <w:r w:rsidR="00C2034B">
        <w:t xml:space="preserve">and healthcare providers </w:t>
      </w:r>
      <w:r w:rsidRPr="00232A59">
        <w:t xml:space="preserve">are expected to take a total of 60 minutes (1 hour) </w:t>
      </w:r>
      <w:r>
        <w:t>each</w:t>
      </w:r>
      <w:r w:rsidRPr="00232A59">
        <w:t xml:space="preserve">. We will complete interviews for </w:t>
      </w:r>
      <w:r w:rsidR="00C2034B">
        <w:t>40 transgender women</w:t>
      </w:r>
      <w:r w:rsidRPr="00232A59">
        <w:t xml:space="preserve"> </w:t>
      </w:r>
      <w:r w:rsidR="00C2034B">
        <w:t xml:space="preserve">and 10 healthcare providers </w:t>
      </w:r>
      <w:r w:rsidRPr="00232A59">
        <w:t xml:space="preserve">in </w:t>
      </w:r>
      <w:r w:rsidR="00C2034B">
        <w:t>Atlanta, GA, Philadelphia, PA,</w:t>
      </w:r>
      <w:r w:rsidR="00C2034B" w:rsidRPr="00C2034B">
        <w:t xml:space="preserve"> and Washington, DC</w:t>
      </w:r>
      <w:r w:rsidR="00C2034B">
        <w:t xml:space="preserve">. We anticipate screening </w:t>
      </w:r>
      <w:r w:rsidR="00F81AFD">
        <w:t>8</w:t>
      </w:r>
      <w:r w:rsidRPr="00232A59">
        <w:t xml:space="preserve">0 potential </w:t>
      </w:r>
      <w:r w:rsidR="00F81AFD">
        <w:t xml:space="preserve">transgender women </w:t>
      </w:r>
      <w:r w:rsidRPr="00232A59">
        <w:t xml:space="preserve">respondents. The total number of burden hours is </w:t>
      </w:r>
      <w:r w:rsidR="00846E9C">
        <w:t>61</w:t>
      </w:r>
      <w:r w:rsidRPr="00232A59">
        <w:t>.</w:t>
      </w:r>
    </w:p>
    <w:p w14:paraId="58C577B2" w14:textId="0CEFAFFF" w:rsidR="00332F80" w:rsidRDefault="00332F80" w:rsidP="00E53653">
      <w:pPr>
        <w:pStyle w:val="Heading2"/>
      </w:pPr>
      <w:bookmarkStart w:id="14" w:name="_Toc444867858"/>
      <w:bookmarkStart w:id="15" w:name="_Toc444883709"/>
      <w:bookmarkStart w:id="16" w:name="_Toc445385234"/>
      <w:bookmarkStart w:id="17" w:name="_Toc448296084"/>
      <w:r>
        <w:t>Estimated Annualized Burden Hours</w:t>
      </w:r>
      <w:bookmarkEnd w:id="14"/>
      <w:bookmarkEnd w:id="15"/>
      <w:bookmarkEnd w:id="16"/>
      <w:bookmarkEnd w:id="17"/>
    </w:p>
    <w:p w14:paraId="2A8DC733" w14:textId="77777777" w:rsidR="00332F80" w:rsidRDefault="00332F80" w:rsidP="00D467C4"/>
    <w:p w14:paraId="59EE5EE9" w14:textId="336F540E" w:rsidR="00E53653" w:rsidRPr="007376F4" w:rsidRDefault="00E86C70" w:rsidP="00E6566E">
      <w:pPr>
        <w:pStyle w:val="Caption"/>
      </w:pPr>
      <w:bookmarkStart w:id="18" w:name="_Toc449541623"/>
      <w:r w:rsidRPr="00E6566E">
        <w:rPr>
          <w:sz w:val="24"/>
          <w:szCs w:val="24"/>
        </w:rPr>
        <w:t xml:space="preserve">Exhibit </w:t>
      </w:r>
      <w:r w:rsidR="00C91C02">
        <w:rPr>
          <w:sz w:val="24"/>
          <w:szCs w:val="24"/>
        </w:rPr>
        <w:fldChar w:fldCharType="begin"/>
      </w:r>
      <w:r w:rsidR="00C91C02">
        <w:rPr>
          <w:sz w:val="24"/>
          <w:szCs w:val="24"/>
        </w:rPr>
        <w:instrText xml:space="preserve"> STYLEREF 1 \s </w:instrText>
      </w:r>
      <w:r w:rsidR="00C91C02">
        <w:rPr>
          <w:sz w:val="24"/>
          <w:szCs w:val="24"/>
        </w:rPr>
        <w:fldChar w:fldCharType="separate"/>
      </w:r>
      <w:r w:rsidR="00C91C02">
        <w:rPr>
          <w:noProof/>
          <w:sz w:val="24"/>
          <w:szCs w:val="24"/>
        </w:rPr>
        <w:t>12</w:t>
      </w:r>
      <w:r w:rsidR="00C91C02">
        <w:rPr>
          <w:sz w:val="24"/>
          <w:szCs w:val="24"/>
        </w:rPr>
        <w:fldChar w:fldCharType="end"/>
      </w:r>
      <w:r w:rsidR="00C91C02">
        <w:rPr>
          <w:sz w:val="24"/>
          <w:szCs w:val="24"/>
        </w:rPr>
        <w:t>.</w:t>
      </w:r>
      <w:r w:rsidR="00C91C02">
        <w:rPr>
          <w:sz w:val="24"/>
          <w:szCs w:val="24"/>
        </w:rPr>
        <w:fldChar w:fldCharType="begin"/>
      </w:r>
      <w:r w:rsidR="00C91C02">
        <w:rPr>
          <w:sz w:val="24"/>
          <w:szCs w:val="24"/>
        </w:rPr>
        <w:instrText xml:space="preserve"> SEQ Exhibit \* ARABIC \s 1 </w:instrText>
      </w:r>
      <w:r w:rsidR="00C91C02">
        <w:rPr>
          <w:sz w:val="24"/>
          <w:szCs w:val="24"/>
        </w:rPr>
        <w:fldChar w:fldCharType="separate"/>
      </w:r>
      <w:r w:rsidR="00C91C02">
        <w:rPr>
          <w:noProof/>
          <w:sz w:val="24"/>
          <w:szCs w:val="24"/>
        </w:rPr>
        <w:t>1</w:t>
      </w:r>
      <w:r w:rsidR="00C91C02">
        <w:rPr>
          <w:sz w:val="24"/>
          <w:szCs w:val="24"/>
        </w:rPr>
        <w:fldChar w:fldCharType="end"/>
      </w:r>
      <w:r w:rsidRPr="00E6566E">
        <w:rPr>
          <w:sz w:val="24"/>
          <w:szCs w:val="24"/>
        </w:rPr>
        <w:t>: Estimated Annualized Burden Hours</w:t>
      </w:r>
      <w:bookmarkEnd w:id="18"/>
    </w:p>
    <w:p w14:paraId="4F94622D" w14:textId="77777777" w:rsidR="00E53653" w:rsidRPr="00E53653" w:rsidRDefault="00E53653"/>
    <w:tbl>
      <w:tblPr>
        <w:tblW w:w="10260" w:type="dxa"/>
        <w:tblLayout w:type="fixed"/>
        <w:tblCellMar>
          <w:left w:w="129" w:type="dxa"/>
          <w:right w:w="129" w:type="dxa"/>
        </w:tblCellMar>
        <w:tblLook w:val="0000" w:firstRow="0" w:lastRow="0" w:firstColumn="0" w:lastColumn="0" w:noHBand="0" w:noVBand="0"/>
      </w:tblPr>
      <w:tblGrid>
        <w:gridCol w:w="1527"/>
        <w:gridCol w:w="2163"/>
        <w:gridCol w:w="1890"/>
        <w:gridCol w:w="1710"/>
        <w:gridCol w:w="1800"/>
        <w:gridCol w:w="1170"/>
      </w:tblGrid>
      <w:tr w:rsidR="000879CA" w:rsidRPr="00603813" w14:paraId="53C2C1BB" w14:textId="77777777" w:rsidTr="00F951D1">
        <w:trPr>
          <w:cantSplit/>
          <w:tblHeader/>
        </w:trPr>
        <w:tc>
          <w:tcPr>
            <w:tcW w:w="1527" w:type="dxa"/>
            <w:tcBorders>
              <w:top w:val="single" w:sz="2" w:space="0" w:color="000000"/>
              <w:left w:val="single" w:sz="2" w:space="0" w:color="000000"/>
              <w:bottom w:val="nil"/>
              <w:right w:val="nil"/>
            </w:tcBorders>
          </w:tcPr>
          <w:p w14:paraId="135B48D5" w14:textId="77777777" w:rsidR="000879CA" w:rsidRPr="00603813" w:rsidRDefault="000879CA" w:rsidP="001054F6">
            <w:pPr>
              <w:rPr>
                <w:b/>
                <w:sz w:val="20"/>
                <w:szCs w:val="20"/>
              </w:rPr>
            </w:pPr>
            <w:r w:rsidRPr="00603813">
              <w:rPr>
                <w:b/>
                <w:sz w:val="20"/>
                <w:szCs w:val="20"/>
              </w:rPr>
              <w:t>Type of Respondent</w:t>
            </w:r>
          </w:p>
        </w:tc>
        <w:tc>
          <w:tcPr>
            <w:tcW w:w="2163" w:type="dxa"/>
            <w:tcBorders>
              <w:top w:val="single" w:sz="2" w:space="0" w:color="000000"/>
              <w:left w:val="single" w:sz="2" w:space="0" w:color="000000"/>
              <w:bottom w:val="nil"/>
              <w:right w:val="nil"/>
            </w:tcBorders>
          </w:tcPr>
          <w:p w14:paraId="3005DAB6" w14:textId="77777777" w:rsidR="000879CA" w:rsidRPr="00603813" w:rsidRDefault="000879CA" w:rsidP="001054F6">
            <w:pPr>
              <w:rPr>
                <w:b/>
                <w:sz w:val="20"/>
                <w:szCs w:val="20"/>
              </w:rPr>
            </w:pPr>
            <w:r w:rsidRPr="00603813">
              <w:rPr>
                <w:b/>
                <w:sz w:val="20"/>
                <w:szCs w:val="20"/>
              </w:rPr>
              <w:t>Form Name</w:t>
            </w:r>
          </w:p>
        </w:tc>
        <w:tc>
          <w:tcPr>
            <w:tcW w:w="1890" w:type="dxa"/>
            <w:tcBorders>
              <w:top w:val="single" w:sz="2" w:space="0" w:color="000000"/>
              <w:left w:val="single" w:sz="2" w:space="0" w:color="000000"/>
              <w:bottom w:val="nil"/>
              <w:right w:val="nil"/>
            </w:tcBorders>
          </w:tcPr>
          <w:p w14:paraId="6BA44EF5" w14:textId="77777777" w:rsidR="000879CA" w:rsidRPr="00603813" w:rsidRDefault="000879CA" w:rsidP="001054F6">
            <w:pPr>
              <w:rPr>
                <w:b/>
                <w:sz w:val="20"/>
                <w:szCs w:val="20"/>
              </w:rPr>
            </w:pPr>
            <w:r>
              <w:rPr>
                <w:b/>
                <w:sz w:val="20"/>
                <w:szCs w:val="20"/>
              </w:rPr>
              <w:t>No.</w:t>
            </w:r>
            <w:r w:rsidRPr="00603813">
              <w:rPr>
                <w:b/>
                <w:sz w:val="20"/>
                <w:szCs w:val="20"/>
              </w:rPr>
              <w:t xml:space="preserve"> of Respondents</w:t>
            </w:r>
          </w:p>
        </w:tc>
        <w:tc>
          <w:tcPr>
            <w:tcW w:w="1710" w:type="dxa"/>
            <w:tcBorders>
              <w:top w:val="single" w:sz="2" w:space="0" w:color="000000"/>
              <w:left w:val="single" w:sz="2" w:space="0" w:color="000000"/>
              <w:bottom w:val="nil"/>
              <w:right w:val="nil"/>
            </w:tcBorders>
          </w:tcPr>
          <w:p w14:paraId="1975FADA" w14:textId="77777777" w:rsidR="000879CA" w:rsidRPr="00603813" w:rsidRDefault="000879CA" w:rsidP="001054F6">
            <w:pPr>
              <w:rPr>
                <w:b/>
                <w:sz w:val="20"/>
                <w:szCs w:val="20"/>
              </w:rPr>
            </w:pPr>
            <w:r>
              <w:rPr>
                <w:b/>
                <w:sz w:val="20"/>
                <w:szCs w:val="20"/>
              </w:rPr>
              <w:t>No.</w:t>
            </w:r>
            <w:r w:rsidRPr="00603813">
              <w:rPr>
                <w:b/>
                <w:sz w:val="20"/>
                <w:szCs w:val="20"/>
              </w:rPr>
              <w:t xml:space="preserve"> of Responses Per Respondent</w:t>
            </w:r>
          </w:p>
        </w:tc>
        <w:tc>
          <w:tcPr>
            <w:tcW w:w="1800" w:type="dxa"/>
            <w:tcBorders>
              <w:top w:val="single" w:sz="2" w:space="0" w:color="000000"/>
              <w:left w:val="single" w:sz="2" w:space="0" w:color="000000"/>
              <w:bottom w:val="nil"/>
              <w:right w:val="single" w:sz="2" w:space="0" w:color="000000"/>
            </w:tcBorders>
          </w:tcPr>
          <w:p w14:paraId="5E253BC2" w14:textId="77777777" w:rsidR="000879CA" w:rsidRPr="00603813" w:rsidRDefault="000879CA" w:rsidP="001054F6">
            <w:pPr>
              <w:rPr>
                <w:b/>
                <w:sz w:val="20"/>
                <w:szCs w:val="20"/>
              </w:rPr>
            </w:pPr>
            <w:r w:rsidRPr="00603813">
              <w:rPr>
                <w:b/>
                <w:sz w:val="20"/>
                <w:szCs w:val="20"/>
              </w:rPr>
              <w:t xml:space="preserve">Average Burden Per Response (in Hours) </w:t>
            </w:r>
          </w:p>
        </w:tc>
        <w:tc>
          <w:tcPr>
            <w:tcW w:w="1170" w:type="dxa"/>
            <w:tcBorders>
              <w:top w:val="single" w:sz="2" w:space="0" w:color="000000"/>
              <w:left w:val="single" w:sz="2" w:space="0" w:color="000000"/>
              <w:bottom w:val="nil"/>
              <w:right w:val="single" w:sz="2" w:space="0" w:color="000000"/>
            </w:tcBorders>
          </w:tcPr>
          <w:p w14:paraId="55727504" w14:textId="77777777" w:rsidR="000879CA" w:rsidRPr="00603813" w:rsidRDefault="000879CA" w:rsidP="001054F6">
            <w:pPr>
              <w:rPr>
                <w:b/>
                <w:sz w:val="20"/>
                <w:szCs w:val="20"/>
              </w:rPr>
            </w:pPr>
            <w:r w:rsidRPr="00603813">
              <w:rPr>
                <w:b/>
                <w:sz w:val="20"/>
                <w:szCs w:val="20"/>
              </w:rPr>
              <w:t xml:space="preserve">Total </w:t>
            </w:r>
          </w:p>
          <w:p w14:paraId="22FFF7BE" w14:textId="77777777" w:rsidR="000879CA" w:rsidRPr="00603813" w:rsidRDefault="000879CA" w:rsidP="001054F6">
            <w:pPr>
              <w:rPr>
                <w:b/>
                <w:sz w:val="20"/>
                <w:szCs w:val="20"/>
              </w:rPr>
            </w:pPr>
            <w:r w:rsidRPr="00603813">
              <w:rPr>
                <w:b/>
                <w:sz w:val="20"/>
                <w:szCs w:val="20"/>
              </w:rPr>
              <w:t>Burden</w:t>
            </w:r>
          </w:p>
          <w:p w14:paraId="50CFECF8" w14:textId="77777777" w:rsidR="000879CA" w:rsidRPr="00603813" w:rsidRDefault="000879CA" w:rsidP="001054F6">
            <w:pPr>
              <w:rPr>
                <w:b/>
                <w:sz w:val="20"/>
                <w:szCs w:val="20"/>
              </w:rPr>
            </w:pPr>
            <w:r w:rsidRPr="00603813">
              <w:rPr>
                <w:b/>
                <w:sz w:val="20"/>
                <w:szCs w:val="20"/>
              </w:rPr>
              <w:t>Hours</w:t>
            </w:r>
          </w:p>
        </w:tc>
      </w:tr>
      <w:tr w:rsidR="008F339E" w:rsidRPr="00603813" w14:paraId="409CBB78" w14:textId="77777777" w:rsidTr="00F951D1">
        <w:trPr>
          <w:cantSplit/>
        </w:trPr>
        <w:tc>
          <w:tcPr>
            <w:tcW w:w="1527" w:type="dxa"/>
            <w:tcBorders>
              <w:top w:val="single" w:sz="2" w:space="0" w:color="000000"/>
              <w:left w:val="single" w:sz="2" w:space="0" w:color="000000"/>
              <w:right w:val="nil"/>
            </w:tcBorders>
          </w:tcPr>
          <w:p w14:paraId="2E5E70E6" w14:textId="4B024A8E" w:rsidR="008F339E" w:rsidRPr="008F339E" w:rsidRDefault="008F339E" w:rsidP="001054F6">
            <w:pPr>
              <w:jc w:val="both"/>
              <w:rPr>
                <w:sz w:val="20"/>
                <w:szCs w:val="20"/>
              </w:rPr>
            </w:pPr>
            <w:r w:rsidRPr="008F339E">
              <w:rPr>
                <w:sz w:val="20"/>
                <w:szCs w:val="20"/>
              </w:rPr>
              <w:t>General Public- Adults</w:t>
            </w:r>
          </w:p>
        </w:tc>
        <w:tc>
          <w:tcPr>
            <w:tcW w:w="2163" w:type="dxa"/>
            <w:tcBorders>
              <w:top w:val="single" w:sz="2" w:space="0" w:color="000000"/>
              <w:left w:val="single" w:sz="2" w:space="0" w:color="000000"/>
              <w:bottom w:val="single" w:sz="2" w:space="0" w:color="000000"/>
              <w:right w:val="nil"/>
            </w:tcBorders>
          </w:tcPr>
          <w:p w14:paraId="781DE4EB" w14:textId="05A23A95" w:rsidR="008F339E" w:rsidRPr="008F339E" w:rsidRDefault="008F339E" w:rsidP="00FE7D83">
            <w:pPr>
              <w:ind w:left="-39" w:right="51"/>
              <w:rPr>
                <w:iCs/>
                <w:sz w:val="20"/>
                <w:szCs w:val="20"/>
              </w:rPr>
            </w:pPr>
            <w:r>
              <w:rPr>
                <w:iCs/>
                <w:sz w:val="20"/>
                <w:szCs w:val="20"/>
              </w:rPr>
              <w:t>Eligibility Screener: Transgender Women</w:t>
            </w:r>
            <w:r w:rsidR="00960A76">
              <w:rPr>
                <w:iCs/>
                <w:sz w:val="20"/>
                <w:szCs w:val="20"/>
              </w:rPr>
              <w:t xml:space="preserve"> (Att. 3a)</w:t>
            </w:r>
          </w:p>
        </w:tc>
        <w:tc>
          <w:tcPr>
            <w:tcW w:w="1890" w:type="dxa"/>
            <w:tcBorders>
              <w:top w:val="single" w:sz="2" w:space="0" w:color="000000"/>
              <w:left w:val="single" w:sz="2" w:space="0" w:color="000000"/>
              <w:bottom w:val="single" w:sz="2" w:space="0" w:color="000000"/>
              <w:right w:val="nil"/>
            </w:tcBorders>
            <w:vAlign w:val="center"/>
          </w:tcPr>
          <w:p w14:paraId="2DE40282" w14:textId="42CBF985" w:rsidR="008F339E" w:rsidRDefault="00521503">
            <w:pPr>
              <w:jc w:val="center"/>
              <w:rPr>
                <w:sz w:val="20"/>
                <w:szCs w:val="20"/>
              </w:rPr>
            </w:pPr>
            <w:r>
              <w:rPr>
                <w:sz w:val="20"/>
                <w:szCs w:val="20"/>
              </w:rPr>
              <w:t>80</w:t>
            </w:r>
          </w:p>
        </w:tc>
        <w:tc>
          <w:tcPr>
            <w:tcW w:w="1710" w:type="dxa"/>
            <w:tcBorders>
              <w:top w:val="single" w:sz="2" w:space="0" w:color="000000"/>
              <w:left w:val="single" w:sz="2" w:space="0" w:color="000000"/>
              <w:bottom w:val="single" w:sz="2" w:space="0" w:color="000000"/>
              <w:right w:val="nil"/>
            </w:tcBorders>
            <w:vAlign w:val="center"/>
          </w:tcPr>
          <w:p w14:paraId="1F4107E0" w14:textId="04B23417" w:rsidR="008F339E" w:rsidRDefault="008F339E">
            <w:pPr>
              <w:ind w:right="-39"/>
              <w:jc w:val="center"/>
              <w:rPr>
                <w:sz w:val="20"/>
                <w:szCs w:val="20"/>
              </w:rPr>
            </w:pPr>
            <w:r>
              <w:rPr>
                <w:sz w:val="20"/>
                <w:szCs w:val="20"/>
              </w:rPr>
              <w:t>1</w:t>
            </w:r>
          </w:p>
        </w:tc>
        <w:tc>
          <w:tcPr>
            <w:tcW w:w="1800" w:type="dxa"/>
            <w:tcBorders>
              <w:top w:val="single" w:sz="2" w:space="0" w:color="000000"/>
              <w:left w:val="single" w:sz="2" w:space="0" w:color="000000"/>
              <w:bottom w:val="single" w:sz="2" w:space="0" w:color="000000"/>
              <w:right w:val="single" w:sz="2" w:space="0" w:color="000000"/>
            </w:tcBorders>
            <w:vAlign w:val="center"/>
          </w:tcPr>
          <w:p w14:paraId="1CD7DD44" w14:textId="3AF211DA" w:rsidR="008F339E" w:rsidRDefault="00521503" w:rsidP="00CF191F">
            <w:pPr>
              <w:ind w:right="-39"/>
              <w:jc w:val="center"/>
              <w:rPr>
                <w:sz w:val="20"/>
                <w:szCs w:val="20"/>
              </w:rPr>
            </w:pPr>
            <w:r>
              <w:rPr>
                <w:sz w:val="20"/>
                <w:szCs w:val="20"/>
              </w:rPr>
              <w:t>5/60</w:t>
            </w:r>
          </w:p>
        </w:tc>
        <w:tc>
          <w:tcPr>
            <w:tcW w:w="1170" w:type="dxa"/>
            <w:tcBorders>
              <w:top w:val="single" w:sz="2" w:space="0" w:color="000000"/>
              <w:left w:val="single" w:sz="2" w:space="0" w:color="000000"/>
              <w:bottom w:val="single" w:sz="2" w:space="0" w:color="000000"/>
              <w:right w:val="single" w:sz="2" w:space="0" w:color="000000"/>
            </w:tcBorders>
            <w:vAlign w:val="center"/>
          </w:tcPr>
          <w:p w14:paraId="205038B8" w14:textId="117787F8" w:rsidR="008F339E" w:rsidRDefault="00F81AFD" w:rsidP="001054F6">
            <w:pPr>
              <w:jc w:val="center"/>
              <w:rPr>
                <w:sz w:val="20"/>
                <w:szCs w:val="20"/>
              </w:rPr>
            </w:pPr>
            <w:r>
              <w:rPr>
                <w:sz w:val="20"/>
                <w:szCs w:val="20"/>
              </w:rPr>
              <w:t>7</w:t>
            </w:r>
          </w:p>
        </w:tc>
      </w:tr>
      <w:tr w:rsidR="008F339E" w:rsidRPr="00603813" w14:paraId="489C429F" w14:textId="77777777" w:rsidTr="00F951D1">
        <w:trPr>
          <w:cantSplit/>
        </w:trPr>
        <w:tc>
          <w:tcPr>
            <w:tcW w:w="1527" w:type="dxa"/>
            <w:tcBorders>
              <w:top w:val="single" w:sz="2" w:space="0" w:color="000000"/>
              <w:left w:val="single" w:sz="2" w:space="0" w:color="000000"/>
              <w:right w:val="nil"/>
            </w:tcBorders>
          </w:tcPr>
          <w:p w14:paraId="6B26DD2A" w14:textId="373C8830" w:rsidR="008F339E" w:rsidRPr="008C571A" w:rsidRDefault="008F339E" w:rsidP="001054F6">
            <w:pPr>
              <w:jc w:val="both"/>
              <w:rPr>
                <w:sz w:val="20"/>
                <w:szCs w:val="20"/>
              </w:rPr>
            </w:pPr>
            <w:r w:rsidRPr="008F339E">
              <w:rPr>
                <w:sz w:val="20"/>
                <w:szCs w:val="20"/>
              </w:rPr>
              <w:t>General Public- Adults</w:t>
            </w:r>
          </w:p>
        </w:tc>
        <w:tc>
          <w:tcPr>
            <w:tcW w:w="2163" w:type="dxa"/>
            <w:tcBorders>
              <w:top w:val="single" w:sz="2" w:space="0" w:color="000000"/>
              <w:left w:val="single" w:sz="2" w:space="0" w:color="000000"/>
              <w:bottom w:val="single" w:sz="2" w:space="0" w:color="000000"/>
              <w:right w:val="nil"/>
            </w:tcBorders>
          </w:tcPr>
          <w:p w14:paraId="4CFF96DB" w14:textId="43D96270" w:rsidR="008F339E" w:rsidRPr="00C2034B" w:rsidRDefault="008F339E" w:rsidP="00FE7D83">
            <w:pPr>
              <w:ind w:left="-39" w:right="51"/>
              <w:rPr>
                <w:iCs/>
                <w:sz w:val="20"/>
                <w:szCs w:val="20"/>
              </w:rPr>
            </w:pPr>
            <w:r w:rsidRPr="008F339E">
              <w:rPr>
                <w:iCs/>
                <w:sz w:val="20"/>
                <w:szCs w:val="20"/>
              </w:rPr>
              <w:t>Demographic Questionnaire: Transgender Women</w:t>
            </w:r>
            <w:r w:rsidR="00960A76">
              <w:rPr>
                <w:iCs/>
                <w:sz w:val="20"/>
                <w:szCs w:val="20"/>
              </w:rPr>
              <w:t xml:space="preserve"> (Att. 3b)</w:t>
            </w:r>
          </w:p>
        </w:tc>
        <w:tc>
          <w:tcPr>
            <w:tcW w:w="1890" w:type="dxa"/>
            <w:tcBorders>
              <w:top w:val="single" w:sz="2" w:space="0" w:color="000000"/>
              <w:left w:val="single" w:sz="2" w:space="0" w:color="000000"/>
              <w:bottom w:val="single" w:sz="2" w:space="0" w:color="000000"/>
              <w:right w:val="nil"/>
            </w:tcBorders>
            <w:vAlign w:val="center"/>
          </w:tcPr>
          <w:p w14:paraId="044B407B" w14:textId="2630446D" w:rsidR="008F339E" w:rsidRDefault="00521503">
            <w:pPr>
              <w:jc w:val="center"/>
              <w:rPr>
                <w:sz w:val="20"/>
                <w:szCs w:val="20"/>
              </w:rPr>
            </w:pPr>
            <w:r>
              <w:rPr>
                <w:sz w:val="20"/>
                <w:szCs w:val="20"/>
              </w:rPr>
              <w:t>40</w:t>
            </w:r>
          </w:p>
        </w:tc>
        <w:tc>
          <w:tcPr>
            <w:tcW w:w="1710" w:type="dxa"/>
            <w:tcBorders>
              <w:top w:val="single" w:sz="2" w:space="0" w:color="000000"/>
              <w:left w:val="single" w:sz="2" w:space="0" w:color="000000"/>
              <w:bottom w:val="single" w:sz="2" w:space="0" w:color="000000"/>
              <w:right w:val="nil"/>
            </w:tcBorders>
            <w:vAlign w:val="center"/>
          </w:tcPr>
          <w:p w14:paraId="55F557E5" w14:textId="438516CB" w:rsidR="008F339E" w:rsidRDefault="008F339E">
            <w:pPr>
              <w:ind w:right="-39"/>
              <w:jc w:val="center"/>
              <w:rPr>
                <w:sz w:val="20"/>
                <w:szCs w:val="20"/>
              </w:rPr>
            </w:pPr>
            <w:r>
              <w:rPr>
                <w:sz w:val="20"/>
                <w:szCs w:val="20"/>
              </w:rPr>
              <w:t>1</w:t>
            </w:r>
          </w:p>
        </w:tc>
        <w:tc>
          <w:tcPr>
            <w:tcW w:w="1800" w:type="dxa"/>
            <w:tcBorders>
              <w:top w:val="single" w:sz="2" w:space="0" w:color="000000"/>
              <w:left w:val="single" w:sz="2" w:space="0" w:color="000000"/>
              <w:bottom w:val="single" w:sz="2" w:space="0" w:color="000000"/>
              <w:right w:val="single" w:sz="2" w:space="0" w:color="000000"/>
            </w:tcBorders>
            <w:vAlign w:val="center"/>
          </w:tcPr>
          <w:p w14:paraId="4039C249" w14:textId="73A3BBD9" w:rsidR="008F339E" w:rsidRDefault="00521503" w:rsidP="00CF191F">
            <w:pPr>
              <w:ind w:right="-39"/>
              <w:jc w:val="center"/>
              <w:rPr>
                <w:sz w:val="20"/>
                <w:szCs w:val="20"/>
              </w:rPr>
            </w:pPr>
            <w:r>
              <w:rPr>
                <w:sz w:val="20"/>
                <w:szCs w:val="20"/>
              </w:rPr>
              <w:t>5/60</w:t>
            </w:r>
          </w:p>
        </w:tc>
        <w:tc>
          <w:tcPr>
            <w:tcW w:w="1170" w:type="dxa"/>
            <w:tcBorders>
              <w:top w:val="single" w:sz="2" w:space="0" w:color="000000"/>
              <w:left w:val="single" w:sz="2" w:space="0" w:color="000000"/>
              <w:bottom w:val="single" w:sz="2" w:space="0" w:color="000000"/>
              <w:right w:val="single" w:sz="2" w:space="0" w:color="000000"/>
            </w:tcBorders>
            <w:vAlign w:val="center"/>
          </w:tcPr>
          <w:p w14:paraId="02DF390C" w14:textId="31A7FC5A" w:rsidR="008F339E" w:rsidRDefault="00F81AFD" w:rsidP="001054F6">
            <w:pPr>
              <w:jc w:val="center"/>
              <w:rPr>
                <w:sz w:val="20"/>
                <w:szCs w:val="20"/>
              </w:rPr>
            </w:pPr>
            <w:r>
              <w:rPr>
                <w:sz w:val="20"/>
                <w:szCs w:val="20"/>
              </w:rPr>
              <w:t>3</w:t>
            </w:r>
          </w:p>
        </w:tc>
      </w:tr>
      <w:tr w:rsidR="008F339E" w:rsidRPr="00603813" w14:paraId="0B9EE9A9" w14:textId="77777777" w:rsidTr="00F951D1">
        <w:trPr>
          <w:cantSplit/>
        </w:trPr>
        <w:tc>
          <w:tcPr>
            <w:tcW w:w="1527" w:type="dxa"/>
            <w:tcBorders>
              <w:top w:val="single" w:sz="2" w:space="0" w:color="000000"/>
              <w:left w:val="single" w:sz="2" w:space="0" w:color="000000"/>
              <w:right w:val="nil"/>
            </w:tcBorders>
          </w:tcPr>
          <w:p w14:paraId="710559F1" w14:textId="6D8386E7" w:rsidR="008F339E" w:rsidRPr="008F339E" w:rsidRDefault="008F339E" w:rsidP="008F339E">
            <w:pPr>
              <w:jc w:val="both"/>
              <w:rPr>
                <w:sz w:val="20"/>
                <w:szCs w:val="20"/>
              </w:rPr>
            </w:pPr>
            <w:r w:rsidRPr="008F339E">
              <w:rPr>
                <w:sz w:val="20"/>
                <w:szCs w:val="20"/>
              </w:rPr>
              <w:t>General Public- Adults</w:t>
            </w:r>
          </w:p>
        </w:tc>
        <w:tc>
          <w:tcPr>
            <w:tcW w:w="2163" w:type="dxa"/>
            <w:tcBorders>
              <w:top w:val="single" w:sz="2" w:space="0" w:color="000000"/>
              <w:left w:val="single" w:sz="2" w:space="0" w:color="000000"/>
              <w:bottom w:val="single" w:sz="2" w:space="0" w:color="000000"/>
              <w:right w:val="nil"/>
            </w:tcBorders>
          </w:tcPr>
          <w:p w14:paraId="75586EEE" w14:textId="2DBCECE9" w:rsidR="008F339E" w:rsidRPr="008F339E" w:rsidRDefault="008F339E" w:rsidP="008F339E">
            <w:pPr>
              <w:ind w:left="-39" w:right="51"/>
              <w:rPr>
                <w:iCs/>
                <w:sz w:val="20"/>
                <w:szCs w:val="20"/>
              </w:rPr>
            </w:pPr>
            <w:r w:rsidRPr="008F339E">
              <w:rPr>
                <w:sz w:val="20"/>
                <w:szCs w:val="20"/>
              </w:rPr>
              <w:t xml:space="preserve">Demographic Questionnaire: </w:t>
            </w:r>
            <w:r>
              <w:rPr>
                <w:sz w:val="20"/>
                <w:szCs w:val="20"/>
              </w:rPr>
              <w:t>Healthcare Providers</w:t>
            </w:r>
            <w:r w:rsidR="00960A76">
              <w:rPr>
                <w:sz w:val="20"/>
                <w:szCs w:val="20"/>
              </w:rPr>
              <w:t xml:space="preserve"> (Att. 3c)</w:t>
            </w:r>
          </w:p>
        </w:tc>
        <w:tc>
          <w:tcPr>
            <w:tcW w:w="1890" w:type="dxa"/>
            <w:tcBorders>
              <w:top w:val="single" w:sz="2" w:space="0" w:color="000000"/>
              <w:left w:val="single" w:sz="2" w:space="0" w:color="000000"/>
              <w:bottom w:val="single" w:sz="2" w:space="0" w:color="000000"/>
              <w:right w:val="nil"/>
            </w:tcBorders>
            <w:vAlign w:val="center"/>
          </w:tcPr>
          <w:p w14:paraId="5CA48E61" w14:textId="24BDCCA9" w:rsidR="008F339E" w:rsidRPr="008F339E" w:rsidRDefault="00521503" w:rsidP="008F339E">
            <w:pPr>
              <w:jc w:val="center"/>
              <w:rPr>
                <w:sz w:val="20"/>
                <w:szCs w:val="20"/>
              </w:rPr>
            </w:pPr>
            <w:r>
              <w:rPr>
                <w:sz w:val="20"/>
                <w:szCs w:val="20"/>
              </w:rPr>
              <w:t>10</w:t>
            </w:r>
          </w:p>
        </w:tc>
        <w:tc>
          <w:tcPr>
            <w:tcW w:w="1710" w:type="dxa"/>
            <w:tcBorders>
              <w:top w:val="single" w:sz="2" w:space="0" w:color="000000"/>
              <w:left w:val="single" w:sz="2" w:space="0" w:color="000000"/>
              <w:bottom w:val="single" w:sz="2" w:space="0" w:color="000000"/>
              <w:right w:val="nil"/>
            </w:tcBorders>
            <w:vAlign w:val="center"/>
          </w:tcPr>
          <w:p w14:paraId="2FF70B10" w14:textId="63C84BAD" w:rsidR="008F339E" w:rsidRPr="008F339E" w:rsidRDefault="008F339E" w:rsidP="008F339E">
            <w:pPr>
              <w:ind w:right="-39"/>
              <w:jc w:val="center"/>
              <w:rPr>
                <w:sz w:val="20"/>
                <w:szCs w:val="20"/>
              </w:rPr>
            </w:pPr>
            <w:r>
              <w:rPr>
                <w:sz w:val="20"/>
                <w:szCs w:val="20"/>
              </w:rPr>
              <w:t>1</w:t>
            </w:r>
          </w:p>
        </w:tc>
        <w:tc>
          <w:tcPr>
            <w:tcW w:w="1800" w:type="dxa"/>
            <w:tcBorders>
              <w:top w:val="single" w:sz="2" w:space="0" w:color="000000"/>
              <w:left w:val="single" w:sz="2" w:space="0" w:color="000000"/>
              <w:bottom w:val="single" w:sz="2" w:space="0" w:color="000000"/>
              <w:right w:val="single" w:sz="2" w:space="0" w:color="000000"/>
            </w:tcBorders>
            <w:vAlign w:val="center"/>
          </w:tcPr>
          <w:p w14:paraId="337026E6" w14:textId="6B6A63FF" w:rsidR="008F339E" w:rsidRPr="008F339E" w:rsidRDefault="00521503" w:rsidP="008F339E">
            <w:pPr>
              <w:ind w:right="-39"/>
              <w:jc w:val="center"/>
              <w:rPr>
                <w:sz w:val="20"/>
                <w:szCs w:val="20"/>
              </w:rPr>
            </w:pPr>
            <w:r>
              <w:rPr>
                <w:sz w:val="20"/>
                <w:szCs w:val="20"/>
              </w:rPr>
              <w:t>5/60</w:t>
            </w:r>
          </w:p>
        </w:tc>
        <w:tc>
          <w:tcPr>
            <w:tcW w:w="1170" w:type="dxa"/>
            <w:tcBorders>
              <w:top w:val="single" w:sz="2" w:space="0" w:color="000000"/>
              <w:left w:val="single" w:sz="2" w:space="0" w:color="000000"/>
              <w:bottom w:val="single" w:sz="2" w:space="0" w:color="000000"/>
              <w:right w:val="single" w:sz="2" w:space="0" w:color="000000"/>
            </w:tcBorders>
            <w:vAlign w:val="center"/>
          </w:tcPr>
          <w:p w14:paraId="70912755" w14:textId="1488D892" w:rsidR="008F339E" w:rsidRPr="008F339E" w:rsidRDefault="00F81AFD" w:rsidP="008F339E">
            <w:pPr>
              <w:jc w:val="center"/>
              <w:rPr>
                <w:sz w:val="20"/>
                <w:szCs w:val="20"/>
              </w:rPr>
            </w:pPr>
            <w:r>
              <w:rPr>
                <w:sz w:val="20"/>
                <w:szCs w:val="20"/>
              </w:rPr>
              <w:t>1</w:t>
            </w:r>
          </w:p>
        </w:tc>
      </w:tr>
      <w:tr w:rsidR="000879CA" w:rsidRPr="00603813" w14:paraId="20BDBA89" w14:textId="77777777" w:rsidTr="00F951D1">
        <w:trPr>
          <w:cantSplit/>
        </w:trPr>
        <w:tc>
          <w:tcPr>
            <w:tcW w:w="1527" w:type="dxa"/>
            <w:tcBorders>
              <w:top w:val="single" w:sz="2" w:space="0" w:color="000000"/>
              <w:left w:val="single" w:sz="2" w:space="0" w:color="000000"/>
              <w:right w:val="nil"/>
            </w:tcBorders>
          </w:tcPr>
          <w:p w14:paraId="718F0264" w14:textId="0F02B3BC" w:rsidR="000879CA" w:rsidRPr="00603813" w:rsidRDefault="000879CA" w:rsidP="001054F6">
            <w:pPr>
              <w:jc w:val="both"/>
              <w:rPr>
                <w:sz w:val="20"/>
                <w:szCs w:val="20"/>
              </w:rPr>
            </w:pPr>
            <w:r w:rsidRPr="008C571A">
              <w:rPr>
                <w:sz w:val="20"/>
                <w:szCs w:val="20"/>
              </w:rPr>
              <w:t>General</w:t>
            </w:r>
            <w:r w:rsidR="00777FC0">
              <w:rPr>
                <w:sz w:val="20"/>
                <w:szCs w:val="20"/>
              </w:rPr>
              <w:t xml:space="preserve"> </w:t>
            </w:r>
            <w:r w:rsidRPr="008C571A">
              <w:rPr>
                <w:sz w:val="20"/>
                <w:szCs w:val="20"/>
              </w:rPr>
              <w:t>Public- Adults</w:t>
            </w:r>
          </w:p>
        </w:tc>
        <w:tc>
          <w:tcPr>
            <w:tcW w:w="2163" w:type="dxa"/>
            <w:tcBorders>
              <w:top w:val="single" w:sz="2" w:space="0" w:color="000000"/>
              <w:left w:val="single" w:sz="2" w:space="0" w:color="000000"/>
              <w:bottom w:val="single" w:sz="2" w:space="0" w:color="000000"/>
              <w:right w:val="nil"/>
            </w:tcBorders>
          </w:tcPr>
          <w:p w14:paraId="165B9FE8" w14:textId="2177FCB7" w:rsidR="000879CA" w:rsidRPr="00603813" w:rsidRDefault="00C2034B" w:rsidP="00FE7D83">
            <w:pPr>
              <w:ind w:left="-39" w:right="51"/>
              <w:rPr>
                <w:sz w:val="20"/>
                <w:szCs w:val="20"/>
              </w:rPr>
            </w:pPr>
            <w:r w:rsidRPr="00C2034B">
              <w:rPr>
                <w:iCs/>
                <w:sz w:val="20"/>
                <w:szCs w:val="20"/>
              </w:rPr>
              <w:t xml:space="preserve">Interview Guide: HIV-Negative Transgender Women </w:t>
            </w:r>
            <w:r w:rsidR="00960A76">
              <w:rPr>
                <w:iCs/>
                <w:sz w:val="20"/>
                <w:szCs w:val="20"/>
              </w:rPr>
              <w:t>(Att. 3d</w:t>
            </w:r>
            <w:r w:rsidR="008519CC">
              <w:rPr>
                <w:iCs/>
                <w:sz w:val="20"/>
                <w:szCs w:val="20"/>
              </w:rPr>
              <w:t>)</w:t>
            </w:r>
          </w:p>
        </w:tc>
        <w:tc>
          <w:tcPr>
            <w:tcW w:w="1890" w:type="dxa"/>
            <w:tcBorders>
              <w:top w:val="single" w:sz="2" w:space="0" w:color="000000"/>
              <w:left w:val="single" w:sz="2" w:space="0" w:color="000000"/>
              <w:bottom w:val="single" w:sz="2" w:space="0" w:color="000000"/>
              <w:right w:val="nil"/>
            </w:tcBorders>
            <w:vAlign w:val="center"/>
          </w:tcPr>
          <w:p w14:paraId="54123835" w14:textId="3242EF26" w:rsidR="000879CA" w:rsidRPr="00603813" w:rsidRDefault="00521503">
            <w:pPr>
              <w:jc w:val="center"/>
              <w:rPr>
                <w:sz w:val="20"/>
                <w:szCs w:val="20"/>
              </w:rPr>
            </w:pPr>
            <w:r>
              <w:rPr>
                <w:sz w:val="20"/>
                <w:szCs w:val="20"/>
              </w:rPr>
              <w:t>20</w:t>
            </w:r>
          </w:p>
        </w:tc>
        <w:tc>
          <w:tcPr>
            <w:tcW w:w="1710" w:type="dxa"/>
            <w:tcBorders>
              <w:top w:val="single" w:sz="2" w:space="0" w:color="000000"/>
              <w:left w:val="single" w:sz="2" w:space="0" w:color="000000"/>
              <w:bottom w:val="single" w:sz="2" w:space="0" w:color="000000"/>
              <w:right w:val="nil"/>
            </w:tcBorders>
            <w:vAlign w:val="center"/>
          </w:tcPr>
          <w:p w14:paraId="5A033A8B" w14:textId="6935FAE5" w:rsidR="000879CA" w:rsidRPr="00603813" w:rsidRDefault="006B56C4">
            <w:pPr>
              <w:ind w:right="-39"/>
              <w:jc w:val="center"/>
              <w:rPr>
                <w:sz w:val="20"/>
                <w:szCs w:val="20"/>
              </w:rPr>
            </w:pPr>
            <w:r>
              <w:rPr>
                <w:sz w:val="20"/>
                <w:szCs w:val="20"/>
              </w:rPr>
              <w:t>1</w:t>
            </w:r>
          </w:p>
        </w:tc>
        <w:tc>
          <w:tcPr>
            <w:tcW w:w="1800" w:type="dxa"/>
            <w:tcBorders>
              <w:top w:val="single" w:sz="2" w:space="0" w:color="000000"/>
              <w:left w:val="single" w:sz="2" w:space="0" w:color="000000"/>
              <w:bottom w:val="single" w:sz="2" w:space="0" w:color="000000"/>
              <w:right w:val="single" w:sz="2" w:space="0" w:color="000000"/>
            </w:tcBorders>
            <w:vAlign w:val="center"/>
          </w:tcPr>
          <w:p w14:paraId="48E9D8E9" w14:textId="010D8129" w:rsidR="000879CA" w:rsidRPr="00603813" w:rsidRDefault="008519CC" w:rsidP="00CF191F">
            <w:pPr>
              <w:ind w:right="-39"/>
              <w:jc w:val="center"/>
              <w:rPr>
                <w:sz w:val="20"/>
                <w:szCs w:val="20"/>
              </w:rPr>
            </w:pPr>
            <w:r>
              <w:rPr>
                <w:sz w:val="20"/>
                <w:szCs w:val="20"/>
              </w:rPr>
              <w:t>1</w:t>
            </w:r>
          </w:p>
        </w:tc>
        <w:tc>
          <w:tcPr>
            <w:tcW w:w="1170" w:type="dxa"/>
            <w:tcBorders>
              <w:top w:val="single" w:sz="2" w:space="0" w:color="000000"/>
              <w:left w:val="single" w:sz="2" w:space="0" w:color="000000"/>
              <w:bottom w:val="single" w:sz="2" w:space="0" w:color="000000"/>
              <w:right w:val="single" w:sz="2" w:space="0" w:color="000000"/>
            </w:tcBorders>
            <w:vAlign w:val="center"/>
          </w:tcPr>
          <w:p w14:paraId="4E334A7F" w14:textId="6B2F8BFB" w:rsidR="000879CA" w:rsidRPr="00603813" w:rsidRDefault="00F81AFD" w:rsidP="001054F6">
            <w:pPr>
              <w:jc w:val="center"/>
              <w:rPr>
                <w:sz w:val="20"/>
                <w:szCs w:val="20"/>
              </w:rPr>
            </w:pPr>
            <w:r>
              <w:rPr>
                <w:sz w:val="20"/>
                <w:szCs w:val="20"/>
              </w:rPr>
              <w:t>2</w:t>
            </w:r>
            <w:r w:rsidR="008519CC">
              <w:rPr>
                <w:sz w:val="20"/>
                <w:szCs w:val="20"/>
              </w:rPr>
              <w:t>0</w:t>
            </w:r>
          </w:p>
        </w:tc>
      </w:tr>
      <w:tr w:rsidR="008457FB" w:rsidRPr="00603813" w14:paraId="2F14FFD0" w14:textId="77777777" w:rsidTr="00F951D1">
        <w:trPr>
          <w:cantSplit/>
        </w:trPr>
        <w:tc>
          <w:tcPr>
            <w:tcW w:w="1527" w:type="dxa"/>
            <w:tcBorders>
              <w:top w:val="single" w:sz="2" w:space="0" w:color="000000"/>
              <w:left w:val="single" w:sz="2" w:space="0" w:color="000000"/>
              <w:bottom w:val="single" w:sz="4" w:space="0" w:color="auto"/>
              <w:right w:val="nil"/>
            </w:tcBorders>
          </w:tcPr>
          <w:p w14:paraId="224CAF1A" w14:textId="53A69A04" w:rsidR="008457FB" w:rsidRPr="008C571A" w:rsidRDefault="008457FB" w:rsidP="001054F6">
            <w:pPr>
              <w:jc w:val="both"/>
              <w:rPr>
                <w:sz w:val="20"/>
                <w:szCs w:val="20"/>
              </w:rPr>
            </w:pPr>
            <w:r>
              <w:rPr>
                <w:sz w:val="20"/>
                <w:szCs w:val="20"/>
              </w:rPr>
              <w:t>General Public-Adults</w:t>
            </w:r>
          </w:p>
        </w:tc>
        <w:tc>
          <w:tcPr>
            <w:tcW w:w="2163" w:type="dxa"/>
            <w:tcBorders>
              <w:top w:val="single" w:sz="2" w:space="0" w:color="000000"/>
              <w:left w:val="single" w:sz="2" w:space="0" w:color="000000"/>
              <w:bottom w:val="single" w:sz="2" w:space="0" w:color="000000"/>
              <w:right w:val="nil"/>
            </w:tcBorders>
          </w:tcPr>
          <w:p w14:paraId="72E62FAA" w14:textId="502C2A51" w:rsidR="008457FB" w:rsidRDefault="00C2034B" w:rsidP="00C2034B">
            <w:pPr>
              <w:ind w:left="-39" w:right="51"/>
              <w:rPr>
                <w:sz w:val="20"/>
                <w:szCs w:val="20"/>
              </w:rPr>
            </w:pPr>
            <w:r w:rsidRPr="00C2034B">
              <w:rPr>
                <w:sz w:val="20"/>
                <w:szCs w:val="20"/>
              </w:rPr>
              <w:t>Interview Guide: HIV-</w:t>
            </w:r>
            <w:r>
              <w:rPr>
                <w:sz w:val="20"/>
                <w:szCs w:val="20"/>
              </w:rPr>
              <w:t>Positive</w:t>
            </w:r>
            <w:r w:rsidRPr="00C2034B">
              <w:rPr>
                <w:sz w:val="20"/>
                <w:szCs w:val="20"/>
              </w:rPr>
              <w:t xml:space="preserve"> Transgender Women</w:t>
            </w:r>
            <w:r w:rsidR="00960A76">
              <w:rPr>
                <w:sz w:val="20"/>
                <w:szCs w:val="20"/>
              </w:rPr>
              <w:t xml:space="preserve"> (Att. 3e</w:t>
            </w:r>
            <w:r w:rsidR="008519CC">
              <w:rPr>
                <w:sz w:val="20"/>
                <w:szCs w:val="20"/>
              </w:rPr>
              <w:t>)</w:t>
            </w:r>
          </w:p>
        </w:tc>
        <w:tc>
          <w:tcPr>
            <w:tcW w:w="1890" w:type="dxa"/>
            <w:tcBorders>
              <w:top w:val="single" w:sz="2" w:space="0" w:color="000000"/>
              <w:left w:val="single" w:sz="2" w:space="0" w:color="000000"/>
              <w:bottom w:val="single" w:sz="2" w:space="0" w:color="000000"/>
              <w:right w:val="nil"/>
            </w:tcBorders>
            <w:vAlign w:val="center"/>
          </w:tcPr>
          <w:p w14:paraId="03BF87F2" w14:textId="4BB50F3A" w:rsidR="008457FB" w:rsidRDefault="00521503">
            <w:pPr>
              <w:jc w:val="center"/>
              <w:rPr>
                <w:sz w:val="20"/>
                <w:szCs w:val="20"/>
              </w:rPr>
            </w:pPr>
            <w:r>
              <w:rPr>
                <w:sz w:val="20"/>
                <w:szCs w:val="20"/>
              </w:rPr>
              <w:t>20</w:t>
            </w:r>
          </w:p>
        </w:tc>
        <w:tc>
          <w:tcPr>
            <w:tcW w:w="1710" w:type="dxa"/>
            <w:tcBorders>
              <w:top w:val="single" w:sz="2" w:space="0" w:color="000000"/>
              <w:left w:val="single" w:sz="2" w:space="0" w:color="000000"/>
              <w:bottom w:val="single" w:sz="2" w:space="0" w:color="000000"/>
              <w:right w:val="nil"/>
            </w:tcBorders>
            <w:vAlign w:val="center"/>
          </w:tcPr>
          <w:p w14:paraId="65CEF3B4" w14:textId="53A7D6AE" w:rsidR="008457FB" w:rsidRDefault="008457FB" w:rsidP="001054F6">
            <w:pPr>
              <w:ind w:right="-39"/>
              <w:jc w:val="center"/>
              <w:rPr>
                <w:sz w:val="20"/>
                <w:szCs w:val="20"/>
              </w:rPr>
            </w:pPr>
            <w:r>
              <w:rPr>
                <w:sz w:val="20"/>
                <w:szCs w:val="20"/>
              </w:rPr>
              <w:t>1</w:t>
            </w:r>
          </w:p>
        </w:tc>
        <w:tc>
          <w:tcPr>
            <w:tcW w:w="1800" w:type="dxa"/>
            <w:tcBorders>
              <w:top w:val="single" w:sz="2" w:space="0" w:color="000000"/>
              <w:left w:val="single" w:sz="2" w:space="0" w:color="000000"/>
              <w:bottom w:val="single" w:sz="2" w:space="0" w:color="000000"/>
              <w:right w:val="single" w:sz="2" w:space="0" w:color="000000"/>
            </w:tcBorders>
            <w:vAlign w:val="center"/>
          </w:tcPr>
          <w:p w14:paraId="4F682159" w14:textId="47C3D038" w:rsidR="008457FB" w:rsidRDefault="008519CC" w:rsidP="001054F6">
            <w:pPr>
              <w:ind w:right="-39"/>
              <w:jc w:val="center"/>
              <w:rPr>
                <w:sz w:val="20"/>
                <w:szCs w:val="20"/>
              </w:rPr>
            </w:pPr>
            <w:r>
              <w:rPr>
                <w:sz w:val="20"/>
                <w:szCs w:val="20"/>
              </w:rPr>
              <w:t>1</w:t>
            </w:r>
          </w:p>
        </w:tc>
        <w:tc>
          <w:tcPr>
            <w:tcW w:w="1170" w:type="dxa"/>
            <w:tcBorders>
              <w:top w:val="single" w:sz="2" w:space="0" w:color="000000"/>
              <w:left w:val="single" w:sz="2" w:space="0" w:color="000000"/>
              <w:bottom w:val="single" w:sz="2" w:space="0" w:color="000000"/>
              <w:right w:val="single" w:sz="2" w:space="0" w:color="000000"/>
            </w:tcBorders>
            <w:vAlign w:val="center"/>
          </w:tcPr>
          <w:p w14:paraId="68D42ED1" w14:textId="734A7B8B" w:rsidR="008457FB" w:rsidRDefault="00F81AFD" w:rsidP="001054F6">
            <w:pPr>
              <w:jc w:val="center"/>
              <w:rPr>
                <w:sz w:val="20"/>
                <w:szCs w:val="20"/>
              </w:rPr>
            </w:pPr>
            <w:r>
              <w:rPr>
                <w:sz w:val="20"/>
                <w:szCs w:val="20"/>
              </w:rPr>
              <w:t>2</w:t>
            </w:r>
            <w:r w:rsidR="008519CC">
              <w:rPr>
                <w:sz w:val="20"/>
                <w:szCs w:val="20"/>
              </w:rPr>
              <w:t>0</w:t>
            </w:r>
          </w:p>
        </w:tc>
      </w:tr>
      <w:tr w:rsidR="00C2034B" w:rsidRPr="00603813" w14:paraId="57D3BC9C" w14:textId="77777777" w:rsidTr="00890B50">
        <w:trPr>
          <w:cantSplit/>
        </w:trPr>
        <w:tc>
          <w:tcPr>
            <w:tcW w:w="1527" w:type="dxa"/>
            <w:tcBorders>
              <w:top w:val="single" w:sz="2" w:space="0" w:color="000000"/>
              <w:left w:val="single" w:sz="2" w:space="0" w:color="000000"/>
              <w:bottom w:val="single" w:sz="4" w:space="0" w:color="auto"/>
              <w:right w:val="nil"/>
            </w:tcBorders>
          </w:tcPr>
          <w:p w14:paraId="10755412" w14:textId="07EE2A20" w:rsidR="00C2034B" w:rsidRPr="00C2034B" w:rsidRDefault="00C2034B" w:rsidP="00C2034B">
            <w:pPr>
              <w:jc w:val="both"/>
              <w:rPr>
                <w:sz w:val="20"/>
                <w:szCs w:val="20"/>
              </w:rPr>
            </w:pPr>
            <w:r w:rsidRPr="00C2034B">
              <w:rPr>
                <w:sz w:val="20"/>
                <w:szCs w:val="20"/>
              </w:rPr>
              <w:t>General Public-Adults</w:t>
            </w:r>
          </w:p>
        </w:tc>
        <w:tc>
          <w:tcPr>
            <w:tcW w:w="2163" w:type="dxa"/>
            <w:tcBorders>
              <w:top w:val="single" w:sz="2" w:space="0" w:color="000000"/>
              <w:left w:val="single" w:sz="2" w:space="0" w:color="000000"/>
              <w:bottom w:val="single" w:sz="2" w:space="0" w:color="000000"/>
              <w:right w:val="nil"/>
            </w:tcBorders>
          </w:tcPr>
          <w:p w14:paraId="0026EC6B" w14:textId="0FE01D6B" w:rsidR="00C2034B" w:rsidRPr="00C2034B" w:rsidRDefault="008F339E" w:rsidP="00C2034B">
            <w:pPr>
              <w:ind w:left="-39" w:right="51"/>
              <w:rPr>
                <w:sz w:val="20"/>
                <w:szCs w:val="20"/>
              </w:rPr>
            </w:pPr>
            <w:r w:rsidRPr="008F339E">
              <w:rPr>
                <w:sz w:val="20"/>
                <w:szCs w:val="20"/>
              </w:rPr>
              <w:t xml:space="preserve">Interview Guide: Healthcare Providers </w:t>
            </w:r>
            <w:r w:rsidR="00960A76">
              <w:rPr>
                <w:sz w:val="20"/>
                <w:szCs w:val="20"/>
              </w:rPr>
              <w:t>(Att. 3f</w:t>
            </w:r>
            <w:r w:rsidR="00C2034B" w:rsidRPr="00C2034B">
              <w:rPr>
                <w:sz w:val="20"/>
                <w:szCs w:val="20"/>
              </w:rPr>
              <w:t>)</w:t>
            </w:r>
          </w:p>
        </w:tc>
        <w:tc>
          <w:tcPr>
            <w:tcW w:w="1890" w:type="dxa"/>
            <w:tcBorders>
              <w:top w:val="single" w:sz="2" w:space="0" w:color="000000"/>
              <w:left w:val="single" w:sz="2" w:space="0" w:color="000000"/>
              <w:bottom w:val="single" w:sz="2" w:space="0" w:color="000000"/>
              <w:right w:val="nil"/>
            </w:tcBorders>
          </w:tcPr>
          <w:p w14:paraId="704868FC" w14:textId="12AE11EB" w:rsidR="00C2034B" w:rsidRPr="00C2034B" w:rsidRDefault="00521503" w:rsidP="00C2034B">
            <w:pPr>
              <w:jc w:val="center"/>
              <w:rPr>
                <w:sz w:val="20"/>
                <w:szCs w:val="20"/>
              </w:rPr>
            </w:pPr>
            <w:r>
              <w:rPr>
                <w:sz w:val="20"/>
                <w:szCs w:val="20"/>
              </w:rPr>
              <w:t>10</w:t>
            </w:r>
          </w:p>
        </w:tc>
        <w:tc>
          <w:tcPr>
            <w:tcW w:w="1710" w:type="dxa"/>
            <w:tcBorders>
              <w:top w:val="single" w:sz="2" w:space="0" w:color="000000"/>
              <w:left w:val="single" w:sz="2" w:space="0" w:color="000000"/>
              <w:bottom w:val="single" w:sz="2" w:space="0" w:color="000000"/>
              <w:right w:val="nil"/>
            </w:tcBorders>
          </w:tcPr>
          <w:p w14:paraId="24F07A85" w14:textId="45B29E97" w:rsidR="00C2034B" w:rsidRPr="00C2034B" w:rsidRDefault="00C2034B" w:rsidP="00C2034B">
            <w:pPr>
              <w:ind w:right="-39"/>
              <w:jc w:val="center"/>
              <w:rPr>
                <w:sz w:val="20"/>
                <w:szCs w:val="20"/>
              </w:rPr>
            </w:pPr>
            <w:r w:rsidRPr="00C2034B">
              <w:rPr>
                <w:sz w:val="20"/>
                <w:szCs w:val="20"/>
              </w:rPr>
              <w:t>1</w:t>
            </w:r>
          </w:p>
        </w:tc>
        <w:tc>
          <w:tcPr>
            <w:tcW w:w="1800" w:type="dxa"/>
            <w:tcBorders>
              <w:top w:val="single" w:sz="2" w:space="0" w:color="000000"/>
              <w:left w:val="single" w:sz="2" w:space="0" w:color="000000"/>
              <w:bottom w:val="single" w:sz="2" w:space="0" w:color="000000"/>
              <w:right w:val="single" w:sz="2" w:space="0" w:color="000000"/>
            </w:tcBorders>
          </w:tcPr>
          <w:p w14:paraId="389902A1" w14:textId="707AD6CD" w:rsidR="00C2034B" w:rsidRPr="00C2034B" w:rsidRDefault="00C2034B" w:rsidP="00C2034B">
            <w:pPr>
              <w:ind w:right="-39"/>
              <w:jc w:val="center"/>
              <w:rPr>
                <w:sz w:val="20"/>
                <w:szCs w:val="20"/>
              </w:rPr>
            </w:pPr>
            <w:r w:rsidRPr="00C2034B">
              <w:rPr>
                <w:sz w:val="20"/>
                <w:szCs w:val="20"/>
              </w:rPr>
              <w:t>1</w:t>
            </w:r>
          </w:p>
        </w:tc>
        <w:tc>
          <w:tcPr>
            <w:tcW w:w="1170" w:type="dxa"/>
            <w:tcBorders>
              <w:top w:val="single" w:sz="2" w:space="0" w:color="000000"/>
              <w:left w:val="single" w:sz="2" w:space="0" w:color="000000"/>
              <w:bottom w:val="single" w:sz="2" w:space="0" w:color="000000"/>
              <w:right w:val="single" w:sz="2" w:space="0" w:color="000000"/>
            </w:tcBorders>
          </w:tcPr>
          <w:p w14:paraId="6106AACF" w14:textId="3EEC0D1F" w:rsidR="00C2034B" w:rsidRPr="00C2034B" w:rsidRDefault="00F81AFD" w:rsidP="00C2034B">
            <w:pPr>
              <w:jc w:val="center"/>
              <w:rPr>
                <w:sz w:val="20"/>
                <w:szCs w:val="20"/>
              </w:rPr>
            </w:pPr>
            <w:r>
              <w:rPr>
                <w:sz w:val="20"/>
                <w:szCs w:val="20"/>
              </w:rPr>
              <w:t>1</w:t>
            </w:r>
            <w:r w:rsidR="00C2034B" w:rsidRPr="00C2034B">
              <w:rPr>
                <w:sz w:val="20"/>
                <w:szCs w:val="20"/>
              </w:rPr>
              <w:t>0</w:t>
            </w:r>
          </w:p>
        </w:tc>
      </w:tr>
      <w:tr w:rsidR="000879CA" w:rsidRPr="00603813" w14:paraId="003AEEEE" w14:textId="77777777" w:rsidTr="001054F6">
        <w:trPr>
          <w:cantSplit/>
        </w:trPr>
        <w:tc>
          <w:tcPr>
            <w:tcW w:w="9090" w:type="dxa"/>
            <w:gridSpan w:val="5"/>
            <w:tcBorders>
              <w:top w:val="single" w:sz="2" w:space="0" w:color="000000"/>
              <w:left w:val="single" w:sz="2" w:space="0" w:color="000000"/>
              <w:bottom w:val="single" w:sz="2" w:space="0" w:color="000000"/>
              <w:right w:val="single" w:sz="2" w:space="0" w:color="000000"/>
            </w:tcBorders>
          </w:tcPr>
          <w:p w14:paraId="408BF53D" w14:textId="77777777" w:rsidR="000879CA" w:rsidRPr="00603813" w:rsidRDefault="000879CA" w:rsidP="001054F6">
            <w:pPr>
              <w:ind w:right="224"/>
              <w:jc w:val="right"/>
              <w:rPr>
                <w:b/>
                <w:sz w:val="20"/>
                <w:szCs w:val="20"/>
              </w:rPr>
            </w:pPr>
            <w:r w:rsidRPr="00603813">
              <w:rPr>
                <w:b/>
                <w:sz w:val="20"/>
                <w:szCs w:val="20"/>
              </w:rPr>
              <w:t>Total</w:t>
            </w:r>
          </w:p>
        </w:tc>
        <w:tc>
          <w:tcPr>
            <w:tcW w:w="1170" w:type="dxa"/>
            <w:tcBorders>
              <w:top w:val="single" w:sz="2" w:space="0" w:color="000000"/>
              <w:left w:val="single" w:sz="2" w:space="0" w:color="000000"/>
              <w:bottom w:val="single" w:sz="2" w:space="0" w:color="000000"/>
              <w:right w:val="single" w:sz="2" w:space="0" w:color="000000"/>
            </w:tcBorders>
            <w:vAlign w:val="center"/>
          </w:tcPr>
          <w:p w14:paraId="544BEFCA" w14:textId="4CE6F1A7" w:rsidR="000879CA" w:rsidRPr="00603813" w:rsidRDefault="00F81AFD" w:rsidP="00F15AEE">
            <w:pPr>
              <w:jc w:val="center"/>
              <w:rPr>
                <w:b/>
                <w:sz w:val="20"/>
                <w:szCs w:val="20"/>
              </w:rPr>
            </w:pPr>
            <w:r>
              <w:rPr>
                <w:b/>
                <w:sz w:val="20"/>
                <w:szCs w:val="20"/>
              </w:rPr>
              <w:t>61</w:t>
            </w:r>
          </w:p>
        </w:tc>
      </w:tr>
    </w:tbl>
    <w:p w14:paraId="6FECCC11" w14:textId="77777777" w:rsidR="00332F80" w:rsidRPr="00603813" w:rsidRDefault="00332F80" w:rsidP="00332F80">
      <w:pPr>
        <w:rPr>
          <w:b/>
        </w:rPr>
      </w:pPr>
    </w:p>
    <w:p w14:paraId="6A5D9D70" w14:textId="0327A8B9" w:rsidR="00332F80" w:rsidRPr="00E6566E" w:rsidRDefault="00332F80" w:rsidP="00E53653">
      <w:pPr>
        <w:pStyle w:val="Heading2"/>
        <w:rPr>
          <w:b w:val="0"/>
        </w:rPr>
      </w:pPr>
      <w:bookmarkStart w:id="19" w:name="_Toc444867859"/>
      <w:bookmarkStart w:id="20" w:name="_Toc444883710"/>
      <w:bookmarkStart w:id="21" w:name="_Toc445385235"/>
      <w:bookmarkStart w:id="22" w:name="_Toc448296085"/>
      <w:r w:rsidRPr="00E6566E">
        <w:t>Estimated Annualized Burden Costs</w:t>
      </w:r>
      <w:bookmarkEnd w:id="19"/>
      <w:bookmarkEnd w:id="20"/>
      <w:bookmarkEnd w:id="21"/>
      <w:bookmarkEnd w:id="22"/>
    </w:p>
    <w:p w14:paraId="246DC441" w14:textId="77777777" w:rsidR="00332F80" w:rsidRPr="00603813" w:rsidRDefault="00332F80" w:rsidP="00332F80"/>
    <w:p w14:paraId="220EC10A" w14:textId="71E4061E" w:rsidR="00332F80" w:rsidRPr="00603813" w:rsidRDefault="00332F80" w:rsidP="00E6566E">
      <w:r w:rsidRPr="00603813">
        <w:t xml:space="preserve">The annualized costs to the respondents are described in </w:t>
      </w:r>
      <w:r w:rsidRPr="00E6566E">
        <w:t xml:space="preserve">Exhibit </w:t>
      </w:r>
      <w:r w:rsidR="0029515C" w:rsidRPr="00E6566E">
        <w:t>12</w:t>
      </w:r>
      <w:r w:rsidR="00DE4370">
        <w:t>.</w:t>
      </w:r>
      <w:r w:rsidR="0029515C" w:rsidRPr="00E6566E">
        <w:t>3</w:t>
      </w:r>
      <w:r w:rsidRPr="00E6566E">
        <w:t>.</w:t>
      </w:r>
      <w:r w:rsidRPr="00603813">
        <w:t xml:space="preserve"> The </w:t>
      </w:r>
      <w:r w:rsidRPr="00E6566E">
        <w:t xml:space="preserve">United States </w:t>
      </w:r>
      <w:r w:rsidR="0029515C" w:rsidRPr="00E6566E">
        <w:t>Bureau</w:t>
      </w:r>
      <w:r w:rsidRPr="00E6566E">
        <w:t xml:space="preserve"> of Labor Statistics</w:t>
      </w:r>
      <w:r w:rsidR="0029515C" w:rsidRPr="00E6566E">
        <w:t>’ employment and wages estimates from</w:t>
      </w:r>
      <w:r w:rsidR="00F81AFD">
        <w:t xml:space="preserve"> May, 2015</w:t>
      </w:r>
      <w:r w:rsidRPr="00E6566E">
        <w:t xml:space="preserve"> </w:t>
      </w:r>
      <w:r w:rsidR="0029515C" w:rsidRPr="00E6566E">
        <w:t>(</w:t>
      </w:r>
      <w:hyperlink r:id="rId15" w:history="1">
        <w:r w:rsidRPr="00244129">
          <w:rPr>
            <w:rStyle w:val="Hyperlink"/>
          </w:rPr>
          <w:t>http://www.bls.gov/oes/current/oes_nat.htm</w:t>
        </w:r>
      </w:hyperlink>
      <w:r w:rsidR="00506E45" w:rsidRPr="00244129">
        <w:t>)</w:t>
      </w:r>
      <w:r w:rsidRPr="002110FE">
        <w:rPr>
          <w:color w:val="0070C0"/>
        </w:rPr>
        <w:t xml:space="preserve"> </w:t>
      </w:r>
      <w:hyperlink w:history="1"/>
      <w:r w:rsidRPr="00603813">
        <w:t>w</w:t>
      </w:r>
      <w:r w:rsidR="0029515C">
        <w:t>ere</w:t>
      </w:r>
      <w:r w:rsidRPr="00603813">
        <w:t xml:space="preserve"> used to estimate the hourly wage rate for the general public for the purpose of this </w:t>
      </w:r>
      <w:proofErr w:type="gramStart"/>
      <w:r w:rsidRPr="00603813">
        <w:t>GenIC</w:t>
      </w:r>
      <w:proofErr w:type="gramEnd"/>
      <w:r w:rsidRPr="00603813">
        <w:t xml:space="preserve"> request. The total estimated cost of the burden to respondents is </w:t>
      </w:r>
      <w:r w:rsidRPr="002110FE">
        <w:t xml:space="preserve">approximately </w:t>
      </w:r>
      <w:r w:rsidR="00987256">
        <w:t>$</w:t>
      </w:r>
      <w:r w:rsidR="00846E9C">
        <w:t>1,417.03</w:t>
      </w:r>
      <w:r w:rsidR="00943B21">
        <w:t>.  This</w:t>
      </w:r>
      <w:r w:rsidRPr="00603813">
        <w:t xml:space="preserve"> cost represents the total burden hours of </w:t>
      </w:r>
      <w:r>
        <w:t>general</w:t>
      </w:r>
      <w:r w:rsidRPr="00603813">
        <w:t xml:space="preserve"> respondents multiplied by t</w:t>
      </w:r>
      <w:r w:rsidR="00F81AFD">
        <w:t>he average hourly wage rate ($23</w:t>
      </w:r>
      <w:r w:rsidRPr="00603813">
        <w:t>.</w:t>
      </w:r>
      <w:r w:rsidR="00F81AFD">
        <w:t>23</w:t>
      </w:r>
      <w:r w:rsidRPr="00603813">
        <w:t xml:space="preserve">). </w:t>
      </w:r>
    </w:p>
    <w:p w14:paraId="659648AE" w14:textId="0AE5FC47" w:rsidR="00332F80" w:rsidRPr="00603813" w:rsidRDefault="00332F80" w:rsidP="00332F80">
      <w:pPr>
        <w:pStyle w:val="Caption"/>
        <w:rPr>
          <w:sz w:val="24"/>
          <w:szCs w:val="24"/>
        </w:rPr>
      </w:pPr>
      <w:r w:rsidRPr="00603813">
        <w:t xml:space="preserve"> </w:t>
      </w:r>
    </w:p>
    <w:p w14:paraId="46305BF3" w14:textId="00430574" w:rsidR="00E53653" w:rsidRPr="007376F4" w:rsidRDefault="00E53653" w:rsidP="00E6566E">
      <w:pPr>
        <w:pStyle w:val="Caption"/>
        <w:keepNext/>
      </w:pPr>
      <w:bookmarkStart w:id="23" w:name="_Toc449541624"/>
      <w:r w:rsidRPr="00E6566E">
        <w:rPr>
          <w:sz w:val="24"/>
          <w:szCs w:val="24"/>
        </w:rPr>
        <w:t xml:space="preserve">Exhibit </w:t>
      </w:r>
      <w:r w:rsidR="00C91C02">
        <w:rPr>
          <w:sz w:val="24"/>
          <w:szCs w:val="24"/>
        </w:rPr>
        <w:fldChar w:fldCharType="begin"/>
      </w:r>
      <w:r w:rsidR="00C91C02">
        <w:rPr>
          <w:sz w:val="24"/>
          <w:szCs w:val="24"/>
        </w:rPr>
        <w:instrText xml:space="preserve"> STYLEREF 1 \s </w:instrText>
      </w:r>
      <w:r w:rsidR="00C91C02">
        <w:rPr>
          <w:sz w:val="24"/>
          <w:szCs w:val="24"/>
        </w:rPr>
        <w:fldChar w:fldCharType="separate"/>
      </w:r>
      <w:r w:rsidR="00C91C02">
        <w:rPr>
          <w:noProof/>
          <w:sz w:val="24"/>
          <w:szCs w:val="24"/>
        </w:rPr>
        <w:t>12</w:t>
      </w:r>
      <w:r w:rsidR="00C91C02">
        <w:rPr>
          <w:sz w:val="24"/>
          <w:szCs w:val="24"/>
        </w:rPr>
        <w:fldChar w:fldCharType="end"/>
      </w:r>
      <w:r w:rsidR="00C91C02">
        <w:rPr>
          <w:sz w:val="24"/>
          <w:szCs w:val="24"/>
        </w:rPr>
        <w:t>.</w:t>
      </w:r>
      <w:r w:rsidR="00C91C02">
        <w:rPr>
          <w:sz w:val="24"/>
          <w:szCs w:val="24"/>
        </w:rPr>
        <w:fldChar w:fldCharType="begin"/>
      </w:r>
      <w:r w:rsidR="00C91C02">
        <w:rPr>
          <w:sz w:val="24"/>
          <w:szCs w:val="24"/>
        </w:rPr>
        <w:instrText xml:space="preserve"> SEQ Exhibit \* ARABIC \s 1 </w:instrText>
      </w:r>
      <w:r w:rsidR="00C91C02">
        <w:rPr>
          <w:sz w:val="24"/>
          <w:szCs w:val="24"/>
        </w:rPr>
        <w:fldChar w:fldCharType="separate"/>
      </w:r>
      <w:r w:rsidR="00C91C02">
        <w:rPr>
          <w:noProof/>
          <w:sz w:val="24"/>
          <w:szCs w:val="24"/>
        </w:rPr>
        <w:t>2</w:t>
      </w:r>
      <w:r w:rsidR="00C91C02">
        <w:rPr>
          <w:sz w:val="24"/>
          <w:szCs w:val="24"/>
        </w:rPr>
        <w:fldChar w:fldCharType="end"/>
      </w:r>
      <w:r w:rsidRPr="00E6566E">
        <w:rPr>
          <w:sz w:val="24"/>
          <w:szCs w:val="24"/>
        </w:rPr>
        <w:t xml:space="preserve">: Estimated Annualized Burden </w:t>
      </w:r>
      <w:r w:rsidR="00CC5FFB">
        <w:rPr>
          <w:sz w:val="24"/>
          <w:szCs w:val="24"/>
        </w:rPr>
        <w:t>Costs</w:t>
      </w:r>
      <w:bookmarkEnd w:id="23"/>
    </w:p>
    <w:p w14:paraId="39377F96" w14:textId="77777777" w:rsidR="00E53653" w:rsidRPr="00E53653" w:rsidRDefault="00E53653" w:rsidP="00E53653"/>
    <w:tbl>
      <w:tblPr>
        <w:tblW w:w="9090" w:type="dxa"/>
        <w:tblLayout w:type="fixed"/>
        <w:tblCellMar>
          <w:left w:w="129" w:type="dxa"/>
          <w:right w:w="129" w:type="dxa"/>
        </w:tblCellMar>
        <w:tblLook w:val="0000" w:firstRow="0" w:lastRow="0" w:firstColumn="0" w:lastColumn="0" w:noHBand="0" w:noVBand="0"/>
      </w:tblPr>
      <w:tblGrid>
        <w:gridCol w:w="1890"/>
        <w:gridCol w:w="1800"/>
        <w:gridCol w:w="1890"/>
        <w:gridCol w:w="1710"/>
        <w:gridCol w:w="1800"/>
      </w:tblGrid>
      <w:tr w:rsidR="00332F80" w:rsidRPr="00603813" w14:paraId="5A5AB004" w14:textId="77777777" w:rsidTr="00F951D1">
        <w:trPr>
          <w:cantSplit/>
          <w:tblHeader/>
        </w:trPr>
        <w:tc>
          <w:tcPr>
            <w:tcW w:w="1890" w:type="dxa"/>
            <w:tcBorders>
              <w:top w:val="single" w:sz="2" w:space="0" w:color="000000"/>
              <w:left w:val="single" w:sz="2" w:space="0" w:color="000000"/>
              <w:bottom w:val="nil"/>
              <w:right w:val="nil"/>
            </w:tcBorders>
          </w:tcPr>
          <w:p w14:paraId="516F241C" w14:textId="77777777" w:rsidR="00332F80" w:rsidRPr="00603813" w:rsidRDefault="00332F80" w:rsidP="006C500C">
            <w:pPr>
              <w:rPr>
                <w:b/>
                <w:sz w:val="20"/>
                <w:szCs w:val="20"/>
              </w:rPr>
            </w:pPr>
            <w:r w:rsidRPr="00603813">
              <w:rPr>
                <w:b/>
                <w:sz w:val="20"/>
                <w:szCs w:val="20"/>
              </w:rPr>
              <w:t>Type of Respondent</w:t>
            </w:r>
          </w:p>
        </w:tc>
        <w:tc>
          <w:tcPr>
            <w:tcW w:w="1800" w:type="dxa"/>
            <w:tcBorders>
              <w:top w:val="single" w:sz="2" w:space="0" w:color="000000"/>
              <w:left w:val="single" w:sz="2" w:space="0" w:color="000000"/>
              <w:bottom w:val="nil"/>
              <w:right w:val="nil"/>
            </w:tcBorders>
          </w:tcPr>
          <w:p w14:paraId="2FC92B67" w14:textId="77777777" w:rsidR="00332F80" w:rsidRPr="00603813" w:rsidRDefault="00332F80" w:rsidP="005B4518">
            <w:pPr>
              <w:rPr>
                <w:b/>
                <w:sz w:val="20"/>
                <w:szCs w:val="20"/>
              </w:rPr>
            </w:pPr>
            <w:r w:rsidRPr="00603813">
              <w:rPr>
                <w:b/>
                <w:sz w:val="20"/>
                <w:szCs w:val="20"/>
              </w:rPr>
              <w:t>Form Name</w:t>
            </w:r>
          </w:p>
        </w:tc>
        <w:tc>
          <w:tcPr>
            <w:tcW w:w="1890" w:type="dxa"/>
            <w:tcBorders>
              <w:top w:val="single" w:sz="2" w:space="0" w:color="000000"/>
              <w:left w:val="single" w:sz="2" w:space="0" w:color="000000"/>
              <w:bottom w:val="nil"/>
              <w:right w:val="nil"/>
            </w:tcBorders>
          </w:tcPr>
          <w:p w14:paraId="5392D11A" w14:textId="77777777" w:rsidR="00332F80" w:rsidRPr="00603813" w:rsidRDefault="00332F80" w:rsidP="005B4518">
            <w:pPr>
              <w:rPr>
                <w:b/>
                <w:sz w:val="20"/>
                <w:szCs w:val="20"/>
              </w:rPr>
            </w:pPr>
            <w:r w:rsidRPr="00603813">
              <w:rPr>
                <w:b/>
                <w:sz w:val="20"/>
                <w:szCs w:val="20"/>
              </w:rPr>
              <w:t xml:space="preserve">Total </w:t>
            </w:r>
          </w:p>
          <w:p w14:paraId="426CC59C" w14:textId="77777777" w:rsidR="00332F80" w:rsidRPr="00603813" w:rsidRDefault="00332F80" w:rsidP="005B4518">
            <w:pPr>
              <w:rPr>
                <w:b/>
                <w:sz w:val="20"/>
                <w:szCs w:val="20"/>
              </w:rPr>
            </w:pPr>
            <w:r w:rsidRPr="00603813">
              <w:rPr>
                <w:b/>
                <w:sz w:val="20"/>
                <w:szCs w:val="20"/>
              </w:rPr>
              <w:t>Burden</w:t>
            </w:r>
          </w:p>
          <w:p w14:paraId="61E5D27A" w14:textId="77777777" w:rsidR="00332F80" w:rsidRPr="00603813" w:rsidRDefault="00332F80" w:rsidP="005B4518">
            <w:pPr>
              <w:rPr>
                <w:b/>
                <w:sz w:val="20"/>
                <w:szCs w:val="20"/>
              </w:rPr>
            </w:pPr>
            <w:r w:rsidRPr="00603813">
              <w:rPr>
                <w:b/>
                <w:sz w:val="20"/>
                <w:szCs w:val="20"/>
              </w:rPr>
              <w:t>Hours</w:t>
            </w:r>
          </w:p>
        </w:tc>
        <w:tc>
          <w:tcPr>
            <w:tcW w:w="1710" w:type="dxa"/>
            <w:tcBorders>
              <w:top w:val="single" w:sz="2" w:space="0" w:color="000000"/>
              <w:left w:val="single" w:sz="2" w:space="0" w:color="000000"/>
              <w:bottom w:val="nil"/>
              <w:right w:val="nil"/>
            </w:tcBorders>
          </w:tcPr>
          <w:p w14:paraId="48C8863C" w14:textId="77777777" w:rsidR="00332F80" w:rsidRPr="00603813" w:rsidRDefault="00332F80" w:rsidP="005B4518">
            <w:pPr>
              <w:rPr>
                <w:b/>
                <w:sz w:val="20"/>
                <w:szCs w:val="20"/>
              </w:rPr>
            </w:pPr>
            <w:r w:rsidRPr="00603813">
              <w:rPr>
                <w:b/>
                <w:sz w:val="20"/>
                <w:szCs w:val="20"/>
              </w:rPr>
              <w:t>Hourly Wage Rate</w:t>
            </w:r>
          </w:p>
        </w:tc>
        <w:tc>
          <w:tcPr>
            <w:tcW w:w="1800" w:type="dxa"/>
            <w:tcBorders>
              <w:top w:val="single" w:sz="2" w:space="0" w:color="000000"/>
              <w:left w:val="single" w:sz="2" w:space="0" w:color="000000"/>
              <w:bottom w:val="nil"/>
              <w:right w:val="single" w:sz="2" w:space="0" w:color="000000"/>
            </w:tcBorders>
          </w:tcPr>
          <w:p w14:paraId="4FD2858F" w14:textId="77777777" w:rsidR="00332F80" w:rsidRPr="00603813" w:rsidRDefault="00332F80" w:rsidP="005B4518">
            <w:pPr>
              <w:rPr>
                <w:b/>
                <w:sz w:val="20"/>
                <w:szCs w:val="20"/>
              </w:rPr>
            </w:pPr>
            <w:r w:rsidRPr="00603813">
              <w:rPr>
                <w:b/>
                <w:sz w:val="20"/>
                <w:szCs w:val="20"/>
              </w:rPr>
              <w:t>Total Respondent Costs</w:t>
            </w:r>
          </w:p>
        </w:tc>
      </w:tr>
      <w:tr w:rsidR="00960A76" w:rsidRPr="00603813" w14:paraId="7EE2C3DA" w14:textId="77777777" w:rsidTr="00F951D1">
        <w:trPr>
          <w:cantSplit/>
        </w:trPr>
        <w:tc>
          <w:tcPr>
            <w:tcW w:w="1890" w:type="dxa"/>
            <w:tcBorders>
              <w:top w:val="single" w:sz="4" w:space="0" w:color="auto"/>
              <w:left w:val="single" w:sz="4" w:space="0" w:color="auto"/>
              <w:bottom w:val="single" w:sz="4" w:space="0" w:color="auto"/>
              <w:right w:val="single" w:sz="4" w:space="0" w:color="auto"/>
            </w:tcBorders>
          </w:tcPr>
          <w:p w14:paraId="641F66F6" w14:textId="46944AA4" w:rsidR="00960A76" w:rsidRPr="00603813" w:rsidRDefault="00960A76" w:rsidP="00960A76">
            <w:pPr>
              <w:rPr>
                <w:sz w:val="20"/>
                <w:szCs w:val="20"/>
              </w:rPr>
            </w:pPr>
            <w:r w:rsidRPr="00B930C9">
              <w:rPr>
                <w:sz w:val="20"/>
                <w:szCs w:val="20"/>
              </w:rPr>
              <w:t>General</w:t>
            </w:r>
            <w:r>
              <w:rPr>
                <w:sz w:val="20"/>
                <w:szCs w:val="20"/>
              </w:rPr>
              <w:t xml:space="preserve"> </w:t>
            </w:r>
            <w:r w:rsidRPr="00B930C9">
              <w:rPr>
                <w:sz w:val="20"/>
                <w:szCs w:val="20"/>
              </w:rPr>
              <w:t>Public- Adults</w:t>
            </w:r>
          </w:p>
        </w:tc>
        <w:tc>
          <w:tcPr>
            <w:tcW w:w="1800" w:type="dxa"/>
            <w:tcBorders>
              <w:top w:val="single" w:sz="2" w:space="0" w:color="000000"/>
              <w:left w:val="single" w:sz="4" w:space="0" w:color="auto"/>
              <w:bottom w:val="single" w:sz="2" w:space="0" w:color="000000"/>
              <w:right w:val="nil"/>
            </w:tcBorders>
          </w:tcPr>
          <w:p w14:paraId="23BDDF95" w14:textId="7D91B934" w:rsidR="00960A76" w:rsidRPr="00960A76" w:rsidRDefault="00960A76" w:rsidP="00960A76">
            <w:pPr>
              <w:ind w:left="-39" w:right="51"/>
              <w:rPr>
                <w:sz w:val="20"/>
                <w:szCs w:val="20"/>
              </w:rPr>
            </w:pPr>
            <w:r w:rsidRPr="00960A76">
              <w:rPr>
                <w:sz w:val="20"/>
                <w:szCs w:val="20"/>
              </w:rPr>
              <w:t>Eligibility Screener: Transgender Women (Att. 3a)</w:t>
            </w:r>
          </w:p>
        </w:tc>
        <w:tc>
          <w:tcPr>
            <w:tcW w:w="1890" w:type="dxa"/>
            <w:tcBorders>
              <w:top w:val="single" w:sz="2" w:space="0" w:color="000000"/>
              <w:left w:val="single" w:sz="2" w:space="0" w:color="000000"/>
              <w:bottom w:val="single" w:sz="2" w:space="0" w:color="000000"/>
              <w:right w:val="nil"/>
            </w:tcBorders>
            <w:vAlign w:val="center"/>
          </w:tcPr>
          <w:p w14:paraId="46372667" w14:textId="5324C1E9" w:rsidR="00960A76" w:rsidRPr="00603813" w:rsidRDefault="00960A76" w:rsidP="00960A76">
            <w:pPr>
              <w:jc w:val="center"/>
              <w:rPr>
                <w:sz w:val="20"/>
                <w:szCs w:val="20"/>
              </w:rPr>
            </w:pPr>
            <w:r>
              <w:rPr>
                <w:sz w:val="20"/>
                <w:szCs w:val="20"/>
              </w:rPr>
              <w:t>7</w:t>
            </w:r>
          </w:p>
        </w:tc>
        <w:tc>
          <w:tcPr>
            <w:tcW w:w="1710" w:type="dxa"/>
            <w:tcBorders>
              <w:top w:val="single" w:sz="2" w:space="0" w:color="000000"/>
              <w:left w:val="single" w:sz="2" w:space="0" w:color="000000"/>
              <w:bottom w:val="single" w:sz="2" w:space="0" w:color="000000"/>
              <w:right w:val="nil"/>
            </w:tcBorders>
            <w:vAlign w:val="center"/>
          </w:tcPr>
          <w:p w14:paraId="4CC91E00" w14:textId="300395CE" w:rsidR="00960A76" w:rsidRPr="00603813" w:rsidRDefault="00960A76" w:rsidP="00960A76">
            <w:pPr>
              <w:ind w:right="-39"/>
              <w:jc w:val="center"/>
              <w:rPr>
                <w:sz w:val="20"/>
                <w:szCs w:val="20"/>
              </w:rPr>
            </w:pPr>
            <w:r>
              <w:rPr>
                <w:sz w:val="20"/>
                <w:szCs w:val="20"/>
              </w:rPr>
              <w:t>$23.23</w:t>
            </w:r>
          </w:p>
        </w:tc>
        <w:tc>
          <w:tcPr>
            <w:tcW w:w="1800" w:type="dxa"/>
            <w:tcBorders>
              <w:top w:val="single" w:sz="2" w:space="0" w:color="000000"/>
              <w:left w:val="single" w:sz="2" w:space="0" w:color="000000"/>
              <w:bottom w:val="single" w:sz="2" w:space="0" w:color="000000"/>
              <w:right w:val="single" w:sz="2" w:space="0" w:color="000000"/>
            </w:tcBorders>
            <w:vAlign w:val="center"/>
          </w:tcPr>
          <w:p w14:paraId="5A90C502" w14:textId="7E04EDFF" w:rsidR="00960A76" w:rsidRPr="00603813" w:rsidRDefault="00960A76" w:rsidP="00960A76">
            <w:pPr>
              <w:ind w:right="-39"/>
              <w:jc w:val="center"/>
              <w:rPr>
                <w:sz w:val="20"/>
                <w:szCs w:val="20"/>
              </w:rPr>
            </w:pPr>
            <w:r>
              <w:rPr>
                <w:sz w:val="20"/>
                <w:szCs w:val="20"/>
              </w:rPr>
              <w:t>$162.61</w:t>
            </w:r>
          </w:p>
        </w:tc>
      </w:tr>
      <w:tr w:rsidR="00960A76" w:rsidRPr="00603813" w14:paraId="53D292FF" w14:textId="77777777" w:rsidTr="00F951D1">
        <w:trPr>
          <w:cantSplit/>
        </w:trPr>
        <w:tc>
          <w:tcPr>
            <w:tcW w:w="1890" w:type="dxa"/>
            <w:tcBorders>
              <w:top w:val="single" w:sz="4" w:space="0" w:color="auto"/>
              <w:left w:val="single" w:sz="4" w:space="0" w:color="auto"/>
              <w:bottom w:val="single" w:sz="4" w:space="0" w:color="auto"/>
              <w:right w:val="single" w:sz="4" w:space="0" w:color="auto"/>
            </w:tcBorders>
          </w:tcPr>
          <w:p w14:paraId="505E1FDF" w14:textId="45F982AE" w:rsidR="00960A76" w:rsidRDefault="00960A76" w:rsidP="00960A76">
            <w:pPr>
              <w:rPr>
                <w:sz w:val="20"/>
                <w:szCs w:val="20"/>
              </w:rPr>
            </w:pPr>
            <w:r>
              <w:rPr>
                <w:sz w:val="20"/>
                <w:szCs w:val="20"/>
              </w:rPr>
              <w:t xml:space="preserve">General Public- </w:t>
            </w:r>
          </w:p>
          <w:p w14:paraId="2BA38C4A" w14:textId="101730CB" w:rsidR="00960A76" w:rsidRPr="00B930C9" w:rsidRDefault="00960A76" w:rsidP="00960A76">
            <w:pPr>
              <w:rPr>
                <w:sz w:val="20"/>
                <w:szCs w:val="20"/>
              </w:rPr>
            </w:pPr>
            <w:r>
              <w:rPr>
                <w:sz w:val="20"/>
                <w:szCs w:val="20"/>
              </w:rPr>
              <w:t>Adults</w:t>
            </w:r>
          </w:p>
        </w:tc>
        <w:tc>
          <w:tcPr>
            <w:tcW w:w="1800" w:type="dxa"/>
            <w:tcBorders>
              <w:top w:val="single" w:sz="2" w:space="0" w:color="000000"/>
              <w:left w:val="single" w:sz="4" w:space="0" w:color="auto"/>
              <w:bottom w:val="single" w:sz="2" w:space="0" w:color="000000"/>
              <w:right w:val="nil"/>
            </w:tcBorders>
          </w:tcPr>
          <w:p w14:paraId="3C49BB57" w14:textId="3D2C7A1E" w:rsidR="00960A76" w:rsidRPr="00960A76" w:rsidRDefault="00960A76" w:rsidP="00960A76">
            <w:pPr>
              <w:ind w:left="-39" w:right="51"/>
              <w:rPr>
                <w:sz w:val="20"/>
                <w:szCs w:val="20"/>
              </w:rPr>
            </w:pPr>
            <w:r w:rsidRPr="00960A76">
              <w:rPr>
                <w:sz w:val="20"/>
                <w:szCs w:val="20"/>
              </w:rPr>
              <w:t>Demographic Questionnaire: Transgender Women (Att. 3b)</w:t>
            </w:r>
          </w:p>
        </w:tc>
        <w:tc>
          <w:tcPr>
            <w:tcW w:w="1890" w:type="dxa"/>
            <w:tcBorders>
              <w:top w:val="single" w:sz="2" w:space="0" w:color="000000"/>
              <w:left w:val="single" w:sz="2" w:space="0" w:color="000000"/>
              <w:bottom w:val="single" w:sz="2" w:space="0" w:color="000000"/>
              <w:right w:val="nil"/>
            </w:tcBorders>
            <w:vAlign w:val="center"/>
          </w:tcPr>
          <w:p w14:paraId="73A4C4E1" w14:textId="7C405FD6" w:rsidR="00960A76" w:rsidRDefault="00960A76" w:rsidP="00960A76">
            <w:pPr>
              <w:jc w:val="center"/>
              <w:rPr>
                <w:sz w:val="20"/>
                <w:szCs w:val="20"/>
              </w:rPr>
            </w:pPr>
            <w:r>
              <w:rPr>
                <w:sz w:val="20"/>
                <w:szCs w:val="20"/>
              </w:rPr>
              <w:t>3</w:t>
            </w:r>
          </w:p>
        </w:tc>
        <w:tc>
          <w:tcPr>
            <w:tcW w:w="1710" w:type="dxa"/>
            <w:tcBorders>
              <w:top w:val="single" w:sz="2" w:space="0" w:color="000000"/>
              <w:left w:val="single" w:sz="2" w:space="0" w:color="000000"/>
              <w:bottom w:val="single" w:sz="2" w:space="0" w:color="000000"/>
              <w:right w:val="nil"/>
            </w:tcBorders>
            <w:vAlign w:val="center"/>
          </w:tcPr>
          <w:p w14:paraId="1321E87F" w14:textId="07155670" w:rsidR="00960A76" w:rsidRDefault="00960A76" w:rsidP="00960A76">
            <w:pPr>
              <w:ind w:right="-39"/>
              <w:jc w:val="center"/>
              <w:rPr>
                <w:sz w:val="20"/>
                <w:szCs w:val="20"/>
              </w:rPr>
            </w:pPr>
            <w:r>
              <w:rPr>
                <w:sz w:val="20"/>
                <w:szCs w:val="20"/>
              </w:rPr>
              <w:t>$23.23</w:t>
            </w:r>
          </w:p>
        </w:tc>
        <w:tc>
          <w:tcPr>
            <w:tcW w:w="1800" w:type="dxa"/>
            <w:tcBorders>
              <w:top w:val="single" w:sz="2" w:space="0" w:color="000000"/>
              <w:left w:val="single" w:sz="2" w:space="0" w:color="000000"/>
              <w:bottom w:val="single" w:sz="2" w:space="0" w:color="000000"/>
              <w:right w:val="single" w:sz="2" w:space="0" w:color="000000"/>
            </w:tcBorders>
            <w:vAlign w:val="center"/>
          </w:tcPr>
          <w:p w14:paraId="16E11440" w14:textId="49C686C4" w:rsidR="00960A76" w:rsidRDefault="00960A76" w:rsidP="00960A76">
            <w:pPr>
              <w:ind w:right="-39"/>
              <w:jc w:val="center"/>
              <w:rPr>
                <w:sz w:val="20"/>
                <w:szCs w:val="20"/>
              </w:rPr>
            </w:pPr>
            <w:r>
              <w:rPr>
                <w:sz w:val="20"/>
                <w:szCs w:val="20"/>
              </w:rPr>
              <w:t>$69.69</w:t>
            </w:r>
          </w:p>
        </w:tc>
      </w:tr>
      <w:tr w:rsidR="00960A76" w:rsidRPr="00603813" w14:paraId="46F15C20" w14:textId="77777777" w:rsidTr="00F951D1">
        <w:trPr>
          <w:cantSplit/>
        </w:trPr>
        <w:tc>
          <w:tcPr>
            <w:tcW w:w="1890" w:type="dxa"/>
            <w:tcBorders>
              <w:top w:val="single" w:sz="4" w:space="0" w:color="auto"/>
              <w:left w:val="single" w:sz="4" w:space="0" w:color="auto"/>
              <w:bottom w:val="single" w:sz="4" w:space="0" w:color="auto"/>
              <w:right w:val="single" w:sz="4" w:space="0" w:color="auto"/>
            </w:tcBorders>
          </w:tcPr>
          <w:p w14:paraId="136C2B70" w14:textId="77777777" w:rsidR="00960A76" w:rsidRPr="00846E9C" w:rsidRDefault="00960A76" w:rsidP="00960A76">
            <w:pPr>
              <w:rPr>
                <w:sz w:val="20"/>
                <w:szCs w:val="20"/>
              </w:rPr>
            </w:pPr>
            <w:r w:rsidRPr="00846E9C">
              <w:rPr>
                <w:sz w:val="20"/>
                <w:szCs w:val="20"/>
              </w:rPr>
              <w:t xml:space="preserve">General Public- </w:t>
            </w:r>
          </w:p>
          <w:p w14:paraId="00D543B3" w14:textId="37CB2880" w:rsidR="00960A76" w:rsidRDefault="00960A76" w:rsidP="00960A76">
            <w:pPr>
              <w:rPr>
                <w:sz w:val="20"/>
                <w:szCs w:val="20"/>
              </w:rPr>
            </w:pPr>
            <w:r w:rsidRPr="00846E9C">
              <w:rPr>
                <w:sz w:val="20"/>
                <w:szCs w:val="20"/>
              </w:rPr>
              <w:t>Adults</w:t>
            </w:r>
          </w:p>
        </w:tc>
        <w:tc>
          <w:tcPr>
            <w:tcW w:w="1800" w:type="dxa"/>
            <w:tcBorders>
              <w:top w:val="single" w:sz="2" w:space="0" w:color="000000"/>
              <w:left w:val="single" w:sz="4" w:space="0" w:color="auto"/>
              <w:bottom w:val="single" w:sz="2" w:space="0" w:color="000000"/>
              <w:right w:val="nil"/>
            </w:tcBorders>
          </w:tcPr>
          <w:p w14:paraId="1092E5D3" w14:textId="65D79999" w:rsidR="00960A76" w:rsidRPr="00960A76" w:rsidRDefault="00960A76" w:rsidP="00960A76">
            <w:pPr>
              <w:ind w:left="-39" w:right="51"/>
              <w:rPr>
                <w:sz w:val="20"/>
                <w:szCs w:val="20"/>
              </w:rPr>
            </w:pPr>
            <w:r w:rsidRPr="00960A76">
              <w:rPr>
                <w:sz w:val="20"/>
                <w:szCs w:val="20"/>
              </w:rPr>
              <w:t>Demographic Questionnaire: Healthcare Providers (Att. 3c)</w:t>
            </w:r>
          </w:p>
        </w:tc>
        <w:tc>
          <w:tcPr>
            <w:tcW w:w="1890" w:type="dxa"/>
            <w:tcBorders>
              <w:top w:val="single" w:sz="2" w:space="0" w:color="000000"/>
              <w:left w:val="single" w:sz="2" w:space="0" w:color="000000"/>
              <w:bottom w:val="single" w:sz="2" w:space="0" w:color="000000"/>
              <w:right w:val="nil"/>
            </w:tcBorders>
            <w:vAlign w:val="center"/>
          </w:tcPr>
          <w:p w14:paraId="6E87812E" w14:textId="4CA98BF4" w:rsidR="00960A76" w:rsidRDefault="00960A76" w:rsidP="00960A76">
            <w:pPr>
              <w:jc w:val="center"/>
              <w:rPr>
                <w:sz w:val="20"/>
                <w:szCs w:val="20"/>
              </w:rPr>
            </w:pPr>
            <w:r>
              <w:rPr>
                <w:sz w:val="20"/>
                <w:szCs w:val="20"/>
              </w:rPr>
              <w:t>1</w:t>
            </w:r>
          </w:p>
        </w:tc>
        <w:tc>
          <w:tcPr>
            <w:tcW w:w="1710" w:type="dxa"/>
            <w:tcBorders>
              <w:top w:val="single" w:sz="2" w:space="0" w:color="000000"/>
              <w:left w:val="single" w:sz="2" w:space="0" w:color="000000"/>
              <w:bottom w:val="single" w:sz="2" w:space="0" w:color="000000"/>
              <w:right w:val="nil"/>
            </w:tcBorders>
            <w:vAlign w:val="center"/>
          </w:tcPr>
          <w:p w14:paraId="5F73A986" w14:textId="2DC7AC46" w:rsidR="00960A76" w:rsidRDefault="00960A76" w:rsidP="00960A76">
            <w:pPr>
              <w:ind w:right="-39"/>
              <w:jc w:val="center"/>
              <w:rPr>
                <w:sz w:val="20"/>
                <w:szCs w:val="20"/>
              </w:rPr>
            </w:pPr>
            <w:r w:rsidRPr="00846E9C">
              <w:rPr>
                <w:sz w:val="20"/>
                <w:szCs w:val="20"/>
              </w:rPr>
              <w:t>$23.23</w:t>
            </w:r>
          </w:p>
        </w:tc>
        <w:tc>
          <w:tcPr>
            <w:tcW w:w="1800" w:type="dxa"/>
            <w:tcBorders>
              <w:top w:val="single" w:sz="2" w:space="0" w:color="000000"/>
              <w:left w:val="single" w:sz="2" w:space="0" w:color="000000"/>
              <w:bottom w:val="single" w:sz="2" w:space="0" w:color="000000"/>
              <w:right w:val="single" w:sz="2" w:space="0" w:color="000000"/>
            </w:tcBorders>
            <w:vAlign w:val="center"/>
          </w:tcPr>
          <w:p w14:paraId="733B59CF" w14:textId="37E19487" w:rsidR="00960A76" w:rsidRDefault="00960A76" w:rsidP="00960A76">
            <w:pPr>
              <w:ind w:right="-39"/>
              <w:jc w:val="center"/>
              <w:rPr>
                <w:sz w:val="20"/>
                <w:szCs w:val="20"/>
              </w:rPr>
            </w:pPr>
            <w:r>
              <w:rPr>
                <w:sz w:val="20"/>
                <w:szCs w:val="20"/>
              </w:rPr>
              <w:t>$23.23</w:t>
            </w:r>
          </w:p>
        </w:tc>
      </w:tr>
      <w:tr w:rsidR="00960A76" w:rsidRPr="00603813" w14:paraId="08C91E9E" w14:textId="77777777" w:rsidTr="00F951D1">
        <w:trPr>
          <w:cantSplit/>
        </w:trPr>
        <w:tc>
          <w:tcPr>
            <w:tcW w:w="1890" w:type="dxa"/>
            <w:tcBorders>
              <w:top w:val="single" w:sz="4" w:space="0" w:color="auto"/>
              <w:left w:val="single" w:sz="4" w:space="0" w:color="auto"/>
              <w:bottom w:val="single" w:sz="4" w:space="0" w:color="auto"/>
              <w:right w:val="single" w:sz="4" w:space="0" w:color="auto"/>
            </w:tcBorders>
          </w:tcPr>
          <w:p w14:paraId="725E3027" w14:textId="77777777" w:rsidR="00960A76" w:rsidRPr="00846E9C" w:rsidRDefault="00960A76" w:rsidP="00960A76">
            <w:pPr>
              <w:rPr>
                <w:sz w:val="20"/>
                <w:szCs w:val="20"/>
              </w:rPr>
            </w:pPr>
            <w:r w:rsidRPr="00846E9C">
              <w:rPr>
                <w:sz w:val="20"/>
                <w:szCs w:val="20"/>
              </w:rPr>
              <w:t xml:space="preserve">General Public- </w:t>
            </w:r>
          </w:p>
          <w:p w14:paraId="6F5FF3D2" w14:textId="226A48E6" w:rsidR="00960A76" w:rsidRDefault="00960A76" w:rsidP="00960A76">
            <w:pPr>
              <w:rPr>
                <w:sz w:val="20"/>
                <w:szCs w:val="20"/>
              </w:rPr>
            </w:pPr>
            <w:r w:rsidRPr="00846E9C">
              <w:rPr>
                <w:sz w:val="20"/>
                <w:szCs w:val="20"/>
              </w:rPr>
              <w:t>Adults</w:t>
            </w:r>
          </w:p>
        </w:tc>
        <w:tc>
          <w:tcPr>
            <w:tcW w:w="1800" w:type="dxa"/>
            <w:tcBorders>
              <w:top w:val="single" w:sz="2" w:space="0" w:color="000000"/>
              <w:left w:val="single" w:sz="4" w:space="0" w:color="auto"/>
              <w:bottom w:val="single" w:sz="2" w:space="0" w:color="000000"/>
              <w:right w:val="nil"/>
            </w:tcBorders>
          </w:tcPr>
          <w:p w14:paraId="4F19AC89" w14:textId="159C6AF4" w:rsidR="00960A76" w:rsidRPr="00960A76" w:rsidRDefault="00960A76" w:rsidP="00960A76">
            <w:pPr>
              <w:ind w:left="-39" w:right="51"/>
              <w:rPr>
                <w:sz w:val="20"/>
                <w:szCs w:val="20"/>
              </w:rPr>
            </w:pPr>
            <w:r w:rsidRPr="00960A76">
              <w:rPr>
                <w:sz w:val="20"/>
                <w:szCs w:val="20"/>
              </w:rPr>
              <w:t>Interview Guide: HIV-Negative Transgender Women (Att. 3d)</w:t>
            </w:r>
          </w:p>
        </w:tc>
        <w:tc>
          <w:tcPr>
            <w:tcW w:w="1890" w:type="dxa"/>
            <w:tcBorders>
              <w:top w:val="single" w:sz="2" w:space="0" w:color="000000"/>
              <w:left w:val="single" w:sz="2" w:space="0" w:color="000000"/>
              <w:bottom w:val="single" w:sz="2" w:space="0" w:color="000000"/>
              <w:right w:val="nil"/>
            </w:tcBorders>
            <w:vAlign w:val="center"/>
          </w:tcPr>
          <w:p w14:paraId="26FCD751" w14:textId="1F6AE92F" w:rsidR="00960A76" w:rsidRDefault="00960A76" w:rsidP="00960A76">
            <w:pPr>
              <w:jc w:val="center"/>
              <w:rPr>
                <w:sz w:val="20"/>
                <w:szCs w:val="20"/>
              </w:rPr>
            </w:pPr>
            <w:r>
              <w:rPr>
                <w:sz w:val="20"/>
                <w:szCs w:val="20"/>
              </w:rPr>
              <w:t>20</w:t>
            </w:r>
          </w:p>
        </w:tc>
        <w:tc>
          <w:tcPr>
            <w:tcW w:w="1710" w:type="dxa"/>
            <w:tcBorders>
              <w:top w:val="single" w:sz="2" w:space="0" w:color="000000"/>
              <w:left w:val="single" w:sz="2" w:space="0" w:color="000000"/>
              <w:bottom w:val="single" w:sz="2" w:space="0" w:color="000000"/>
              <w:right w:val="nil"/>
            </w:tcBorders>
            <w:vAlign w:val="center"/>
          </w:tcPr>
          <w:p w14:paraId="4CDD0635" w14:textId="4DDC8C74" w:rsidR="00960A76" w:rsidRDefault="00960A76" w:rsidP="00960A76">
            <w:pPr>
              <w:ind w:right="-39"/>
              <w:jc w:val="center"/>
              <w:rPr>
                <w:sz w:val="20"/>
                <w:szCs w:val="20"/>
              </w:rPr>
            </w:pPr>
            <w:r w:rsidRPr="00846E9C">
              <w:rPr>
                <w:sz w:val="20"/>
                <w:szCs w:val="20"/>
              </w:rPr>
              <w:t>$23.23</w:t>
            </w:r>
          </w:p>
        </w:tc>
        <w:tc>
          <w:tcPr>
            <w:tcW w:w="1800" w:type="dxa"/>
            <w:tcBorders>
              <w:top w:val="single" w:sz="2" w:space="0" w:color="000000"/>
              <w:left w:val="single" w:sz="2" w:space="0" w:color="000000"/>
              <w:bottom w:val="single" w:sz="2" w:space="0" w:color="000000"/>
              <w:right w:val="single" w:sz="2" w:space="0" w:color="000000"/>
            </w:tcBorders>
            <w:vAlign w:val="center"/>
          </w:tcPr>
          <w:p w14:paraId="5643F98B" w14:textId="7EF21CB6" w:rsidR="00960A76" w:rsidRDefault="00960A76" w:rsidP="00960A76">
            <w:pPr>
              <w:ind w:right="-39"/>
              <w:jc w:val="center"/>
              <w:rPr>
                <w:sz w:val="20"/>
                <w:szCs w:val="20"/>
              </w:rPr>
            </w:pPr>
            <w:r>
              <w:rPr>
                <w:sz w:val="20"/>
                <w:szCs w:val="20"/>
              </w:rPr>
              <w:t>$464.60</w:t>
            </w:r>
          </w:p>
        </w:tc>
      </w:tr>
      <w:tr w:rsidR="00960A76" w:rsidRPr="00603813" w14:paraId="1B3C2DCC" w14:textId="77777777" w:rsidTr="00F951D1">
        <w:trPr>
          <w:cantSplit/>
        </w:trPr>
        <w:tc>
          <w:tcPr>
            <w:tcW w:w="1890" w:type="dxa"/>
            <w:tcBorders>
              <w:top w:val="single" w:sz="4" w:space="0" w:color="auto"/>
              <w:left w:val="single" w:sz="4" w:space="0" w:color="auto"/>
              <w:bottom w:val="single" w:sz="4" w:space="0" w:color="auto"/>
              <w:right w:val="single" w:sz="4" w:space="0" w:color="auto"/>
            </w:tcBorders>
          </w:tcPr>
          <w:p w14:paraId="18742ECC" w14:textId="77777777" w:rsidR="00960A76" w:rsidRPr="00846E9C" w:rsidRDefault="00960A76" w:rsidP="00960A76">
            <w:pPr>
              <w:rPr>
                <w:sz w:val="20"/>
                <w:szCs w:val="20"/>
              </w:rPr>
            </w:pPr>
            <w:r w:rsidRPr="00846E9C">
              <w:rPr>
                <w:sz w:val="20"/>
                <w:szCs w:val="20"/>
              </w:rPr>
              <w:t xml:space="preserve">General Public- </w:t>
            </w:r>
          </w:p>
          <w:p w14:paraId="0DC011EB" w14:textId="3C341151" w:rsidR="00960A76" w:rsidRDefault="00960A76" w:rsidP="00960A76">
            <w:pPr>
              <w:rPr>
                <w:sz w:val="20"/>
                <w:szCs w:val="20"/>
              </w:rPr>
            </w:pPr>
            <w:r w:rsidRPr="00846E9C">
              <w:rPr>
                <w:sz w:val="20"/>
                <w:szCs w:val="20"/>
              </w:rPr>
              <w:t>Adults</w:t>
            </w:r>
          </w:p>
        </w:tc>
        <w:tc>
          <w:tcPr>
            <w:tcW w:w="1800" w:type="dxa"/>
            <w:tcBorders>
              <w:top w:val="single" w:sz="2" w:space="0" w:color="000000"/>
              <w:left w:val="single" w:sz="4" w:space="0" w:color="auto"/>
              <w:bottom w:val="single" w:sz="2" w:space="0" w:color="000000"/>
              <w:right w:val="nil"/>
            </w:tcBorders>
          </w:tcPr>
          <w:p w14:paraId="1C7C0F4F" w14:textId="554B311F" w:rsidR="00960A76" w:rsidRPr="00960A76" w:rsidRDefault="00960A76" w:rsidP="00960A76">
            <w:pPr>
              <w:ind w:left="-39" w:right="51"/>
              <w:rPr>
                <w:sz w:val="20"/>
                <w:szCs w:val="20"/>
              </w:rPr>
            </w:pPr>
            <w:r w:rsidRPr="00960A76">
              <w:rPr>
                <w:sz w:val="20"/>
                <w:szCs w:val="20"/>
              </w:rPr>
              <w:t>Interview Guide: HIV-Positive Transgender Women (Att. 3e)</w:t>
            </w:r>
          </w:p>
        </w:tc>
        <w:tc>
          <w:tcPr>
            <w:tcW w:w="1890" w:type="dxa"/>
            <w:tcBorders>
              <w:top w:val="single" w:sz="2" w:space="0" w:color="000000"/>
              <w:left w:val="single" w:sz="2" w:space="0" w:color="000000"/>
              <w:bottom w:val="single" w:sz="2" w:space="0" w:color="000000"/>
              <w:right w:val="nil"/>
            </w:tcBorders>
            <w:vAlign w:val="center"/>
          </w:tcPr>
          <w:p w14:paraId="5E64003F" w14:textId="638065DF" w:rsidR="00960A76" w:rsidRDefault="00960A76" w:rsidP="00960A76">
            <w:pPr>
              <w:jc w:val="center"/>
              <w:rPr>
                <w:sz w:val="20"/>
                <w:szCs w:val="20"/>
              </w:rPr>
            </w:pPr>
            <w:r>
              <w:rPr>
                <w:sz w:val="20"/>
                <w:szCs w:val="20"/>
              </w:rPr>
              <w:t>20</w:t>
            </w:r>
          </w:p>
        </w:tc>
        <w:tc>
          <w:tcPr>
            <w:tcW w:w="1710" w:type="dxa"/>
            <w:tcBorders>
              <w:top w:val="single" w:sz="2" w:space="0" w:color="000000"/>
              <w:left w:val="single" w:sz="2" w:space="0" w:color="000000"/>
              <w:bottom w:val="single" w:sz="2" w:space="0" w:color="000000"/>
              <w:right w:val="nil"/>
            </w:tcBorders>
            <w:vAlign w:val="center"/>
          </w:tcPr>
          <w:p w14:paraId="3D6A53B8" w14:textId="44E871FE" w:rsidR="00960A76" w:rsidRDefault="00960A76" w:rsidP="00960A76">
            <w:pPr>
              <w:ind w:right="-39"/>
              <w:jc w:val="center"/>
              <w:rPr>
                <w:sz w:val="20"/>
                <w:szCs w:val="20"/>
              </w:rPr>
            </w:pPr>
            <w:r w:rsidRPr="00846E9C">
              <w:rPr>
                <w:sz w:val="20"/>
                <w:szCs w:val="20"/>
              </w:rPr>
              <w:t>$23.23</w:t>
            </w:r>
          </w:p>
        </w:tc>
        <w:tc>
          <w:tcPr>
            <w:tcW w:w="1800" w:type="dxa"/>
            <w:tcBorders>
              <w:top w:val="single" w:sz="2" w:space="0" w:color="000000"/>
              <w:left w:val="single" w:sz="2" w:space="0" w:color="000000"/>
              <w:bottom w:val="single" w:sz="2" w:space="0" w:color="000000"/>
              <w:right w:val="single" w:sz="2" w:space="0" w:color="000000"/>
            </w:tcBorders>
            <w:vAlign w:val="center"/>
          </w:tcPr>
          <w:p w14:paraId="331A83B9" w14:textId="4FD02396" w:rsidR="00960A76" w:rsidRDefault="00960A76" w:rsidP="00960A76">
            <w:pPr>
              <w:ind w:right="-39"/>
              <w:jc w:val="center"/>
              <w:rPr>
                <w:sz w:val="20"/>
                <w:szCs w:val="20"/>
              </w:rPr>
            </w:pPr>
            <w:r>
              <w:rPr>
                <w:sz w:val="20"/>
                <w:szCs w:val="20"/>
              </w:rPr>
              <w:t>$464.60</w:t>
            </w:r>
          </w:p>
        </w:tc>
      </w:tr>
      <w:tr w:rsidR="00960A76" w:rsidRPr="00603813" w14:paraId="63A9329D" w14:textId="77777777" w:rsidTr="00F951D1">
        <w:trPr>
          <w:cantSplit/>
        </w:trPr>
        <w:tc>
          <w:tcPr>
            <w:tcW w:w="1890" w:type="dxa"/>
            <w:tcBorders>
              <w:top w:val="single" w:sz="4" w:space="0" w:color="auto"/>
              <w:left w:val="single" w:sz="4" w:space="0" w:color="auto"/>
              <w:bottom w:val="single" w:sz="4" w:space="0" w:color="auto"/>
              <w:right w:val="single" w:sz="4" w:space="0" w:color="auto"/>
            </w:tcBorders>
          </w:tcPr>
          <w:p w14:paraId="4FE20A0E" w14:textId="77777777" w:rsidR="00960A76" w:rsidRPr="00846E9C" w:rsidRDefault="00960A76" w:rsidP="00960A76">
            <w:pPr>
              <w:rPr>
                <w:sz w:val="20"/>
                <w:szCs w:val="20"/>
              </w:rPr>
            </w:pPr>
            <w:r w:rsidRPr="00846E9C">
              <w:rPr>
                <w:sz w:val="20"/>
                <w:szCs w:val="20"/>
              </w:rPr>
              <w:t xml:space="preserve">General Public- </w:t>
            </w:r>
          </w:p>
          <w:p w14:paraId="2C72BB58" w14:textId="2DA897B3" w:rsidR="00960A76" w:rsidRDefault="00960A76" w:rsidP="00960A76">
            <w:pPr>
              <w:rPr>
                <w:sz w:val="20"/>
                <w:szCs w:val="20"/>
              </w:rPr>
            </w:pPr>
            <w:r w:rsidRPr="00846E9C">
              <w:rPr>
                <w:sz w:val="20"/>
                <w:szCs w:val="20"/>
              </w:rPr>
              <w:t>Adults</w:t>
            </w:r>
          </w:p>
        </w:tc>
        <w:tc>
          <w:tcPr>
            <w:tcW w:w="1800" w:type="dxa"/>
            <w:tcBorders>
              <w:top w:val="single" w:sz="2" w:space="0" w:color="000000"/>
              <w:left w:val="single" w:sz="4" w:space="0" w:color="auto"/>
              <w:bottom w:val="single" w:sz="2" w:space="0" w:color="000000"/>
              <w:right w:val="nil"/>
            </w:tcBorders>
          </w:tcPr>
          <w:p w14:paraId="4889F1EA" w14:textId="126E1F47" w:rsidR="00960A76" w:rsidRPr="00960A76" w:rsidRDefault="00960A76" w:rsidP="00960A76">
            <w:pPr>
              <w:ind w:left="-39" w:right="51"/>
              <w:rPr>
                <w:sz w:val="20"/>
                <w:szCs w:val="20"/>
              </w:rPr>
            </w:pPr>
            <w:r w:rsidRPr="00960A76">
              <w:rPr>
                <w:sz w:val="20"/>
                <w:szCs w:val="20"/>
              </w:rPr>
              <w:t>Interview Guide: Healthcare Providers (Att. 3f)</w:t>
            </w:r>
          </w:p>
        </w:tc>
        <w:tc>
          <w:tcPr>
            <w:tcW w:w="1890" w:type="dxa"/>
            <w:tcBorders>
              <w:top w:val="single" w:sz="2" w:space="0" w:color="000000"/>
              <w:left w:val="single" w:sz="2" w:space="0" w:color="000000"/>
              <w:bottom w:val="single" w:sz="2" w:space="0" w:color="000000"/>
              <w:right w:val="nil"/>
            </w:tcBorders>
            <w:vAlign w:val="center"/>
          </w:tcPr>
          <w:p w14:paraId="6F127AC4" w14:textId="4FD105E2" w:rsidR="00960A76" w:rsidRDefault="00960A76" w:rsidP="00960A76">
            <w:pPr>
              <w:jc w:val="center"/>
              <w:rPr>
                <w:sz w:val="20"/>
                <w:szCs w:val="20"/>
              </w:rPr>
            </w:pPr>
            <w:r>
              <w:rPr>
                <w:sz w:val="20"/>
                <w:szCs w:val="20"/>
              </w:rPr>
              <w:t>10</w:t>
            </w:r>
          </w:p>
        </w:tc>
        <w:tc>
          <w:tcPr>
            <w:tcW w:w="1710" w:type="dxa"/>
            <w:tcBorders>
              <w:top w:val="single" w:sz="2" w:space="0" w:color="000000"/>
              <w:left w:val="single" w:sz="2" w:space="0" w:color="000000"/>
              <w:bottom w:val="single" w:sz="2" w:space="0" w:color="000000"/>
              <w:right w:val="nil"/>
            </w:tcBorders>
            <w:vAlign w:val="center"/>
          </w:tcPr>
          <w:p w14:paraId="32FCAC76" w14:textId="6A7D42B4" w:rsidR="00960A76" w:rsidRDefault="00960A76" w:rsidP="00960A76">
            <w:pPr>
              <w:ind w:right="-39"/>
              <w:jc w:val="center"/>
              <w:rPr>
                <w:sz w:val="20"/>
                <w:szCs w:val="20"/>
              </w:rPr>
            </w:pPr>
            <w:r w:rsidRPr="00846E9C">
              <w:rPr>
                <w:sz w:val="20"/>
                <w:szCs w:val="20"/>
              </w:rPr>
              <w:t>$23.23</w:t>
            </w:r>
          </w:p>
        </w:tc>
        <w:tc>
          <w:tcPr>
            <w:tcW w:w="1800" w:type="dxa"/>
            <w:tcBorders>
              <w:top w:val="single" w:sz="2" w:space="0" w:color="000000"/>
              <w:left w:val="single" w:sz="2" w:space="0" w:color="000000"/>
              <w:bottom w:val="single" w:sz="2" w:space="0" w:color="000000"/>
              <w:right w:val="single" w:sz="2" w:space="0" w:color="000000"/>
            </w:tcBorders>
            <w:vAlign w:val="center"/>
          </w:tcPr>
          <w:p w14:paraId="2270FD11" w14:textId="2A4C651F" w:rsidR="00960A76" w:rsidRDefault="00960A76" w:rsidP="00960A76">
            <w:pPr>
              <w:ind w:right="-39"/>
              <w:jc w:val="center"/>
              <w:rPr>
                <w:sz w:val="20"/>
                <w:szCs w:val="20"/>
              </w:rPr>
            </w:pPr>
            <w:r>
              <w:rPr>
                <w:sz w:val="20"/>
                <w:szCs w:val="20"/>
              </w:rPr>
              <w:t>$232.30</w:t>
            </w:r>
          </w:p>
        </w:tc>
      </w:tr>
      <w:tr w:rsidR="00E95779" w:rsidRPr="00603813" w14:paraId="00222644" w14:textId="77777777" w:rsidTr="00F951D1">
        <w:trPr>
          <w:cantSplit/>
        </w:trPr>
        <w:tc>
          <w:tcPr>
            <w:tcW w:w="9090" w:type="dxa"/>
            <w:gridSpan w:val="5"/>
            <w:tcBorders>
              <w:top w:val="single" w:sz="2" w:space="0" w:color="000000"/>
              <w:left w:val="single" w:sz="2" w:space="0" w:color="000000"/>
              <w:bottom w:val="single" w:sz="2" w:space="0" w:color="000000"/>
              <w:right w:val="single" w:sz="2" w:space="0" w:color="000000"/>
            </w:tcBorders>
          </w:tcPr>
          <w:p w14:paraId="24F9042E" w14:textId="39FF4B0B" w:rsidR="00E95779" w:rsidRPr="00603813" w:rsidRDefault="00E95779" w:rsidP="00846E9C">
            <w:pPr>
              <w:ind w:right="224"/>
              <w:jc w:val="right"/>
              <w:rPr>
                <w:b/>
                <w:sz w:val="20"/>
                <w:szCs w:val="20"/>
              </w:rPr>
            </w:pPr>
            <w:r>
              <w:rPr>
                <w:b/>
                <w:sz w:val="20"/>
                <w:szCs w:val="20"/>
              </w:rPr>
              <w:t>Total $</w:t>
            </w:r>
            <w:r w:rsidR="00846E9C">
              <w:rPr>
                <w:b/>
                <w:sz w:val="20"/>
                <w:szCs w:val="20"/>
              </w:rPr>
              <w:t>1,417.03</w:t>
            </w:r>
          </w:p>
        </w:tc>
      </w:tr>
    </w:tbl>
    <w:p w14:paraId="11D43D79" w14:textId="4406D3AF" w:rsidR="00B12EA3" w:rsidRDefault="00B12EA3" w:rsidP="00AC254E">
      <w:pPr>
        <w:pStyle w:val="Heading1"/>
      </w:pPr>
      <w:bookmarkStart w:id="24" w:name="_Toc448296086"/>
      <w:r w:rsidRPr="00B12EA3">
        <w:t>Estimates of Other Total Annual Cost Burden to Respondents and Record Keepers</w:t>
      </w:r>
      <w:bookmarkEnd w:id="24"/>
    </w:p>
    <w:p w14:paraId="1646F2E6" w14:textId="77777777" w:rsidR="00332F80" w:rsidRDefault="00332F80" w:rsidP="00F951D1"/>
    <w:p w14:paraId="66DF91DD" w14:textId="2993DC0D" w:rsidR="00332F80" w:rsidRPr="00F951D1" w:rsidRDefault="00332F80" w:rsidP="00F951D1">
      <w:r w:rsidRPr="00332F80">
        <w:t xml:space="preserve">There are no </w:t>
      </w:r>
      <w:r w:rsidR="00747020" w:rsidRPr="001515AA">
        <w:t>other</w:t>
      </w:r>
      <w:r w:rsidR="00747020">
        <w:t xml:space="preserve"> </w:t>
      </w:r>
      <w:r w:rsidRPr="00332F80">
        <w:t>costs to respondents for participating in this survey.</w:t>
      </w:r>
    </w:p>
    <w:p w14:paraId="30DCC62D" w14:textId="14BC7D11" w:rsidR="00332F80" w:rsidRDefault="00B12EA3" w:rsidP="00F951D1">
      <w:pPr>
        <w:pStyle w:val="Heading1"/>
      </w:pPr>
      <w:bookmarkStart w:id="25" w:name="_Toc448296087"/>
      <w:r w:rsidRPr="00E6566E">
        <w:t>Annualized Cost to the Federal Government</w:t>
      </w:r>
      <w:bookmarkEnd w:id="25"/>
    </w:p>
    <w:p w14:paraId="450E5A99" w14:textId="77777777" w:rsidR="0038668E" w:rsidRDefault="0038668E" w:rsidP="00332F80"/>
    <w:p w14:paraId="1CA677BD" w14:textId="7CA871DB" w:rsidR="00332F80" w:rsidRPr="00603813" w:rsidRDefault="0038668E" w:rsidP="00332F80">
      <w:r w:rsidRPr="0038668E">
        <w:t>The estimated annualized cost to carry out the data collection activities is $</w:t>
      </w:r>
      <w:r>
        <w:t>476,304</w:t>
      </w:r>
      <w:r w:rsidRPr="0038668E">
        <w:t>.  This estimate includes the cost of recruitment, screening, conducting the interviews, analysis and reporting, as well as the total cost of the tokens of appreciation ($40 per comple</w:t>
      </w:r>
      <w:r>
        <w:t>ted interview, for a total of $2,0</w:t>
      </w:r>
      <w:r w:rsidRPr="0038668E">
        <w:t>00).</w:t>
      </w:r>
    </w:p>
    <w:p w14:paraId="52B6705B" w14:textId="77777777" w:rsidR="0038668E" w:rsidRDefault="0038668E" w:rsidP="00E6566E">
      <w:pPr>
        <w:pStyle w:val="Caption"/>
        <w:keepNext/>
        <w:rPr>
          <w:sz w:val="24"/>
          <w:szCs w:val="24"/>
        </w:rPr>
      </w:pPr>
      <w:bookmarkStart w:id="26" w:name="_Toc449541625"/>
    </w:p>
    <w:p w14:paraId="792B45B5" w14:textId="1F882994" w:rsidR="00E53653" w:rsidRPr="007376F4" w:rsidRDefault="00E53653" w:rsidP="00E6566E">
      <w:pPr>
        <w:pStyle w:val="Caption"/>
        <w:keepNext/>
      </w:pPr>
      <w:r w:rsidRPr="00E6566E">
        <w:rPr>
          <w:sz w:val="24"/>
          <w:szCs w:val="24"/>
        </w:rPr>
        <w:t xml:space="preserve">Exhibit </w:t>
      </w:r>
      <w:r w:rsidR="00C91C02">
        <w:rPr>
          <w:sz w:val="24"/>
          <w:szCs w:val="24"/>
        </w:rPr>
        <w:fldChar w:fldCharType="begin"/>
      </w:r>
      <w:r w:rsidR="00C91C02">
        <w:rPr>
          <w:sz w:val="24"/>
          <w:szCs w:val="24"/>
        </w:rPr>
        <w:instrText xml:space="preserve"> STYLEREF 1 \s </w:instrText>
      </w:r>
      <w:r w:rsidR="00C91C02">
        <w:rPr>
          <w:sz w:val="24"/>
          <w:szCs w:val="24"/>
        </w:rPr>
        <w:fldChar w:fldCharType="separate"/>
      </w:r>
      <w:r w:rsidR="00C91C02">
        <w:rPr>
          <w:noProof/>
          <w:sz w:val="24"/>
          <w:szCs w:val="24"/>
        </w:rPr>
        <w:t>14</w:t>
      </w:r>
      <w:r w:rsidR="00C91C02">
        <w:rPr>
          <w:sz w:val="24"/>
          <w:szCs w:val="24"/>
        </w:rPr>
        <w:fldChar w:fldCharType="end"/>
      </w:r>
      <w:r w:rsidR="00C91C02">
        <w:rPr>
          <w:sz w:val="24"/>
          <w:szCs w:val="24"/>
        </w:rPr>
        <w:t>.</w:t>
      </w:r>
      <w:r w:rsidR="00C91C02">
        <w:rPr>
          <w:sz w:val="24"/>
          <w:szCs w:val="24"/>
        </w:rPr>
        <w:fldChar w:fldCharType="begin"/>
      </w:r>
      <w:r w:rsidR="00C91C02">
        <w:rPr>
          <w:sz w:val="24"/>
          <w:szCs w:val="24"/>
        </w:rPr>
        <w:instrText xml:space="preserve"> SEQ Exhibit \* ARABIC \s 1 </w:instrText>
      </w:r>
      <w:r w:rsidR="00C91C02">
        <w:rPr>
          <w:sz w:val="24"/>
          <w:szCs w:val="24"/>
        </w:rPr>
        <w:fldChar w:fldCharType="separate"/>
      </w:r>
      <w:r w:rsidR="00C91C02">
        <w:rPr>
          <w:noProof/>
          <w:sz w:val="24"/>
          <w:szCs w:val="24"/>
        </w:rPr>
        <w:t>1</w:t>
      </w:r>
      <w:r w:rsidR="00C91C02">
        <w:rPr>
          <w:sz w:val="24"/>
          <w:szCs w:val="24"/>
        </w:rPr>
        <w:fldChar w:fldCharType="end"/>
      </w:r>
      <w:r w:rsidRPr="00E6566E">
        <w:rPr>
          <w:sz w:val="24"/>
          <w:szCs w:val="24"/>
        </w:rPr>
        <w:t>: Annualized Cost to the Government</w:t>
      </w:r>
      <w:bookmarkEnd w:id="26"/>
    </w:p>
    <w:p w14:paraId="51D82822" w14:textId="77777777" w:rsidR="00E53653" w:rsidRPr="00E53653" w:rsidRDefault="00E53653" w:rsidP="00E53653"/>
    <w:tbl>
      <w:tblPr>
        <w:tblW w:w="0" w:type="auto"/>
        <w:tblInd w:w="6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933"/>
        <w:gridCol w:w="4850"/>
        <w:gridCol w:w="1895"/>
      </w:tblGrid>
      <w:tr w:rsidR="00332F80" w:rsidRPr="00EE4F87" w14:paraId="13CE864C" w14:textId="77777777" w:rsidTr="004629B2">
        <w:tc>
          <w:tcPr>
            <w:tcW w:w="1933" w:type="dxa"/>
          </w:tcPr>
          <w:p w14:paraId="394C584A"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EE4F87">
              <w:rPr>
                <w:b/>
                <w:bCs/>
                <w:sz w:val="22"/>
                <w:szCs w:val="22"/>
              </w:rPr>
              <w:t>Expense Type</w:t>
            </w:r>
          </w:p>
        </w:tc>
        <w:tc>
          <w:tcPr>
            <w:tcW w:w="4850" w:type="dxa"/>
          </w:tcPr>
          <w:p w14:paraId="40E3E56D"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EE4F87">
              <w:rPr>
                <w:b/>
                <w:bCs/>
                <w:sz w:val="22"/>
                <w:szCs w:val="22"/>
              </w:rPr>
              <w:t>Expense Explanation</w:t>
            </w:r>
          </w:p>
        </w:tc>
        <w:tc>
          <w:tcPr>
            <w:tcW w:w="1895" w:type="dxa"/>
          </w:tcPr>
          <w:p w14:paraId="01E55893" w14:textId="77777777" w:rsidR="00332F80" w:rsidRPr="00EE4F87" w:rsidRDefault="00332F80" w:rsidP="005B4518">
            <w:pPr>
              <w:tabs>
                <w:tab w:val="center" w:pos="4320"/>
                <w:tab w:val="right" w:pos="8640"/>
              </w:tabs>
              <w:spacing w:line="50" w:lineRule="exact"/>
              <w:rPr>
                <w:sz w:val="22"/>
                <w:szCs w:val="22"/>
              </w:rPr>
            </w:pPr>
          </w:p>
          <w:p w14:paraId="5683A7F0"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sz w:val="22"/>
                <w:szCs w:val="22"/>
              </w:rPr>
            </w:pPr>
            <w:r w:rsidRPr="00EE4F87">
              <w:rPr>
                <w:b/>
                <w:bCs/>
                <w:sz w:val="22"/>
                <w:szCs w:val="22"/>
              </w:rPr>
              <w:t>Annual Costs (dollars)</w:t>
            </w:r>
          </w:p>
        </w:tc>
      </w:tr>
      <w:tr w:rsidR="00332F80" w:rsidRPr="00EE4F87" w14:paraId="0CC8B117" w14:textId="77777777" w:rsidTr="004629B2">
        <w:tc>
          <w:tcPr>
            <w:tcW w:w="1933" w:type="dxa"/>
          </w:tcPr>
          <w:p w14:paraId="7502CF7F"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E4F87">
              <w:rPr>
                <w:sz w:val="22"/>
                <w:szCs w:val="22"/>
              </w:rPr>
              <w:t>Direct Costs to the Federal Government</w:t>
            </w:r>
          </w:p>
        </w:tc>
        <w:tc>
          <w:tcPr>
            <w:tcW w:w="4850" w:type="dxa"/>
            <w:vAlign w:val="center"/>
          </w:tcPr>
          <w:p w14:paraId="07DF3CB1" w14:textId="305807C0" w:rsidR="00332F80" w:rsidRPr="00EE4F87" w:rsidRDefault="0038668E" w:rsidP="00846E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CDC</w:t>
            </w:r>
            <w:r w:rsidR="00332F80" w:rsidRPr="00EE4F87">
              <w:rPr>
                <w:sz w:val="22"/>
                <w:szCs w:val="22"/>
              </w:rPr>
              <w:t xml:space="preserve"> </w:t>
            </w:r>
            <w:r w:rsidR="00846E9C">
              <w:rPr>
                <w:sz w:val="22"/>
                <w:szCs w:val="22"/>
              </w:rPr>
              <w:t>COR</w:t>
            </w:r>
            <w:r w:rsidR="00E2574F" w:rsidRPr="00EE4F87">
              <w:rPr>
                <w:sz w:val="22"/>
                <w:szCs w:val="22"/>
              </w:rPr>
              <w:t xml:space="preserve"> </w:t>
            </w:r>
            <w:r w:rsidR="00332F80" w:rsidRPr="00EE4F87">
              <w:rPr>
                <w:sz w:val="22"/>
                <w:szCs w:val="22"/>
              </w:rPr>
              <w:t>(GS-14 0.20 FTE)</w:t>
            </w:r>
          </w:p>
        </w:tc>
        <w:tc>
          <w:tcPr>
            <w:tcW w:w="1895" w:type="dxa"/>
            <w:vAlign w:val="center"/>
          </w:tcPr>
          <w:p w14:paraId="1A280807"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rPr>
            </w:pPr>
            <w:r w:rsidRPr="00EE4F87">
              <w:rPr>
                <w:sz w:val="22"/>
                <w:szCs w:val="22"/>
              </w:rPr>
              <w:t>$23,362</w:t>
            </w:r>
          </w:p>
        </w:tc>
      </w:tr>
      <w:tr w:rsidR="00332F80" w:rsidRPr="00EE4F87" w14:paraId="68E5496D" w14:textId="77777777" w:rsidTr="004629B2">
        <w:tc>
          <w:tcPr>
            <w:tcW w:w="1933" w:type="dxa"/>
          </w:tcPr>
          <w:p w14:paraId="0A3E69D8"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4850" w:type="dxa"/>
            <w:vAlign w:val="center"/>
          </w:tcPr>
          <w:p w14:paraId="176F3693" w14:textId="3C2E16F5" w:rsidR="00332F80" w:rsidRPr="00EE4F87" w:rsidRDefault="00332F80" w:rsidP="00846E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E4F87">
              <w:rPr>
                <w:sz w:val="22"/>
                <w:szCs w:val="22"/>
              </w:rPr>
              <w:t>CDC</w:t>
            </w:r>
            <w:r w:rsidR="00846E9C">
              <w:rPr>
                <w:sz w:val="22"/>
                <w:szCs w:val="22"/>
              </w:rPr>
              <w:t xml:space="preserve"> Technical Monitor </w:t>
            </w:r>
            <w:r w:rsidRPr="00EE4F87">
              <w:rPr>
                <w:sz w:val="22"/>
                <w:szCs w:val="22"/>
              </w:rPr>
              <w:t>(GS-1</w:t>
            </w:r>
            <w:r w:rsidR="00C1474B" w:rsidRPr="00EE4F87">
              <w:rPr>
                <w:sz w:val="22"/>
                <w:szCs w:val="22"/>
              </w:rPr>
              <w:t>3</w:t>
            </w:r>
            <w:r w:rsidR="00E2574F" w:rsidRPr="00EE4F87">
              <w:rPr>
                <w:sz w:val="22"/>
                <w:szCs w:val="22"/>
              </w:rPr>
              <w:t xml:space="preserve">, </w:t>
            </w:r>
            <w:r w:rsidRPr="00EE4F87">
              <w:rPr>
                <w:sz w:val="22"/>
                <w:szCs w:val="22"/>
              </w:rPr>
              <w:t>0.20 FTE)</w:t>
            </w:r>
          </w:p>
        </w:tc>
        <w:tc>
          <w:tcPr>
            <w:tcW w:w="1895" w:type="dxa"/>
            <w:vAlign w:val="center"/>
          </w:tcPr>
          <w:p w14:paraId="208D543C" w14:textId="6C042ADB" w:rsidR="00332F80" w:rsidRPr="00EE4F87" w:rsidRDefault="00332F80" w:rsidP="00C147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rPr>
            </w:pPr>
            <w:r w:rsidRPr="00EE4F87">
              <w:rPr>
                <w:sz w:val="22"/>
                <w:szCs w:val="22"/>
              </w:rPr>
              <w:t>$</w:t>
            </w:r>
            <w:r w:rsidR="00C1474B" w:rsidRPr="00EE4F87">
              <w:rPr>
                <w:sz w:val="22"/>
                <w:szCs w:val="22"/>
              </w:rPr>
              <w:t>19,770</w:t>
            </w:r>
          </w:p>
        </w:tc>
      </w:tr>
      <w:tr w:rsidR="00332F80" w:rsidRPr="00EE4F87" w14:paraId="4EA6451B" w14:textId="77777777" w:rsidTr="004629B2">
        <w:tc>
          <w:tcPr>
            <w:tcW w:w="1933" w:type="dxa"/>
          </w:tcPr>
          <w:p w14:paraId="3F3ECD50"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4850" w:type="dxa"/>
            <w:vAlign w:val="center"/>
          </w:tcPr>
          <w:p w14:paraId="6757536C" w14:textId="73D8E728" w:rsidR="00332F80" w:rsidRPr="00EE4F87" w:rsidRDefault="00332F80" w:rsidP="00846E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E4F87">
              <w:rPr>
                <w:sz w:val="22"/>
                <w:szCs w:val="22"/>
              </w:rPr>
              <w:t>CDC</w:t>
            </w:r>
            <w:r w:rsidR="00E2574F" w:rsidRPr="00EE4F87">
              <w:rPr>
                <w:sz w:val="22"/>
                <w:szCs w:val="22"/>
              </w:rPr>
              <w:t xml:space="preserve"> Scientist</w:t>
            </w:r>
            <w:r w:rsidR="00846E9C">
              <w:rPr>
                <w:sz w:val="22"/>
                <w:szCs w:val="22"/>
              </w:rPr>
              <w:t xml:space="preserve"> </w:t>
            </w:r>
            <w:r w:rsidRPr="00EE4F87">
              <w:rPr>
                <w:sz w:val="22"/>
                <w:szCs w:val="22"/>
              </w:rPr>
              <w:t>(GS-1</w:t>
            </w:r>
            <w:r w:rsidR="00846E9C">
              <w:rPr>
                <w:sz w:val="22"/>
                <w:szCs w:val="22"/>
              </w:rPr>
              <w:t>4</w:t>
            </w:r>
            <w:r w:rsidRPr="00EE4F87">
              <w:rPr>
                <w:sz w:val="22"/>
                <w:szCs w:val="22"/>
              </w:rPr>
              <w:t>, 0.10 FTE)</w:t>
            </w:r>
          </w:p>
        </w:tc>
        <w:tc>
          <w:tcPr>
            <w:tcW w:w="1895" w:type="dxa"/>
            <w:vAlign w:val="center"/>
          </w:tcPr>
          <w:p w14:paraId="1C283C84"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rPr>
            </w:pPr>
            <w:r w:rsidRPr="00EE4F87">
              <w:rPr>
                <w:sz w:val="22"/>
                <w:szCs w:val="22"/>
              </w:rPr>
              <w:t>$9,885</w:t>
            </w:r>
          </w:p>
        </w:tc>
      </w:tr>
      <w:tr w:rsidR="00332F80" w:rsidRPr="00EE4F87" w14:paraId="6417CD23" w14:textId="77777777" w:rsidTr="004629B2">
        <w:tc>
          <w:tcPr>
            <w:tcW w:w="1933" w:type="dxa"/>
          </w:tcPr>
          <w:p w14:paraId="5BB5FCA4"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4850" w:type="dxa"/>
            <w:vAlign w:val="center"/>
          </w:tcPr>
          <w:p w14:paraId="6FAA05A1" w14:textId="474C97A9" w:rsidR="00332F80" w:rsidRPr="00EE4F87" w:rsidRDefault="00332F80" w:rsidP="00E257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E4F87">
              <w:rPr>
                <w:sz w:val="22"/>
                <w:szCs w:val="22"/>
              </w:rPr>
              <w:t>CDC</w:t>
            </w:r>
            <w:r w:rsidR="00E2574F" w:rsidRPr="00EE4F87">
              <w:rPr>
                <w:sz w:val="22"/>
                <w:szCs w:val="22"/>
              </w:rPr>
              <w:t xml:space="preserve"> Project Coordinator</w:t>
            </w:r>
            <w:r w:rsidRPr="00EE4F87">
              <w:rPr>
                <w:sz w:val="22"/>
                <w:szCs w:val="22"/>
              </w:rPr>
              <w:t xml:space="preserve"> (GS-12, 0.30 FTE) </w:t>
            </w:r>
          </w:p>
        </w:tc>
        <w:tc>
          <w:tcPr>
            <w:tcW w:w="1895" w:type="dxa"/>
            <w:vAlign w:val="center"/>
          </w:tcPr>
          <w:p w14:paraId="68A6DA76"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rPr>
            </w:pPr>
            <w:r w:rsidRPr="00EE4F87">
              <w:rPr>
                <w:sz w:val="22"/>
                <w:szCs w:val="22"/>
              </w:rPr>
              <w:t>$23,471</w:t>
            </w:r>
          </w:p>
        </w:tc>
      </w:tr>
      <w:tr w:rsidR="00332F80" w:rsidRPr="00EE4F87" w14:paraId="6B8192A0" w14:textId="77777777" w:rsidTr="004629B2">
        <w:tc>
          <w:tcPr>
            <w:tcW w:w="1933" w:type="dxa"/>
          </w:tcPr>
          <w:p w14:paraId="0025A39E"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4850" w:type="dxa"/>
            <w:vAlign w:val="center"/>
          </w:tcPr>
          <w:p w14:paraId="3F028717"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E4F87">
              <w:rPr>
                <w:b/>
                <w:sz w:val="22"/>
                <w:szCs w:val="22"/>
              </w:rPr>
              <w:t xml:space="preserve">           Subtotal, Direct Costs</w:t>
            </w:r>
          </w:p>
        </w:tc>
        <w:tc>
          <w:tcPr>
            <w:tcW w:w="1895" w:type="dxa"/>
            <w:vAlign w:val="center"/>
          </w:tcPr>
          <w:p w14:paraId="5F055B04" w14:textId="76ED0DEA" w:rsidR="00332F80" w:rsidRPr="00EE4F87" w:rsidRDefault="00332F80" w:rsidP="00C147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rPr>
            </w:pPr>
            <w:r w:rsidRPr="00EE4F87">
              <w:rPr>
                <w:b/>
                <w:sz w:val="22"/>
                <w:szCs w:val="22"/>
              </w:rPr>
              <w:t>$</w:t>
            </w:r>
            <w:r w:rsidR="00C1474B" w:rsidRPr="00EE4F87">
              <w:rPr>
                <w:b/>
                <w:sz w:val="22"/>
                <w:szCs w:val="22"/>
              </w:rPr>
              <w:t>76,488</w:t>
            </w:r>
          </w:p>
        </w:tc>
      </w:tr>
      <w:tr w:rsidR="00332F80" w:rsidRPr="00EE4F87" w14:paraId="7DDD5C41" w14:textId="77777777" w:rsidTr="004629B2">
        <w:tc>
          <w:tcPr>
            <w:tcW w:w="1933" w:type="dxa"/>
          </w:tcPr>
          <w:p w14:paraId="410561C9" w14:textId="0096B059" w:rsidR="00332F80" w:rsidRPr="00EE4F87" w:rsidRDefault="008519CC" w:rsidP="004629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Contract</w:t>
            </w:r>
            <w:r w:rsidR="00EE4F87" w:rsidRPr="00EE4F87">
              <w:rPr>
                <w:sz w:val="22"/>
                <w:szCs w:val="22"/>
              </w:rPr>
              <w:t xml:space="preserve"> Costs</w:t>
            </w:r>
            <w:r w:rsidR="004629B2">
              <w:rPr>
                <w:sz w:val="22"/>
                <w:szCs w:val="22"/>
              </w:rPr>
              <w:t xml:space="preserve"> </w:t>
            </w:r>
          </w:p>
        </w:tc>
        <w:tc>
          <w:tcPr>
            <w:tcW w:w="4850" w:type="dxa"/>
            <w:vAlign w:val="center"/>
          </w:tcPr>
          <w:p w14:paraId="06852707" w14:textId="62B4F36C" w:rsidR="00332F80" w:rsidRPr="00EE4F87" w:rsidRDefault="008519CC" w:rsidP="0038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Pr>
                <w:b/>
                <w:sz w:val="22"/>
                <w:szCs w:val="22"/>
              </w:rPr>
              <w:t>Annual Contract Costs  (</w:t>
            </w:r>
            <w:r w:rsidR="0038668E">
              <w:rPr>
                <w:b/>
                <w:sz w:val="22"/>
                <w:szCs w:val="22"/>
              </w:rPr>
              <w:t>Atlas</w:t>
            </w:r>
            <w:r>
              <w:rPr>
                <w:b/>
                <w:sz w:val="22"/>
                <w:szCs w:val="22"/>
              </w:rPr>
              <w:t xml:space="preserve">, </w:t>
            </w:r>
            <w:r w:rsidR="00104E90">
              <w:rPr>
                <w:b/>
                <w:sz w:val="22"/>
                <w:szCs w:val="22"/>
              </w:rPr>
              <w:t>#</w:t>
            </w:r>
            <w:r w:rsidRPr="008519CC">
              <w:rPr>
                <w:b/>
                <w:sz w:val="22"/>
                <w:szCs w:val="22"/>
              </w:rPr>
              <w:t>200-2013-57341</w:t>
            </w:r>
            <w:r w:rsidR="00104E90">
              <w:rPr>
                <w:b/>
                <w:sz w:val="22"/>
                <w:szCs w:val="22"/>
              </w:rPr>
              <w:t>)</w:t>
            </w:r>
            <w:r w:rsidR="00332F80" w:rsidRPr="00EE4F87">
              <w:rPr>
                <w:b/>
                <w:sz w:val="22"/>
                <w:szCs w:val="22"/>
              </w:rPr>
              <w:t xml:space="preserve">               </w:t>
            </w:r>
          </w:p>
        </w:tc>
        <w:tc>
          <w:tcPr>
            <w:tcW w:w="1895" w:type="dxa"/>
            <w:vAlign w:val="center"/>
          </w:tcPr>
          <w:p w14:paraId="3D36E433" w14:textId="2C880E50" w:rsidR="00332F80" w:rsidRPr="00EE4F87" w:rsidRDefault="00332F80" w:rsidP="0038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sz w:val="22"/>
                <w:szCs w:val="22"/>
              </w:rPr>
            </w:pPr>
            <w:r w:rsidRPr="00EE4F87">
              <w:rPr>
                <w:b/>
                <w:sz w:val="22"/>
                <w:szCs w:val="22"/>
              </w:rPr>
              <w:t>$</w:t>
            </w:r>
            <w:r w:rsidR="0038668E">
              <w:rPr>
                <w:b/>
                <w:sz w:val="22"/>
                <w:szCs w:val="22"/>
              </w:rPr>
              <w:t>399,816</w:t>
            </w:r>
          </w:p>
        </w:tc>
      </w:tr>
      <w:tr w:rsidR="00332F80" w:rsidRPr="00603813" w14:paraId="00643FEF" w14:textId="77777777" w:rsidTr="004629B2">
        <w:tc>
          <w:tcPr>
            <w:tcW w:w="1933" w:type="dxa"/>
          </w:tcPr>
          <w:p w14:paraId="302920C0"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4850" w:type="dxa"/>
          </w:tcPr>
          <w:p w14:paraId="34DA3866"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EE4F87">
              <w:rPr>
                <w:b/>
                <w:sz w:val="22"/>
                <w:szCs w:val="22"/>
              </w:rPr>
              <w:t xml:space="preserve">TOTAL COST TO THE GOVERNMENT </w:t>
            </w:r>
          </w:p>
        </w:tc>
        <w:tc>
          <w:tcPr>
            <w:tcW w:w="1895" w:type="dxa"/>
          </w:tcPr>
          <w:p w14:paraId="32B261F2" w14:textId="51348F6E" w:rsidR="00332F80" w:rsidRPr="00EE4F87" w:rsidRDefault="0038668E" w:rsidP="0038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sz w:val="22"/>
                <w:szCs w:val="22"/>
              </w:rPr>
            </w:pPr>
            <w:r>
              <w:rPr>
                <w:b/>
                <w:sz w:val="22"/>
                <w:szCs w:val="22"/>
              </w:rPr>
              <w:t>$476,304</w:t>
            </w:r>
          </w:p>
        </w:tc>
      </w:tr>
    </w:tbl>
    <w:p w14:paraId="0027368F" w14:textId="27653571" w:rsidR="00B12EA3" w:rsidRDefault="00B12EA3" w:rsidP="00E53653">
      <w:pPr>
        <w:pStyle w:val="Heading1"/>
      </w:pPr>
      <w:bookmarkStart w:id="27" w:name="_Toc448296088"/>
      <w:r w:rsidRPr="00B12EA3">
        <w:t>Explanation for Program Changes or Adjustments</w:t>
      </w:r>
      <w:bookmarkEnd w:id="27"/>
    </w:p>
    <w:p w14:paraId="7B64AF2A" w14:textId="77777777" w:rsidR="00332F80" w:rsidRDefault="00332F80" w:rsidP="00F951D1"/>
    <w:p w14:paraId="1D2DA6C4" w14:textId="7E50C37A" w:rsidR="005E6F8D" w:rsidRPr="00E90840" w:rsidRDefault="00332F80" w:rsidP="00E90840">
      <w:pPr>
        <w:autoSpaceDE w:val="0"/>
        <w:autoSpaceDN w:val="0"/>
        <w:adjustRightInd w:val="0"/>
        <w:contextualSpacing/>
        <w:jc w:val="both"/>
        <w:rPr>
          <w:bCs/>
        </w:rPr>
      </w:pPr>
      <w:r w:rsidRPr="00603813">
        <w:rPr>
          <w:bCs/>
        </w:rPr>
        <w:t xml:space="preserve">This is a new </w:t>
      </w:r>
      <w:proofErr w:type="gramStart"/>
      <w:r>
        <w:rPr>
          <w:bCs/>
        </w:rPr>
        <w:t>GenIC</w:t>
      </w:r>
      <w:proofErr w:type="gramEnd"/>
      <w:r w:rsidRPr="00603813">
        <w:rPr>
          <w:bCs/>
        </w:rPr>
        <w:t xml:space="preserve"> information collection request (ICR). </w:t>
      </w:r>
    </w:p>
    <w:p w14:paraId="6DB91386" w14:textId="33251CB3" w:rsidR="00332F80" w:rsidRDefault="00B12EA3" w:rsidP="00026DB7">
      <w:pPr>
        <w:pStyle w:val="Heading1"/>
      </w:pPr>
      <w:bookmarkStart w:id="28" w:name="_Toc448296089"/>
      <w:r w:rsidRPr="00C46977">
        <w:t>Plans for Tabulation and Publication and Project Time Schedule</w:t>
      </w:r>
      <w:bookmarkEnd w:id="28"/>
    </w:p>
    <w:p w14:paraId="31CAD07A" w14:textId="77777777" w:rsidR="00104E90" w:rsidRDefault="00104E90" w:rsidP="00104E90"/>
    <w:p w14:paraId="5892749C" w14:textId="5F89022C" w:rsidR="00104E90" w:rsidRDefault="00104E90" w:rsidP="00104E90">
      <w:pPr>
        <w:jc w:val="both"/>
      </w:pPr>
      <w:r w:rsidRPr="00603813">
        <w:t xml:space="preserve">Tabulation will include descriptive characteristics of respondents collected in the first part of the interview (e.g., city, </w:t>
      </w:r>
      <w:r>
        <w:t>age, race/ethnicity, job category</w:t>
      </w:r>
      <w:r w:rsidRPr="00603813">
        <w:t xml:space="preserve">).  </w:t>
      </w:r>
      <w:r>
        <w:t xml:space="preserve">Data collection will occur between </w:t>
      </w:r>
      <w:proofErr w:type="gramStart"/>
      <w:r w:rsidR="008A4E7B">
        <w:t>January</w:t>
      </w:r>
      <w:proofErr w:type="gramEnd"/>
      <w:r w:rsidR="008A4E7B">
        <w:t xml:space="preserve"> </w:t>
      </w:r>
      <w:r w:rsidR="00901DC6">
        <w:t xml:space="preserve">to April </w:t>
      </w:r>
      <w:r w:rsidR="008A4E7B">
        <w:t>2017</w:t>
      </w:r>
      <w:r>
        <w:t xml:space="preserve">, analyses will be carried out in </w:t>
      </w:r>
      <w:r w:rsidR="00C43CAC">
        <w:t>May</w:t>
      </w:r>
      <w:r w:rsidR="008A4E7B">
        <w:t xml:space="preserve"> </w:t>
      </w:r>
      <w:r w:rsidR="00C43CAC">
        <w:t>– July</w:t>
      </w:r>
      <w:r>
        <w:t xml:space="preserve"> 2017, and the final data set and report will be submitted in </w:t>
      </w:r>
      <w:r w:rsidR="00C43CAC">
        <w:t>August</w:t>
      </w:r>
      <w:r>
        <w:t xml:space="preserve"> 2017. </w:t>
      </w:r>
      <w:r w:rsidRPr="00603813">
        <w:t>The project timeline is detailed in exhibit 16.1.</w:t>
      </w:r>
    </w:p>
    <w:p w14:paraId="4CAC9CCE" w14:textId="77777777" w:rsidR="00104E90" w:rsidRPr="00104E90" w:rsidRDefault="00104E90" w:rsidP="00104E90"/>
    <w:p w14:paraId="6EFB6473" w14:textId="640E6084" w:rsidR="00E86C70" w:rsidRPr="007376F4" w:rsidRDefault="00E86C70" w:rsidP="00E6566E">
      <w:pPr>
        <w:pStyle w:val="Caption"/>
        <w:keepNext/>
      </w:pPr>
      <w:bookmarkStart w:id="29" w:name="_Toc449541626"/>
      <w:r w:rsidRPr="00E6566E">
        <w:rPr>
          <w:sz w:val="24"/>
          <w:szCs w:val="24"/>
        </w:rPr>
        <w:t xml:space="preserve">Exhibit </w:t>
      </w:r>
      <w:r w:rsidR="00C91C02">
        <w:rPr>
          <w:sz w:val="24"/>
          <w:szCs w:val="24"/>
        </w:rPr>
        <w:fldChar w:fldCharType="begin"/>
      </w:r>
      <w:r w:rsidR="00C91C02">
        <w:rPr>
          <w:sz w:val="24"/>
          <w:szCs w:val="24"/>
        </w:rPr>
        <w:instrText xml:space="preserve"> STYLEREF 1 \s </w:instrText>
      </w:r>
      <w:r w:rsidR="00C91C02">
        <w:rPr>
          <w:sz w:val="24"/>
          <w:szCs w:val="24"/>
        </w:rPr>
        <w:fldChar w:fldCharType="separate"/>
      </w:r>
      <w:r w:rsidR="00C91C02">
        <w:rPr>
          <w:noProof/>
          <w:sz w:val="24"/>
          <w:szCs w:val="24"/>
        </w:rPr>
        <w:t>16</w:t>
      </w:r>
      <w:r w:rsidR="00C91C02">
        <w:rPr>
          <w:sz w:val="24"/>
          <w:szCs w:val="24"/>
        </w:rPr>
        <w:fldChar w:fldCharType="end"/>
      </w:r>
      <w:r w:rsidR="00C91C02">
        <w:rPr>
          <w:sz w:val="24"/>
          <w:szCs w:val="24"/>
        </w:rPr>
        <w:t>.</w:t>
      </w:r>
      <w:r w:rsidR="00C91C02">
        <w:rPr>
          <w:sz w:val="24"/>
          <w:szCs w:val="24"/>
        </w:rPr>
        <w:fldChar w:fldCharType="begin"/>
      </w:r>
      <w:r w:rsidR="00C91C02">
        <w:rPr>
          <w:sz w:val="24"/>
          <w:szCs w:val="24"/>
        </w:rPr>
        <w:instrText xml:space="preserve"> SEQ Exhibit \* ARABIC \s 1 </w:instrText>
      </w:r>
      <w:r w:rsidR="00C91C02">
        <w:rPr>
          <w:sz w:val="24"/>
          <w:szCs w:val="24"/>
        </w:rPr>
        <w:fldChar w:fldCharType="separate"/>
      </w:r>
      <w:r w:rsidR="00C91C02">
        <w:rPr>
          <w:noProof/>
          <w:sz w:val="24"/>
          <w:szCs w:val="24"/>
        </w:rPr>
        <w:t>1</w:t>
      </w:r>
      <w:r w:rsidR="00C91C02">
        <w:rPr>
          <w:sz w:val="24"/>
          <w:szCs w:val="24"/>
        </w:rPr>
        <w:fldChar w:fldCharType="end"/>
      </w:r>
      <w:r w:rsidRPr="00E6566E">
        <w:rPr>
          <w:sz w:val="24"/>
          <w:szCs w:val="24"/>
        </w:rPr>
        <w:t>: Project Time Schedule</w:t>
      </w:r>
      <w:bookmarkEnd w:id="29"/>
    </w:p>
    <w:p w14:paraId="487B57C1" w14:textId="77777777" w:rsidR="00E86C70" w:rsidRPr="00E86C70" w:rsidRDefault="00E86C70" w:rsidP="00E86C70"/>
    <w:tbl>
      <w:tblPr>
        <w:tblW w:w="0" w:type="auto"/>
        <w:jc w:val="center"/>
        <w:tblCellMar>
          <w:left w:w="0" w:type="dxa"/>
          <w:right w:w="0" w:type="dxa"/>
        </w:tblCellMar>
        <w:tblLook w:val="04A0" w:firstRow="1" w:lastRow="0" w:firstColumn="1" w:lastColumn="0" w:noHBand="0" w:noVBand="1"/>
      </w:tblPr>
      <w:tblGrid>
        <w:gridCol w:w="3480"/>
        <w:gridCol w:w="3660"/>
      </w:tblGrid>
      <w:tr w:rsidR="00332F80" w:rsidRPr="00E6566E" w14:paraId="73430BF7" w14:textId="77777777" w:rsidTr="005B4518">
        <w:trPr>
          <w:jc w:val="center"/>
        </w:trPr>
        <w:tc>
          <w:tcPr>
            <w:tcW w:w="34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2EF9C8" w14:textId="77777777" w:rsidR="00332F80" w:rsidRPr="00E6566E" w:rsidRDefault="00332F80" w:rsidP="005B4518">
            <w:pPr>
              <w:spacing w:before="100" w:beforeAutospacing="1" w:after="100" w:afterAutospacing="1"/>
            </w:pPr>
            <w:r w:rsidRPr="00E6566E">
              <w:t> </w:t>
            </w:r>
          </w:p>
          <w:p w14:paraId="55316278" w14:textId="77777777" w:rsidR="00332F80" w:rsidRPr="00E6566E" w:rsidRDefault="00332F80" w:rsidP="005B4518">
            <w:pPr>
              <w:spacing w:before="100" w:beforeAutospacing="1" w:after="100" w:afterAutospacing="1"/>
            </w:pPr>
            <w:r w:rsidRPr="00E6566E">
              <w:rPr>
                <w:b/>
                <w:bCs/>
              </w:rPr>
              <w:t>Activity</w:t>
            </w:r>
          </w:p>
        </w:tc>
        <w:tc>
          <w:tcPr>
            <w:tcW w:w="36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9B7653" w14:textId="77777777" w:rsidR="00332F80" w:rsidRPr="00E6566E" w:rsidRDefault="00332F80" w:rsidP="005B4518">
            <w:pPr>
              <w:spacing w:before="100" w:beforeAutospacing="1" w:after="100" w:afterAutospacing="1"/>
              <w:jc w:val="center"/>
            </w:pPr>
            <w:r w:rsidRPr="00E6566E">
              <w:t> </w:t>
            </w:r>
          </w:p>
          <w:p w14:paraId="01173B1A" w14:textId="77777777" w:rsidR="00332F80" w:rsidRPr="00E6566E" w:rsidRDefault="00332F80" w:rsidP="005B4518">
            <w:pPr>
              <w:spacing w:before="100" w:beforeAutospacing="1" w:after="100" w:afterAutospacing="1"/>
              <w:jc w:val="center"/>
            </w:pPr>
            <w:r w:rsidRPr="00E6566E">
              <w:rPr>
                <w:b/>
                <w:bCs/>
              </w:rPr>
              <w:t>Time Schedule</w:t>
            </w:r>
          </w:p>
        </w:tc>
      </w:tr>
      <w:tr w:rsidR="00332F80" w:rsidRPr="00E6566E" w14:paraId="40045A51" w14:textId="77777777" w:rsidTr="00F15707">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2EF36C" w14:textId="1217293F" w:rsidR="00332F80" w:rsidRPr="005E6F8D" w:rsidRDefault="00332F80" w:rsidP="00244129">
            <w:pPr>
              <w:spacing w:before="100" w:beforeAutospacing="1" w:after="100" w:afterAutospacing="1"/>
            </w:pPr>
            <w:r w:rsidRPr="005E6F8D">
              <w:t>D</w:t>
            </w:r>
            <w:r w:rsidR="00347120" w:rsidRPr="005E6F8D">
              <w:t>evelop d</w:t>
            </w:r>
            <w:r w:rsidRPr="005E6F8D">
              <w:t>ata collection tools, sampling and data p</w:t>
            </w:r>
            <w:r w:rsidR="00C70483" w:rsidRPr="005E6F8D">
              <w:t>l</w:t>
            </w:r>
            <w:r w:rsidRPr="005E6F8D">
              <w:t>ans, study protocol</w:t>
            </w:r>
            <w:r w:rsidR="00C43CAC">
              <w:t>, IRB and PD approvals</w:t>
            </w:r>
            <w:r w:rsidRPr="005E6F8D">
              <w:t xml:space="preserve">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14:paraId="1A3D62CF" w14:textId="5885DE47" w:rsidR="00332F80" w:rsidRPr="005E6F8D" w:rsidRDefault="00C43CAC" w:rsidP="00244129">
            <w:pPr>
              <w:spacing w:before="100" w:beforeAutospacing="1" w:after="100" w:afterAutospacing="1"/>
            </w:pPr>
            <w:r>
              <w:t>October - July</w:t>
            </w:r>
            <w:r w:rsidR="00104E90" w:rsidRPr="005E6F8D">
              <w:t xml:space="preserve"> 2016</w:t>
            </w:r>
          </w:p>
        </w:tc>
      </w:tr>
      <w:tr w:rsidR="006343C9" w:rsidRPr="00E6566E" w14:paraId="5C38A9A3" w14:textId="77777777" w:rsidTr="00244129">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E927C6" w14:textId="04D0C1A3" w:rsidR="006343C9" w:rsidRPr="005E6F8D" w:rsidRDefault="006343C9" w:rsidP="00244129">
            <w:pPr>
              <w:spacing w:before="100" w:beforeAutospacing="1" w:after="100" w:afterAutospacing="1"/>
            </w:pPr>
            <w:r w:rsidRPr="005E6F8D">
              <w:t>OMB Submission</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14:paraId="7FA79CD6" w14:textId="4D39F0CB" w:rsidR="006343C9" w:rsidRPr="005E6F8D" w:rsidRDefault="003D2D57" w:rsidP="00244129">
            <w:pPr>
              <w:spacing w:before="100" w:beforeAutospacing="1" w:after="100" w:afterAutospacing="1"/>
            </w:pPr>
            <w:r>
              <w:t>October</w:t>
            </w:r>
            <w:r w:rsidR="00104E90" w:rsidRPr="005E6F8D">
              <w:t xml:space="preserve"> 2016</w:t>
            </w:r>
          </w:p>
        </w:tc>
      </w:tr>
      <w:tr w:rsidR="00332F80" w:rsidRPr="00E6566E" w14:paraId="07D8F5AB" w14:textId="77777777" w:rsidTr="00F15707">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09BB55" w14:textId="77777777" w:rsidR="00332F80" w:rsidRPr="005E6F8D" w:rsidRDefault="00332F80" w:rsidP="00244129">
            <w:pPr>
              <w:spacing w:before="100" w:beforeAutospacing="1" w:after="100" w:afterAutospacing="1"/>
            </w:pPr>
            <w:r w:rsidRPr="005E6F8D">
              <w:t>Recruitment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14:paraId="4A64608E" w14:textId="7AC06C81" w:rsidR="00332F80" w:rsidRPr="005E6F8D" w:rsidRDefault="00104E90" w:rsidP="00244129">
            <w:pPr>
              <w:spacing w:before="100" w:beforeAutospacing="1" w:after="100" w:afterAutospacing="1"/>
            </w:pPr>
            <w:r w:rsidRPr="005E6F8D">
              <w:t>After OMB Approval</w:t>
            </w:r>
          </w:p>
        </w:tc>
      </w:tr>
      <w:tr w:rsidR="00332F80" w:rsidRPr="00E6566E" w14:paraId="08023755" w14:textId="77777777" w:rsidTr="00F15707">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554F94" w14:textId="77777777" w:rsidR="00332F80" w:rsidRPr="005E6F8D" w:rsidRDefault="00332F80" w:rsidP="00244129">
            <w:pPr>
              <w:spacing w:before="100" w:beforeAutospacing="1" w:after="100" w:afterAutospacing="1"/>
            </w:pPr>
            <w:r w:rsidRPr="005E6F8D">
              <w:t>Data Collection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14:paraId="48DAABEB" w14:textId="430F82AE" w:rsidR="00332F80" w:rsidRPr="005E6F8D" w:rsidRDefault="00104E90" w:rsidP="00244129">
            <w:pPr>
              <w:spacing w:before="100" w:beforeAutospacing="1" w:after="100" w:afterAutospacing="1"/>
            </w:pPr>
            <w:r w:rsidRPr="005E6F8D">
              <w:t>1-4 months after OMB Approval</w:t>
            </w:r>
          </w:p>
        </w:tc>
      </w:tr>
      <w:tr w:rsidR="00332F80" w:rsidRPr="00E6566E" w14:paraId="31B61FEB" w14:textId="77777777" w:rsidTr="00F15707">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116D00" w14:textId="77777777" w:rsidR="00332F80" w:rsidRPr="005E6F8D" w:rsidRDefault="00332F80" w:rsidP="00244129">
            <w:pPr>
              <w:spacing w:before="100" w:beforeAutospacing="1" w:after="100" w:afterAutospacing="1"/>
            </w:pPr>
            <w:r w:rsidRPr="005E6F8D">
              <w:t>Data analysis finalized and report drafted</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8F90E3" w14:textId="0C4404AB" w:rsidR="00332F80" w:rsidRPr="005E6F8D" w:rsidRDefault="001D6DDB" w:rsidP="00244129">
            <w:pPr>
              <w:spacing w:before="100" w:beforeAutospacing="1" w:after="100" w:afterAutospacing="1"/>
            </w:pPr>
            <w:r w:rsidRPr="005E6F8D">
              <w:t>5-7</w:t>
            </w:r>
            <w:r w:rsidR="00104E90" w:rsidRPr="005E6F8D">
              <w:t xml:space="preserve"> months after OMB Approval</w:t>
            </w:r>
          </w:p>
        </w:tc>
      </w:tr>
      <w:tr w:rsidR="00332F80" w:rsidRPr="00603813" w14:paraId="7BF6EC30" w14:textId="77777777" w:rsidTr="00F15707">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F350D7" w14:textId="77777777" w:rsidR="00332F80" w:rsidRPr="005E6F8D" w:rsidRDefault="00332F80" w:rsidP="00244129">
            <w:pPr>
              <w:spacing w:before="100" w:beforeAutospacing="1" w:after="100" w:afterAutospacing="1"/>
            </w:pPr>
            <w:r w:rsidRPr="005E6F8D">
              <w:t>Final data set and final report submitted to CDC</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14:paraId="3B71131C" w14:textId="7BA636CC" w:rsidR="00332F80" w:rsidRPr="005E6F8D" w:rsidRDefault="001D6DDB" w:rsidP="00244129">
            <w:pPr>
              <w:spacing w:before="100" w:beforeAutospacing="1" w:after="100" w:afterAutospacing="1"/>
            </w:pPr>
            <w:r w:rsidRPr="005E6F8D">
              <w:t>8</w:t>
            </w:r>
            <w:r w:rsidR="008A4E7B" w:rsidRPr="005E6F8D">
              <w:t xml:space="preserve"> months after OMB Approval </w:t>
            </w:r>
          </w:p>
        </w:tc>
      </w:tr>
    </w:tbl>
    <w:p w14:paraId="7A65115B" w14:textId="77777777" w:rsidR="00041B9F" w:rsidRDefault="00041B9F" w:rsidP="00332F80">
      <w:pPr>
        <w:jc w:val="both"/>
        <w:rPr>
          <w:highlight w:val="yellow"/>
        </w:rPr>
      </w:pPr>
    </w:p>
    <w:p w14:paraId="1257D8A8" w14:textId="4078D4CB" w:rsidR="00041B9F" w:rsidRPr="005E6F8D" w:rsidRDefault="00041B9F" w:rsidP="00332F80">
      <w:pPr>
        <w:jc w:val="both"/>
      </w:pPr>
      <w:r>
        <w:t>In compliance with the CDC policy on data management</w:t>
      </w:r>
      <w:r w:rsidR="00E95231">
        <w:t xml:space="preserve"> and access</w:t>
      </w:r>
      <w:r>
        <w:t>, we will develop a final, de-identified (names, other PII, and locations will be removed) qualitative database for this study along with the corresponding data documentation, which will be made publicly available within 30 months of the end of data collection.</w:t>
      </w:r>
    </w:p>
    <w:p w14:paraId="5E10EBF4" w14:textId="70DD4E06" w:rsidR="00B12EA3" w:rsidRDefault="00B12EA3" w:rsidP="00E53653">
      <w:pPr>
        <w:pStyle w:val="Heading1"/>
      </w:pPr>
      <w:bookmarkStart w:id="30" w:name="_Toc448296090"/>
      <w:r w:rsidRPr="00B12EA3">
        <w:t>Reason(s) Display of OMB Expiration Date is Inappropriate</w:t>
      </w:r>
      <w:bookmarkEnd w:id="30"/>
    </w:p>
    <w:p w14:paraId="4A38EA5F" w14:textId="77777777" w:rsidR="00332F80" w:rsidRDefault="00332F80" w:rsidP="00F951D1"/>
    <w:p w14:paraId="22EFCC05" w14:textId="6B5C4C78" w:rsidR="00332F80" w:rsidRPr="00F951D1" w:rsidRDefault="00332F80" w:rsidP="00F951D1">
      <w:r w:rsidRPr="00603813">
        <w:t xml:space="preserve">We do not seek approval to eliminate the expiration date. </w:t>
      </w:r>
    </w:p>
    <w:p w14:paraId="64729C1A" w14:textId="52431784" w:rsidR="00542640" w:rsidRDefault="00B12EA3" w:rsidP="00E53653">
      <w:pPr>
        <w:pStyle w:val="Heading1"/>
      </w:pPr>
      <w:bookmarkStart w:id="31" w:name="_Toc448296091"/>
      <w:r w:rsidRPr="00B12EA3">
        <w:t>E</w:t>
      </w:r>
      <w:r w:rsidRPr="00E53653">
        <w:rPr>
          <w:rStyle w:val="Heading1Char"/>
        </w:rPr>
        <w:t>x</w:t>
      </w:r>
      <w:r w:rsidRPr="00B12EA3">
        <w:t>ceptions to Certification for Paperwork Reduction Act Submissions</w:t>
      </w:r>
      <w:bookmarkEnd w:id="31"/>
    </w:p>
    <w:p w14:paraId="1BDB8BCE" w14:textId="77777777" w:rsidR="00332F80" w:rsidRDefault="00332F80" w:rsidP="00F951D1"/>
    <w:p w14:paraId="7C4350FB" w14:textId="02726F4A" w:rsidR="006869D4" w:rsidRDefault="00332F80" w:rsidP="00720709">
      <w:r w:rsidRPr="00332F80">
        <w:t>There are no exemptions to the certification.</w:t>
      </w:r>
    </w:p>
    <w:p w14:paraId="642FBD9A" w14:textId="7AD6C761" w:rsidR="00CC6AB1" w:rsidRDefault="00CC6AB1">
      <w:pPr>
        <w:spacing w:after="200" w:line="276" w:lineRule="auto"/>
      </w:pPr>
      <w:r>
        <w:br w:type="page"/>
      </w:r>
    </w:p>
    <w:p w14:paraId="3B1F07CF" w14:textId="42715CD6" w:rsidR="005C7B17" w:rsidRDefault="006C655A" w:rsidP="001D6DDB">
      <w:pPr>
        <w:pStyle w:val="Heading1"/>
        <w:numPr>
          <w:ilvl w:val="0"/>
          <w:numId w:val="0"/>
        </w:numPr>
      </w:pPr>
      <w:bookmarkStart w:id="32" w:name="_Toc448296092"/>
      <w:r>
        <w:t>References:</w:t>
      </w:r>
      <w:bookmarkEnd w:id="32"/>
    </w:p>
    <w:p w14:paraId="5ACA0C6A" w14:textId="77777777" w:rsidR="001D6DDB" w:rsidRDefault="001D6DDB" w:rsidP="001D6DDB">
      <w:pPr>
        <w:tabs>
          <w:tab w:val="left" w:pos="2204"/>
        </w:tabs>
      </w:pPr>
      <w:r>
        <w:tab/>
      </w:r>
    </w:p>
    <w:p w14:paraId="2441AE58" w14:textId="77777777" w:rsidR="001D6DDB" w:rsidRDefault="001D6DDB" w:rsidP="001D6DDB">
      <w:pPr>
        <w:tabs>
          <w:tab w:val="left" w:pos="2204"/>
        </w:tabs>
      </w:pPr>
    </w:p>
    <w:p w14:paraId="68F80A3A" w14:textId="77777777" w:rsidR="00C43CAC" w:rsidRDefault="00C43CAC" w:rsidP="00C43CAC">
      <w:pPr>
        <w:tabs>
          <w:tab w:val="left" w:pos="2204"/>
        </w:tabs>
        <w:rPr>
          <w:noProof/>
        </w:rPr>
      </w:pPr>
      <w:r>
        <w:rPr>
          <w:noProof/>
        </w:rPr>
        <w:t>Baral, S., Logie, C. H., Grosso, A., Wirtz, A. L., &amp; Beyrer, C. (2013). Modified social ecological model: a tool to guide the assessment of the risks and risk contexts of HIV epidemics. BMC Public Health , 13 (482), 1-8.</w:t>
      </w:r>
    </w:p>
    <w:p w14:paraId="0DD038AC" w14:textId="77777777" w:rsidR="00C43CAC" w:rsidRDefault="00C43CAC" w:rsidP="00C43CAC">
      <w:pPr>
        <w:tabs>
          <w:tab w:val="left" w:pos="2204"/>
        </w:tabs>
        <w:rPr>
          <w:noProof/>
        </w:rPr>
      </w:pPr>
    </w:p>
    <w:p w14:paraId="2707DCA4" w14:textId="77777777" w:rsidR="00C43CAC" w:rsidRDefault="00C43CAC" w:rsidP="00C43CAC">
      <w:pPr>
        <w:tabs>
          <w:tab w:val="left" w:pos="2204"/>
        </w:tabs>
        <w:rPr>
          <w:noProof/>
        </w:rPr>
      </w:pPr>
      <w:r>
        <w:rPr>
          <w:noProof/>
        </w:rPr>
        <w:t>Bockting, W. O., Robinson, B. E., &amp; Rosser, B. R. (1998). Transgender HIV Prevention: A qualitative needs assessment. AIDS Care , 10, 505-526.</w:t>
      </w:r>
    </w:p>
    <w:p w14:paraId="081AD795" w14:textId="77777777" w:rsidR="00C43CAC" w:rsidRDefault="00C43CAC" w:rsidP="00C43CAC">
      <w:pPr>
        <w:tabs>
          <w:tab w:val="left" w:pos="2204"/>
        </w:tabs>
        <w:rPr>
          <w:noProof/>
        </w:rPr>
      </w:pPr>
    </w:p>
    <w:p w14:paraId="73A8596A" w14:textId="77777777" w:rsidR="00C43CAC" w:rsidRDefault="00C43CAC" w:rsidP="00C43CAC">
      <w:pPr>
        <w:tabs>
          <w:tab w:val="left" w:pos="2204"/>
        </w:tabs>
        <w:rPr>
          <w:noProof/>
        </w:rPr>
      </w:pPr>
      <w:r>
        <w:rPr>
          <w:noProof/>
        </w:rPr>
        <w:t>Bockting, W., Robinson, B., Forberg, J., &amp; Scheltema, K. (2005). Evaluation of a sexual health approach to reducing HIV/STD risk in the transgender community. AIDS Care , 17 (3), 289-303.</w:t>
      </w:r>
    </w:p>
    <w:p w14:paraId="08CD3258" w14:textId="77777777" w:rsidR="00C43CAC" w:rsidRDefault="00C43CAC" w:rsidP="00C43CAC">
      <w:pPr>
        <w:tabs>
          <w:tab w:val="left" w:pos="2204"/>
        </w:tabs>
        <w:rPr>
          <w:noProof/>
        </w:rPr>
      </w:pPr>
    </w:p>
    <w:p w14:paraId="1C7B2F8C" w14:textId="77777777" w:rsidR="00C43CAC" w:rsidRDefault="00C43CAC" w:rsidP="00C43CAC">
      <w:pPr>
        <w:tabs>
          <w:tab w:val="left" w:pos="2204"/>
        </w:tabs>
        <w:rPr>
          <w:noProof/>
        </w:rPr>
      </w:pPr>
      <w:r>
        <w:rPr>
          <w:noProof/>
        </w:rPr>
        <w:t>Brennan, J., Kuhns, L. M., Johnson, A. K., Belzer, M., Wilson, E. C., &amp; Garofalo, R. (2012). Syndemic theory and HIV-related risk among young transgender women: the role of multiple, co-occurring health problems and social marginalization. American Journal of Public Health , 102 (9), 1751-1757.</w:t>
      </w:r>
    </w:p>
    <w:p w14:paraId="43110AD2" w14:textId="77777777" w:rsidR="00C43CAC" w:rsidRDefault="00C43CAC" w:rsidP="00C43CAC">
      <w:pPr>
        <w:tabs>
          <w:tab w:val="left" w:pos="2204"/>
        </w:tabs>
        <w:rPr>
          <w:noProof/>
        </w:rPr>
      </w:pPr>
    </w:p>
    <w:p w14:paraId="3CDBC109" w14:textId="77777777" w:rsidR="00C43CAC" w:rsidRDefault="00C43CAC" w:rsidP="00C43CAC">
      <w:pPr>
        <w:tabs>
          <w:tab w:val="left" w:pos="2204"/>
        </w:tabs>
        <w:rPr>
          <w:noProof/>
        </w:rPr>
      </w:pPr>
      <w:r>
        <w:rPr>
          <w:noProof/>
        </w:rPr>
        <w:t>Crosby, R. A., &amp; Pitts, N. L. (2007). Caught between different worlds: how transgendered women may be "forced" into risky sex. Journal of Sex Research , 44 (1), 43-48.</w:t>
      </w:r>
    </w:p>
    <w:p w14:paraId="7FD9049C" w14:textId="77777777" w:rsidR="00C43CAC" w:rsidRDefault="00C43CAC" w:rsidP="00C43CAC">
      <w:pPr>
        <w:tabs>
          <w:tab w:val="left" w:pos="2204"/>
        </w:tabs>
        <w:rPr>
          <w:noProof/>
        </w:rPr>
      </w:pPr>
    </w:p>
    <w:p w14:paraId="5589526E" w14:textId="77777777" w:rsidR="00C43CAC" w:rsidRDefault="00C43CAC" w:rsidP="00C43CAC">
      <w:pPr>
        <w:tabs>
          <w:tab w:val="left" w:pos="2204"/>
        </w:tabs>
        <w:rPr>
          <w:noProof/>
        </w:rPr>
      </w:pPr>
      <w:r>
        <w:rPr>
          <w:noProof/>
        </w:rPr>
        <w:t>Deutsch, M. B., Glidden, D. V., Sevelius, J., Keatley, J., McMahan, V., Guanira, J., et al. (2015). HIV pre-exposure prophylaxis in transgender women: A sub-group analysis of the iPrEx trial. The Lancet .</w:t>
      </w:r>
    </w:p>
    <w:p w14:paraId="4392CB35" w14:textId="77777777" w:rsidR="00C43CAC" w:rsidRDefault="00C43CAC" w:rsidP="00C43CAC">
      <w:pPr>
        <w:tabs>
          <w:tab w:val="left" w:pos="2204"/>
        </w:tabs>
        <w:rPr>
          <w:noProof/>
        </w:rPr>
      </w:pPr>
    </w:p>
    <w:p w14:paraId="102C2FD6" w14:textId="77777777" w:rsidR="00C43CAC" w:rsidRDefault="00C43CAC" w:rsidP="00C43CAC">
      <w:pPr>
        <w:tabs>
          <w:tab w:val="left" w:pos="2204"/>
        </w:tabs>
        <w:rPr>
          <w:noProof/>
        </w:rPr>
      </w:pPr>
      <w:r>
        <w:rPr>
          <w:noProof/>
        </w:rPr>
        <w:t>Garofalo, R., Deleon, J., Osmer, E., Doll, M., &amp; Harpe, G. (2006). Overlooked, misunderstood and at-risk: Exploring the lives and HIV risk of ethnic minority male-to-female transgender youth. J Adolesc Health , 38, 230-236.</w:t>
      </w:r>
    </w:p>
    <w:p w14:paraId="718A97E1" w14:textId="77777777" w:rsidR="00C43CAC" w:rsidRDefault="00C43CAC" w:rsidP="00C43CAC">
      <w:pPr>
        <w:tabs>
          <w:tab w:val="left" w:pos="2204"/>
        </w:tabs>
        <w:rPr>
          <w:noProof/>
        </w:rPr>
      </w:pPr>
    </w:p>
    <w:p w14:paraId="0A33F179" w14:textId="77777777" w:rsidR="00C43CAC" w:rsidRDefault="00C43CAC" w:rsidP="00C43CAC">
      <w:pPr>
        <w:tabs>
          <w:tab w:val="left" w:pos="2204"/>
        </w:tabs>
        <w:rPr>
          <w:noProof/>
        </w:rPr>
      </w:pPr>
      <w:r>
        <w:rPr>
          <w:noProof/>
        </w:rPr>
        <w:t>Garofalo, R., Johnson, A., Kuhns, L., Cotten, C., Joseph, H., &amp; Margolis, A. (2012). Life Skills: Evaluation of a theory-driven behavioral HIV prevention intervention for young transgender women. J Urban Health , 89 (3), 419-31.</w:t>
      </w:r>
    </w:p>
    <w:p w14:paraId="6CF17498" w14:textId="77777777" w:rsidR="00C43CAC" w:rsidRDefault="00C43CAC" w:rsidP="00C43CAC">
      <w:pPr>
        <w:tabs>
          <w:tab w:val="left" w:pos="2204"/>
        </w:tabs>
        <w:rPr>
          <w:noProof/>
        </w:rPr>
      </w:pPr>
    </w:p>
    <w:p w14:paraId="05C36270" w14:textId="77777777" w:rsidR="00C43CAC" w:rsidRDefault="00C43CAC" w:rsidP="00C43CAC">
      <w:pPr>
        <w:tabs>
          <w:tab w:val="left" w:pos="2204"/>
        </w:tabs>
        <w:rPr>
          <w:noProof/>
        </w:rPr>
      </w:pPr>
      <w:r>
        <w:rPr>
          <w:noProof/>
        </w:rPr>
        <w:t>Gelaude, D. J., Sovine, M. L., Swayzer, R. I., &amp; Herbst, J. H. (2013). HIV Prevention Programs Delivered by Community-Based Organizations to Young Transgender PErsons of Color: Lessons Learned to Improve Future Program Implementation. International Journal of Transgenderism , 14, 127-139.</w:t>
      </w:r>
    </w:p>
    <w:p w14:paraId="5AC74CE7" w14:textId="77777777" w:rsidR="00E91107" w:rsidRDefault="00E91107" w:rsidP="00C43CAC">
      <w:pPr>
        <w:tabs>
          <w:tab w:val="left" w:pos="2204"/>
        </w:tabs>
        <w:rPr>
          <w:noProof/>
        </w:rPr>
      </w:pPr>
    </w:p>
    <w:p w14:paraId="33A40DFF" w14:textId="77777777" w:rsidR="00C43CAC" w:rsidRDefault="00C43CAC" w:rsidP="00C43CAC">
      <w:pPr>
        <w:tabs>
          <w:tab w:val="left" w:pos="2204"/>
        </w:tabs>
        <w:rPr>
          <w:noProof/>
        </w:rPr>
      </w:pPr>
      <w:r>
        <w:rPr>
          <w:noProof/>
        </w:rPr>
        <w:t>Golub, S. A., Gamarel, K. E., Rendina, J., Surace, A., &amp; Lelutiu-Weinberger, C. L. (2013). From Efficacy to Effectiveness: Facilitators and Barriers to PrEP Acceptability and Motivationos for Adherence among MSM and Transgender Women in New York City. AIDS Patient Care and STDs , 27 (4), 249-254.</w:t>
      </w:r>
    </w:p>
    <w:p w14:paraId="2ADE1808" w14:textId="77777777" w:rsidR="00E91107" w:rsidRDefault="00E91107" w:rsidP="00C43CAC">
      <w:pPr>
        <w:tabs>
          <w:tab w:val="left" w:pos="2204"/>
        </w:tabs>
        <w:rPr>
          <w:noProof/>
        </w:rPr>
      </w:pPr>
    </w:p>
    <w:p w14:paraId="37B9C907" w14:textId="77777777" w:rsidR="00C43CAC" w:rsidRDefault="00C43CAC" w:rsidP="00C43CAC">
      <w:pPr>
        <w:tabs>
          <w:tab w:val="left" w:pos="2204"/>
        </w:tabs>
        <w:rPr>
          <w:noProof/>
        </w:rPr>
      </w:pPr>
      <w:r>
        <w:rPr>
          <w:noProof/>
        </w:rPr>
        <w:t>Herbst, J. H., Jacobs, E. D., Finlayson, T. J., McKleroy, V. S., Neumann, M. S., &amp; Crepaz, N. (2008). Estimating HIV Prevalence and Risk Bheaviors of Transgender Person in the United States: A Systematic Review. AIDS Behavior , 12 (1), 1-17.</w:t>
      </w:r>
    </w:p>
    <w:p w14:paraId="0833DDF7" w14:textId="77777777" w:rsidR="00E91107" w:rsidRDefault="00E91107" w:rsidP="00C43CAC">
      <w:pPr>
        <w:tabs>
          <w:tab w:val="left" w:pos="2204"/>
        </w:tabs>
        <w:rPr>
          <w:noProof/>
        </w:rPr>
      </w:pPr>
    </w:p>
    <w:p w14:paraId="45F999D7" w14:textId="77777777" w:rsidR="00C43CAC" w:rsidRDefault="00C43CAC" w:rsidP="00C43CAC">
      <w:pPr>
        <w:tabs>
          <w:tab w:val="left" w:pos="2204"/>
        </w:tabs>
        <w:rPr>
          <w:noProof/>
        </w:rPr>
      </w:pPr>
      <w:r>
        <w:rPr>
          <w:noProof/>
        </w:rPr>
        <w:t>Kosenko, K. A. (2011). Contextual influences on sexual risk-taking in the transgender community. Journal of Sex Research , 48 (2-3), 285-296.</w:t>
      </w:r>
    </w:p>
    <w:p w14:paraId="48D709F2" w14:textId="77777777" w:rsidR="00E91107" w:rsidRDefault="00E91107" w:rsidP="00C43CAC">
      <w:pPr>
        <w:tabs>
          <w:tab w:val="left" w:pos="2204"/>
        </w:tabs>
        <w:rPr>
          <w:noProof/>
        </w:rPr>
      </w:pPr>
    </w:p>
    <w:p w14:paraId="138FB4F6" w14:textId="77777777" w:rsidR="00C43CAC" w:rsidRDefault="00C43CAC" w:rsidP="00C43CAC">
      <w:pPr>
        <w:tabs>
          <w:tab w:val="left" w:pos="2204"/>
        </w:tabs>
        <w:rPr>
          <w:noProof/>
        </w:rPr>
      </w:pPr>
      <w:r>
        <w:rPr>
          <w:noProof/>
        </w:rPr>
        <w:t>Lombardi, E., Wilchins, R. A., Priesing, D., &amp; Malouf, D. (2001). Gender violence: transgender experiences with violence and discrimination. J Homosex , 42 (1), 89-101.</w:t>
      </w:r>
    </w:p>
    <w:p w14:paraId="0EF95F13" w14:textId="77777777" w:rsidR="00E91107" w:rsidRDefault="00E91107" w:rsidP="00C43CAC">
      <w:pPr>
        <w:tabs>
          <w:tab w:val="left" w:pos="2204"/>
        </w:tabs>
        <w:rPr>
          <w:noProof/>
        </w:rPr>
      </w:pPr>
    </w:p>
    <w:p w14:paraId="4C9D243E" w14:textId="77777777" w:rsidR="00C43CAC" w:rsidRDefault="00C43CAC" w:rsidP="00C43CAC">
      <w:pPr>
        <w:tabs>
          <w:tab w:val="left" w:pos="2204"/>
        </w:tabs>
        <w:rPr>
          <w:noProof/>
        </w:rPr>
      </w:pPr>
      <w:r>
        <w:rPr>
          <w:noProof/>
        </w:rPr>
        <w:t>Nemoto, T., Operario, D., Keatley, J., &amp; Villegas, D. (2004). Social context of HIV risk behaviours among male-to-female transgenders of colour. AIDS Care , 16 (6), 724-35.</w:t>
      </w:r>
    </w:p>
    <w:p w14:paraId="0FC10AE3" w14:textId="77777777" w:rsidR="00E91107" w:rsidRDefault="00E91107" w:rsidP="00C43CAC">
      <w:pPr>
        <w:tabs>
          <w:tab w:val="left" w:pos="2204"/>
        </w:tabs>
        <w:rPr>
          <w:noProof/>
        </w:rPr>
      </w:pPr>
    </w:p>
    <w:p w14:paraId="43844A45" w14:textId="77777777" w:rsidR="00C43CAC" w:rsidRDefault="00C43CAC" w:rsidP="00C43CAC">
      <w:pPr>
        <w:tabs>
          <w:tab w:val="left" w:pos="2204"/>
        </w:tabs>
        <w:rPr>
          <w:noProof/>
        </w:rPr>
      </w:pPr>
      <w:r>
        <w:rPr>
          <w:noProof/>
        </w:rPr>
        <w:t>Nemoto, T., Operario, D., Keatley, J., Han, L., &amp; Soma, T. (2004). HIV Risk Behaviors Among Male-to-Female Transgender Persons of Color in San Francisco. American Journal of Public Health , 94 (7), 1193-1199.</w:t>
      </w:r>
    </w:p>
    <w:p w14:paraId="7BCB55AB" w14:textId="77777777" w:rsidR="00E91107" w:rsidRDefault="00E91107" w:rsidP="00C43CAC">
      <w:pPr>
        <w:tabs>
          <w:tab w:val="left" w:pos="2204"/>
        </w:tabs>
        <w:rPr>
          <w:noProof/>
        </w:rPr>
      </w:pPr>
    </w:p>
    <w:p w14:paraId="45221A8C" w14:textId="77777777" w:rsidR="00C43CAC" w:rsidRDefault="00C43CAC" w:rsidP="00C43CAC">
      <w:pPr>
        <w:tabs>
          <w:tab w:val="left" w:pos="2204"/>
        </w:tabs>
        <w:rPr>
          <w:noProof/>
        </w:rPr>
      </w:pPr>
      <w:r>
        <w:rPr>
          <w:noProof/>
        </w:rPr>
        <w:t>Nuttbrock, L., Bockting, W., Rosenblum, A., Hwahng, S., Mason, M., Macri, M., et al. (2013). Gender abuse, depressive symptoms, and HIV and other sexually transmitted infections among male-to-female transgender persons: a three year prospective study. American Journal of Public Health , 103 (2), 300-307.</w:t>
      </w:r>
    </w:p>
    <w:p w14:paraId="42A26B98" w14:textId="77777777" w:rsidR="00E91107" w:rsidRDefault="00E91107" w:rsidP="00C43CAC">
      <w:pPr>
        <w:tabs>
          <w:tab w:val="left" w:pos="2204"/>
        </w:tabs>
        <w:rPr>
          <w:noProof/>
        </w:rPr>
      </w:pPr>
    </w:p>
    <w:p w14:paraId="486152C3" w14:textId="77777777" w:rsidR="00C43CAC" w:rsidRDefault="00C43CAC" w:rsidP="00C43CAC">
      <w:pPr>
        <w:tabs>
          <w:tab w:val="left" w:pos="2204"/>
        </w:tabs>
        <w:rPr>
          <w:noProof/>
        </w:rPr>
      </w:pPr>
      <w:r>
        <w:rPr>
          <w:noProof/>
        </w:rPr>
        <w:t>Operario, D., &amp; Nemoto, T. (2010). HIV in Transgender Communities: Syndemic Dynamics and the need for Muti-component Interventions. Journal of Acquired Immune Deficiency Syndrome , 15 (2), S91-S93.</w:t>
      </w:r>
    </w:p>
    <w:p w14:paraId="5112499F" w14:textId="77777777" w:rsidR="00E91107" w:rsidRDefault="00E91107" w:rsidP="00C43CAC">
      <w:pPr>
        <w:tabs>
          <w:tab w:val="left" w:pos="2204"/>
        </w:tabs>
        <w:rPr>
          <w:noProof/>
        </w:rPr>
      </w:pPr>
    </w:p>
    <w:p w14:paraId="143CCED1" w14:textId="77777777" w:rsidR="00C43CAC" w:rsidRDefault="00C43CAC" w:rsidP="00C43CAC">
      <w:pPr>
        <w:tabs>
          <w:tab w:val="left" w:pos="2204"/>
        </w:tabs>
        <w:rPr>
          <w:noProof/>
        </w:rPr>
      </w:pPr>
      <w:r>
        <w:rPr>
          <w:noProof/>
        </w:rPr>
        <w:t>Sevelius, J. M. (2013). Gender Affirmation: A framework for conceptualizing risk behavior among transgender women of color. Sex Roles , 68 (11-12), 675-689.</w:t>
      </w:r>
    </w:p>
    <w:p w14:paraId="459F294F" w14:textId="77777777" w:rsidR="00E91107" w:rsidRDefault="00E91107" w:rsidP="00C43CAC">
      <w:pPr>
        <w:tabs>
          <w:tab w:val="left" w:pos="2204"/>
        </w:tabs>
        <w:rPr>
          <w:noProof/>
        </w:rPr>
      </w:pPr>
    </w:p>
    <w:p w14:paraId="7BD6E5BD" w14:textId="77777777" w:rsidR="00C43CAC" w:rsidRDefault="00C43CAC" w:rsidP="00C43CAC">
      <w:pPr>
        <w:tabs>
          <w:tab w:val="left" w:pos="2204"/>
        </w:tabs>
        <w:rPr>
          <w:noProof/>
        </w:rPr>
      </w:pPr>
      <w:r>
        <w:rPr>
          <w:noProof/>
        </w:rPr>
        <w:t>Sevelius, J. M., Patouhas, E., Keatley, J. G., &amp; Johnson, M. O. (2014). Barriers and facilitators to engagement and retention in care among transgender women living wtih Human Immonodeficiency Virus. Annals of Behavioral Medicine , 47, 5-16.</w:t>
      </w:r>
    </w:p>
    <w:p w14:paraId="06009FA8" w14:textId="77777777" w:rsidR="00E91107" w:rsidRDefault="00E91107" w:rsidP="00C43CAC">
      <w:pPr>
        <w:tabs>
          <w:tab w:val="left" w:pos="2204"/>
        </w:tabs>
        <w:rPr>
          <w:noProof/>
        </w:rPr>
      </w:pPr>
    </w:p>
    <w:p w14:paraId="47264911" w14:textId="165FB0FF" w:rsidR="006C655A" w:rsidRPr="006C655A" w:rsidRDefault="00C43CAC" w:rsidP="00C43CAC">
      <w:pPr>
        <w:tabs>
          <w:tab w:val="left" w:pos="2204"/>
        </w:tabs>
      </w:pPr>
      <w:r>
        <w:rPr>
          <w:noProof/>
        </w:rPr>
        <w:t>Taylor, R., Bimbi, D., Joseph, H., Margolis, A., &amp; Parsons, J. (2011). Girlfriends: Evaluation of an HIV-risk reduction intervention for adult transgender women. AIDS Educ Prev , 23 (5), 469-478.</w:t>
      </w:r>
    </w:p>
    <w:sectPr w:rsidR="006C655A" w:rsidRPr="006C655A" w:rsidSect="00CC6AB1">
      <w:footerReference w:type="default" r:id="rId16"/>
      <w:endnotePr>
        <w:numFmt w:val="decimal"/>
      </w:endnotePr>
      <w:type w:val="continuous"/>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4EFBC" w14:textId="77777777" w:rsidR="00996C86" w:rsidRDefault="00996C86" w:rsidP="008B5D54">
      <w:r>
        <w:separator/>
      </w:r>
    </w:p>
  </w:endnote>
  <w:endnote w:type="continuationSeparator" w:id="0">
    <w:p w14:paraId="62AD0144" w14:textId="77777777" w:rsidR="00996C86" w:rsidRDefault="00996C86"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3621567"/>
      <w:docPartObj>
        <w:docPartGallery w:val="Page Numbers (Bottom of Page)"/>
        <w:docPartUnique/>
      </w:docPartObj>
    </w:sdtPr>
    <w:sdtEndPr>
      <w:rPr>
        <w:noProof/>
      </w:rPr>
    </w:sdtEndPr>
    <w:sdtContent>
      <w:p w14:paraId="56D33063" w14:textId="756F5F46" w:rsidR="00996C86" w:rsidRDefault="00996C86">
        <w:pPr>
          <w:pStyle w:val="Footer"/>
          <w:jc w:val="center"/>
        </w:pPr>
        <w:r>
          <w:fldChar w:fldCharType="begin"/>
        </w:r>
        <w:r>
          <w:instrText xml:space="preserve"> PAGE   \* MERGEFORMAT </w:instrText>
        </w:r>
        <w:r>
          <w:fldChar w:fldCharType="separate"/>
        </w:r>
        <w:r w:rsidR="007442BA">
          <w:rPr>
            <w:noProof/>
          </w:rPr>
          <w:t>14</w:t>
        </w:r>
        <w:r>
          <w:rPr>
            <w:noProof/>
          </w:rPr>
          <w:fldChar w:fldCharType="end"/>
        </w:r>
      </w:p>
    </w:sdtContent>
  </w:sdt>
  <w:p w14:paraId="14B64FA2" w14:textId="77777777" w:rsidR="00996C86" w:rsidRDefault="00996C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CFCC5" w14:textId="77777777" w:rsidR="00996C86" w:rsidRDefault="00996C86" w:rsidP="008B5D54">
      <w:r>
        <w:separator/>
      </w:r>
    </w:p>
  </w:footnote>
  <w:footnote w:type="continuationSeparator" w:id="0">
    <w:p w14:paraId="124357BC" w14:textId="77777777" w:rsidR="00996C86" w:rsidRDefault="00996C86"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7016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A203EE"/>
    <w:multiLevelType w:val="hybridMultilevel"/>
    <w:tmpl w:val="C3400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F0B8A"/>
    <w:multiLevelType w:val="hybridMultilevel"/>
    <w:tmpl w:val="A41C3B6E"/>
    <w:lvl w:ilvl="0" w:tplc="F2600912">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E4E25"/>
    <w:multiLevelType w:val="hybridMultilevel"/>
    <w:tmpl w:val="2AA2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964D9"/>
    <w:multiLevelType w:val="hybridMultilevel"/>
    <w:tmpl w:val="5596E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B3D01"/>
    <w:multiLevelType w:val="hybridMultilevel"/>
    <w:tmpl w:val="56BA7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B85A5B"/>
    <w:multiLevelType w:val="hybridMultilevel"/>
    <w:tmpl w:val="ED6AB956"/>
    <w:lvl w:ilvl="0" w:tplc="9ECED2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6A12F6"/>
    <w:multiLevelType w:val="hybridMultilevel"/>
    <w:tmpl w:val="13723D00"/>
    <w:lvl w:ilvl="0" w:tplc="F2600912">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90B10"/>
    <w:multiLevelType w:val="hybridMultilevel"/>
    <w:tmpl w:val="23B89A6E"/>
    <w:lvl w:ilvl="0" w:tplc="F2600912">
      <w:start w:val="1"/>
      <w:numFmt w:val="bullet"/>
      <w:lvlText w:val=""/>
      <w:lvlJc w:val="left"/>
      <w:pPr>
        <w:ind w:left="720" w:hanging="360"/>
      </w:pPr>
      <w:rPr>
        <w:rFonts w:ascii="Symbol" w:hAnsi="Symbol" w:hint="default"/>
        <w:b w:val="0"/>
        <w:bCs w:val="0"/>
        <w:i w:val="0"/>
        <w:iCs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44622A"/>
    <w:multiLevelType w:val="multilevel"/>
    <w:tmpl w:val="09125016"/>
    <w:numStyleLink w:val="Style1"/>
  </w:abstractNum>
  <w:abstractNum w:abstractNumId="10" w15:restartNumberingAfterBreak="0">
    <w:nsid w:val="35703BAE"/>
    <w:multiLevelType w:val="multilevel"/>
    <w:tmpl w:val="09125016"/>
    <w:styleLink w:val="Style1"/>
    <w:lvl w:ilvl="0">
      <w:start w:val="1"/>
      <w:numFmt w:val="decimal"/>
      <w:lvlText w:val="%1."/>
      <w:lvlJc w:val="left"/>
      <w:pPr>
        <w:ind w:left="432" w:hanging="432"/>
      </w:pPr>
      <w:rPr>
        <w:rFonts w:hint="default"/>
      </w:rPr>
    </w:lvl>
    <w:lvl w:ilvl="1">
      <w:start w:val="1"/>
      <w:numFmt w:val="decimal"/>
      <w:lvlText w:val="%1A."/>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47541CEA"/>
    <w:multiLevelType w:val="hybridMultilevel"/>
    <w:tmpl w:val="F6301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D877C8"/>
    <w:multiLevelType w:val="hybridMultilevel"/>
    <w:tmpl w:val="09C2C6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DE5C3C"/>
    <w:multiLevelType w:val="hybridMultilevel"/>
    <w:tmpl w:val="5E880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0E7A15"/>
    <w:multiLevelType w:val="hybridMultilevel"/>
    <w:tmpl w:val="A22E7024"/>
    <w:lvl w:ilvl="0" w:tplc="855CB3FE">
      <w:numFmt w:val="bullet"/>
      <w:lvlText w:val="•"/>
      <w:lvlJc w:val="left"/>
      <w:pPr>
        <w:ind w:left="360" w:hanging="360"/>
      </w:pPr>
      <w:rPr>
        <w:rFonts w:ascii="Times New Roman" w:hAnsi="Times New Roman" w:cs="Times New Roman" w:hint="default"/>
        <w:color w:val="auto"/>
        <w:sz w:val="22"/>
        <w:szCs w:val="22"/>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2F344E2"/>
    <w:multiLevelType w:val="hybridMultilevel"/>
    <w:tmpl w:val="8E3C3B1A"/>
    <w:lvl w:ilvl="0" w:tplc="855CB3FE">
      <w:numFmt w:val="bullet"/>
      <w:lvlText w:val="•"/>
      <w:lvlJc w:val="left"/>
      <w:pPr>
        <w:ind w:left="360" w:hanging="360"/>
      </w:pPr>
      <w:rPr>
        <w:rFonts w:ascii="Times New Roman" w:hAnsi="Times New Roman" w:cs="Times New Roman"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511365"/>
    <w:multiLevelType w:val="hybridMultilevel"/>
    <w:tmpl w:val="6EBEFB40"/>
    <w:lvl w:ilvl="0" w:tplc="F2600912">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D06F80"/>
    <w:multiLevelType w:val="hybridMultilevel"/>
    <w:tmpl w:val="847AE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4C47F1"/>
    <w:multiLevelType w:val="hybridMultilevel"/>
    <w:tmpl w:val="69A0B25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9" w15:restartNumberingAfterBreak="0">
    <w:nsid w:val="794050DE"/>
    <w:multiLevelType w:val="hybridMultilevel"/>
    <w:tmpl w:val="274A8F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1E10EB"/>
    <w:multiLevelType w:val="multilevel"/>
    <w:tmpl w:val="F5F0AB58"/>
    <w:lvl w:ilvl="0">
      <w:start w:val="1"/>
      <w:numFmt w:val="decimal"/>
      <w:pStyle w:val="Heading1"/>
      <w:lvlText w:val="%1."/>
      <w:lvlJc w:val="left"/>
      <w:pPr>
        <w:ind w:left="432" w:hanging="432"/>
      </w:pPr>
      <w:rPr>
        <w:rFonts w:hint="default"/>
      </w:rPr>
    </w:lvl>
    <w:lvl w:ilvl="1">
      <w:start w:val="1"/>
      <w:numFmt w:val="upperLetter"/>
      <w:pStyle w:val="Heading2"/>
      <w:lvlText w:val="%1%2."/>
      <w:lvlJc w:val="left"/>
      <w:pPr>
        <w:ind w:left="57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7"/>
  </w:num>
  <w:num w:numId="2">
    <w:abstractNumId w:val="12"/>
  </w:num>
  <w:num w:numId="3">
    <w:abstractNumId w:val="11"/>
  </w:num>
  <w:num w:numId="4">
    <w:abstractNumId w:val="6"/>
  </w:num>
  <w:num w:numId="5">
    <w:abstractNumId w:val="20"/>
  </w:num>
  <w:num w:numId="6">
    <w:abstractNumId w:val="5"/>
  </w:num>
  <w:num w:numId="7">
    <w:abstractNumId w:val="10"/>
  </w:num>
  <w:num w:numId="8">
    <w:abstractNumId w:val="9"/>
  </w:num>
  <w:num w:numId="9">
    <w:abstractNumId w:val="0"/>
  </w:num>
  <w:num w:numId="10">
    <w:abstractNumId w:val="4"/>
  </w:num>
  <w:num w:numId="11">
    <w:abstractNumId w:val="13"/>
  </w:num>
  <w:num w:numId="12">
    <w:abstractNumId w:val="18"/>
  </w:num>
  <w:num w:numId="13">
    <w:abstractNumId w:val="3"/>
  </w:num>
  <w:num w:numId="14">
    <w:abstractNumId w:val="1"/>
  </w:num>
  <w:num w:numId="15">
    <w:abstractNumId w:val="8"/>
  </w:num>
  <w:num w:numId="16">
    <w:abstractNumId w:val="19"/>
  </w:num>
  <w:num w:numId="17">
    <w:abstractNumId w:val="16"/>
  </w:num>
  <w:num w:numId="18">
    <w:abstractNumId w:val="15"/>
  </w:num>
  <w:num w:numId="19">
    <w:abstractNumId w:val="14"/>
  </w:num>
  <w:num w:numId="20">
    <w:abstractNumId w:val="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ublic Heal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6869D4"/>
    <w:rsid w:val="00003E5D"/>
    <w:rsid w:val="00006403"/>
    <w:rsid w:val="00017B88"/>
    <w:rsid w:val="00026DB7"/>
    <w:rsid w:val="00030FFE"/>
    <w:rsid w:val="00031545"/>
    <w:rsid w:val="000317BA"/>
    <w:rsid w:val="00040CE0"/>
    <w:rsid w:val="00041B9F"/>
    <w:rsid w:val="00051586"/>
    <w:rsid w:val="00053671"/>
    <w:rsid w:val="00056DD2"/>
    <w:rsid w:val="000652BE"/>
    <w:rsid w:val="00067E1B"/>
    <w:rsid w:val="00081E33"/>
    <w:rsid w:val="00082EA9"/>
    <w:rsid w:val="000879CA"/>
    <w:rsid w:val="00093DF9"/>
    <w:rsid w:val="000B1947"/>
    <w:rsid w:val="000C20AB"/>
    <w:rsid w:val="000C793C"/>
    <w:rsid w:val="000D10E8"/>
    <w:rsid w:val="000D3C8A"/>
    <w:rsid w:val="000D7D1D"/>
    <w:rsid w:val="000E1128"/>
    <w:rsid w:val="000E16D3"/>
    <w:rsid w:val="000E209D"/>
    <w:rsid w:val="000E2854"/>
    <w:rsid w:val="000F1DE3"/>
    <w:rsid w:val="000F2DDC"/>
    <w:rsid w:val="000F4D42"/>
    <w:rsid w:val="000F76B4"/>
    <w:rsid w:val="00104E90"/>
    <w:rsid w:val="001054F6"/>
    <w:rsid w:val="00106FDF"/>
    <w:rsid w:val="0012271A"/>
    <w:rsid w:val="0013226B"/>
    <w:rsid w:val="00134095"/>
    <w:rsid w:val="00134B29"/>
    <w:rsid w:val="0014691A"/>
    <w:rsid w:val="001503E6"/>
    <w:rsid w:val="001515AA"/>
    <w:rsid w:val="00153F9D"/>
    <w:rsid w:val="00157A3F"/>
    <w:rsid w:val="00171ECE"/>
    <w:rsid w:val="00177836"/>
    <w:rsid w:val="00185DD3"/>
    <w:rsid w:val="0019449E"/>
    <w:rsid w:val="00195E37"/>
    <w:rsid w:val="001A1DAB"/>
    <w:rsid w:val="001A1EFA"/>
    <w:rsid w:val="001A5BFA"/>
    <w:rsid w:val="001B433F"/>
    <w:rsid w:val="001B4A66"/>
    <w:rsid w:val="001C0CE3"/>
    <w:rsid w:val="001C77A3"/>
    <w:rsid w:val="001D0AB9"/>
    <w:rsid w:val="001D29E7"/>
    <w:rsid w:val="001D6DDB"/>
    <w:rsid w:val="001E01ED"/>
    <w:rsid w:val="001F181F"/>
    <w:rsid w:val="001F2D33"/>
    <w:rsid w:val="00200775"/>
    <w:rsid w:val="002014E2"/>
    <w:rsid w:val="00203A50"/>
    <w:rsid w:val="00207534"/>
    <w:rsid w:val="00232A59"/>
    <w:rsid w:val="0023769F"/>
    <w:rsid w:val="00240A5C"/>
    <w:rsid w:val="00242341"/>
    <w:rsid w:val="002425F1"/>
    <w:rsid w:val="00242998"/>
    <w:rsid w:val="00244129"/>
    <w:rsid w:val="00244D05"/>
    <w:rsid w:val="002521ED"/>
    <w:rsid w:val="002568B4"/>
    <w:rsid w:val="00265EDF"/>
    <w:rsid w:val="0026711D"/>
    <w:rsid w:val="00280D66"/>
    <w:rsid w:val="0028198D"/>
    <w:rsid w:val="0029515C"/>
    <w:rsid w:val="002961D6"/>
    <w:rsid w:val="002A0ADA"/>
    <w:rsid w:val="002A4FE1"/>
    <w:rsid w:val="002B2D0D"/>
    <w:rsid w:val="002C3AE2"/>
    <w:rsid w:val="002C6BD1"/>
    <w:rsid w:val="002D3D0C"/>
    <w:rsid w:val="002E24C0"/>
    <w:rsid w:val="002E4E76"/>
    <w:rsid w:val="002F426C"/>
    <w:rsid w:val="002F4791"/>
    <w:rsid w:val="00321C21"/>
    <w:rsid w:val="00331282"/>
    <w:rsid w:val="00332F80"/>
    <w:rsid w:val="003340FF"/>
    <w:rsid w:val="00334FDA"/>
    <w:rsid w:val="00347120"/>
    <w:rsid w:val="00352D80"/>
    <w:rsid w:val="003539FB"/>
    <w:rsid w:val="00364053"/>
    <w:rsid w:val="0037216F"/>
    <w:rsid w:val="003737AF"/>
    <w:rsid w:val="00380753"/>
    <w:rsid w:val="0038668E"/>
    <w:rsid w:val="003872C0"/>
    <w:rsid w:val="003901F6"/>
    <w:rsid w:val="003971F9"/>
    <w:rsid w:val="003C3C33"/>
    <w:rsid w:val="003D1EC2"/>
    <w:rsid w:val="003D2D57"/>
    <w:rsid w:val="003E2A65"/>
    <w:rsid w:val="003F3217"/>
    <w:rsid w:val="003F3408"/>
    <w:rsid w:val="004003F7"/>
    <w:rsid w:val="00401AFC"/>
    <w:rsid w:val="00425316"/>
    <w:rsid w:val="00441432"/>
    <w:rsid w:val="00453494"/>
    <w:rsid w:val="0045728B"/>
    <w:rsid w:val="00460441"/>
    <w:rsid w:val="00460D47"/>
    <w:rsid w:val="004629B2"/>
    <w:rsid w:val="004633D8"/>
    <w:rsid w:val="004657BF"/>
    <w:rsid w:val="00485E43"/>
    <w:rsid w:val="004B3702"/>
    <w:rsid w:val="004B3D61"/>
    <w:rsid w:val="004C2697"/>
    <w:rsid w:val="004C3356"/>
    <w:rsid w:val="004D205C"/>
    <w:rsid w:val="004D4DD0"/>
    <w:rsid w:val="004D5389"/>
    <w:rsid w:val="004D632E"/>
    <w:rsid w:val="004E3544"/>
    <w:rsid w:val="004E72EA"/>
    <w:rsid w:val="004F56DE"/>
    <w:rsid w:val="004F65C6"/>
    <w:rsid w:val="00506E45"/>
    <w:rsid w:val="00511D75"/>
    <w:rsid w:val="00515886"/>
    <w:rsid w:val="00521503"/>
    <w:rsid w:val="0052486D"/>
    <w:rsid w:val="005248A5"/>
    <w:rsid w:val="00536ED0"/>
    <w:rsid w:val="00537E55"/>
    <w:rsid w:val="00542640"/>
    <w:rsid w:val="00546ADD"/>
    <w:rsid w:val="00550E55"/>
    <w:rsid w:val="0057169B"/>
    <w:rsid w:val="00582502"/>
    <w:rsid w:val="00582903"/>
    <w:rsid w:val="00582C8E"/>
    <w:rsid w:val="005853D9"/>
    <w:rsid w:val="005A038A"/>
    <w:rsid w:val="005A0F49"/>
    <w:rsid w:val="005B0C43"/>
    <w:rsid w:val="005B4518"/>
    <w:rsid w:val="005B7263"/>
    <w:rsid w:val="005C5398"/>
    <w:rsid w:val="005C7600"/>
    <w:rsid w:val="005C7B17"/>
    <w:rsid w:val="005E6F8D"/>
    <w:rsid w:val="005F51A2"/>
    <w:rsid w:val="0060115E"/>
    <w:rsid w:val="00606E0A"/>
    <w:rsid w:val="00617B96"/>
    <w:rsid w:val="00622CA8"/>
    <w:rsid w:val="00625F34"/>
    <w:rsid w:val="006343C9"/>
    <w:rsid w:val="00657BDF"/>
    <w:rsid w:val="00663BC9"/>
    <w:rsid w:val="006775DC"/>
    <w:rsid w:val="00686217"/>
    <w:rsid w:val="006869D4"/>
    <w:rsid w:val="00690E5E"/>
    <w:rsid w:val="006A15E8"/>
    <w:rsid w:val="006B07DF"/>
    <w:rsid w:val="006B56C4"/>
    <w:rsid w:val="006C500C"/>
    <w:rsid w:val="006C655A"/>
    <w:rsid w:val="006C6578"/>
    <w:rsid w:val="006E4F97"/>
    <w:rsid w:val="006F3440"/>
    <w:rsid w:val="00706BCB"/>
    <w:rsid w:val="00711044"/>
    <w:rsid w:val="00720709"/>
    <w:rsid w:val="00724D04"/>
    <w:rsid w:val="007311C6"/>
    <w:rsid w:val="00731B24"/>
    <w:rsid w:val="00731BE3"/>
    <w:rsid w:val="007325ED"/>
    <w:rsid w:val="00733192"/>
    <w:rsid w:val="007376F4"/>
    <w:rsid w:val="007442BA"/>
    <w:rsid w:val="007447B9"/>
    <w:rsid w:val="00747020"/>
    <w:rsid w:val="0075552D"/>
    <w:rsid w:val="00757F44"/>
    <w:rsid w:val="00777FC0"/>
    <w:rsid w:val="007841E3"/>
    <w:rsid w:val="00795399"/>
    <w:rsid w:val="007A2FDD"/>
    <w:rsid w:val="007B3D63"/>
    <w:rsid w:val="007B4891"/>
    <w:rsid w:val="007C2B6F"/>
    <w:rsid w:val="007C71F5"/>
    <w:rsid w:val="007D0BF7"/>
    <w:rsid w:val="007D4C07"/>
    <w:rsid w:val="007E405F"/>
    <w:rsid w:val="007E72EF"/>
    <w:rsid w:val="007F1E53"/>
    <w:rsid w:val="007F7EDD"/>
    <w:rsid w:val="00810B9E"/>
    <w:rsid w:val="00815C35"/>
    <w:rsid w:val="008452CD"/>
    <w:rsid w:val="008457FB"/>
    <w:rsid w:val="00846E9C"/>
    <w:rsid w:val="008519CC"/>
    <w:rsid w:val="00856DCF"/>
    <w:rsid w:val="008574B9"/>
    <w:rsid w:val="008839F0"/>
    <w:rsid w:val="008845A2"/>
    <w:rsid w:val="00890B50"/>
    <w:rsid w:val="008A2E78"/>
    <w:rsid w:val="008A498C"/>
    <w:rsid w:val="008A4E7B"/>
    <w:rsid w:val="008B01EB"/>
    <w:rsid w:val="008B180A"/>
    <w:rsid w:val="008B5D54"/>
    <w:rsid w:val="008C09DC"/>
    <w:rsid w:val="008C5507"/>
    <w:rsid w:val="008E6D5A"/>
    <w:rsid w:val="008F339E"/>
    <w:rsid w:val="008F6383"/>
    <w:rsid w:val="00901DC6"/>
    <w:rsid w:val="009039B7"/>
    <w:rsid w:val="00904F07"/>
    <w:rsid w:val="00905CCE"/>
    <w:rsid w:val="00910A43"/>
    <w:rsid w:val="00913292"/>
    <w:rsid w:val="00913A3E"/>
    <w:rsid w:val="009221FF"/>
    <w:rsid w:val="00924A81"/>
    <w:rsid w:val="00925BA9"/>
    <w:rsid w:val="009330AF"/>
    <w:rsid w:val="00933271"/>
    <w:rsid w:val="009371FE"/>
    <w:rsid w:val="00943B21"/>
    <w:rsid w:val="009501CD"/>
    <w:rsid w:val="00950C89"/>
    <w:rsid w:val="00956B5D"/>
    <w:rsid w:val="009579AD"/>
    <w:rsid w:val="00960A76"/>
    <w:rsid w:val="00963092"/>
    <w:rsid w:val="0096557A"/>
    <w:rsid w:val="00965E71"/>
    <w:rsid w:val="00980F7C"/>
    <w:rsid w:val="009811EB"/>
    <w:rsid w:val="009830DB"/>
    <w:rsid w:val="0098673D"/>
    <w:rsid w:val="00987256"/>
    <w:rsid w:val="009951A9"/>
    <w:rsid w:val="00996C86"/>
    <w:rsid w:val="0099750D"/>
    <w:rsid w:val="009A2571"/>
    <w:rsid w:val="009B4858"/>
    <w:rsid w:val="009D041A"/>
    <w:rsid w:val="009D4CC5"/>
    <w:rsid w:val="009D6649"/>
    <w:rsid w:val="009F2B1C"/>
    <w:rsid w:val="00A00005"/>
    <w:rsid w:val="00A12865"/>
    <w:rsid w:val="00A200F6"/>
    <w:rsid w:val="00A31F59"/>
    <w:rsid w:val="00A34D13"/>
    <w:rsid w:val="00A46777"/>
    <w:rsid w:val="00A51C29"/>
    <w:rsid w:val="00A55C9F"/>
    <w:rsid w:val="00A71916"/>
    <w:rsid w:val="00A74155"/>
    <w:rsid w:val="00A76979"/>
    <w:rsid w:val="00A80799"/>
    <w:rsid w:val="00AA1ED6"/>
    <w:rsid w:val="00AB388C"/>
    <w:rsid w:val="00AB78EA"/>
    <w:rsid w:val="00AC254E"/>
    <w:rsid w:val="00AC3B51"/>
    <w:rsid w:val="00AC60FB"/>
    <w:rsid w:val="00AD4495"/>
    <w:rsid w:val="00AE50F8"/>
    <w:rsid w:val="00AF2647"/>
    <w:rsid w:val="00AF6D1E"/>
    <w:rsid w:val="00AF6FD9"/>
    <w:rsid w:val="00B03E4D"/>
    <w:rsid w:val="00B057DB"/>
    <w:rsid w:val="00B06922"/>
    <w:rsid w:val="00B10932"/>
    <w:rsid w:val="00B12276"/>
    <w:rsid w:val="00B12EA3"/>
    <w:rsid w:val="00B13FC6"/>
    <w:rsid w:val="00B24C5D"/>
    <w:rsid w:val="00B24E32"/>
    <w:rsid w:val="00B250E0"/>
    <w:rsid w:val="00B30AEA"/>
    <w:rsid w:val="00B328D6"/>
    <w:rsid w:val="00B343E9"/>
    <w:rsid w:val="00B447EE"/>
    <w:rsid w:val="00B45362"/>
    <w:rsid w:val="00B553B8"/>
    <w:rsid w:val="00B55735"/>
    <w:rsid w:val="00B608AC"/>
    <w:rsid w:val="00B62FF3"/>
    <w:rsid w:val="00B65B0C"/>
    <w:rsid w:val="00B82C9D"/>
    <w:rsid w:val="00B930C9"/>
    <w:rsid w:val="00B9447E"/>
    <w:rsid w:val="00BA7B25"/>
    <w:rsid w:val="00BC60F9"/>
    <w:rsid w:val="00BD0B38"/>
    <w:rsid w:val="00BD534C"/>
    <w:rsid w:val="00BF1EB9"/>
    <w:rsid w:val="00BF4C06"/>
    <w:rsid w:val="00C1216F"/>
    <w:rsid w:val="00C1474B"/>
    <w:rsid w:val="00C15DB7"/>
    <w:rsid w:val="00C2034B"/>
    <w:rsid w:val="00C317D7"/>
    <w:rsid w:val="00C37E9C"/>
    <w:rsid w:val="00C436DC"/>
    <w:rsid w:val="00C43CAC"/>
    <w:rsid w:val="00C46977"/>
    <w:rsid w:val="00C60A58"/>
    <w:rsid w:val="00C62F5E"/>
    <w:rsid w:val="00C67BED"/>
    <w:rsid w:val="00C70483"/>
    <w:rsid w:val="00C709BF"/>
    <w:rsid w:val="00C70C6E"/>
    <w:rsid w:val="00C736A4"/>
    <w:rsid w:val="00C81AAD"/>
    <w:rsid w:val="00C8370A"/>
    <w:rsid w:val="00C84609"/>
    <w:rsid w:val="00C91C02"/>
    <w:rsid w:val="00CB031A"/>
    <w:rsid w:val="00CB62C5"/>
    <w:rsid w:val="00CC5FFB"/>
    <w:rsid w:val="00CC6AB1"/>
    <w:rsid w:val="00CD3D52"/>
    <w:rsid w:val="00CE4B90"/>
    <w:rsid w:val="00CF191F"/>
    <w:rsid w:val="00CF44C9"/>
    <w:rsid w:val="00CF5EFA"/>
    <w:rsid w:val="00D01AB3"/>
    <w:rsid w:val="00D071EB"/>
    <w:rsid w:val="00D07372"/>
    <w:rsid w:val="00D07617"/>
    <w:rsid w:val="00D17FA6"/>
    <w:rsid w:val="00D21275"/>
    <w:rsid w:val="00D312D3"/>
    <w:rsid w:val="00D329C3"/>
    <w:rsid w:val="00D37337"/>
    <w:rsid w:val="00D452E0"/>
    <w:rsid w:val="00D45665"/>
    <w:rsid w:val="00D467C4"/>
    <w:rsid w:val="00D473E4"/>
    <w:rsid w:val="00D4797E"/>
    <w:rsid w:val="00D528B9"/>
    <w:rsid w:val="00D55A4B"/>
    <w:rsid w:val="00D56E26"/>
    <w:rsid w:val="00D6673F"/>
    <w:rsid w:val="00D66FE5"/>
    <w:rsid w:val="00D70265"/>
    <w:rsid w:val="00D748D1"/>
    <w:rsid w:val="00DB7501"/>
    <w:rsid w:val="00DC0C2E"/>
    <w:rsid w:val="00DC184D"/>
    <w:rsid w:val="00DC3C26"/>
    <w:rsid w:val="00DC57CC"/>
    <w:rsid w:val="00DD4021"/>
    <w:rsid w:val="00DE0EA1"/>
    <w:rsid w:val="00DE2A5A"/>
    <w:rsid w:val="00DE4370"/>
    <w:rsid w:val="00DF71D5"/>
    <w:rsid w:val="00E036C0"/>
    <w:rsid w:val="00E227E6"/>
    <w:rsid w:val="00E2574F"/>
    <w:rsid w:val="00E269F4"/>
    <w:rsid w:val="00E344D5"/>
    <w:rsid w:val="00E3571A"/>
    <w:rsid w:val="00E368ED"/>
    <w:rsid w:val="00E45F70"/>
    <w:rsid w:val="00E477CF"/>
    <w:rsid w:val="00E50603"/>
    <w:rsid w:val="00E53653"/>
    <w:rsid w:val="00E56897"/>
    <w:rsid w:val="00E57785"/>
    <w:rsid w:val="00E6566E"/>
    <w:rsid w:val="00E72740"/>
    <w:rsid w:val="00E830C0"/>
    <w:rsid w:val="00E86BF9"/>
    <w:rsid w:val="00E86C70"/>
    <w:rsid w:val="00E90840"/>
    <w:rsid w:val="00E91107"/>
    <w:rsid w:val="00E95231"/>
    <w:rsid w:val="00E95779"/>
    <w:rsid w:val="00EA31E0"/>
    <w:rsid w:val="00EA4C0B"/>
    <w:rsid w:val="00EB3A87"/>
    <w:rsid w:val="00EB46EE"/>
    <w:rsid w:val="00EB7706"/>
    <w:rsid w:val="00EC3F14"/>
    <w:rsid w:val="00ED0207"/>
    <w:rsid w:val="00ED127C"/>
    <w:rsid w:val="00ED75FB"/>
    <w:rsid w:val="00EE4F87"/>
    <w:rsid w:val="00EF465A"/>
    <w:rsid w:val="00F119BC"/>
    <w:rsid w:val="00F11C39"/>
    <w:rsid w:val="00F12DA9"/>
    <w:rsid w:val="00F13485"/>
    <w:rsid w:val="00F15707"/>
    <w:rsid w:val="00F15AEE"/>
    <w:rsid w:val="00F1727A"/>
    <w:rsid w:val="00F22BAE"/>
    <w:rsid w:val="00F27976"/>
    <w:rsid w:val="00F353ED"/>
    <w:rsid w:val="00F54C87"/>
    <w:rsid w:val="00F55853"/>
    <w:rsid w:val="00F72954"/>
    <w:rsid w:val="00F734ED"/>
    <w:rsid w:val="00F75369"/>
    <w:rsid w:val="00F81AFD"/>
    <w:rsid w:val="00F82D55"/>
    <w:rsid w:val="00F84573"/>
    <w:rsid w:val="00F867DA"/>
    <w:rsid w:val="00F9212B"/>
    <w:rsid w:val="00F936F5"/>
    <w:rsid w:val="00F94AE4"/>
    <w:rsid w:val="00F951D1"/>
    <w:rsid w:val="00F9622C"/>
    <w:rsid w:val="00F97FAA"/>
    <w:rsid w:val="00FB7764"/>
    <w:rsid w:val="00FC1704"/>
    <w:rsid w:val="00FD6609"/>
    <w:rsid w:val="00FE7D83"/>
    <w:rsid w:val="00FF5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2E2E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6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20AB"/>
    <w:pPr>
      <w:keepNext/>
      <w:keepLines/>
      <w:numPr>
        <w:numId w:val="5"/>
      </w:numPr>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53653"/>
    <w:pPr>
      <w:keepNext/>
      <w:keepLines/>
      <w:numPr>
        <w:ilvl w:val="1"/>
        <w:numId w:val="5"/>
      </w:numPr>
      <w:spacing w:before="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332F80"/>
    <w:pPr>
      <w:keepNext/>
      <w:keepLines/>
      <w:numPr>
        <w:ilvl w:val="2"/>
        <w:numId w:val="5"/>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0C20AB"/>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C20AB"/>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C20AB"/>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C20AB"/>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C20AB"/>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20AB"/>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6869D4"/>
    <w:pPr>
      <w:spacing w:after="0" w:line="240" w:lineRule="auto"/>
    </w:pPr>
    <w:rPr>
      <w:rFonts w:ascii="Times New Roman" w:hAnsi="Times New Roman"/>
      <w:sz w:val="24"/>
    </w:rPr>
  </w:style>
  <w:style w:type="paragraph" w:styleId="BalloonText">
    <w:name w:val="Balloon Text"/>
    <w:basedOn w:val="Normal"/>
    <w:link w:val="BalloonTextChar"/>
    <w:uiPriority w:val="99"/>
    <w:semiHidden/>
    <w:rsid w:val="00053671"/>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53671"/>
    <w:rPr>
      <w:rFonts w:ascii="Tahoma" w:eastAsia="Times New Roman" w:hAnsi="Tahoma" w:cs="Times New Roman"/>
      <w:sz w:val="16"/>
      <w:szCs w:val="16"/>
      <w:lang w:val="x-none" w:eastAsia="x-none"/>
    </w:rPr>
  </w:style>
  <w:style w:type="character" w:styleId="Hyperlink">
    <w:name w:val="Hyperlink"/>
    <w:basedOn w:val="DefaultParagraphFont"/>
    <w:uiPriority w:val="99"/>
    <w:unhideWhenUsed/>
    <w:rsid w:val="00542640"/>
    <w:rPr>
      <w:color w:val="0000FF" w:themeColor="hyperlink"/>
      <w:u w:val="single"/>
    </w:rPr>
  </w:style>
  <w:style w:type="character" w:customStyle="1" w:styleId="Heading1Char">
    <w:name w:val="Heading 1 Char"/>
    <w:basedOn w:val="DefaultParagraphFont"/>
    <w:link w:val="Heading1"/>
    <w:uiPriority w:val="9"/>
    <w:rsid w:val="000C20AB"/>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B12EA3"/>
    <w:pPr>
      <w:spacing w:line="259" w:lineRule="auto"/>
      <w:outlineLvl w:val="9"/>
    </w:pPr>
  </w:style>
  <w:style w:type="character" w:customStyle="1" w:styleId="Heading2Char">
    <w:name w:val="Heading 2 Char"/>
    <w:basedOn w:val="DefaultParagraphFont"/>
    <w:link w:val="Heading2"/>
    <w:uiPriority w:val="9"/>
    <w:rsid w:val="00E53653"/>
    <w:rPr>
      <w:rFonts w:ascii="Times New Roman" w:eastAsiaTheme="majorEastAsia" w:hAnsi="Times New Roman" w:cstheme="majorBidi"/>
      <w:b/>
      <w:sz w:val="24"/>
      <w:szCs w:val="26"/>
    </w:rPr>
  </w:style>
  <w:style w:type="paragraph" w:styleId="TOC2">
    <w:name w:val="toc 2"/>
    <w:basedOn w:val="Normal"/>
    <w:next w:val="Normal"/>
    <w:autoRedefine/>
    <w:uiPriority w:val="39"/>
    <w:unhideWhenUsed/>
    <w:rsid w:val="00B12EA3"/>
    <w:pPr>
      <w:spacing w:after="100"/>
      <w:ind w:left="240"/>
    </w:pPr>
  </w:style>
  <w:style w:type="table" w:styleId="TableGrid">
    <w:name w:val="Table Grid"/>
    <w:basedOn w:val="TableNormal"/>
    <w:uiPriority w:val="59"/>
    <w:rsid w:val="00B12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D10E8"/>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0D10E8"/>
    <w:rPr>
      <w:rFonts w:ascii="Times New Roman" w:eastAsia="Times New Roman" w:hAnsi="Times New Roman" w:cs="Times New Roman"/>
      <w:sz w:val="24"/>
      <w:szCs w:val="20"/>
      <w:lang w:val="x-none" w:eastAsia="x-none"/>
    </w:rPr>
  </w:style>
  <w:style w:type="character" w:styleId="CommentReference">
    <w:name w:val="annotation reference"/>
    <w:basedOn w:val="DefaultParagraphFont"/>
    <w:uiPriority w:val="99"/>
    <w:unhideWhenUsed/>
    <w:rsid w:val="00686217"/>
    <w:rPr>
      <w:sz w:val="16"/>
      <w:szCs w:val="16"/>
    </w:rPr>
  </w:style>
  <w:style w:type="paragraph" w:styleId="CommentText">
    <w:name w:val="annotation text"/>
    <w:basedOn w:val="Normal"/>
    <w:link w:val="CommentTextChar"/>
    <w:uiPriority w:val="99"/>
    <w:unhideWhenUsed/>
    <w:rsid w:val="00686217"/>
    <w:rPr>
      <w:sz w:val="20"/>
      <w:szCs w:val="20"/>
    </w:rPr>
  </w:style>
  <w:style w:type="character" w:customStyle="1" w:styleId="CommentTextChar">
    <w:name w:val="Comment Text Char"/>
    <w:basedOn w:val="DefaultParagraphFont"/>
    <w:link w:val="CommentText"/>
    <w:uiPriority w:val="99"/>
    <w:rsid w:val="006862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6217"/>
    <w:rPr>
      <w:b/>
      <w:bCs/>
    </w:rPr>
  </w:style>
  <w:style w:type="character" w:customStyle="1" w:styleId="CommentSubjectChar">
    <w:name w:val="Comment Subject Char"/>
    <w:basedOn w:val="CommentTextChar"/>
    <w:link w:val="CommentSubject"/>
    <w:uiPriority w:val="99"/>
    <w:semiHidden/>
    <w:rsid w:val="00686217"/>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C62F5E"/>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C62F5E"/>
    <w:rPr>
      <w:rFonts w:ascii="Calibri" w:eastAsia="Times New Roman" w:hAnsi="Calibri" w:cs="Times New Roman"/>
      <w:lang w:val="x-none" w:eastAsia="x-none"/>
    </w:rPr>
  </w:style>
  <w:style w:type="paragraph" w:styleId="FootnoteText">
    <w:name w:val="footnote text"/>
    <w:basedOn w:val="Normal"/>
    <w:link w:val="FootnoteTextChar"/>
    <w:uiPriority w:val="99"/>
    <w:rsid w:val="007C2B6F"/>
    <w:rPr>
      <w:sz w:val="20"/>
      <w:szCs w:val="20"/>
    </w:rPr>
  </w:style>
  <w:style w:type="character" w:customStyle="1" w:styleId="FootnoteTextChar">
    <w:name w:val="Footnote Text Char"/>
    <w:basedOn w:val="DefaultParagraphFont"/>
    <w:link w:val="FootnoteText"/>
    <w:uiPriority w:val="99"/>
    <w:rsid w:val="007C2B6F"/>
    <w:rPr>
      <w:rFonts w:ascii="Times New Roman" w:eastAsia="Times New Roman" w:hAnsi="Times New Roman" w:cs="Times New Roman"/>
      <w:sz w:val="20"/>
      <w:szCs w:val="20"/>
    </w:rPr>
  </w:style>
  <w:style w:type="character" w:styleId="FootnoteReference">
    <w:name w:val="footnote reference"/>
    <w:uiPriority w:val="99"/>
    <w:rsid w:val="007C2B6F"/>
    <w:rPr>
      <w:rFonts w:cs="Times New Roman"/>
      <w:vertAlign w:val="superscript"/>
    </w:rPr>
  </w:style>
  <w:style w:type="paragraph" w:styleId="Caption">
    <w:name w:val="caption"/>
    <w:basedOn w:val="Normal"/>
    <w:next w:val="Normal"/>
    <w:uiPriority w:val="35"/>
    <w:qFormat/>
    <w:rsid w:val="00332F80"/>
    <w:rPr>
      <w:b/>
      <w:bCs/>
      <w:sz w:val="20"/>
      <w:szCs w:val="20"/>
    </w:rPr>
  </w:style>
  <w:style w:type="character" w:customStyle="1" w:styleId="Heading3Char">
    <w:name w:val="Heading 3 Char"/>
    <w:basedOn w:val="DefaultParagraphFont"/>
    <w:link w:val="Heading3"/>
    <w:uiPriority w:val="9"/>
    <w:semiHidden/>
    <w:rsid w:val="00332F80"/>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F951D1"/>
    <w:pPr>
      <w:spacing w:after="100"/>
      <w:ind w:left="480"/>
    </w:pPr>
  </w:style>
  <w:style w:type="character" w:customStyle="1" w:styleId="Heading4Char">
    <w:name w:val="Heading 4 Char"/>
    <w:basedOn w:val="DefaultParagraphFont"/>
    <w:link w:val="Heading4"/>
    <w:uiPriority w:val="9"/>
    <w:semiHidden/>
    <w:rsid w:val="000C20A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0C20A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0C20A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0C20A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0C20A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C20AB"/>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0C20AB"/>
    <w:pPr>
      <w:numPr>
        <w:numId w:val="7"/>
      </w:numPr>
    </w:pPr>
  </w:style>
  <w:style w:type="paragraph" w:styleId="TOC1">
    <w:name w:val="toc 1"/>
    <w:basedOn w:val="Normal"/>
    <w:next w:val="Normal"/>
    <w:autoRedefine/>
    <w:uiPriority w:val="39"/>
    <w:unhideWhenUsed/>
    <w:rsid w:val="00E53653"/>
    <w:pPr>
      <w:spacing w:after="100"/>
    </w:pPr>
  </w:style>
  <w:style w:type="paragraph" w:styleId="TableofFigures">
    <w:name w:val="table of figures"/>
    <w:basedOn w:val="Normal"/>
    <w:next w:val="Normal"/>
    <w:uiPriority w:val="99"/>
    <w:unhideWhenUsed/>
    <w:rsid w:val="009221FF"/>
  </w:style>
  <w:style w:type="paragraph" w:styleId="EndnoteText">
    <w:name w:val="endnote text"/>
    <w:basedOn w:val="Normal"/>
    <w:link w:val="EndnoteTextChar"/>
    <w:uiPriority w:val="99"/>
    <w:semiHidden/>
    <w:unhideWhenUsed/>
    <w:rsid w:val="005B7263"/>
    <w:rPr>
      <w:sz w:val="20"/>
      <w:szCs w:val="20"/>
    </w:rPr>
  </w:style>
  <w:style w:type="character" w:customStyle="1" w:styleId="EndnoteTextChar">
    <w:name w:val="Endnote Text Char"/>
    <w:basedOn w:val="DefaultParagraphFont"/>
    <w:link w:val="EndnoteText"/>
    <w:uiPriority w:val="99"/>
    <w:semiHidden/>
    <w:rsid w:val="005B726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B7263"/>
    <w:rPr>
      <w:vertAlign w:val="superscript"/>
    </w:rPr>
  </w:style>
  <w:style w:type="paragraph" w:customStyle="1" w:styleId="Normal1">
    <w:name w:val="Normal1"/>
    <w:basedOn w:val="Normal"/>
    <w:link w:val="Normal1Char"/>
    <w:qFormat/>
    <w:rsid w:val="00BF4C06"/>
    <w:rPr>
      <w:rFonts w:cs="Arial"/>
    </w:rPr>
  </w:style>
  <w:style w:type="character" w:customStyle="1" w:styleId="Normal1Char">
    <w:name w:val="Normal1 Char"/>
    <w:basedOn w:val="DefaultParagraphFont"/>
    <w:link w:val="Normal1"/>
    <w:rsid w:val="00BF4C06"/>
    <w:rPr>
      <w:rFonts w:ascii="Times New Roman" w:eastAsia="Times New Roman" w:hAnsi="Times New Roman" w:cs="Arial"/>
      <w:sz w:val="24"/>
      <w:szCs w:val="24"/>
    </w:rPr>
  </w:style>
  <w:style w:type="paragraph" w:customStyle="1" w:styleId="EndNoteBibliographyTitle">
    <w:name w:val="EndNote Bibliography Title"/>
    <w:basedOn w:val="Normal"/>
    <w:link w:val="EndNoteBibliographyTitleChar"/>
    <w:rsid w:val="005C7B17"/>
    <w:pPr>
      <w:jc w:val="center"/>
    </w:pPr>
    <w:rPr>
      <w:noProof/>
    </w:rPr>
  </w:style>
  <w:style w:type="character" w:customStyle="1" w:styleId="EndNoteBibliographyTitleChar">
    <w:name w:val="EndNote Bibliography Title Char"/>
    <w:basedOn w:val="Normal1Char"/>
    <w:link w:val="EndNoteBibliographyTitle"/>
    <w:rsid w:val="005C7B17"/>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5C7B17"/>
    <w:rPr>
      <w:noProof/>
    </w:rPr>
  </w:style>
  <w:style w:type="character" w:customStyle="1" w:styleId="EndNoteBibliographyChar">
    <w:name w:val="EndNote Bibliography Char"/>
    <w:basedOn w:val="Normal1Char"/>
    <w:link w:val="EndNoteBibliography"/>
    <w:rsid w:val="005C7B17"/>
    <w:rPr>
      <w:rFonts w:ascii="Times New Roman" w:eastAsia="Times New Roman" w:hAnsi="Times New Roman" w:cs="Times New Roman"/>
      <w:noProof/>
      <w:sz w:val="24"/>
      <w:szCs w:val="24"/>
    </w:rPr>
  </w:style>
  <w:style w:type="paragraph" w:styleId="BodyText">
    <w:name w:val="Body Text"/>
    <w:basedOn w:val="Normal"/>
    <w:link w:val="BodyTextChar"/>
    <w:uiPriority w:val="99"/>
    <w:unhideWhenUsed/>
    <w:rsid w:val="000F4D42"/>
    <w:pPr>
      <w:spacing w:after="120"/>
    </w:pPr>
  </w:style>
  <w:style w:type="character" w:customStyle="1" w:styleId="BodyTextChar">
    <w:name w:val="Body Text Char"/>
    <w:basedOn w:val="DefaultParagraphFont"/>
    <w:link w:val="BodyText"/>
    <w:uiPriority w:val="99"/>
    <w:rsid w:val="000F4D42"/>
    <w:rPr>
      <w:rFonts w:ascii="Times New Roman" w:eastAsia="Times New Roman" w:hAnsi="Times New Roman" w:cs="Times New Roman"/>
      <w:sz w:val="24"/>
      <w:szCs w:val="24"/>
    </w:rPr>
  </w:style>
  <w:style w:type="paragraph" w:customStyle="1" w:styleId="MediumGrid1-Accent21">
    <w:name w:val="Medium Grid 1 - Accent 21"/>
    <w:basedOn w:val="Normal"/>
    <w:link w:val="MediumGrid1-Accent2Char"/>
    <w:uiPriority w:val="34"/>
    <w:qFormat/>
    <w:rsid w:val="00CE4B90"/>
    <w:pPr>
      <w:ind w:left="720"/>
      <w:contextualSpacing/>
    </w:pPr>
    <w:rPr>
      <w:rFonts w:ascii="Cambria" w:eastAsia="MS Mincho" w:hAnsi="Cambria"/>
    </w:rPr>
  </w:style>
  <w:style w:type="character" w:customStyle="1" w:styleId="MediumGrid1-Accent2Char">
    <w:name w:val="Medium Grid 1 - Accent 2 Char"/>
    <w:link w:val="MediumGrid1-Accent21"/>
    <w:uiPriority w:val="34"/>
    <w:locked/>
    <w:rsid w:val="00CE4B90"/>
    <w:rPr>
      <w:rFonts w:ascii="Cambria" w:eastAsia="MS Mincho" w:hAnsi="Cambria" w:cs="Times New Roman"/>
      <w:sz w:val="24"/>
      <w:szCs w:val="24"/>
    </w:rPr>
  </w:style>
  <w:style w:type="character" w:styleId="FollowedHyperlink">
    <w:name w:val="FollowedHyperlink"/>
    <w:basedOn w:val="DefaultParagraphFont"/>
    <w:uiPriority w:val="99"/>
    <w:semiHidden/>
    <w:unhideWhenUsed/>
    <w:rsid w:val="00F81A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60300">
      <w:bodyDiv w:val="1"/>
      <w:marLeft w:val="0"/>
      <w:marRight w:val="0"/>
      <w:marTop w:val="0"/>
      <w:marBottom w:val="0"/>
      <w:divBdr>
        <w:top w:val="none" w:sz="0" w:space="0" w:color="auto"/>
        <w:left w:val="none" w:sz="0" w:space="0" w:color="auto"/>
        <w:bottom w:val="none" w:sz="0" w:space="0" w:color="auto"/>
        <w:right w:val="none" w:sz="0" w:space="0" w:color="auto"/>
      </w:divBdr>
    </w:div>
    <w:div w:id="236482795">
      <w:bodyDiv w:val="1"/>
      <w:marLeft w:val="0"/>
      <w:marRight w:val="0"/>
      <w:marTop w:val="0"/>
      <w:marBottom w:val="0"/>
      <w:divBdr>
        <w:top w:val="none" w:sz="0" w:space="0" w:color="auto"/>
        <w:left w:val="none" w:sz="0" w:space="0" w:color="auto"/>
        <w:bottom w:val="none" w:sz="0" w:space="0" w:color="auto"/>
        <w:right w:val="none" w:sz="0" w:space="0" w:color="auto"/>
      </w:divBdr>
    </w:div>
    <w:div w:id="1124738157">
      <w:bodyDiv w:val="1"/>
      <w:marLeft w:val="0"/>
      <w:marRight w:val="0"/>
      <w:marTop w:val="0"/>
      <w:marBottom w:val="0"/>
      <w:divBdr>
        <w:top w:val="none" w:sz="0" w:space="0" w:color="auto"/>
        <w:left w:val="none" w:sz="0" w:space="0" w:color="auto"/>
        <w:bottom w:val="none" w:sz="0" w:space="0" w:color="auto"/>
        <w:right w:val="none" w:sz="0" w:space="0" w:color="auto"/>
      </w:divBdr>
    </w:div>
    <w:div w:id="1725328140">
      <w:bodyDiv w:val="1"/>
      <w:marLeft w:val="0"/>
      <w:marRight w:val="0"/>
      <w:marTop w:val="0"/>
      <w:marBottom w:val="0"/>
      <w:divBdr>
        <w:top w:val="none" w:sz="0" w:space="0" w:color="auto"/>
        <w:left w:val="none" w:sz="0" w:space="0" w:color="auto"/>
        <w:bottom w:val="none" w:sz="0" w:space="0" w:color="auto"/>
        <w:right w:val="none" w:sz="0" w:space="0" w:color="auto"/>
      </w:divBdr>
    </w:div>
    <w:div w:id="1976443824">
      <w:bodyDiv w:val="1"/>
      <w:marLeft w:val="0"/>
      <w:marRight w:val="0"/>
      <w:marTop w:val="0"/>
      <w:marBottom w:val="0"/>
      <w:divBdr>
        <w:top w:val="none" w:sz="0" w:space="0" w:color="auto"/>
        <w:left w:val="none" w:sz="0" w:space="0" w:color="auto"/>
        <w:bottom w:val="none" w:sz="0" w:space="0" w:color="auto"/>
        <w:right w:val="none" w:sz="0" w:space="0" w:color="auto"/>
      </w:divBdr>
    </w:div>
    <w:div w:id="1978870853">
      <w:bodyDiv w:val="1"/>
      <w:marLeft w:val="0"/>
      <w:marRight w:val="0"/>
      <w:marTop w:val="0"/>
      <w:marBottom w:val="0"/>
      <w:divBdr>
        <w:top w:val="none" w:sz="0" w:space="0" w:color="auto"/>
        <w:left w:val="none" w:sz="0" w:space="0" w:color="auto"/>
        <w:bottom w:val="none" w:sz="0" w:space="0" w:color="auto"/>
        <w:right w:val="none" w:sz="0" w:space="0" w:color="auto"/>
      </w:divBdr>
    </w:div>
    <w:div w:id="20024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art@atlasresearch.us" TargetMode="External"/><Relationship Id="rId13" Type="http://schemas.openxmlformats.org/officeDocument/2006/relationships/hyperlink" Target="mailto:Cynthia_Klein@abtassoc.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ex_Mijares@abtassoc.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anne.keatley@ucsf.edu" TargetMode="External"/><Relationship Id="rId5" Type="http://schemas.openxmlformats.org/officeDocument/2006/relationships/webSettings" Target="webSettings.xml"/><Relationship Id="rId15" Type="http://schemas.openxmlformats.org/officeDocument/2006/relationships/hyperlink" Target="http://www.bls.gov/oes/current/oes_nat.htm" TargetMode="External"/><Relationship Id="rId10" Type="http://schemas.openxmlformats.org/officeDocument/2006/relationships/hyperlink" Target="mailto:cerickson@atlasresearch.us" TargetMode="External"/><Relationship Id="rId4" Type="http://schemas.openxmlformats.org/officeDocument/2006/relationships/settings" Target="settings.xml"/><Relationship Id="rId9" Type="http://schemas.openxmlformats.org/officeDocument/2006/relationships/hyperlink" Target="mailto:jrollison@atlasresearch.us" TargetMode="External"/><Relationship Id="rId14" Type="http://schemas.openxmlformats.org/officeDocument/2006/relationships/hyperlink" Target="mailto:Marian_Creasy@abtas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b:Source>
    <b:Tag>Cen14</b:Tag>
    <b:SourceType>JournalArticle</b:SourceType>
    <b:Guid>{F63D5BC7-A925-4908-8A9D-8AD17538EC8A}</b:Guid>
    <b:Author>
      <b:Author>
        <b:Corporate>Centers for Disease Control and Prevention</b:Corporate>
      </b:Author>
    </b:Author>
    <b:Title>Diagnoses of HIV infection in the United States and dependent areas, 2014</b:Title>
    <b:JournalName>HIV Surveillance Report</b:JournalName>
    <b:Year>2014</b:Year>
    <b:Volume>26</b:Volume>
    <b:URL>http://www.cdc.gov/hiv/library/reports/surveillance/</b:URL>
    <b:RefOrder>1</b:RefOrder>
  </b:Source>
</b:Sources>
</file>

<file path=customXml/itemProps1.xml><?xml version="1.0" encoding="utf-8"?>
<ds:datastoreItem xmlns:ds="http://schemas.openxmlformats.org/officeDocument/2006/customXml" ds:itemID="{0E072B6E-0AB9-4518-A42B-AE2388CAE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5698</Words>
  <Characters>32481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2016-12-07T16:23:00Z</dcterms:created>
  <dcterms:modified xsi:type="dcterms:W3CDTF">2016-12-07T16:26:00Z</dcterms:modified>
</cp:coreProperties>
</file>