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FB" w:rsidRDefault="005342FB" w:rsidP="005342FB">
      <w:pPr>
        <w:pStyle w:val="NoSpacing"/>
        <w:jc w:val="center"/>
        <w:rPr>
          <w:b/>
        </w:rPr>
      </w:pPr>
    </w:p>
    <w:p w:rsidR="00D04403" w:rsidRDefault="00D04403" w:rsidP="005342FB">
      <w:pPr>
        <w:pStyle w:val="NoSpacing"/>
        <w:jc w:val="center"/>
        <w:rPr>
          <w:b/>
        </w:rPr>
      </w:pPr>
    </w:p>
    <w:p w:rsidR="00D04403" w:rsidRDefault="00D04403" w:rsidP="005342FB">
      <w:pPr>
        <w:pStyle w:val="NoSpacing"/>
        <w:jc w:val="center"/>
        <w:rPr>
          <w:b/>
        </w:rPr>
      </w:pPr>
    </w:p>
    <w:p w:rsidR="00D04403" w:rsidRDefault="00D04403" w:rsidP="005342FB">
      <w:pPr>
        <w:pStyle w:val="NoSpacing"/>
        <w:jc w:val="center"/>
        <w:rPr>
          <w:b/>
        </w:rPr>
      </w:pPr>
    </w:p>
    <w:p w:rsidR="00D04403" w:rsidRDefault="00D04403" w:rsidP="005342FB">
      <w:pPr>
        <w:pStyle w:val="NoSpacing"/>
        <w:jc w:val="center"/>
        <w:rPr>
          <w:b/>
        </w:rPr>
      </w:pPr>
    </w:p>
    <w:p w:rsidR="00D04403" w:rsidRDefault="00D04403" w:rsidP="005342FB">
      <w:pPr>
        <w:pStyle w:val="NoSpacing"/>
        <w:jc w:val="center"/>
        <w:rPr>
          <w:b/>
        </w:rPr>
      </w:pPr>
    </w:p>
    <w:p w:rsidR="00D04403" w:rsidRDefault="00D04403" w:rsidP="005342FB">
      <w:pPr>
        <w:pStyle w:val="NoSpacing"/>
        <w:jc w:val="center"/>
        <w:rPr>
          <w:b/>
        </w:rPr>
      </w:pPr>
    </w:p>
    <w:p w:rsidR="00D04403" w:rsidRDefault="00D04403" w:rsidP="005342FB">
      <w:pPr>
        <w:pStyle w:val="NoSpacing"/>
        <w:jc w:val="center"/>
        <w:rPr>
          <w:b/>
        </w:rPr>
      </w:pPr>
    </w:p>
    <w:p w:rsidR="005342FB" w:rsidRDefault="00527188" w:rsidP="005342FB">
      <w:pPr>
        <w:pStyle w:val="NoSpacing"/>
        <w:jc w:val="center"/>
        <w:rPr>
          <w:b/>
        </w:rPr>
      </w:pPr>
      <w:r>
        <w:rPr>
          <w:b/>
        </w:rPr>
        <w:t>Local Effectiveness Assessment Project (LEAP), Part II</w:t>
      </w:r>
    </w:p>
    <w:p w:rsidR="005342FB" w:rsidRDefault="005342FB" w:rsidP="005342FB">
      <w:pPr>
        <w:pStyle w:val="NoSpacing"/>
        <w:jc w:val="center"/>
        <w:rPr>
          <w:b/>
        </w:rPr>
      </w:pPr>
    </w:p>
    <w:p w:rsidR="005342FB" w:rsidRDefault="00D14157" w:rsidP="005342FB">
      <w:pPr>
        <w:pStyle w:val="NoSpacing"/>
        <w:jc w:val="center"/>
        <w:rPr>
          <w:b/>
        </w:rPr>
      </w:pPr>
      <w:r>
        <w:rPr>
          <w:b/>
        </w:rPr>
        <w:t>Ge</w:t>
      </w:r>
      <w:r w:rsidR="00527188">
        <w:rPr>
          <w:b/>
        </w:rPr>
        <w:t xml:space="preserve">neric </w:t>
      </w:r>
      <w:r w:rsidR="005342FB">
        <w:rPr>
          <w:b/>
        </w:rPr>
        <w:t>Information Collection Request under OMB #0920-</w:t>
      </w:r>
      <w:r w:rsidR="00527188">
        <w:rPr>
          <w:b/>
        </w:rPr>
        <w:t>1091</w:t>
      </w:r>
    </w:p>
    <w:p w:rsidR="006E1F27" w:rsidRDefault="006E1F27" w:rsidP="005342FB">
      <w:pPr>
        <w:pStyle w:val="NoSpacing"/>
        <w:jc w:val="center"/>
        <w:rPr>
          <w:b/>
        </w:rPr>
      </w:pPr>
      <w:r>
        <w:rPr>
          <w:b/>
        </w:rPr>
        <w:t>(Expires 12/31/2018)</w:t>
      </w:r>
    </w:p>
    <w:p w:rsidR="005342FB" w:rsidRDefault="005342FB" w:rsidP="005342FB">
      <w:pPr>
        <w:pStyle w:val="NoSpacing"/>
        <w:jc w:val="center"/>
        <w:rPr>
          <w:b/>
        </w:rPr>
      </w:pPr>
    </w:p>
    <w:p w:rsidR="005342FB" w:rsidRDefault="005342FB" w:rsidP="005342FB">
      <w:pPr>
        <w:pStyle w:val="NoSpacing"/>
        <w:jc w:val="center"/>
        <w:rPr>
          <w:b/>
        </w:rPr>
      </w:pPr>
    </w:p>
    <w:p w:rsidR="005342FB" w:rsidRDefault="005342FB" w:rsidP="005342FB">
      <w:pPr>
        <w:pStyle w:val="NoSpacing"/>
        <w:jc w:val="center"/>
        <w:rPr>
          <w:b/>
        </w:rPr>
      </w:pPr>
    </w:p>
    <w:p w:rsidR="005342FB" w:rsidRDefault="005342FB" w:rsidP="005342FB">
      <w:pPr>
        <w:pStyle w:val="NoSpacing"/>
        <w:jc w:val="center"/>
        <w:rPr>
          <w:b/>
        </w:rPr>
      </w:pPr>
    </w:p>
    <w:p w:rsidR="005342FB" w:rsidRDefault="005342FB" w:rsidP="005342FB">
      <w:pPr>
        <w:pStyle w:val="NoSpacing"/>
        <w:jc w:val="center"/>
        <w:rPr>
          <w:b/>
        </w:rPr>
      </w:pPr>
      <w:r>
        <w:rPr>
          <w:b/>
        </w:rPr>
        <w:t>Section B: Supporting Statement</w:t>
      </w:r>
    </w:p>
    <w:p w:rsidR="005342FB" w:rsidRDefault="005342FB" w:rsidP="005342FB">
      <w:pPr>
        <w:pStyle w:val="NoSpacing"/>
        <w:jc w:val="center"/>
        <w:rPr>
          <w:b/>
        </w:rPr>
      </w:pPr>
    </w:p>
    <w:p w:rsidR="005342FB" w:rsidRDefault="005342FB" w:rsidP="005342FB">
      <w:pPr>
        <w:pStyle w:val="NoSpacing"/>
        <w:jc w:val="center"/>
        <w:rPr>
          <w:b/>
        </w:rPr>
      </w:pPr>
    </w:p>
    <w:p w:rsidR="005342FB" w:rsidRDefault="005342FB" w:rsidP="00013F21">
      <w:pPr>
        <w:pStyle w:val="NoSpacing"/>
        <w:rPr>
          <w:b/>
        </w:rPr>
      </w:pPr>
    </w:p>
    <w:p w:rsidR="005342FB" w:rsidRDefault="005342FB" w:rsidP="005342FB">
      <w:pPr>
        <w:pStyle w:val="NoSpacing"/>
        <w:jc w:val="center"/>
        <w:rPr>
          <w:b/>
        </w:rPr>
      </w:pPr>
    </w:p>
    <w:p w:rsidR="00013F21" w:rsidRDefault="005D6D67" w:rsidP="005342FB">
      <w:pPr>
        <w:pStyle w:val="NoSpacing"/>
        <w:jc w:val="center"/>
        <w:rPr>
          <w:b/>
        </w:rPr>
      </w:pPr>
      <w:r>
        <w:rPr>
          <w:b/>
        </w:rPr>
        <w:t>June 1</w:t>
      </w:r>
      <w:r w:rsidR="00527188">
        <w:rPr>
          <w:b/>
        </w:rPr>
        <w:t>, 2016</w:t>
      </w:r>
    </w:p>
    <w:p w:rsidR="005342FB" w:rsidRDefault="005342FB" w:rsidP="005342FB">
      <w:pPr>
        <w:pStyle w:val="NoSpacing"/>
        <w:jc w:val="center"/>
        <w:rPr>
          <w:b/>
        </w:rPr>
      </w:pPr>
    </w:p>
    <w:p w:rsidR="005342FB" w:rsidRDefault="005342FB" w:rsidP="005342FB">
      <w:pPr>
        <w:pStyle w:val="NoSpacing"/>
        <w:jc w:val="center"/>
        <w:rPr>
          <w:b/>
        </w:rPr>
      </w:pPr>
    </w:p>
    <w:p w:rsidR="005342FB" w:rsidRDefault="005342FB" w:rsidP="005342FB">
      <w:pPr>
        <w:pStyle w:val="NoSpacing"/>
        <w:jc w:val="center"/>
        <w:rPr>
          <w:b/>
        </w:rPr>
      </w:pPr>
      <w:r>
        <w:rPr>
          <w:b/>
        </w:rPr>
        <w:t>CONTACT</w:t>
      </w:r>
    </w:p>
    <w:p w:rsidR="00527188" w:rsidRPr="00603813" w:rsidRDefault="00527188" w:rsidP="00527188">
      <w:pPr>
        <w:jc w:val="center"/>
        <w:rPr>
          <w:shd w:val="clear" w:color="auto" w:fill="FFFFFF"/>
        </w:rPr>
      </w:pPr>
      <w:r>
        <w:rPr>
          <w:bCs/>
          <w:shd w:val="clear" w:color="auto" w:fill="FFFFFF"/>
        </w:rPr>
        <w:t xml:space="preserve">James </w:t>
      </w:r>
      <w:r w:rsidR="008238F6">
        <w:rPr>
          <w:bCs/>
          <w:shd w:val="clear" w:color="auto" w:fill="FFFFFF"/>
        </w:rPr>
        <w:t xml:space="preserve">W. </w:t>
      </w:r>
      <w:r>
        <w:rPr>
          <w:bCs/>
          <w:shd w:val="clear" w:color="auto" w:fill="FFFFFF"/>
        </w:rPr>
        <w:t>Carey</w:t>
      </w:r>
      <w:r w:rsidRPr="00603813">
        <w:rPr>
          <w:bCs/>
          <w:shd w:val="clear" w:color="auto" w:fill="FFFFFF"/>
        </w:rPr>
        <w:t>, PhD</w:t>
      </w:r>
      <w:r w:rsidR="008238F6">
        <w:rPr>
          <w:bCs/>
          <w:shd w:val="clear" w:color="auto" w:fill="FFFFFF"/>
        </w:rPr>
        <w:t>, MPH</w:t>
      </w:r>
      <w:r w:rsidRPr="00603813">
        <w:t xml:space="preserve"> </w:t>
      </w:r>
      <w:r w:rsidRPr="00603813">
        <w:br/>
      </w:r>
      <w:r>
        <w:t>Project Officer</w:t>
      </w:r>
    </w:p>
    <w:p w:rsidR="00527188" w:rsidRDefault="00527188" w:rsidP="00527188">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 xml:space="preserve">Phone: </w:t>
      </w:r>
      <w:r>
        <w:rPr>
          <w:shd w:val="clear" w:color="auto" w:fill="FFFFFF"/>
        </w:rPr>
        <w:t>404-639-</w:t>
      </w:r>
      <w:r w:rsidRPr="004657BF">
        <w:rPr>
          <w:shd w:val="clear" w:color="auto" w:fill="FFFFFF"/>
        </w:rPr>
        <w:t>1903</w:t>
      </w:r>
    </w:p>
    <w:p w:rsidR="00527188" w:rsidRDefault="00527188" w:rsidP="00527188">
      <w:pPr>
        <w:pStyle w:val="NoSpacing"/>
        <w:jc w:val="center"/>
      </w:pPr>
      <w:r w:rsidRPr="00603813">
        <w:rPr>
          <w:shd w:val="clear" w:color="auto" w:fill="FFFFFF"/>
        </w:rPr>
        <w:t>Fax: 404-639-1950</w:t>
      </w:r>
      <w:r w:rsidRPr="00603813">
        <w:br/>
      </w:r>
      <w:r w:rsidRPr="00603813">
        <w:rPr>
          <w:shd w:val="clear" w:color="auto" w:fill="FFFFFF"/>
        </w:rPr>
        <w:t>E-mail:</w:t>
      </w:r>
      <w:r w:rsidRPr="00603813">
        <w:t> </w:t>
      </w:r>
      <w:r>
        <w:t>jfc9@cdc.gov</w:t>
      </w:r>
    </w:p>
    <w:p w:rsidR="00DC57CC" w:rsidRDefault="00DC57CC"/>
    <w:p w:rsidR="005342FB" w:rsidRDefault="005342FB">
      <w:pPr>
        <w:spacing w:after="200" w:line="276" w:lineRule="auto"/>
        <w:rPr>
          <w:rFonts w:eastAsiaTheme="minorHAnsi" w:cstheme="minorBidi"/>
          <w:szCs w:val="22"/>
        </w:rPr>
      </w:pPr>
      <w:r>
        <w:br w:type="page"/>
      </w:r>
    </w:p>
    <w:p w:rsidR="005342FB" w:rsidRDefault="005342FB" w:rsidP="00D3747B">
      <w:pPr>
        <w:pStyle w:val="NoSpacing"/>
        <w:pBdr>
          <w:bottom w:val="single" w:sz="4" w:space="1" w:color="auto"/>
        </w:pBdr>
        <w:rPr>
          <w:b/>
        </w:rPr>
      </w:pPr>
      <w:r w:rsidRPr="00D3747B">
        <w:rPr>
          <w:b/>
        </w:rPr>
        <w:lastRenderedPageBreak/>
        <w:t>TABLE OF CONTENTS</w:t>
      </w:r>
    </w:p>
    <w:p w:rsidR="00D3747B" w:rsidRPr="00D3747B" w:rsidRDefault="00D3747B" w:rsidP="005342FB">
      <w:pPr>
        <w:pStyle w:val="NoSpacing"/>
        <w:rPr>
          <w:b/>
        </w:rPr>
      </w:pPr>
    </w:p>
    <w:sdt>
      <w:sdtPr>
        <w:id w:val="1342736994"/>
        <w:docPartObj>
          <w:docPartGallery w:val="Table of Contents"/>
          <w:docPartUnique/>
        </w:docPartObj>
      </w:sdtPr>
      <w:sdtEndPr>
        <w:rPr>
          <w:b/>
          <w:bCs/>
          <w:noProof/>
        </w:rPr>
      </w:sdtEndPr>
      <w:sdtContent>
        <w:p w:rsidR="00D3747B" w:rsidRDefault="00D3747B">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107011" w:history="1">
            <w:r w:rsidRPr="009C4819">
              <w:rPr>
                <w:rStyle w:val="Hyperlink"/>
                <w:rFonts w:eastAsiaTheme="majorEastAsia"/>
                <w:noProof/>
              </w:rPr>
              <w:t>1.</w:t>
            </w:r>
            <w:r>
              <w:rPr>
                <w:rFonts w:asciiTheme="minorHAnsi" w:eastAsiaTheme="minorEastAsia" w:hAnsiTheme="minorHAnsi" w:cstheme="minorBidi"/>
                <w:noProof/>
                <w:sz w:val="22"/>
                <w:szCs w:val="22"/>
              </w:rPr>
              <w:tab/>
            </w:r>
            <w:r w:rsidRPr="009C4819">
              <w:rPr>
                <w:rStyle w:val="Hyperlink"/>
                <w:rFonts w:eastAsiaTheme="majorEastAsia"/>
                <w:noProof/>
              </w:rPr>
              <w:t>Respondent Universe and Sampling Methods</w:t>
            </w:r>
            <w:r>
              <w:rPr>
                <w:noProof/>
                <w:webHidden/>
              </w:rPr>
              <w:tab/>
            </w:r>
            <w:r>
              <w:rPr>
                <w:noProof/>
                <w:webHidden/>
              </w:rPr>
              <w:fldChar w:fldCharType="begin"/>
            </w:r>
            <w:r>
              <w:rPr>
                <w:noProof/>
                <w:webHidden/>
              </w:rPr>
              <w:instrText xml:space="preserve"> PAGEREF _Toc445107011 \h </w:instrText>
            </w:r>
            <w:r>
              <w:rPr>
                <w:noProof/>
                <w:webHidden/>
              </w:rPr>
            </w:r>
            <w:r>
              <w:rPr>
                <w:noProof/>
                <w:webHidden/>
              </w:rPr>
              <w:fldChar w:fldCharType="separate"/>
            </w:r>
            <w:r w:rsidR="00E3297C">
              <w:rPr>
                <w:noProof/>
                <w:webHidden/>
              </w:rPr>
              <w:t>3</w:t>
            </w:r>
            <w:r>
              <w:rPr>
                <w:noProof/>
                <w:webHidden/>
              </w:rPr>
              <w:fldChar w:fldCharType="end"/>
            </w:r>
          </w:hyperlink>
        </w:p>
        <w:p w:rsidR="00D3747B" w:rsidRDefault="00557F5B">
          <w:pPr>
            <w:pStyle w:val="TOC1"/>
            <w:tabs>
              <w:tab w:val="left" w:pos="440"/>
              <w:tab w:val="right" w:leader="dot" w:pos="10070"/>
            </w:tabs>
            <w:rPr>
              <w:rFonts w:asciiTheme="minorHAnsi" w:eastAsiaTheme="minorEastAsia" w:hAnsiTheme="minorHAnsi" w:cstheme="minorBidi"/>
              <w:noProof/>
              <w:sz w:val="22"/>
              <w:szCs w:val="22"/>
            </w:rPr>
          </w:pPr>
          <w:hyperlink w:anchor="_Toc445107012" w:history="1">
            <w:r w:rsidR="00D3747B" w:rsidRPr="009C4819">
              <w:rPr>
                <w:rStyle w:val="Hyperlink"/>
                <w:rFonts w:eastAsiaTheme="majorEastAsia"/>
                <w:noProof/>
              </w:rPr>
              <w:t>2.</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Procedures for the Collection of Information</w:t>
            </w:r>
            <w:r w:rsidR="00D3747B">
              <w:rPr>
                <w:noProof/>
                <w:webHidden/>
              </w:rPr>
              <w:tab/>
            </w:r>
            <w:r w:rsidR="00D3747B">
              <w:rPr>
                <w:noProof/>
                <w:webHidden/>
              </w:rPr>
              <w:fldChar w:fldCharType="begin"/>
            </w:r>
            <w:r w:rsidR="00D3747B">
              <w:rPr>
                <w:noProof/>
                <w:webHidden/>
              </w:rPr>
              <w:instrText xml:space="preserve"> PAGEREF _Toc445107012 \h </w:instrText>
            </w:r>
            <w:r w:rsidR="00D3747B">
              <w:rPr>
                <w:noProof/>
                <w:webHidden/>
              </w:rPr>
            </w:r>
            <w:r w:rsidR="00D3747B">
              <w:rPr>
                <w:noProof/>
                <w:webHidden/>
              </w:rPr>
              <w:fldChar w:fldCharType="separate"/>
            </w:r>
            <w:r w:rsidR="00E3297C">
              <w:rPr>
                <w:noProof/>
                <w:webHidden/>
              </w:rPr>
              <w:t>5</w:t>
            </w:r>
            <w:r w:rsidR="00D3747B">
              <w:rPr>
                <w:noProof/>
                <w:webHidden/>
              </w:rPr>
              <w:fldChar w:fldCharType="end"/>
            </w:r>
          </w:hyperlink>
        </w:p>
        <w:p w:rsidR="00D3747B" w:rsidRDefault="00557F5B">
          <w:pPr>
            <w:pStyle w:val="TOC1"/>
            <w:tabs>
              <w:tab w:val="left" w:pos="440"/>
              <w:tab w:val="right" w:leader="dot" w:pos="10070"/>
            </w:tabs>
            <w:rPr>
              <w:rFonts w:asciiTheme="minorHAnsi" w:eastAsiaTheme="minorEastAsia" w:hAnsiTheme="minorHAnsi" w:cstheme="minorBidi"/>
              <w:noProof/>
              <w:sz w:val="22"/>
              <w:szCs w:val="22"/>
            </w:rPr>
          </w:pPr>
          <w:hyperlink w:anchor="_Toc445107013" w:history="1">
            <w:r w:rsidR="00D3747B" w:rsidRPr="009C4819">
              <w:rPr>
                <w:rStyle w:val="Hyperlink"/>
                <w:rFonts w:eastAsiaTheme="majorEastAsia"/>
                <w:noProof/>
              </w:rPr>
              <w:t>3.</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Methods to Maximize Response Rates and Deal with No Response</w:t>
            </w:r>
            <w:r w:rsidR="00D3747B">
              <w:rPr>
                <w:noProof/>
                <w:webHidden/>
              </w:rPr>
              <w:tab/>
            </w:r>
            <w:r w:rsidR="00D3747B">
              <w:rPr>
                <w:noProof/>
                <w:webHidden/>
              </w:rPr>
              <w:fldChar w:fldCharType="begin"/>
            </w:r>
            <w:r w:rsidR="00D3747B">
              <w:rPr>
                <w:noProof/>
                <w:webHidden/>
              </w:rPr>
              <w:instrText xml:space="preserve"> PAGEREF _Toc445107013 \h </w:instrText>
            </w:r>
            <w:r w:rsidR="00D3747B">
              <w:rPr>
                <w:noProof/>
                <w:webHidden/>
              </w:rPr>
            </w:r>
            <w:r w:rsidR="00D3747B">
              <w:rPr>
                <w:noProof/>
                <w:webHidden/>
              </w:rPr>
              <w:fldChar w:fldCharType="separate"/>
            </w:r>
            <w:r w:rsidR="00E3297C">
              <w:rPr>
                <w:noProof/>
                <w:webHidden/>
              </w:rPr>
              <w:t>6</w:t>
            </w:r>
            <w:r w:rsidR="00D3747B">
              <w:rPr>
                <w:noProof/>
                <w:webHidden/>
              </w:rPr>
              <w:fldChar w:fldCharType="end"/>
            </w:r>
          </w:hyperlink>
        </w:p>
        <w:p w:rsidR="00D3747B" w:rsidRDefault="00557F5B">
          <w:pPr>
            <w:pStyle w:val="TOC1"/>
            <w:tabs>
              <w:tab w:val="left" w:pos="440"/>
              <w:tab w:val="right" w:leader="dot" w:pos="10070"/>
            </w:tabs>
            <w:rPr>
              <w:rFonts w:asciiTheme="minorHAnsi" w:eastAsiaTheme="minorEastAsia" w:hAnsiTheme="minorHAnsi" w:cstheme="minorBidi"/>
              <w:noProof/>
              <w:sz w:val="22"/>
              <w:szCs w:val="22"/>
            </w:rPr>
          </w:pPr>
          <w:hyperlink w:anchor="_Toc445107014" w:history="1">
            <w:r w:rsidR="00D3747B" w:rsidRPr="009C4819">
              <w:rPr>
                <w:rStyle w:val="Hyperlink"/>
                <w:rFonts w:eastAsiaTheme="majorEastAsia"/>
                <w:noProof/>
              </w:rPr>
              <w:t>4.</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Tests of Procedures or Methods to be Undertaken</w:t>
            </w:r>
            <w:r w:rsidR="00D3747B">
              <w:rPr>
                <w:noProof/>
                <w:webHidden/>
              </w:rPr>
              <w:tab/>
            </w:r>
            <w:r w:rsidR="00D3747B">
              <w:rPr>
                <w:noProof/>
                <w:webHidden/>
              </w:rPr>
              <w:fldChar w:fldCharType="begin"/>
            </w:r>
            <w:r w:rsidR="00D3747B">
              <w:rPr>
                <w:noProof/>
                <w:webHidden/>
              </w:rPr>
              <w:instrText xml:space="preserve"> PAGEREF _Toc445107014 \h </w:instrText>
            </w:r>
            <w:r w:rsidR="00D3747B">
              <w:rPr>
                <w:noProof/>
                <w:webHidden/>
              </w:rPr>
            </w:r>
            <w:r w:rsidR="00D3747B">
              <w:rPr>
                <w:noProof/>
                <w:webHidden/>
              </w:rPr>
              <w:fldChar w:fldCharType="separate"/>
            </w:r>
            <w:r w:rsidR="00E3297C">
              <w:rPr>
                <w:noProof/>
                <w:webHidden/>
              </w:rPr>
              <w:t>6</w:t>
            </w:r>
            <w:r w:rsidR="00D3747B">
              <w:rPr>
                <w:noProof/>
                <w:webHidden/>
              </w:rPr>
              <w:fldChar w:fldCharType="end"/>
            </w:r>
          </w:hyperlink>
        </w:p>
        <w:p w:rsidR="00D3747B" w:rsidRDefault="00557F5B">
          <w:pPr>
            <w:pStyle w:val="TOC1"/>
            <w:tabs>
              <w:tab w:val="left" w:pos="440"/>
              <w:tab w:val="right" w:leader="dot" w:pos="10070"/>
            </w:tabs>
            <w:rPr>
              <w:rFonts w:asciiTheme="minorHAnsi" w:eastAsiaTheme="minorEastAsia" w:hAnsiTheme="minorHAnsi" w:cstheme="minorBidi"/>
              <w:noProof/>
              <w:sz w:val="22"/>
              <w:szCs w:val="22"/>
            </w:rPr>
          </w:pPr>
          <w:hyperlink w:anchor="_Toc445107015" w:history="1">
            <w:r w:rsidR="00D3747B" w:rsidRPr="009C4819">
              <w:rPr>
                <w:rStyle w:val="Hyperlink"/>
                <w:rFonts w:eastAsiaTheme="majorEastAsia"/>
                <w:noProof/>
              </w:rPr>
              <w:t>5.</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Individuals Consulted on Statistical Aspects and Individuals Collecting and/or Analyzing Data</w:t>
            </w:r>
            <w:r w:rsidR="00D3747B">
              <w:rPr>
                <w:noProof/>
                <w:webHidden/>
              </w:rPr>
              <w:tab/>
            </w:r>
            <w:r w:rsidR="00D3747B">
              <w:rPr>
                <w:noProof/>
                <w:webHidden/>
              </w:rPr>
              <w:fldChar w:fldCharType="begin"/>
            </w:r>
            <w:r w:rsidR="00D3747B">
              <w:rPr>
                <w:noProof/>
                <w:webHidden/>
              </w:rPr>
              <w:instrText xml:space="preserve"> PAGEREF _Toc445107015 \h </w:instrText>
            </w:r>
            <w:r w:rsidR="00D3747B">
              <w:rPr>
                <w:noProof/>
                <w:webHidden/>
              </w:rPr>
            </w:r>
            <w:r w:rsidR="00D3747B">
              <w:rPr>
                <w:noProof/>
                <w:webHidden/>
              </w:rPr>
              <w:fldChar w:fldCharType="separate"/>
            </w:r>
            <w:r w:rsidR="00E3297C">
              <w:rPr>
                <w:noProof/>
                <w:webHidden/>
              </w:rPr>
              <w:t>6</w:t>
            </w:r>
            <w:r w:rsidR="00D3747B">
              <w:rPr>
                <w:noProof/>
                <w:webHidden/>
              </w:rPr>
              <w:fldChar w:fldCharType="end"/>
            </w:r>
          </w:hyperlink>
        </w:p>
        <w:p w:rsidR="00D3747B" w:rsidRDefault="00D3747B">
          <w:r>
            <w:rPr>
              <w:b/>
              <w:bCs/>
              <w:noProof/>
            </w:rPr>
            <w:fldChar w:fldCharType="end"/>
          </w:r>
        </w:p>
      </w:sdtContent>
    </w:sdt>
    <w:p w:rsidR="005342FB" w:rsidRDefault="005342FB" w:rsidP="005342FB">
      <w:pPr>
        <w:pStyle w:val="NoSpacing"/>
      </w:pPr>
    </w:p>
    <w:p w:rsidR="005342FB" w:rsidRDefault="00D3747B" w:rsidP="00FF1B1C">
      <w:pPr>
        <w:pStyle w:val="NoSpacing"/>
        <w:pBdr>
          <w:bottom w:val="single" w:sz="4" w:space="1" w:color="auto"/>
        </w:pBdr>
        <w:rPr>
          <w:b/>
        </w:rPr>
      </w:pPr>
      <w:r w:rsidRPr="00D3747B">
        <w:rPr>
          <w:b/>
        </w:rPr>
        <w:t>EXHIBITS</w:t>
      </w:r>
    </w:p>
    <w:p w:rsidR="00FF1B1C" w:rsidRPr="00D3747B" w:rsidRDefault="00FF1B1C" w:rsidP="005342FB">
      <w:pPr>
        <w:pStyle w:val="NoSpacing"/>
        <w:rPr>
          <w:b/>
        </w:rPr>
      </w:pPr>
    </w:p>
    <w:p w:rsidR="00E3297C" w:rsidRDefault="007F29CE" w:rsidP="00E3297C">
      <w:pPr>
        <w:pStyle w:val="TableofFigures"/>
        <w:tabs>
          <w:tab w:val="right" w:leader="dot" w:pos="10070"/>
        </w:tabs>
        <w:spacing w:line="360" w:lineRule="auto"/>
        <w:rPr>
          <w:rFonts w:asciiTheme="minorHAnsi" w:eastAsiaTheme="minorEastAsia" w:hAnsiTheme="minorHAnsi" w:cstheme="minorBidi"/>
          <w:noProof/>
          <w:sz w:val="22"/>
          <w:szCs w:val="22"/>
        </w:rPr>
      </w:pPr>
      <w:r>
        <w:fldChar w:fldCharType="begin"/>
      </w:r>
      <w:r>
        <w:instrText xml:space="preserve"> TOC \h \z \c "Exhibit" </w:instrText>
      </w:r>
      <w:r>
        <w:fldChar w:fldCharType="separate"/>
      </w:r>
      <w:hyperlink w:anchor="_Toc450750945" w:history="1">
        <w:r w:rsidR="00E3297C" w:rsidRPr="00FB344F">
          <w:rPr>
            <w:rStyle w:val="Hyperlink"/>
            <w:noProof/>
          </w:rPr>
          <w:t>Exhibit 1.1: Summary of Recruitment Targets</w:t>
        </w:r>
        <w:r w:rsidR="00E3297C">
          <w:rPr>
            <w:noProof/>
            <w:webHidden/>
          </w:rPr>
          <w:tab/>
        </w:r>
        <w:r w:rsidR="00E3297C">
          <w:rPr>
            <w:noProof/>
            <w:webHidden/>
          </w:rPr>
          <w:fldChar w:fldCharType="begin"/>
        </w:r>
        <w:r w:rsidR="00E3297C">
          <w:rPr>
            <w:noProof/>
            <w:webHidden/>
          </w:rPr>
          <w:instrText xml:space="preserve"> PAGEREF _Toc450750945 \h </w:instrText>
        </w:r>
        <w:r w:rsidR="00E3297C">
          <w:rPr>
            <w:noProof/>
            <w:webHidden/>
          </w:rPr>
        </w:r>
        <w:r w:rsidR="00E3297C">
          <w:rPr>
            <w:noProof/>
            <w:webHidden/>
          </w:rPr>
          <w:fldChar w:fldCharType="separate"/>
        </w:r>
        <w:r w:rsidR="00E3297C">
          <w:rPr>
            <w:noProof/>
            <w:webHidden/>
          </w:rPr>
          <w:t>4</w:t>
        </w:r>
        <w:r w:rsidR="00E3297C">
          <w:rPr>
            <w:noProof/>
            <w:webHidden/>
          </w:rPr>
          <w:fldChar w:fldCharType="end"/>
        </w:r>
      </w:hyperlink>
    </w:p>
    <w:p w:rsidR="00E3297C" w:rsidRDefault="00557F5B" w:rsidP="00E3297C">
      <w:pPr>
        <w:pStyle w:val="TableofFigures"/>
        <w:tabs>
          <w:tab w:val="right" w:leader="dot" w:pos="10070"/>
        </w:tabs>
        <w:spacing w:line="360" w:lineRule="auto"/>
        <w:rPr>
          <w:rFonts w:asciiTheme="minorHAnsi" w:eastAsiaTheme="minorEastAsia" w:hAnsiTheme="minorHAnsi" w:cstheme="minorBidi"/>
          <w:noProof/>
          <w:sz w:val="22"/>
          <w:szCs w:val="22"/>
        </w:rPr>
      </w:pPr>
      <w:hyperlink w:anchor="_Toc450750946" w:history="1">
        <w:r w:rsidR="00E3297C" w:rsidRPr="00FB344F">
          <w:rPr>
            <w:rStyle w:val="Hyperlink"/>
            <w:noProof/>
          </w:rPr>
          <w:t>Exhibit 5.1: Statistical Consultants</w:t>
        </w:r>
        <w:r w:rsidR="00E3297C">
          <w:rPr>
            <w:noProof/>
            <w:webHidden/>
          </w:rPr>
          <w:tab/>
        </w:r>
        <w:r w:rsidR="00E3297C">
          <w:rPr>
            <w:noProof/>
            <w:webHidden/>
          </w:rPr>
          <w:fldChar w:fldCharType="begin"/>
        </w:r>
        <w:r w:rsidR="00E3297C">
          <w:rPr>
            <w:noProof/>
            <w:webHidden/>
          </w:rPr>
          <w:instrText xml:space="preserve"> PAGEREF _Toc450750946 \h </w:instrText>
        </w:r>
        <w:r w:rsidR="00E3297C">
          <w:rPr>
            <w:noProof/>
            <w:webHidden/>
          </w:rPr>
        </w:r>
        <w:r w:rsidR="00E3297C">
          <w:rPr>
            <w:noProof/>
            <w:webHidden/>
          </w:rPr>
          <w:fldChar w:fldCharType="separate"/>
        </w:r>
        <w:r w:rsidR="00E3297C">
          <w:rPr>
            <w:noProof/>
            <w:webHidden/>
          </w:rPr>
          <w:t>6</w:t>
        </w:r>
        <w:r w:rsidR="00E3297C">
          <w:rPr>
            <w:noProof/>
            <w:webHidden/>
          </w:rPr>
          <w:fldChar w:fldCharType="end"/>
        </w:r>
      </w:hyperlink>
    </w:p>
    <w:p w:rsidR="00FF1B1C" w:rsidRDefault="007F29CE" w:rsidP="007F29CE">
      <w:pPr>
        <w:pStyle w:val="NoSpacing"/>
        <w:spacing w:line="360" w:lineRule="auto"/>
        <w:rPr>
          <w:b/>
        </w:rPr>
      </w:pPr>
      <w:r>
        <w:fldChar w:fldCharType="end"/>
      </w:r>
      <w:r w:rsidRPr="00D3747B">
        <w:rPr>
          <w:b/>
        </w:rPr>
        <w:t xml:space="preserve"> </w:t>
      </w:r>
    </w:p>
    <w:p w:rsidR="005342FB" w:rsidRPr="00E451A4" w:rsidRDefault="005342FB" w:rsidP="00E451A4">
      <w:pPr>
        <w:pStyle w:val="NoSpacing"/>
        <w:tabs>
          <w:tab w:val="left" w:pos="360"/>
        </w:tabs>
      </w:pPr>
      <w:r w:rsidRPr="00D3747B">
        <w:rPr>
          <w:b/>
        </w:rPr>
        <w:br w:type="page"/>
      </w:r>
    </w:p>
    <w:p w:rsidR="005342FB" w:rsidRDefault="005342FB" w:rsidP="005342FB">
      <w:pPr>
        <w:pStyle w:val="Heading1"/>
      </w:pPr>
      <w:bookmarkStart w:id="0" w:name="_Toc445107011"/>
      <w:r>
        <w:lastRenderedPageBreak/>
        <w:t>Respondent Universe and Sampling Methods</w:t>
      </w:r>
      <w:bookmarkEnd w:id="0"/>
    </w:p>
    <w:p w:rsidR="005342FB" w:rsidRDefault="005342FB" w:rsidP="005342FB"/>
    <w:p w:rsidR="00D90173" w:rsidRPr="00D90173" w:rsidRDefault="00D90173" w:rsidP="00D207FC">
      <w:pPr>
        <w:rPr>
          <w:b/>
        </w:rPr>
      </w:pPr>
      <w:r w:rsidRPr="00D90173">
        <w:rPr>
          <w:b/>
        </w:rPr>
        <w:t>City Selection</w:t>
      </w:r>
    </w:p>
    <w:p w:rsidR="00D90173" w:rsidRDefault="00D90173" w:rsidP="00D207FC"/>
    <w:p w:rsidR="00D90173" w:rsidRDefault="005339B7" w:rsidP="00D207FC">
      <w:r>
        <w:t xml:space="preserve">This study will be carried out in </w:t>
      </w:r>
      <w:r w:rsidR="003D3BBE">
        <w:t>four</w:t>
      </w:r>
      <w:r>
        <w:t xml:space="preserve"> metropolitan</w:t>
      </w:r>
      <w:r w:rsidR="0053739F">
        <w:t xml:space="preserve"> statistical</w:t>
      </w:r>
      <w:r>
        <w:t xml:space="preserve"> areas in the United States: </w:t>
      </w:r>
      <w:r w:rsidR="003D3BBE">
        <w:t>Houston, TX</w:t>
      </w:r>
      <w:r>
        <w:t xml:space="preserve">, </w:t>
      </w:r>
      <w:r w:rsidR="003D3BBE">
        <w:t>Miami, FL, New Orleans, LA</w:t>
      </w:r>
      <w:r>
        <w:t xml:space="preserve"> and </w:t>
      </w:r>
      <w:r w:rsidR="003D3BBE">
        <w:t>Washington, DC</w:t>
      </w:r>
      <w:r>
        <w:t xml:space="preserve">. </w:t>
      </w:r>
      <w:r w:rsidR="0053739F">
        <w:t>These location</w:t>
      </w:r>
      <w:r w:rsidR="00D554F6">
        <w:t xml:space="preserve">s were selected </w:t>
      </w:r>
      <w:r w:rsidR="0053739F">
        <w:t xml:space="preserve">because of the high concentrations of </w:t>
      </w:r>
      <w:r w:rsidR="008238F6">
        <w:t>men who have sex with men (</w:t>
      </w:r>
      <w:r w:rsidR="0053739F">
        <w:t>MSM</w:t>
      </w:r>
      <w:r w:rsidR="008238F6">
        <w:t>)</w:t>
      </w:r>
      <w:r w:rsidR="0053739F">
        <w:t xml:space="preserve"> residing within each district and also because of the high number of newly diagnosed HIV infections reported among MSM</w:t>
      </w:r>
      <w:r w:rsidR="007F5034">
        <w:t xml:space="preserve"> in these jurisdictions</w:t>
      </w:r>
      <w:r w:rsidR="0053739F">
        <w:t xml:space="preserve"> over the past decade.</w:t>
      </w:r>
      <w:r w:rsidR="0053739F">
        <w:fldChar w:fldCharType="begin"/>
      </w:r>
      <w:r w:rsidR="0053739F">
        <w:instrText xml:space="preserve"> ADDIN EN.CITE &lt;EndNote&gt;&lt;Cite&gt;&lt;Author&gt;Centers for Disease Control and Prevention&lt;/Author&gt;&lt;Year&gt;2015&lt;/Year&gt;&lt;RecNum&gt;1&lt;/RecNum&gt;&lt;DisplayText&gt;&lt;style face="superscript"&gt;1&lt;/style&gt;&lt;/DisplayText&gt;&lt;record&gt;&lt;rec-number&gt;1&lt;/rec-number&gt;&lt;foreign-keys&gt;&lt;key app="EN" db-id="dfe2rpadwfdf21ezrr3vdad6zpzrrvzwdv09" timestamp="1461695554"&gt;1&lt;/key&gt;&lt;/foreign-keys&gt;&lt;ref-type name="Journal Article"&gt;17&lt;/ref-type&gt;&lt;contributors&gt;&lt;authors&gt;&lt;author&gt;Centers for Disease Control and Prevention,&lt;/author&gt;&lt;/authors&gt;&lt;/contributors&gt;&lt;titles&gt;&lt;title&gt;Diagnoses of HIV infection in the United States and dependent areas, 2014&lt;/title&gt;&lt;secondary-title&gt;HIV Surveillance Reports&lt;/secondary-title&gt;&lt;/titles&gt;&lt;periodical&gt;&lt;full-title&gt;HIV Surveillance Reports&lt;/full-title&gt;&lt;/periodical&gt;&lt;volume&gt;26&lt;/volume&gt;&lt;dates&gt;&lt;year&gt;2015&lt;/year&gt;&lt;/dates&gt;&lt;urls&gt;&lt;related-urls&gt;&lt;url&gt;http://www.cdc.gov/hiv/library/reports/surveillance/.&lt;/url&gt;&lt;/related-urls&gt;&lt;/urls&gt;&lt;/record&gt;&lt;/Cite&gt;&lt;/EndNote&gt;</w:instrText>
      </w:r>
      <w:r w:rsidR="0053739F">
        <w:fldChar w:fldCharType="separate"/>
      </w:r>
      <w:r w:rsidR="0053739F" w:rsidRPr="0053739F">
        <w:rPr>
          <w:noProof/>
          <w:vertAlign w:val="superscript"/>
        </w:rPr>
        <w:t>1</w:t>
      </w:r>
      <w:r w:rsidR="0053739F">
        <w:fldChar w:fldCharType="end"/>
      </w:r>
    </w:p>
    <w:p w:rsidR="00D90173" w:rsidRDefault="00D90173" w:rsidP="00554673">
      <w:pPr>
        <w:contextualSpacing/>
        <w:jc w:val="center"/>
      </w:pPr>
    </w:p>
    <w:p w:rsidR="0053739F" w:rsidRPr="003F5C65" w:rsidRDefault="0053739F" w:rsidP="00554673">
      <w:pPr>
        <w:pStyle w:val="Normal1"/>
        <w:contextualSpacing/>
      </w:pPr>
      <w:r w:rsidRPr="00222BE9">
        <w:t>In 2014, Houston</w:t>
      </w:r>
      <w:r w:rsidR="00945206">
        <w:t xml:space="preserve"> </w:t>
      </w:r>
      <w:r w:rsidRPr="00222BE9">
        <w:t>ranked 11</w:t>
      </w:r>
      <w:r w:rsidRPr="00222BE9">
        <w:rPr>
          <w:vertAlign w:val="superscript"/>
        </w:rPr>
        <w:t>th</w:t>
      </w:r>
      <w:r w:rsidRPr="009542B9">
        <w:t xml:space="preserve"> </w:t>
      </w:r>
      <w:r w:rsidR="007F5034">
        <w:t>among metropolitan regions in</w:t>
      </w:r>
      <w:r w:rsidRPr="009542B9">
        <w:t xml:space="preserve"> estimated HIV infection diagnosis rate (24.1 per 100,000)</w:t>
      </w:r>
      <w:r w:rsidR="007F5034">
        <w:t xml:space="preserve">; </w:t>
      </w:r>
      <w:r w:rsidRPr="009542B9">
        <w:t>there were an estimated 1,567 new diagnoses</w:t>
      </w:r>
      <w:r w:rsidR="007F5034">
        <w:t xml:space="preserve"> in Houston that year</w:t>
      </w:r>
      <w:r w:rsidRPr="009542B9">
        <w:t>.</w:t>
      </w:r>
      <w:r>
        <w:fldChar w:fldCharType="begin"/>
      </w:r>
      <w:r>
        <w:instrText xml:space="preserve"> ADDIN EN.CITE &lt;EndNote&gt;&lt;Cite&gt;&lt;Author&gt;Centers for Disease Control and Prevention&lt;/Author&gt;&lt;Year&gt;2015&lt;/Year&gt;&lt;RecNum&gt;78&lt;/RecNum&gt;&lt;DisplayText&gt;&lt;style face="superscript"&gt;2&lt;/style&gt;&lt;/DisplayText&gt;&lt;record&gt;&lt;rec-number&gt;78&lt;/rec-number&gt;&lt;foreign-keys&gt;&lt;key app="EN" db-id="pz5dwf9e9t2x2ye9x965rpze9vddvp92aw0t" timestamp="1457460413"&gt;78&lt;/key&gt;&lt;/foreign-keys&gt;&lt;ref-type name="Report"&gt;27&lt;/ref-type&gt;&lt;contributors&gt;&lt;authors&gt;&lt;author&gt;Centers for Disease Control and Prevention,&lt;/author&gt;&lt;/authors&gt;&lt;/contributors&gt;&lt;titles&gt;&lt;title&gt;Diagnosis of HIV infection in the United States and its dependent areas, 2014&lt;/title&gt;&lt;secondary-title&gt;HIV Surveillance Report&lt;/secondary-title&gt;&lt;/titles&gt;&lt;volume&gt;26&lt;/volume&gt;&lt;dates&gt;&lt;year&gt;2015&lt;/year&gt;&lt;/dates&gt;&lt;urls&gt;&lt;/urls&gt;&lt;access-date&gt;January 11, 2016&lt;/access-date&gt;&lt;/record&gt;&lt;/Cite&gt;&lt;/EndNote&gt;</w:instrText>
      </w:r>
      <w:r>
        <w:fldChar w:fldCharType="separate"/>
      </w:r>
      <w:r w:rsidRPr="0053739F">
        <w:rPr>
          <w:noProof/>
          <w:vertAlign w:val="superscript"/>
        </w:rPr>
        <w:t>2</w:t>
      </w:r>
      <w:r>
        <w:fldChar w:fldCharType="end"/>
      </w:r>
      <w:r w:rsidRPr="003F5C65">
        <w:t xml:space="preserve"> At the end of 2014, </w:t>
      </w:r>
      <w:r w:rsidR="007F5034">
        <w:t>just over 23,000</w:t>
      </w:r>
      <w:r w:rsidRPr="003F5C65">
        <w:t xml:space="preserve"> people </w:t>
      </w:r>
      <w:r w:rsidR="007F5034">
        <w:t xml:space="preserve">were </w:t>
      </w:r>
      <w:r w:rsidRPr="003F5C65">
        <w:t>living with H</w:t>
      </w:r>
      <w:r>
        <w:t>IV</w:t>
      </w:r>
      <w:r w:rsidRPr="003F5C65">
        <w:t xml:space="preserve"> in Houston and Harris Counties.</w:t>
      </w:r>
      <w:r w:rsidRPr="003F5C65">
        <w:fldChar w:fldCharType="begin"/>
      </w:r>
      <w:r>
        <w:instrText xml:space="preserve"> ADDIN EN.CITE &lt;EndNote&gt;&lt;Cite&gt;&lt;Author&gt;Texas Department of State Health Services&lt;/Author&gt;&lt;Year&gt;2015&lt;/Year&gt;&lt;RecNum&gt;85&lt;/RecNum&gt;&lt;DisplayText&gt;&lt;style face="superscript"&gt;3&lt;/style&gt;&lt;/DisplayText&gt;&lt;record&gt;&lt;rec-number&gt;85&lt;/rec-number&gt;&lt;foreign-keys&gt;&lt;key app="EN" db-id="pz5dwf9e9t2x2ye9x965rpze9vddvp92aw0t" timestamp="1457461241"&gt;85&lt;/key&gt;&lt;/foreign-keys&gt;&lt;ref-type name="Report"&gt;27&lt;/ref-type&gt;&lt;contributors&gt;&lt;authors&gt;&lt;author&gt;Texas Department of State Health Services,&lt;/author&gt;&lt;/authors&gt;&lt;/contributors&gt;&lt;titles&gt;&lt;title&gt;Texas HIV Surveillance Report&lt;/title&gt;&lt;/titles&gt;&lt;dates&gt;&lt;year&gt;2015&lt;/year&gt;&lt;pub-dates&gt;&lt;date&gt;July 22&lt;/date&gt;&lt;/pub-dates&gt;&lt;/dates&gt;&lt;publisher&gt;Texas Department of State Health Services, TB/HIV/STD Epidemilogy and Surveillance Branch&lt;/publisher&gt;&lt;urls&gt;&lt;related-urls&gt;&lt;url&gt;https://www.dshs.state.tx.us/hivstd/reports/&lt;/url&gt;&lt;/related-urls&gt;&lt;/urls&gt;&lt;/record&gt;&lt;/Cite&gt;&lt;/EndNote&gt;</w:instrText>
      </w:r>
      <w:r w:rsidRPr="003F5C65">
        <w:fldChar w:fldCharType="separate"/>
      </w:r>
      <w:r w:rsidRPr="0053739F">
        <w:rPr>
          <w:noProof/>
          <w:vertAlign w:val="superscript"/>
        </w:rPr>
        <w:t>3</w:t>
      </w:r>
      <w:r w:rsidRPr="003F5C65">
        <w:fldChar w:fldCharType="end"/>
      </w:r>
      <w:r w:rsidRPr="003F5C65">
        <w:t xml:space="preserve"> </w:t>
      </w:r>
      <w:r w:rsidR="00945206">
        <w:t>Approximately 60% of newly diagnosed cases in Houston were transmitted through male-to-male sexual activity, and</w:t>
      </w:r>
      <w:r w:rsidRPr="003F5C65">
        <w:t xml:space="preserve"> the majority of </w:t>
      </w:r>
      <w:r w:rsidR="00945206">
        <w:t>new</w:t>
      </w:r>
      <w:r w:rsidRPr="003F5C65">
        <w:t xml:space="preserve"> cases were among Black</w:t>
      </w:r>
      <w:r>
        <w:t xml:space="preserve"> or </w:t>
      </w:r>
      <w:r w:rsidRPr="003F5C65">
        <w:t>African-Americans (52.1%)</w:t>
      </w:r>
      <w:r w:rsidR="007F5034">
        <w:t>,</w:t>
      </w:r>
      <w:r w:rsidRPr="003F5C65">
        <w:t xml:space="preserve"> at a rate approximately six times that among Whites and four times that of Hispanic/Latinos.</w:t>
      </w:r>
      <w:r w:rsidRPr="003F5C65">
        <w:fldChar w:fldCharType="begin"/>
      </w:r>
      <w:r>
        <w:instrText xml:space="preserve"> ADDIN EN.CITE &lt;EndNote&gt;&lt;Cite&gt;&lt;Author&gt;Ryan White Planning Council&lt;/Author&gt;&lt;Year&gt;2013&lt;/Year&gt;&lt;RecNum&gt;86&lt;/RecNum&gt;&lt;DisplayText&gt;&lt;style face="superscript"&gt;4&lt;/style&gt;&lt;/DisplayText&gt;&lt;record&gt;&lt;rec-number&gt;86&lt;/rec-number&gt;&lt;foreign-keys&gt;&lt;key app="EN" db-id="pz5dwf9e9t2x2ye9x965rpze9vddvp92aw0t" timestamp="1457461241"&gt;86&lt;/key&gt;&lt;/foreign-keys&gt;&lt;ref-type name="Report"&gt;27&lt;/ref-type&gt;&lt;contributors&gt;&lt;authors&gt;&lt;author&gt;Ryan White Planning Council,&lt;/author&gt;&lt;author&gt;HIV Prevention Community Planning Group,&lt;/author&gt;&lt;/authors&gt;&lt;/contributors&gt;&lt;titles&gt;&lt;title&gt;The 2013 Houston Area Integrated Epidemiologic Profile for HIV/AIDS Prevention and Care Services Planning. Reporting period: January 1 to December 31, 2011&lt;/title&gt;&lt;/titles&gt;&lt;dates&gt;&lt;year&gt;2013&lt;/year&gt;&lt;/dates&gt;&lt;urls&gt;&lt;related-urls&gt;&lt;url&gt;https://www.houstontx.gov/health/HIV-STD/2013_Epi_Profile%20--APPROVED--05-09-13.pdf&lt;/url&gt;&lt;/related-urls&gt;&lt;/urls&gt;&lt;/record&gt;&lt;/Cite&gt;&lt;/EndNote&gt;</w:instrText>
      </w:r>
      <w:r w:rsidRPr="003F5C65">
        <w:fldChar w:fldCharType="separate"/>
      </w:r>
      <w:r w:rsidRPr="0053739F">
        <w:rPr>
          <w:noProof/>
          <w:vertAlign w:val="superscript"/>
        </w:rPr>
        <w:t>4</w:t>
      </w:r>
      <w:r w:rsidRPr="003F5C65">
        <w:fldChar w:fldCharType="end"/>
      </w:r>
    </w:p>
    <w:p w:rsidR="0053739F" w:rsidRPr="003F5C65" w:rsidRDefault="0053739F" w:rsidP="00554673">
      <w:pPr>
        <w:pStyle w:val="Normal1"/>
        <w:contextualSpacing/>
      </w:pPr>
    </w:p>
    <w:p w:rsidR="0053739F" w:rsidRPr="003F5C65" w:rsidRDefault="00945206" w:rsidP="00554673">
      <w:pPr>
        <w:pStyle w:val="Normal1"/>
        <w:contextualSpacing/>
      </w:pPr>
      <w:r w:rsidRPr="00945206">
        <w:t>Miami</w:t>
      </w:r>
      <w:r w:rsidR="0053739F" w:rsidRPr="003F5C65">
        <w:t xml:space="preserve"> ranked 2</w:t>
      </w:r>
      <w:r w:rsidR="0053739F" w:rsidRPr="003F5C65">
        <w:rPr>
          <w:vertAlign w:val="superscript"/>
        </w:rPr>
        <w:t>nd</w:t>
      </w:r>
      <w:r w:rsidR="0053739F" w:rsidRPr="003F5C65">
        <w:t xml:space="preserve"> highest in estimated HIV infection diagnosis rate (42.8 cases per 100,000) compared to other MSAs in the US </w:t>
      </w:r>
      <w:r>
        <w:t>in 2014.</w:t>
      </w:r>
      <w:r>
        <w:fldChar w:fldCharType="begin"/>
      </w:r>
      <w:r>
        <w:instrText xml:space="preserve"> ADDIN EN.CITE &lt;EndNote&gt;&lt;Cite&gt;&lt;Author&gt;Centers for Disease Control and Prevention&lt;/Author&gt;&lt;Year&gt;2015&lt;/Year&gt;&lt;RecNum&gt;78&lt;/RecNum&gt;&lt;DisplayText&gt;&lt;style face="superscript"&gt;2&lt;/style&gt;&lt;/DisplayText&gt;&lt;record&gt;&lt;rec-number&gt;78&lt;/rec-number&gt;&lt;foreign-keys&gt;&lt;key app="EN" db-id="pz5dwf9e9t2x2ye9x965rpze9vddvp92aw0t" timestamp="1457460413"&gt;78&lt;/key&gt;&lt;/foreign-keys&gt;&lt;ref-type name="Report"&gt;27&lt;/ref-type&gt;&lt;contributors&gt;&lt;authors&gt;&lt;author&gt;Centers for Disease Control and Prevention,&lt;/author&gt;&lt;/authors&gt;&lt;/contributors&gt;&lt;titles&gt;&lt;title&gt;Diagnosis of HIV infection in the United States and its dependent areas, 2014&lt;/title&gt;&lt;secondary-title&gt;HIV Surveillance Report&lt;/secondary-title&gt;&lt;/titles&gt;&lt;volume&gt;26&lt;/volume&gt;&lt;dates&gt;&lt;year&gt;2015&lt;/year&gt;&lt;/dates&gt;&lt;urls&gt;&lt;/urls&gt;&lt;access-date&gt;January 11, 2016&lt;/access-date&gt;&lt;/record&gt;&lt;/Cite&gt;&lt;/EndNote&gt;</w:instrText>
      </w:r>
      <w:r>
        <w:fldChar w:fldCharType="separate"/>
      </w:r>
      <w:r w:rsidRPr="0053739F">
        <w:rPr>
          <w:noProof/>
          <w:vertAlign w:val="superscript"/>
        </w:rPr>
        <w:t>2</w:t>
      </w:r>
      <w:r>
        <w:fldChar w:fldCharType="end"/>
      </w:r>
      <w:r>
        <w:t xml:space="preserve"> There were an</w:t>
      </w:r>
      <w:r w:rsidR="0053739F" w:rsidRPr="003F5C65">
        <w:t xml:space="preserve"> estimated 2,535 new</w:t>
      </w:r>
      <w:r>
        <w:t xml:space="preserve"> HIV</w:t>
      </w:r>
      <w:r w:rsidR="0053739F" w:rsidRPr="003F5C65">
        <w:t xml:space="preserve"> diagnoses</w:t>
      </w:r>
      <w:r>
        <w:t xml:space="preserve"> in Miami in 2014, resulting in more than 26,000 individuals are living with HIV in the Miami metro</w:t>
      </w:r>
      <w:r w:rsidR="0053739F" w:rsidRPr="003F5C65">
        <w:t>.</w:t>
      </w:r>
      <w:r w:rsidRPr="003F5C65">
        <w:fldChar w:fldCharType="begin"/>
      </w:r>
      <w:r>
        <w:instrText xml:space="preserve"> ADDIN EN.CITE &lt;EndNote&gt;&lt;Cite&gt;&lt;Author&gt;Health&lt;/Author&gt;&lt;Year&gt;2015&lt;/Year&gt;&lt;RecNum&gt;87&lt;/RecNum&gt;&lt;DisplayText&gt;&lt;style face="superscript"&gt;5&lt;/style&gt;&lt;/DisplayText&gt;&lt;record&gt;&lt;rec-number&gt;87&lt;/rec-number&gt;&lt;foreign-keys&gt;&lt;key app="EN" db-id="pz5dwf9e9t2x2ye9x965rpze9vddvp92aw0t" timestamp="1457461241"&gt;87&lt;/key&gt;&lt;/foreign-keys&gt;&lt;ref-type name="Web Page"&gt;12&lt;/ref-type&gt;&lt;contributors&gt;&lt;authors&gt;&lt;author&gt;Florida Department of Health&lt;/author&gt;&lt;/authors&gt;&lt;/contributors&gt;&lt;titles&gt;&lt;title&gt;Monthly HIV/AIDS Surveillance Report October 2015&lt;/title&gt;&lt;secondary-title&gt;HIV/AIDS Surveillance&lt;/secondary-title&gt;&lt;/titles&gt;&lt;dates&gt;&lt;year&gt;2015&lt;/year&gt;&lt;/dates&gt;&lt;urls&gt;&lt;related-urls&gt;&lt;url&gt;http://miamidade.floridahealth.gov/programs-and-services/infectious-disease-services/hiv-aids-services/_documents/hiv-surveillance-monthly-report-2015-10.pdf&lt;/url&gt;&lt;/related-urls&gt;&lt;/urls&gt;&lt;/record&gt;&lt;/Cite&gt;&lt;/EndNote&gt;</w:instrText>
      </w:r>
      <w:r w:rsidRPr="003F5C65">
        <w:fldChar w:fldCharType="separate"/>
      </w:r>
      <w:r w:rsidRPr="0053739F">
        <w:rPr>
          <w:noProof/>
          <w:vertAlign w:val="superscript"/>
        </w:rPr>
        <w:t>5</w:t>
      </w:r>
      <w:r w:rsidRPr="003F5C65">
        <w:fldChar w:fldCharType="end"/>
      </w:r>
      <w:r w:rsidR="0053739F" w:rsidRPr="003F5C65">
        <w:t xml:space="preserve"> Among those living wi</w:t>
      </w:r>
      <w:r w:rsidR="007F5034">
        <w:t>th HIV in Miami-Dade, 44% were non-Hispanic bl</w:t>
      </w:r>
      <w:r w:rsidR="0053739F" w:rsidRPr="003F5C65">
        <w:t>ack</w:t>
      </w:r>
      <w:r w:rsidR="0053739F">
        <w:t xml:space="preserve"> or </w:t>
      </w:r>
      <w:r w:rsidR="007F5034">
        <w:t xml:space="preserve">African </w:t>
      </w:r>
      <w:r w:rsidR="0053739F" w:rsidRPr="003F5C65">
        <w:t>American and 43% were Hispanic</w:t>
      </w:r>
      <w:r w:rsidR="0053739F">
        <w:t>/Latino</w:t>
      </w:r>
      <w:r w:rsidR="0053739F" w:rsidRPr="003F5C65">
        <w:t>; male-to-male sexual c</w:t>
      </w:r>
      <w:r w:rsidR="0053739F">
        <w:t xml:space="preserve">ontact accounted for 51% of HIV and </w:t>
      </w:r>
      <w:r w:rsidR="0053739F" w:rsidRPr="003F5C65">
        <w:t>AIDS cases in the County.</w:t>
      </w:r>
      <w:r w:rsidR="0053739F" w:rsidRPr="003F5C65">
        <w:fldChar w:fldCharType="begin"/>
      </w:r>
      <w:r w:rsidR="0053739F">
        <w:instrText xml:space="preserve"> ADDIN EN.CITE &lt;EndNote&gt;&lt;Cite&gt;&lt;Author&gt;Health&lt;/Author&gt;&lt;Year&gt;2015&lt;/Year&gt;&lt;RecNum&gt;87&lt;/RecNum&gt;&lt;DisplayText&gt;&lt;style face="superscript"&gt;5&lt;/style&gt;&lt;/DisplayText&gt;&lt;record&gt;&lt;rec-number&gt;87&lt;/rec-number&gt;&lt;foreign-keys&gt;&lt;key app="EN" db-id="pz5dwf9e9t2x2ye9x965rpze9vddvp92aw0t" timestamp="1457461241"&gt;87&lt;/key&gt;&lt;/foreign-keys&gt;&lt;ref-type name="Web Page"&gt;12&lt;/ref-type&gt;&lt;contributors&gt;&lt;authors&gt;&lt;author&gt;Florida Department of Health&lt;/author&gt;&lt;/authors&gt;&lt;/contributors&gt;&lt;titles&gt;&lt;title&gt;Monthly HIV/AIDS Surveillance Report October 2015&lt;/title&gt;&lt;secondary-title&gt;HIV/AIDS Surveillance&lt;/secondary-title&gt;&lt;/titles&gt;&lt;dates&gt;&lt;year&gt;2015&lt;/year&gt;&lt;/dates&gt;&lt;urls&gt;&lt;related-urls&gt;&lt;url&gt;http://miamidade.floridahealth.gov/programs-and-services/infectious-disease-services/hiv-aids-services/_documents/hiv-surveillance-monthly-report-2015-10.pdf&lt;/url&gt;&lt;/related-urls&gt;&lt;/urls&gt;&lt;/record&gt;&lt;/Cite&gt;&lt;/EndNote&gt;</w:instrText>
      </w:r>
      <w:r w:rsidR="0053739F" w:rsidRPr="003F5C65">
        <w:fldChar w:fldCharType="separate"/>
      </w:r>
      <w:r w:rsidR="0053739F" w:rsidRPr="0053739F">
        <w:rPr>
          <w:noProof/>
          <w:vertAlign w:val="superscript"/>
        </w:rPr>
        <w:t>5</w:t>
      </w:r>
      <w:r w:rsidR="0053739F" w:rsidRPr="003F5C65">
        <w:fldChar w:fldCharType="end"/>
      </w:r>
      <w:r w:rsidR="0053739F" w:rsidRPr="003F5C65">
        <w:t xml:space="preserve"> </w:t>
      </w:r>
    </w:p>
    <w:p w:rsidR="0053739F" w:rsidRPr="003F5C65" w:rsidRDefault="0053739F" w:rsidP="00554673">
      <w:pPr>
        <w:pStyle w:val="Normal1"/>
        <w:contextualSpacing/>
      </w:pPr>
    </w:p>
    <w:p w:rsidR="0053739F" w:rsidRPr="003F5C65" w:rsidRDefault="0053739F" w:rsidP="00554673">
      <w:pPr>
        <w:pStyle w:val="Normal1"/>
        <w:contextualSpacing/>
      </w:pPr>
      <w:r w:rsidRPr="003F5C65">
        <w:t>In 2014,</w:t>
      </w:r>
      <w:r w:rsidR="007F5034">
        <w:t xml:space="preserve"> New Orleans</w:t>
      </w:r>
      <w:r w:rsidRPr="003F5C65">
        <w:t xml:space="preserve"> ranked 3</w:t>
      </w:r>
      <w:r w:rsidRPr="003F5C65">
        <w:rPr>
          <w:vertAlign w:val="superscript"/>
        </w:rPr>
        <w:t>rd</w:t>
      </w:r>
      <w:r w:rsidRPr="003F5C65">
        <w:t xml:space="preserve"> highest in estimated HIV infection diagnosis rate (36.9 cases per 100,000</w:t>
      </w:r>
      <w:r w:rsidR="007F5034">
        <w:t xml:space="preserve">), with an </w:t>
      </w:r>
      <w:r w:rsidRPr="003F5C65">
        <w:t>estimated 462 new diagnoses.</w:t>
      </w:r>
      <w:r>
        <w:fldChar w:fldCharType="begin"/>
      </w:r>
      <w:r>
        <w:instrText xml:space="preserve"> ADDIN EN.CITE &lt;EndNote&gt;&lt;Cite&gt;&lt;Author&gt;Centers for Disease Control and Prevention&lt;/Author&gt;&lt;Year&gt;2015&lt;/Year&gt;&lt;RecNum&gt;78&lt;/RecNum&gt;&lt;DisplayText&gt;&lt;style face="superscript"&gt;2&lt;/style&gt;&lt;/DisplayText&gt;&lt;record&gt;&lt;rec-number&gt;78&lt;/rec-number&gt;&lt;foreign-keys&gt;&lt;key app="EN" db-id="pz5dwf9e9t2x2ye9x965rpze9vddvp92aw0t" timestamp="1457460413"&gt;78&lt;/key&gt;&lt;/foreign-keys&gt;&lt;ref-type name="Report"&gt;27&lt;/ref-type&gt;&lt;contributors&gt;&lt;authors&gt;&lt;author&gt;Centers for Disease Control and Prevention,&lt;/author&gt;&lt;/authors&gt;&lt;/contributors&gt;&lt;titles&gt;&lt;title&gt;Diagnosis of HIV infection in the United States and its dependent areas, 2014&lt;/title&gt;&lt;secondary-title&gt;HIV Surveillance Report&lt;/secondary-title&gt;&lt;/titles&gt;&lt;volume&gt;26&lt;/volume&gt;&lt;dates&gt;&lt;year&gt;2015&lt;/year&gt;&lt;/dates&gt;&lt;urls&gt;&lt;/urls&gt;&lt;access-date&gt;January 11, 2016&lt;/access-date&gt;&lt;/record&gt;&lt;/Cite&gt;&lt;/EndNote&gt;</w:instrText>
      </w:r>
      <w:r>
        <w:fldChar w:fldCharType="separate"/>
      </w:r>
      <w:r w:rsidRPr="0053739F">
        <w:rPr>
          <w:noProof/>
          <w:vertAlign w:val="superscript"/>
        </w:rPr>
        <w:t>2</w:t>
      </w:r>
      <w:r>
        <w:fldChar w:fldCharType="end"/>
      </w:r>
      <w:r w:rsidRPr="003F5C65">
        <w:t xml:space="preserve"> According to the Louisiana Department of Health, of the new HIV cases in Louisiana in 2013, 69.6%</w:t>
      </w:r>
      <w:r w:rsidR="007F5034">
        <w:t xml:space="preserve"> were among b</w:t>
      </w:r>
      <w:r w:rsidRPr="003F5C65">
        <w:t>lack</w:t>
      </w:r>
      <w:r w:rsidR="007F5034">
        <w:t>s</w:t>
      </w:r>
      <w:r>
        <w:t xml:space="preserve"> or </w:t>
      </w:r>
      <w:r w:rsidR="007F5034">
        <w:t xml:space="preserve">African </w:t>
      </w:r>
      <w:r w:rsidRPr="003F5C65">
        <w:t>Americans, and 61.2% were among MSM.</w:t>
      </w:r>
      <w:r w:rsidRPr="003F5C65">
        <w:fldChar w:fldCharType="begin"/>
      </w:r>
      <w:r>
        <w:instrText xml:space="preserve"> ADDIN EN.CITE &lt;EndNote&gt;&lt;Cite&gt;&lt;Author&gt;Department of Health and Hospitals&lt;/Author&gt;&lt;Year&gt;2014&lt;/Year&gt;&lt;RecNum&gt;88&lt;/RecNum&gt;&lt;DisplayText&gt;&lt;style face="superscript"&gt;6&lt;/style&gt;&lt;/DisplayText&gt;&lt;record&gt;&lt;rec-number&gt;88&lt;/rec-number&gt;&lt;foreign-keys&gt;&lt;key app="EN" db-id="pz5dwf9e9t2x2ye9x965rpze9vddvp92aw0t" timestamp="1457461242"&gt;88&lt;/key&gt;&lt;/foreign-keys&gt;&lt;ref-type name="Report"&gt;27&lt;/ref-type&gt;&lt;contributors&gt;&lt;authors&gt;&lt;author&gt;Department of Health and Hospitals,&lt;/author&gt;&lt;/authors&gt;&lt;/contributors&gt;&lt;titles&gt;&lt;title&gt;2013 STD/HIV Surveillance Report&lt;/title&gt;&lt;/titles&gt;&lt;dates&gt;&lt;year&gt;2014&lt;/year&gt;&lt;/dates&gt;&lt;publisher&gt;State of Louisiana, Department of Health and Hospitals, Office of Public Health&lt;/publisher&gt;&lt;urls&gt;&lt;related-urls&gt;&lt;url&gt;http://www.dhh.state.la.us/assets/oph/HIVSTD/hiv-aids/2015/2013_STD_HIV_Surveillance_Report.pdf&lt;/url&gt;&lt;/related-urls&gt;&lt;/urls&gt;&lt;/record&gt;&lt;/Cite&gt;&lt;/EndNote&gt;</w:instrText>
      </w:r>
      <w:r w:rsidRPr="003F5C65">
        <w:fldChar w:fldCharType="separate"/>
      </w:r>
      <w:r w:rsidRPr="0053739F">
        <w:rPr>
          <w:noProof/>
          <w:vertAlign w:val="superscript"/>
        </w:rPr>
        <w:t>6</w:t>
      </w:r>
      <w:r w:rsidRPr="003F5C65">
        <w:fldChar w:fldCharType="end"/>
      </w:r>
      <w:r w:rsidRPr="003F5C65">
        <w:t xml:space="preserve"> The racial disparity in HIV infection was even greater among youth</w:t>
      </w:r>
      <w:r w:rsidRPr="003F5C65">
        <w:rPr>
          <w:lang w:eastAsia="ko-KR"/>
        </w:rPr>
        <w:t>, where 83% of new cases among youth 13-24 y</w:t>
      </w:r>
      <w:r w:rsidR="007F5034">
        <w:rPr>
          <w:lang w:eastAsia="ko-KR"/>
        </w:rPr>
        <w:t>ears old were among b</w:t>
      </w:r>
      <w:r w:rsidRPr="003F5C65">
        <w:rPr>
          <w:lang w:eastAsia="ko-KR"/>
        </w:rPr>
        <w:t>lack</w:t>
      </w:r>
      <w:r>
        <w:rPr>
          <w:lang w:eastAsia="ko-KR"/>
        </w:rPr>
        <w:t xml:space="preserve"> or </w:t>
      </w:r>
      <w:r w:rsidR="007F5034">
        <w:rPr>
          <w:lang w:eastAsia="ko-KR"/>
        </w:rPr>
        <w:t xml:space="preserve">African </w:t>
      </w:r>
      <w:r w:rsidRPr="003F5C65">
        <w:rPr>
          <w:lang w:eastAsia="ko-KR"/>
        </w:rPr>
        <w:t>Americans.</w:t>
      </w:r>
      <w:r w:rsidRPr="003F5C65">
        <w:rPr>
          <w:lang w:eastAsia="ko-KR"/>
        </w:rPr>
        <w:fldChar w:fldCharType="begin"/>
      </w:r>
      <w:r>
        <w:rPr>
          <w:lang w:eastAsia="ko-KR"/>
        </w:rPr>
        <w:instrText xml:space="preserve"> ADDIN EN.CITE &lt;EndNote&gt;&lt;Cite&gt;&lt;Author&gt;Department of Health and Hospitals&lt;/Author&gt;&lt;Year&gt;2014&lt;/Year&gt;&lt;RecNum&gt;88&lt;/RecNum&gt;&lt;DisplayText&gt;&lt;style face="superscript"&gt;6&lt;/style&gt;&lt;/DisplayText&gt;&lt;record&gt;&lt;rec-number&gt;88&lt;/rec-number&gt;&lt;foreign-keys&gt;&lt;key app="EN" db-id="pz5dwf9e9t2x2ye9x965rpze9vddvp92aw0t" timestamp="1457461242"&gt;88&lt;/key&gt;&lt;/foreign-keys&gt;&lt;ref-type name="Report"&gt;27&lt;/ref-type&gt;&lt;contributors&gt;&lt;authors&gt;&lt;author&gt;Department of Health and Hospitals,&lt;/author&gt;&lt;/authors&gt;&lt;/contributors&gt;&lt;titles&gt;&lt;title&gt;2013 STD/HIV Surveillance Report&lt;/title&gt;&lt;/titles&gt;&lt;dates&gt;&lt;year&gt;2014&lt;/year&gt;&lt;/dates&gt;&lt;publisher&gt;State of Louisiana, Department of Health and Hospitals, Office of Public Health&lt;/publisher&gt;&lt;urls&gt;&lt;related-urls&gt;&lt;url&gt;http://www.dhh.state.la.us/assets/oph/HIVSTD/hiv-aids/2015/2013_STD_HIV_Surveillance_Report.pdf&lt;/url&gt;&lt;/related-urls&gt;&lt;/urls&gt;&lt;/record&gt;&lt;/Cite&gt;&lt;/EndNote&gt;</w:instrText>
      </w:r>
      <w:r w:rsidRPr="003F5C65">
        <w:rPr>
          <w:lang w:eastAsia="ko-KR"/>
        </w:rPr>
        <w:fldChar w:fldCharType="separate"/>
      </w:r>
      <w:r w:rsidRPr="0053739F">
        <w:rPr>
          <w:noProof/>
          <w:vertAlign w:val="superscript"/>
          <w:lang w:eastAsia="ko-KR"/>
        </w:rPr>
        <w:t>6</w:t>
      </w:r>
      <w:r w:rsidRPr="003F5C65">
        <w:rPr>
          <w:lang w:eastAsia="ko-KR"/>
        </w:rPr>
        <w:fldChar w:fldCharType="end"/>
      </w:r>
      <w:r w:rsidRPr="003F5C65">
        <w:t xml:space="preserve"> At the end of 2013, </w:t>
      </w:r>
      <w:r w:rsidR="00686860">
        <w:t>an estimated</w:t>
      </w:r>
      <w:r w:rsidRPr="003F5C65">
        <w:t xml:space="preserve"> 18,895 </w:t>
      </w:r>
      <w:r w:rsidR="007F5034">
        <w:t>Louisianans</w:t>
      </w:r>
      <w:r w:rsidRPr="003F5C65">
        <w:t xml:space="preserve"> were living with HIV infection</w:t>
      </w:r>
      <w:r w:rsidR="007F5034">
        <w:t>.</w:t>
      </w:r>
    </w:p>
    <w:p w:rsidR="0053739F" w:rsidRPr="003F5C65" w:rsidRDefault="0053739F" w:rsidP="00554673">
      <w:pPr>
        <w:pStyle w:val="Normal1"/>
        <w:contextualSpacing/>
      </w:pPr>
    </w:p>
    <w:p w:rsidR="0053739F" w:rsidRPr="003F5C65" w:rsidRDefault="007F5034" w:rsidP="00554673">
      <w:pPr>
        <w:pStyle w:val="Normal1"/>
        <w:contextualSpacing/>
        <w:rPr>
          <w:u w:val="single"/>
        </w:rPr>
      </w:pPr>
      <w:r>
        <w:t>The Washington, DC metro area</w:t>
      </w:r>
      <w:r w:rsidR="0053739F" w:rsidRPr="003F5C65">
        <w:t xml:space="preserve"> ranked 16</w:t>
      </w:r>
      <w:r w:rsidR="0053739F" w:rsidRPr="003F5C65">
        <w:rPr>
          <w:vertAlign w:val="superscript"/>
        </w:rPr>
        <w:t>th</w:t>
      </w:r>
      <w:r w:rsidR="0053739F" w:rsidRPr="003F5C65">
        <w:t xml:space="preserve"> highest in estimated HIV infection diagnosis rate (21.6 per 100,000)</w:t>
      </w:r>
      <w:r>
        <w:t xml:space="preserve"> in 2014,</w:t>
      </w:r>
      <w:r w:rsidR="0053739F" w:rsidRPr="003F5C65">
        <w:t xml:space="preserve"> and there were an estimated 1,304 new diagnoses</w:t>
      </w:r>
      <w:r>
        <w:t xml:space="preserve"> </w:t>
      </w:r>
      <w:r w:rsidR="00686860">
        <w:t xml:space="preserve">in DC </w:t>
      </w:r>
      <w:r>
        <w:t>that year</w:t>
      </w:r>
      <w:r w:rsidR="0053739F" w:rsidRPr="003F5C65">
        <w:t>.</w:t>
      </w:r>
      <w:r w:rsidR="0053739F">
        <w:fldChar w:fldCharType="begin"/>
      </w:r>
      <w:r w:rsidR="0053739F">
        <w:instrText xml:space="preserve"> ADDIN EN.CITE &lt;EndNote&gt;&lt;Cite&gt;&lt;Author&gt;Centers for Disease Control and Prevention&lt;/Author&gt;&lt;Year&gt;2015&lt;/Year&gt;&lt;RecNum&gt;78&lt;/RecNum&gt;&lt;DisplayText&gt;&lt;style face="superscript"&gt;2&lt;/style&gt;&lt;/DisplayText&gt;&lt;record&gt;&lt;rec-number&gt;78&lt;/rec-number&gt;&lt;foreign-keys&gt;&lt;key app="EN" db-id="pz5dwf9e9t2x2ye9x965rpze9vddvp92aw0t" timestamp="1457460413"&gt;78&lt;/key&gt;&lt;/foreign-keys&gt;&lt;ref-type name="Report"&gt;27&lt;/ref-type&gt;&lt;contributors&gt;&lt;authors&gt;&lt;author&gt;Centers for Disease Control and Prevention,&lt;/author&gt;&lt;/authors&gt;&lt;/contributors&gt;&lt;titles&gt;&lt;title&gt;Diagnosis of HIV infection in the United States and its dependent areas, 2014&lt;/title&gt;&lt;secondary-title&gt;HIV Surveillance Report&lt;/secondary-title&gt;&lt;/titles&gt;&lt;volume&gt;26&lt;/volume&gt;&lt;dates&gt;&lt;year&gt;2015&lt;/year&gt;&lt;/dates&gt;&lt;urls&gt;&lt;/urls&gt;&lt;access-date&gt;January 11, 2016&lt;/access-date&gt;&lt;/record&gt;&lt;/Cite&gt;&lt;/EndNote&gt;</w:instrText>
      </w:r>
      <w:r w:rsidR="0053739F">
        <w:fldChar w:fldCharType="separate"/>
      </w:r>
      <w:r w:rsidR="0053739F" w:rsidRPr="0053739F">
        <w:rPr>
          <w:noProof/>
          <w:vertAlign w:val="superscript"/>
        </w:rPr>
        <w:t>2</w:t>
      </w:r>
      <w:r w:rsidR="0053739F">
        <w:fldChar w:fldCharType="end"/>
      </w:r>
      <w:r w:rsidR="0053739F" w:rsidRPr="003F5C65">
        <w:t xml:space="preserve"> </w:t>
      </w:r>
      <w:r>
        <w:t>More than 16,000 individual</w:t>
      </w:r>
      <w:r w:rsidR="00686860">
        <w:t>s</w:t>
      </w:r>
      <w:r>
        <w:t xml:space="preserve"> are thought be living with HIV in the Washington, DC area, 40% of whom are MSM, and nearly 75</w:t>
      </w:r>
      <w:r w:rsidR="0053739F" w:rsidRPr="003F5C65">
        <w:t xml:space="preserve">% </w:t>
      </w:r>
      <w:r>
        <w:t xml:space="preserve">of whom are black or </w:t>
      </w:r>
      <w:r w:rsidR="0053739F" w:rsidRPr="003F5C65">
        <w:t>African American</w:t>
      </w:r>
      <w:r>
        <w:t>.</w:t>
      </w:r>
      <w:r w:rsidR="0053739F" w:rsidRPr="003F5C65">
        <w:fldChar w:fldCharType="begin"/>
      </w:r>
      <w:r w:rsidR="0053739F">
        <w:instrText xml:space="preserve"> ADDIN EN.CITE &lt;EndNote&gt;&lt;Cite&gt;&lt;Author&gt;HIV/AIDS&lt;/Author&gt;&lt;Year&gt;2015&lt;/Year&gt;&lt;RecNum&gt;89&lt;/RecNum&gt;&lt;DisplayText&gt;&lt;style face="superscript"&gt;7&lt;/style&gt;&lt;/DisplayText&gt;&lt;record&gt;&lt;rec-number&gt;89&lt;/rec-number&gt;&lt;foreign-keys&gt;&lt;key app="EN" db-id="pz5dwf9e9t2x2ye9x965rpze9vddvp92aw0t" timestamp="1457461242"&gt;89&lt;/key&gt;&lt;/foreign-keys&gt;&lt;ref-type name="Report"&gt;27&lt;/ref-type&gt;&lt;contributors&gt;&lt;authors&gt;&lt;author&gt;HIV/AIDS, Hepatitis, STD and TB Administration,&lt;/author&gt;&lt;/authors&gt;&lt;/contributors&gt;&lt;titles&gt;&lt;title&gt;Annual Epidemiology &amp;amp; Surveillance Report&lt;/title&gt;&lt;/titles&gt;&lt;dates&gt;&lt;year&gt;2015&lt;/year&gt;&lt;/dates&gt;&lt;publisher&gt;District of Columbia, Department of Health, HIV/AIDS, Hepatitis, STD, and TB Administration (HAHSTA)&lt;/publisher&gt;&lt;urls&gt;&lt;related-urls&gt;&lt;url&gt;http://doh.dc.gov/sites/default/files/dc/sites/doh/page_content/attachments/HAHSTA%20Annual%20Report%202013_Final.pdf&lt;/url&gt;&lt;/related-urls&gt;&lt;/urls&gt;&lt;/record&gt;&lt;/Cite&gt;&lt;/EndNote&gt;</w:instrText>
      </w:r>
      <w:r w:rsidR="0053739F" w:rsidRPr="003F5C65">
        <w:fldChar w:fldCharType="separate"/>
      </w:r>
      <w:r w:rsidR="0053739F" w:rsidRPr="0053739F">
        <w:rPr>
          <w:noProof/>
          <w:vertAlign w:val="superscript"/>
        </w:rPr>
        <w:t>7</w:t>
      </w:r>
      <w:r w:rsidR="0053739F" w:rsidRPr="003F5C65">
        <w:fldChar w:fldCharType="end"/>
      </w:r>
      <w:r w:rsidR="0053739F" w:rsidRPr="003F5C65">
        <w:rPr>
          <w:u w:val="single"/>
        </w:rPr>
        <w:t xml:space="preserve"> </w:t>
      </w:r>
    </w:p>
    <w:p w:rsidR="008B2F17" w:rsidRDefault="008B2F17" w:rsidP="00D207FC">
      <w:pPr>
        <w:rPr>
          <w:noProof/>
        </w:rPr>
      </w:pPr>
    </w:p>
    <w:p w:rsidR="00D90173" w:rsidRDefault="00D207FC" w:rsidP="00D207FC">
      <w:r w:rsidRPr="00834612">
        <w:rPr>
          <w:b/>
        </w:rPr>
        <w:t>Target population:</w:t>
      </w:r>
      <w:r w:rsidRPr="00834612">
        <w:t xml:space="preserve"> </w:t>
      </w:r>
    </w:p>
    <w:p w:rsidR="00554673" w:rsidRDefault="00554673" w:rsidP="00D207FC"/>
    <w:p w:rsidR="00D207FC" w:rsidRDefault="00D90173" w:rsidP="00D207FC">
      <w:r>
        <w:t xml:space="preserve">This study </w:t>
      </w:r>
      <w:r w:rsidR="003978FC">
        <w:t xml:space="preserve">plans to </w:t>
      </w:r>
      <w:r w:rsidR="00554673">
        <w:t>select</w:t>
      </w:r>
      <w:r w:rsidR="003978FC">
        <w:t xml:space="preserve"> </w:t>
      </w:r>
      <w:r w:rsidR="00554673">
        <w:t>30</w:t>
      </w:r>
      <w:r w:rsidR="00686860">
        <w:t xml:space="preserve"> individuals </w:t>
      </w:r>
      <w:r w:rsidR="00554673">
        <w:t>to participate in key participants interviews</w:t>
      </w:r>
      <w:r w:rsidR="005C226C">
        <w:t xml:space="preserve"> (KPIs) </w:t>
      </w:r>
      <w:r w:rsidR="00554673">
        <w:t>in each of the four study sites: Houston, TX, Miami, FL, New Orleans, LA and Washington, DC (</w:t>
      </w:r>
      <w:r w:rsidR="00786952">
        <w:t>Total n=120</w:t>
      </w:r>
      <w:r w:rsidR="00554673">
        <w:t>)</w:t>
      </w:r>
      <w:r w:rsidR="00686860">
        <w:t xml:space="preserve">. </w:t>
      </w:r>
      <w:r w:rsidR="00554673">
        <w:t>As shown in Exhibit 1.1 below, the study p</w:t>
      </w:r>
      <w:r w:rsidR="00686860">
        <w:t xml:space="preserve">opulation will be drawn from 3 distinct groups of individuals </w:t>
      </w:r>
      <w:r w:rsidR="00554673">
        <w:t>with</w:t>
      </w:r>
      <w:r w:rsidR="00686860">
        <w:t>in each jurisdiction: 1) Local health department staff involved in MSM HIV prevention</w:t>
      </w:r>
      <w:r w:rsidR="00615AD1">
        <w:t>,</w:t>
      </w:r>
      <w:r w:rsidR="00686860">
        <w:t xml:space="preserve"> care</w:t>
      </w:r>
      <w:r w:rsidR="00615AD1">
        <w:t>, or treatment</w:t>
      </w:r>
      <w:r w:rsidR="00AC1ACA">
        <w:t xml:space="preserve"> </w:t>
      </w:r>
      <w:r w:rsidR="00686860">
        <w:t>programs, 2) Representatives of community-based organizations</w:t>
      </w:r>
      <w:r w:rsidR="00C24CB1">
        <w:t xml:space="preserve"> (CBOs)</w:t>
      </w:r>
      <w:r w:rsidR="00615AD1">
        <w:t>,</w:t>
      </w:r>
      <w:r w:rsidR="00686860">
        <w:t xml:space="preserve"> other </w:t>
      </w:r>
      <w:r w:rsidR="008D34B2">
        <w:t xml:space="preserve">local HIV </w:t>
      </w:r>
      <w:r w:rsidR="00686860">
        <w:t>care providers, and 3) Activists</w:t>
      </w:r>
      <w:r w:rsidR="00615AD1">
        <w:t>,</w:t>
      </w:r>
      <w:r w:rsidR="00686860">
        <w:t xml:space="preserve"> advocates</w:t>
      </w:r>
      <w:r w:rsidR="00615AD1">
        <w:t xml:space="preserve">, or other </w:t>
      </w:r>
      <w:r w:rsidR="008D61A7">
        <w:t xml:space="preserve">local </w:t>
      </w:r>
      <w:r w:rsidR="00615AD1">
        <w:t>stakeholders</w:t>
      </w:r>
      <w:r w:rsidR="00686860">
        <w:t xml:space="preserve"> </w:t>
      </w:r>
      <w:r w:rsidR="00615AD1">
        <w:t xml:space="preserve">who interact </w:t>
      </w:r>
      <w:r w:rsidR="008D61A7">
        <w:t xml:space="preserve">with </w:t>
      </w:r>
      <w:r w:rsidR="00615AD1">
        <w:t>or provide services to</w:t>
      </w:r>
      <w:r w:rsidR="00686860">
        <w:t xml:space="preserve"> MSM </w:t>
      </w:r>
      <w:r w:rsidR="00615AD1">
        <w:t xml:space="preserve">in the </w:t>
      </w:r>
      <w:r w:rsidR="00686860">
        <w:t>community.</w:t>
      </w:r>
    </w:p>
    <w:p w:rsidR="003978FC" w:rsidRPr="00834612" w:rsidRDefault="003978FC" w:rsidP="00D207FC">
      <w:pPr>
        <w:rPr>
          <w:b/>
          <w:i/>
        </w:rPr>
      </w:pPr>
    </w:p>
    <w:p w:rsidR="00D207FC" w:rsidRPr="003978FC" w:rsidRDefault="00D207FC" w:rsidP="00C33466">
      <w:pPr>
        <w:rPr>
          <w:i/>
        </w:rPr>
      </w:pPr>
      <w:r w:rsidRPr="003978FC">
        <w:rPr>
          <w:i/>
        </w:rPr>
        <w:t>Inclusion criteria:</w:t>
      </w:r>
    </w:p>
    <w:p w:rsidR="00686860" w:rsidRPr="003F5C65" w:rsidRDefault="00686860" w:rsidP="00C33466">
      <w:pPr>
        <w:pStyle w:val="Normal1"/>
        <w:numPr>
          <w:ilvl w:val="0"/>
          <w:numId w:val="4"/>
        </w:numPr>
        <w:rPr>
          <w:lang w:eastAsia="ko-KR"/>
        </w:rPr>
      </w:pPr>
      <w:r>
        <w:rPr>
          <w:lang w:eastAsia="ko-KR"/>
        </w:rPr>
        <w:t xml:space="preserve">At least </w:t>
      </w:r>
      <w:r w:rsidRPr="003F5C65">
        <w:rPr>
          <w:lang w:eastAsia="ko-KR"/>
        </w:rPr>
        <w:t xml:space="preserve">18 years </w:t>
      </w:r>
      <w:r>
        <w:rPr>
          <w:lang w:eastAsia="ko-KR"/>
        </w:rPr>
        <w:t>old</w:t>
      </w:r>
    </w:p>
    <w:p w:rsidR="00686860" w:rsidRDefault="00686860" w:rsidP="00C33466">
      <w:pPr>
        <w:pStyle w:val="Normal1"/>
        <w:numPr>
          <w:ilvl w:val="0"/>
          <w:numId w:val="4"/>
        </w:numPr>
        <w:rPr>
          <w:lang w:eastAsia="ko-KR"/>
        </w:rPr>
      </w:pPr>
      <w:r>
        <w:rPr>
          <w:lang w:eastAsia="ko-KR"/>
        </w:rPr>
        <w:lastRenderedPageBreak/>
        <w:t>A</w:t>
      </w:r>
      <w:r w:rsidRPr="003F5C65">
        <w:rPr>
          <w:lang w:eastAsia="ko-KR"/>
        </w:rPr>
        <w:t>ble to speak English</w:t>
      </w:r>
    </w:p>
    <w:p w:rsidR="00686860" w:rsidRDefault="00686860" w:rsidP="00C33466">
      <w:pPr>
        <w:pStyle w:val="Normal1"/>
        <w:numPr>
          <w:ilvl w:val="0"/>
          <w:numId w:val="4"/>
        </w:numPr>
        <w:rPr>
          <w:lang w:eastAsia="ko-KR"/>
        </w:rPr>
      </w:pPr>
      <w:r>
        <w:rPr>
          <w:lang w:eastAsia="ko-KR"/>
        </w:rPr>
        <w:t>Positional or reputational leaders in HIV prevention, care or treatment in the jurisdiction (i.e. named as k</w:t>
      </w:r>
      <w:r w:rsidRPr="003F5C65">
        <w:rPr>
          <w:lang w:eastAsia="ko-KR"/>
        </w:rPr>
        <w:t>nowledgeable about HIV prevention and care for MSM in the jurisdiction</w:t>
      </w:r>
      <w:r>
        <w:rPr>
          <w:lang w:eastAsia="ko-KR"/>
        </w:rPr>
        <w:t xml:space="preserve"> by at least two other </w:t>
      </w:r>
      <w:r w:rsidRPr="00222BE9">
        <w:rPr>
          <w:lang w:eastAsia="ko-KR"/>
        </w:rPr>
        <w:t>HIV care and treatment site</w:t>
      </w:r>
      <w:r>
        <w:rPr>
          <w:lang w:eastAsia="ko-KR"/>
        </w:rPr>
        <w:t xml:space="preserve"> leaders, advocates,</w:t>
      </w:r>
      <w:r w:rsidRPr="00222BE9">
        <w:rPr>
          <w:lang w:eastAsia="ko-KR"/>
        </w:rPr>
        <w:t xml:space="preserve"> </w:t>
      </w:r>
      <w:r>
        <w:rPr>
          <w:lang w:eastAsia="ko-KR"/>
        </w:rPr>
        <w:t xml:space="preserve">or health providers </w:t>
      </w:r>
      <w:r w:rsidRPr="00222BE9">
        <w:rPr>
          <w:lang w:eastAsia="ko-KR"/>
        </w:rPr>
        <w:t>serving MSM in the jurisdiction</w:t>
      </w:r>
      <w:r>
        <w:rPr>
          <w:lang w:eastAsia="ko-KR"/>
        </w:rPr>
        <w:t>)</w:t>
      </w:r>
      <w:r w:rsidRPr="00222BE9" w:rsidDel="00201A20">
        <w:rPr>
          <w:lang w:eastAsia="ko-KR"/>
        </w:rPr>
        <w:t xml:space="preserve"> </w:t>
      </w:r>
      <w:r w:rsidRPr="003F5C65">
        <w:rPr>
          <w:lang w:eastAsia="ko-KR"/>
        </w:rPr>
        <w:t xml:space="preserve"> </w:t>
      </w:r>
    </w:p>
    <w:p w:rsidR="00686860" w:rsidRPr="00222BE9" w:rsidRDefault="00686860" w:rsidP="00C33466">
      <w:pPr>
        <w:pStyle w:val="Normal1"/>
        <w:numPr>
          <w:ilvl w:val="0"/>
          <w:numId w:val="4"/>
        </w:numPr>
      </w:pPr>
      <w:r>
        <w:rPr>
          <w:lang w:eastAsia="ko-KR"/>
        </w:rPr>
        <w:t xml:space="preserve">Have at least </w:t>
      </w:r>
      <w:r w:rsidRPr="003F5C65">
        <w:rPr>
          <w:lang w:eastAsia="ko-KR"/>
        </w:rPr>
        <w:t>1 year of most recent continuous work experience in HIV-related service, treatment, or care delivery, and/or HIV-related legislative, policymaking, volunteer, education, or advocacy work during the past year</w:t>
      </w:r>
      <w:r>
        <w:rPr>
          <w:lang w:eastAsia="ko-KR"/>
        </w:rPr>
        <w:t xml:space="preserve"> within the jurisdiction.</w:t>
      </w:r>
    </w:p>
    <w:p w:rsidR="00D207FC" w:rsidRPr="00572EF4" w:rsidRDefault="00D207FC" w:rsidP="00C33466"/>
    <w:p w:rsidR="00D207FC" w:rsidRPr="007C43A0" w:rsidRDefault="00D207FC" w:rsidP="00C33466">
      <w:pPr>
        <w:tabs>
          <w:tab w:val="left" w:pos="3907"/>
        </w:tabs>
        <w:rPr>
          <w:i/>
        </w:rPr>
      </w:pPr>
      <w:r w:rsidRPr="007C43A0">
        <w:rPr>
          <w:i/>
        </w:rPr>
        <w:t>Exclusion criteria:</w:t>
      </w:r>
      <w:r w:rsidR="00C33466">
        <w:rPr>
          <w:i/>
        </w:rPr>
        <w:tab/>
      </w:r>
    </w:p>
    <w:p w:rsidR="00554673" w:rsidRDefault="00554673" w:rsidP="00C33466">
      <w:pPr>
        <w:pStyle w:val="Normal1"/>
        <w:numPr>
          <w:ilvl w:val="0"/>
          <w:numId w:val="4"/>
        </w:numPr>
        <w:rPr>
          <w:lang w:eastAsia="ko-KR"/>
        </w:rPr>
      </w:pPr>
      <w:r>
        <w:rPr>
          <w:lang w:eastAsia="ko-KR"/>
        </w:rPr>
        <w:t>Inability to provide consent for any reason</w:t>
      </w:r>
    </w:p>
    <w:p w:rsidR="00554673" w:rsidRDefault="00554673" w:rsidP="00C33466">
      <w:pPr>
        <w:pStyle w:val="Normal1"/>
        <w:numPr>
          <w:ilvl w:val="0"/>
          <w:numId w:val="4"/>
        </w:numPr>
        <w:rPr>
          <w:lang w:eastAsia="ko-KR"/>
        </w:rPr>
      </w:pPr>
      <w:r>
        <w:rPr>
          <w:lang w:eastAsia="ko-KR"/>
        </w:rPr>
        <w:t>Inability to comprehend and converse in English</w:t>
      </w:r>
    </w:p>
    <w:p w:rsidR="00C33466" w:rsidRDefault="00554673" w:rsidP="00937383">
      <w:pPr>
        <w:pStyle w:val="Normal1"/>
        <w:numPr>
          <w:ilvl w:val="0"/>
          <w:numId w:val="4"/>
        </w:numPr>
        <w:rPr>
          <w:lang w:eastAsia="ko-KR"/>
        </w:rPr>
      </w:pPr>
      <w:r>
        <w:rPr>
          <w:lang w:eastAsia="ko-KR"/>
        </w:rPr>
        <w:t>Failure to meet other inclusion criteria</w:t>
      </w:r>
    </w:p>
    <w:p w:rsidR="00937383" w:rsidRDefault="00937383" w:rsidP="00937383">
      <w:pPr>
        <w:pStyle w:val="Normal1"/>
        <w:rPr>
          <w:lang w:eastAsia="ko-KR"/>
        </w:rPr>
      </w:pPr>
    </w:p>
    <w:p w:rsidR="00937383" w:rsidRDefault="00937383" w:rsidP="00720E62">
      <w:pPr>
        <w:pStyle w:val="Normal1"/>
      </w:pPr>
      <w:r w:rsidRPr="00222BE9">
        <w:t>We will use a two-phased</w:t>
      </w:r>
      <w:r>
        <w:t>, purposive,</w:t>
      </w:r>
      <w:r w:rsidRPr="00222BE9">
        <w:t xml:space="preserve"> snowball sampling approach </w:t>
      </w:r>
      <w:r>
        <w:t>to recruit participants to this study. T</w:t>
      </w:r>
      <w:r w:rsidRPr="00222BE9">
        <w:t>his method has proven effective for identifying special populations including key informants with unique knowledge to a specific situation</w:t>
      </w:r>
      <w:r>
        <w:t>.</w:t>
      </w:r>
      <w:r w:rsidRPr="009542B9">
        <w:t xml:space="preserve"> </w:t>
      </w:r>
      <w:r w:rsidRPr="003F5C65">
        <w:t xml:space="preserve">The phased sampling approach will allow us the flexibility to adapt the case study to the specific situation in each city. It also allows us to include the community experts in the identification of the voices that need to be included in the study to form a full picture of challenges and successes in the jurisdiction. </w:t>
      </w:r>
    </w:p>
    <w:p w:rsidR="00937383" w:rsidRDefault="00937383" w:rsidP="00720E62">
      <w:pPr>
        <w:pStyle w:val="Normal1"/>
      </w:pPr>
    </w:p>
    <w:p w:rsidR="00937383" w:rsidRDefault="00937383" w:rsidP="00720E62">
      <w:pPr>
        <w:pStyle w:val="Normal1"/>
      </w:pPr>
      <w:r>
        <w:t>In Phase 1, we will compile a list of potential</w:t>
      </w:r>
      <w:r w:rsidRPr="00222BE9">
        <w:t xml:space="preserve"> KPI</w:t>
      </w:r>
      <w:r>
        <w:t xml:space="preserve"> respondents in each city </w:t>
      </w:r>
      <w:r w:rsidR="005C226C">
        <w:t xml:space="preserve">based on </w:t>
      </w:r>
      <w:r>
        <w:t>Health Department recommendations and referrals from pre-existing contacts in the jurisdiction. B</w:t>
      </w:r>
      <w:r w:rsidRPr="00E00D88">
        <w:t>ased on length of service, number of</w:t>
      </w:r>
      <w:r w:rsidR="005C226C">
        <w:t xml:space="preserve"> recommendations from the</w:t>
      </w:r>
      <w:r w:rsidRPr="00E00D88">
        <w:t xml:space="preserve"> contacted organizations, and professional positio</w:t>
      </w:r>
      <w:r>
        <w:t>n, we will select 5</w:t>
      </w:r>
      <w:r w:rsidRPr="00E00D88">
        <w:t xml:space="preserve"> jurisdictional leaders </w:t>
      </w:r>
      <w:r>
        <w:t>in each location for Phase 1</w:t>
      </w:r>
      <w:r w:rsidR="005C226C">
        <w:t xml:space="preserve"> interviews</w:t>
      </w:r>
      <w:r>
        <w:t xml:space="preserve"> (n=20 total in Phase 1). Phase 2 will consist of 25 key participant interviews in each jurisdiction (n=100 total in Phase 2). We will review the </w:t>
      </w:r>
      <w:r w:rsidRPr="00222BE9">
        <w:t>phase 1 interview data</w:t>
      </w:r>
      <w:r>
        <w:t xml:space="preserve"> to h</w:t>
      </w:r>
      <w:r w:rsidRPr="00222BE9">
        <w:t xml:space="preserve">elp us determine any new areas of interest to pursue for </w:t>
      </w:r>
      <w:r>
        <w:t xml:space="preserve">each </w:t>
      </w:r>
      <w:r w:rsidRPr="00222BE9">
        <w:t>specific jurisdiction</w:t>
      </w:r>
      <w:r>
        <w:t xml:space="preserve"> </w:t>
      </w:r>
      <w:r w:rsidR="005C226C">
        <w:t>prior to s</w:t>
      </w:r>
      <w:r>
        <w:t>electing participants for Phase 2</w:t>
      </w:r>
      <w:r w:rsidRPr="00222BE9">
        <w:t xml:space="preserve">. </w:t>
      </w:r>
      <w:r>
        <w:t xml:space="preserve">We will supplement our </w:t>
      </w:r>
      <w:r w:rsidR="005C226C">
        <w:t xml:space="preserve">initial sampling frame with additional </w:t>
      </w:r>
      <w:r>
        <w:t xml:space="preserve">key participants identified during </w:t>
      </w:r>
      <w:r w:rsidRPr="00222BE9">
        <w:t>Phase 1 interviews</w:t>
      </w:r>
      <w:r w:rsidRPr="003F5C65">
        <w:t xml:space="preserve">. </w:t>
      </w:r>
      <w:r w:rsidR="005C226C">
        <w:t>We will interview a total of 120 participants across the two phases</w:t>
      </w:r>
      <w:r>
        <w:t>.</w:t>
      </w:r>
      <w:r w:rsidR="005C226C">
        <w:t xml:space="preserve"> Exhibit 1.1 below outlines sample size requirements for each of the phases in further detail.</w:t>
      </w:r>
    </w:p>
    <w:p w:rsidR="00D207FC" w:rsidRDefault="00D207FC" w:rsidP="005342FB"/>
    <w:p w:rsidR="00606E0F" w:rsidRPr="00606E0F" w:rsidRDefault="00792029" w:rsidP="00792029">
      <w:pPr>
        <w:pStyle w:val="Caption"/>
        <w:rPr>
          <w:szCs w:val="24"/>
        </w:rPr>
      </w:pPr>
      <w:bookmarkStart w:id="1" w:name="_Toc450750945"/>
      <w:r>
        <w:t xml:space="preserve">Exhibit </w:t>
      </w:r>
      <w:r w:rsidR="00557F5B">
        <w:fldChar w:fldCharType="begin"/>
      </w:r>
      <w:r w:rsidR="00557F5B">
        <w:instrText xml:space="preserve"> STYLEREF 1 \s </w:instrText>
      </w:r>
      <w:r w:rsidR="00557F5B">
        <w:fldChar w:fldCharType="separate"/>
      </w:r>
      <w:r w:rsidR="008B2F17">
        <w:rPr>
          <w:noProof/>
        </w:rPr>
        <w:t>1</w:t>
      </w:r>
      <w:r w:rsidR="00557F5B">
        <w:rPr>
          <w:noProof/>
        </w:rPr>
        <w:fldChar w:fldCharType="end"/>
      </w:r>
      <w:r w:rsidR="007F29CE">
        <w:t>.</w:t>
      </w:r>
      <w:r w:rsidR="00557F5B">
        <w:fldChar w:fldCharType="begin"/>
      </w:r>
      <w:r w:rsidR="00557F5B">
        <w:instrText xml:space="preserve"> SEQ Exhibit \* ARABIC \s 1 </w:instrText>
      </w:r>
      <w:r w:rsidR="00557F5B">
        <w:fldChar w:fldCharType="separate"/>
      </w:r>
      <w:r w:rsidR="008B2F17">
        <w:rPr>
          <w:noProof/>
        </w:rPr>
        <w:t>1</w:t>
      </w:r>
      <w:r w:rsidR="00557F5B">
        <w:rPr>
          <w:noProof/>
        </w:rPr>
        <w:fldChar w:fldCharType="end"/>
      </w:r>
      <w:r>
        <w:t>: Summary of Recruitment Targets</w:t>
      </w:r>
      <w:bookmarkEnd w:id="1"/>
    </w:p>
    <w:tbl>
      <w:tblPr>
        <w:tblStyle w:val="TableGrid"/>
        <w:tblW w:w="0" w:type="auto"/>
        <w:tblLook w:val="04A0" w:firstRow="1" w:lastRow="0" w:firstColumn="1" w:lastColumn="0" w:noHBand="0" w:noVBand="1"/>
      </w:tblPr>
      <w:tblGrid>
        <w:gridCol w:w="711"/>
        <w:gridCol w:w="2524"/>
        <w:gridCol w:w="1530"/>
        <w:gridCol w:w="1530"/>
        <w:gridCol w:w="1530"/>
        <w:gridCol w:w="1530"/>
        <w:gridCol w:w="715"/>
      </w:tblGrid>
      <w:tr w:rsidR="00C33466" w:rsidRPr="008D34B2" w:rsidTr="00786952">
        <w:tc>
          <w:tcPr>
            <w:tcW w:w="711" w:type="dxa"/>
            <w:tcBorders>
              <w:bottom w:val="single" w:sz="12" w:space="0" w:color="auto"/>
            </w:tcBorders>
            <w:shd w:val="clear" w:color="auto" w:fill="auto"/>
            <w:vAlign w:val="center"/>
          </w:tcPr>
          <w:p w:rsidR="008D34B2" w:rsidRPr="00C33466" w:rsidRDefault="008D34B2" w:rsidP="00CD1409">
            <w:pPr>
              <w:jc w:val="center"/>
              <w:rPr>
                <w:rFonts w:asciiTheme="minorHAnsi" w:hAnsiTheme="minorHAnsi"/>
                <w:b/>
                <w:sz w:val="20"/>
                <w:szCs w:val="20"/>
              </w:rPr>
            </w:pPr>
            <w:r w:rsidRPr="00C33466">
              <w:rPr>
                <w:rFonts w:asciiTheme="minorHAnsi" w:hAnsiTheme="minorHAnsi"/>
                <w:b/>
                <w:sz w:val="20"/>
                <w:szCs w:val="20"/>
              </w:rPr>
              <w:t>Phase</w:t>
            </w:r>
          </w:p>
        </w:tc>
        <w:tc>
          <w:tcPr>
            <w:tcW w:w="2524" w:type="dxa"/>
            <w:tcBorders>
              <w:bottom w:val="single" w:sz="12" w:space="0" w:color="auto"/>
            </w:tcBorders>
            <w:shd w:val="clear" w:color="auto" w:fill="auto"/>
          </w:tcPr>
          <w:p w:rsidR="008D34B2" w:rsidRPr="008D34B2" w:rsidRDefault="008D34B2" w:rsidP="005342FB">
            <w:pPr>
              <w:rPr>
                <w:rFonts w:asciiTheme="minorHAnsi" w:hAnsiTheme="minorHAnsi"/>
                <w:sz w:val="20"/>
                <w:szCs w:val="20"/>
              </w:rPr>
            </w:pPr>
          </w:p>
        </w:tc>
        <w:tc>
          <w:tcPr>
            <w:tcW w:w="1530" w:type="dxa"/>
            <w:tcBorders>
              <w:bottom w:val="single" w:sz="12" w:space="0" w:color="auto"/>
            </w:tcBorders>
            <w:shd w:val="clear" w:color="auto" w:fill="auto"/>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Houston</w:t>
            </w:r>
          </w:p>
        </w:tc>
        <w:tc>
          <w:tcPr>
            <w:tcW w:w="1530" w:type="dxa"/>
            <w:tcBorders>
              <w:bottom w:val="single" w:sz="12" w:space="0" w:color="auto"/>
            </w:tcBorders>
            <w:shd w:val="clear" w:color="auto" w:fill="auto"/>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Miami</w:t>
            </w:r>
          </w:p>
        </w:tc>
        <w:tc>
          <w:tcPr>
            <w:tcW w:w="1530" w:type="dxa"/>
            <w:tcBorders>
              <w:bottom w:val="single" w:sz="12" w:space="0" w:color="auto"/>
            </w:tcBorders>
            <w:shd w:val="clear" w:color="auto" w:fill="auto"/>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New Orleans</w:t>
            </w:r>
          </w:p>
        </w:tc>
        <w:tc>
          <w:tcPr>
            <w:tcW w:w="1530" w:type="dxa"/>
            <w:tcBorders>
              <w:bottom w:val="single" w:sz="12" w:space="0" w:color="auto"/>
            </w:tcBorders>
            <w:shd w:val="clear" w:color="auto" w:fill="auto"/>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Washington DC</w:t>
            </w:r>
          </w:p>
        </w:tc>
        <w:tc>
          <w:tcPr>
            <w:tcW w:w="715" w:type="dxa"/>
            <w:tcBorders>
              <w:bottom w:val="single" w:sz="12" w:space="0" w:color="auto"/>
            </w:tcBorders>
            <w:shd w:val="clear" w:color="auto" w:fill="auto"/>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Total</w:t>
            </w:r>
          </w:p>
        </w:tc>
      </w:tr>
      <w:tr w:rsidR="00C33466" w:rsidRPr="008D34B2" w:rsidTr="00C33466">
        <w:tc>
          <w:tcPr>
            <w:tcW w:w="711" w:type="dxa"/>
            <w:vMerge w:val="restart"/>
            <w:tcBorders>
              <w:top w:val="single" w:sz="12" w:space="0" w:color="auto"/>
            </w:tcBorders>
            <w:shd w:val="clear" w:color="auto" w:fill="DBE5F1" w:themeFill="accent1" w:themeFillTint="33"/>
            <w:vAlign w:val="center"/>
          </w:tcPr>
          <w:p w:rsidR="008D34B2" w:rsidRPr="00C33466" w:rsidRDefault="008D34B2" w:rsidP="00CD1409">
            <w:pPr>
              <w:jc w:val="center"/>
              <w:rPr>
                <w:rFonts w:asciiTheme="minorHAnsi" w:hAnsiTheme="minorHAnsi"/>
                <w:b/>
                <w:sz w:val="20"/>
                <w:szCs w:val="20"/>
              </w:rPr>
            </w:pPr>
            <w:r w:rsidRPr="00C33466">
              <w:rPr>
                <w:rFonts w:asciiTheme="minorHAnsi" w:hAnsiTheme="minorHAnsi"/>
                <w:b/>
                <w:sz w:val="20"/>
                <w:szCs w:val="20"/>
              </w:rPr>
              <w:t>1</w:t>
            </w:r>
          </w:p>
        </w:tc>
        <w:tc>
          <w:tcPr>
            <w:tcW w:w="2524" w:type="dxa"/>
            <w:tcBorders>
              <w:top w:val="single" w:sz="12" w:space="0" w:color="auto"/>
            </w:tcBorders>
            <w:shd w:val="clear" w:color="auto" w:fill="DBE5F1" w:themeFill="accent1" w:themeFillTint="33"/>
          </w:tcPr>
          <w:p w:rsidR="008D34B2" w:rsidRPr="008D34B2" w:rsidRDefault="008D34B2" w:rsidP="005342FB">
            <w:pPr>
              <w:rPr>
                <w:rFonts w:asciiTheme="minorHAnsi" w:hAnsiTheme="minorHAnsi"/>
                <w:sz w:val="20"/>
                <w:szCs w:val="20"/>
              </w:rPr>
            </w:pPr>
            <w:r w:rsidRPr="008D34B2">
              <w:rPr>
                <w:rFonts w:asciiTheme="minorHAnsi" w:hAnsiTheme="minorHAnsi"/>
                <w:sz w:val="20"/>
                <w:szCs w:val="20"/>
              </w:rPr>
              <w:t>Health Department Leaders</w:t>
            </w:r>
          </w:p>
        </w:tc>
        <w:tc>
          <w:tcPr>
            <w:tcW w:w="1530" w:type="dxa"/>
            <w:tcBorders>
              <w:top w:val="single" w:sz="12" w:space="0" w:color="auto"/>
            </w:tcBorders>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tcBorders>
              <w:top w:val="single" w:sz="12" w:space="0" w:color="auto"/>
            </w:tcBorders>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tcBorders>
              <w:top w:val="single" w:sz="12" w:space="0" w:color="auto"/>
            </w:tcBorders>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tcBorders>
              <w:top w:val="single" w:sz="12" w:space="0" w:color="auto"/>
            </w:tcBorders>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715" w:type="dxa"/>
            <w:tcBorders>
              <w:top w:val="single" w:sz="12" w:space="0" w:color="auto"/>
            </w:tcBorders>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4-12</w:t>
            </w:r>
          </w:p>
        </w:tc>
      </w:tr>
      <w:tr w:rsidR="00C33466" w:rsidRPr="008D34B2" w:rsidTr="00C33466">
        <w:tc>
          <w:tcPr>
            <w:tcW w:w="711" w:type="dxa"/>
            <w:vMerge/>
            <w:shd w:val="clear" w:color="auto" w:fill="DBE5F1" w:themeFill="accent1" w:themeFillTint="33"/>
            <w:vAlign w:val="center"/>
          </w:tcPr>
          <w:p w:rsidR="008D34B2" w:rsidRPr="00C33466" w:rsidRDefault="008D34B2" w:rsidP="00CD1409">
            <w:pPr>
              <w:jc w:val="center"/>
              <w:rPr>
                <w:rFonts w:asciiTheme="minorHAnsi" w:hAnsiTheme="minorHAnsi"/>
                <w:b/>
                <w:sz w:val="20"/>
                <w:szCs w:val="20"/>
              </w:rPr>
            </w:pPr>
          </w:p>
        </w:tc>
        <w:tc>
          <w:tcPr>
            <w:tcW w:w="2524" w:type="dxa"/>
            <w:shd w:val="clear" w:color="auto" w:fill="DBE5F1" w:themeFill="accent1" w:themeFillTint="33"/>
          </w:tcPr>
          <w:p w:rsidR="008D34B2" w:rsidRPr="008D34B2" w:rsidRDefault="008D34B2" w:rsidP="005342FB">
            <w:pPr>
              <w:rPr>
                <w:rFonts w:asciiTheme="minorHAnsi" w:hAnsiTheme="minorHAnsi"/>
                <w:sz w:val="20"/>
                <w:szCs w:val="20"/>
              </w:rPr>
            </w:pPr>
            <w:r w:rsidRPr="008D34B2">
              <w:rPr>
                <w:rFonts w:asciiTheme="minorHAnsi" w:hAnsiTheme="minorHAnsi"/>
                <w:sz w:val="20"/>
                <w:szCs w:val="20"/>
              </w:rPr>
              <w:t>CBOs/HIV Providers</w:t>
            </w:r>
          </w:p>
        </w:tc>
        <w:tc>
          <w:tcPr>
            <w:tcW w:w="1530"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715"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4-12</w:t>
            </w:r>
          </w:p>
        </w:tc>
      </w:tr>
      <w:tr w:rsidR="00C33466" w:rsidRPr="008D34B2" w:rsidTr="00C33466">
        <w:tc>
          <w:tcPr>
            <w:tcW w:w="711" w:type="dxa"/>
            <w:vMerge/>
            <w:shd w:val="clear" w:color="auto" w:fill="DBE5F1" w:themeFill="accent1" w:themeFillTint="33"/>
            <w:vAlign w:val="center"/>
          </w:tcPr>
          <w:p w:rsidR="008D34B2" w:rsidRPr="00C33466" w:rsidRDefault="008D34B2" w:rsidP="00CD1409">
            <w:pPr>
              <w:jc w:val="center"/>
              <w:rPr>
                <w:rFonts w:asciiTheme="minorHAnsi" w:hAnsiTheme="minorHAnsi"/>
                <w:b/>
                <w:sz w:val="20"/>
                <w:szCs w:val="20"/>
              </w:rPr>
            </w:pPr>
          </w:p>
        </w:tc>
        <w:tc>
          <w:tcPr>
            <w:tcW w:w="2524" w:type="dxa"/>
            <w:shd w:val="clear" w:color="auto" w:fill="DBE5F1" w:themeFill="accent1" w:themeFillTint="33"/>
          </w:tcPr>
          <w:p w:rsidR="008D34B2" w:rsidRPr="008D34B2" w:rsidRDefault="008D34B2" w:rsidP="005342FB">
            <w:pPr>
              <w:rPr>
                <w:rFonts w:asciiTheme="minorHAnsi" w:hAnsiTheme="minorHAnsi"/>
                <w:sz w:val="20"/>
                <w:szCs w:val="20"/>
              </w:rPr>
            </w:pPr>
            <w:r w:rsidRPr="008D34B2">
              <w:rPr>
                <w:rFonts w:asciiTheme="minorHAnsi" w:hAnsiTheme="minorHAnsi"/>
                <w:sz w:val="20"/>
                <w:szCs w:val="20"/>
              </w:rPr>
              <w:t>Community Members</w:t>
            </w:r>
          </w:p>
        </w:tc>
        <w:tc>
          <w:tcPr>
            <w:tcW w:w="1530"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1530"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1-3</w:t>
            </w:r>
          </w:p>
        </w:tc>
        <w:tc>
          <w:tcPr>
            <w:tcW w:w="715" w:type="dxa"/>
            <w:shd w:val="clear" w:color="auto" w:fill="DBE5F1" w:themeFill="accent1" w:themeFillTint="33"/>
            <w:vAlign w:val="center"/>
          </w:tcPr>
          <w:p w:rsidR="008D34B2" w:rsidRPr="008D34B2" w:rsidRDefault="00CD1409" w:rsidP="00CD1409">
            <w:pPr>
              <w:jc w:val="center"/>
              <w:rPr>
                <w:rFonts w:asciiTheme="minorHAnsi" w:hAnsiTheme="minorHAnsi"/>
                <w:sz w:val="20"/>
                <w:szCs w:val="20"/>
              </w:rPr>
            </w:pPr>
            <w:r>
              <w:rPr>
                <w:rFonts w:asciiTheme="minorHAnsi" w:hAnsiTheme="minorHAnsi"/>
                <w:sz w:val="20"/>
                <w:szCs w:val="20"/>
              </w:rPr>
              <w:t>4-12</w:t>
            </w:r>
          </w:p>
        </w:tc>
      </w:tr>
      <w:tr w:rsidR="00C33466" w:rsidRPr="008D34B2" w:rsidTr="00C33466">
        <w:tc>
          <w:tcPr>
            <w:tcW w:w="711" w:type="dxa"/>
            <w:vMerge/>
            <w:tcBorders>
              <w:bottom w:val="single" w:sz="12" w:space="0" w:color="auto"/>
            </w:tcBorders>
            <w:shd w:val="clear" w:color="auto" w:fill="DBE5F1" w:themeFill="accent1" w:themeFillTint="33"/>
            <w:vAlign w:val="center"/>
          </w:tcPr>
          <w:p w:rsidR="008D34B2" w:rsidRPr="00C33466" w:rsidRDefault="008D34B2" w:rsidP="00CD1409">
            <w:pPr>
              <w:jc w:val="center"/>
              <w:rPr>
                <w:rFonts w:asciiTheme="minorHAnsi" w:hAnsiTheme="minorHAnsi"/>
                <w:b/>
                <w:sz w:val="20"/>
                <w:szCs w:val="20"/>
              </w:rPr>
            </w:pPr>
          </w:p>
        </w:tc>
        <w:tc>
          <w:tcPr>
            <w:tcW w:w="2524" w:type="dxa"/>
            <w:tcBorders>
              <w:bottom w:val="single" w:sz="12" w:space="0" w:color="auto"/>
            </w:tcBorders>
            <w:shd w:val="clear" w:color="auto" w:fill="B8CCE4" w:themeFill="accent1" w:themeFillTint="66"/>
          </w:tcPr>
          <w:p w:rsidR="008D34B2" w:rsidRPr="008D34B2" w:rsidRDefault="008D34B2" w:rsidP="005342FB">
            <w:pPr>
              <w:rPr>
                <w:rFonts w:asciiTheme="minorHAnsi" w:hAnsiTheme="minorHAnsi"/>
                <w:sz w:val="20"/>
                <w:szCs w:val="20"/>
              </w:rPr>
            </w:pPr>
            <w:r w:rsidRPr="008D34B2">
              <w:rPr>
                <w:rFonts w:asciiTheme="minorHAnsi" w:hAnsiTheme="minorHAnsi"/>
                <w:sz w:val="20"/>
                <w:szCs w:val="20"/>
              </w:rPr>
              <w:t>Subtotal</w:t>
            </w:r>
          </w:p>
        </w:tc>
        <w:tc>
          <w:tcPr>
            <w:tcW w:w="1530" w:type="dxa"/>
            <w:tcBorders>
              <w:bottom w:val="single" w:sz="12" w:space="0" w:color="auto"/>
            </w:tcBorders>
            <w:shd w:val="clear" w:color="auto" w:fill="B8CCE4" w:themeFill="accent1" w:themeFillTint="66"/>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5</w:t>
            </w:r>
          </w:p>
        </w:tc>
        <w:tc>
          <w:tcPr>
            <w:tcW w:w="1530" w:type="dxa"/>
            <w:tcBorders>
              <w:bottom w:val="single" w:sz="12" w:space="0" w:color="auto"/>
            </w:tcBorders>
            <w:shd w:val="clear" w:color="auto" w:fill="B8CCE4" w:themeFill="accent1" w:themeFillTint="66"/>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5</w:t>
            </w:r>
          </w:p>
        </w:tc>
        <w:tc>
          <w:tcPr>
            <w:tcW w:w="1530" w:type="dxa"/>
            <w:tcBorders>
              <w:bottom w:val="single" w:sz="12" w:space="0" w:color="auto"/>
            </w:tcBorders>
            <w:shd w:val="clear" w:color="auto" w:fill="B8CCE4" w:themeFill="accent1" w:themeFillTint="66"/>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5</w:t>
            </w:r>
          </w:p>
        </w:tc>
        <w:tc>
          <w:tcPr>
            <w:tcW w:w="1530" w:type="dxa"/>
            <w:tcBorders>
              <w:bottom w:val="single" w:sz="12" w:space="0" w:color="auto"/>
            </w:tcBorders>
            <w:shd w:val="clear" w:color="auto" w:fill="B8CCE4" w:themeFill="accent1" w:themeFillTint="66"/>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5</w:t>
            </w:r>
          </w:p>
        </w:tc>
        <w:tc>
          <w:tcPr>
            <w:tcW w:w="715" w:type="dxa"/>
            <w:tcBorders>
              <w:bottom w:val="single" w:sz="12" w:space="0" w:color="auto"/>
            </w:tcBorders>
            <w:shd w:val="clear" w:color="auto" w:fill="B8CCE4" w:themeFill="accent1" w:themeFillTint="66"/>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20</w:t>
            </w:r>
          </w:p>
        </w:tc>
      </w:tr>
      <w:tr w:rsidR="00C33466" w:rsidRPr="008D34B2" w:rsidTr="00C33466">
        <w:tc>
          <w:tcPr>
            <w:tcW w:w="711" w:type="dxa"/>
            <w:vMerge w:val="restart"/>
            <w:tcBorders>
              <w:top w:val="single" w:sz="12" w:space="0" w:color="auto"/>
            </w:tcBorders>
            <w:shd w:val="clear" w:color="auto" w:fill="D6E3BC" w:themeFill="accent3" w:themeFillTint="66"/>
            <w:vAlign w:val="center"/>
          </w:tcPr>
          <w:p w:rsidR="008D34B2" w:rsidRPr="00C33466" w:rsidRDefault="008D34B2" w:rsidP="00CD1409">
            <w:pPr>
              <w:jc w:val="center"/>
              <w:rPr>
                <w:rFonts w:asciiTheme="minorHAnsi" w:hAnsiTheme="minorHAnsi"/>
                <w:b/>
                <w:sz w:val="20"/>
                <w:szCs w:val="20"/>
              </w:rPr>
            </w:pPr>
            <w:r w:rsidRPr="00C33466">
              <w:rPr>
                <w:rFonts w:asciiTheme="minorHAnsi" w:hAnsiTheme="minorHAnsi"/>
                <w:b/>
                <w:sz w:val="20"/>
                <w:szCs w:val="20"/>
              </w:rPr>
              <w:t>2</w:t>
            </w:r>
          </w:p>
        </w:tc>
        <w:tc>
          <w:tcPr>
            <w:tcW w:w="2524" w:type="dxa"/>
            <w:tcBorders>
              <w:top w:val="single" w:sz="12" w:space="0" w:color="auto"/>
            </w:tcBorders>
            <w:shd w:val="clear" w:color="auto" w:fill="D6E3BC" w:themeFill="accent3" w:themeFillTint="66"/>
          </w:tcPr>
          <w:p w:rsidR="008D34B2" w:rsidRPr="008D34B2" w:rsidRDefault="008D34B2" w:rsidP="008D34B2">
            <w:pPr>
              <w:rPr>
                <w:rFonts w:asciiTheme="minorHAnsi" w:hAnsiTheme="minorHAnsi"/>
                <w:sz w:val="20"/>
                <w:szCs w:val="20"/>
              </w:rPr>
            </w:pPr>
            <w:r w:rsidRPr="008D34B2">
              <w:rPr>
                <w:rFonts w:asciiTheme="minorHAnsi" w:hAnsiTheme="minorHAnsi"/>
                <w:sz w:val="20"/>
                <w:szCs w:val="20"/>
              </w:rPr>
              <w:t>Health Department Leaders</w:t>
            </w:r>
          </w:p>
        </w:tc>
        <w:tc>
          <w:tcPr>
            <w:tcW w:w="1530" w:type="dxa"/>
            <w:tcBorders>
              <w:top w:val="single" w:sz="12" w:space="0" w:color="auto"/>
            </w:tcBorders>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1530" w:type="dxa"/>
            <w:tcBorders>
              <w:top w:val="single" w:sz="12" w:space="0" w:color="auto"/>
            </w:tcBorders>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1530" w:type="dxa"/>
            <w:tcBorders>
              <w:top w:val="single" w:sz="12" w:space="0" w:color="auto"/>
            </w:tcBorders>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1530" w:type="dxa"/>
            <w:tcBorders>
              <w:top w:val="single" w:sz="12" w:space="0" w:color="auto"/>
            </w:tcBorders>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715" w:type="dxa"/>
            <w:tcBorders>
              <w:top w:val="single" w:sz="12" w:space="0" w:color="auto"/>
            </w:tcBorders>
            <w:shd w:val="clear" w:color="auto" w:fill="D6E3BC" w:themeFill="accent3" w:themeFillTint="66"/>
            <w:vAlign w:val="center"/>
          </w:tcPr>
          <w:p w:rsidR="008D34B2" w:rsidRPr="008D34B2" w:rsidRDefault="00C33466" w:rsidP="00C33466">
            <w:pPr>
              <w:jc w:val="center"/>
              <w:rPr>
                <w:rFonts w:asciiTheme="minorHAnsi" w:hAnsiTheme="minorHAnsi"/>
                <w:sz w:val="20"/>
                <w:szCs w:val="20"/>
              </w:rPr>
            </w:pPr>
            <w:r>
              <w:rPr>
                <w:rFonts w:asciiTheme="minorHAnsi" w:hAnsiTheme="minorHAnsi"/>
                <w:sz w:val="20"/>
                <w:szCs w:val="20"/>
              </w:rPr>
              <w:t>16-48</w:t>
            </w:r>
          </w:p>
        </w:tc>
      </w:tr>
      <w:tr w:rsidR="00C33466" w:rsidRPr="008D34B2" w:rsidTr="00C33466">
        <w:trPr>
          <w:trHeight w:val="60"/>
        </w:trPr>
        <w:tc>
          <w:tcPr>
            <w:tcW w:w="711" w:type="dxa"/>
            <w:vMerge/>
            <w:shd w:val="clear" w:color="auto" w:fill="D6E3BC" w:themeFill="accent3" w:themeFillTint="66"/>
          </w:tcPr>
          <w:p w:rsidR="008D34B2" w:rsidRPr="008D34B2" w:rsidRDefault="008D34B2" w:rsidP="008D34B2">
            <w:pPr>
              <w:rPr>
                <w:rFonts w:asciiTheme="minorHAnsi" w:hAnsiTheme="minorHAnsi"/>
                <w:sz w:val="20"/>
                <w:szCs w:val="20"/>
              </w:rPr>
            </w:pPr>
          </w:p>
        </w:tc>
        <w:tc>
          <w:tcPr>
            <w:tcW w:w="2524" w:type="dxa"/>
            <w:shd w:val="clear" w:color="auto" w:fill="D6E3BC" w:themeFill="accent3" w:themeFillTint="66"/>
          </w:tcPr>
          <w:p w:rsidR="008D34B2" w:rsidRPr="008D34B2" w:rsidRDefault="008D34B2" w:rsidP="008D34B2">
            <w:pPr>
              <w:rPr>
                <w:rFonts w:asciiTheme="minorHAnsi" w:hAnsiTheme="minorHAnsi"/>
                <w:sz w:val="20"/>
                <w:szCs w:val="20"/>
              </w:rPr>
            </w:pPr>
            <w:r w:rsidRPr="008D34B2">
              <w:rPr>
                <w:rFonts w:asciiTheme="minorHAnsi" w:hAnsiTheme="minorHAnsi"/>
                <w:sz w:val="20"/>
                <w:szCs w:val="20"/>
              </w:rPr>
              <w:t>CBOs/HIV Providers</w:t>
            </w:r>
          </w:p>
        </w:tc>
        <w:tc>
          <w:tcPr>
            <w:tcW w:w="1530" w:type="dxa"/>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1530" w:type="dxa"/>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1530" w:type="dxa"/>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1530" w:type="dxa"/>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715" w:type="dxa"/>
            <w:shd w:val="clear" w:color="auto" w:fill="D6E3BC" w:themeFill="accent3" w:themeFillTint="66"/>
            <w:vAlign w:val="center"/>
          </w:tcPr>
          <w:p w:rsidR="008D34B2" w:rsidRPr="008D34B2" w:rsidRDefault="00C33466" w:rsidP="00C33466">
            <w:pPr>
              <w:jc w:val="center"/>
              <w:rPr>
                <w:rFonts w:asciiTheme="minorHAnsi" w:hAnsiTheme="minorHAnsi"/>
                <w:sz w:val="20"/>
                <w:szCs w:val="20"/>
              </w:rPr>
            </w:pPr>
            <w:r>
              <w:rPr>
                <w:rFonts w:asciiTheme="minorHAnsi" w:hAnsiTheme="minorHAnsi"/>
                <w:sz w:val="20"/>
                <w:szCs w:val="20"/>
              </w:rPr>
              <w:t>16-48</w:t>
            </w:r>
          </w:p>
        </w:tc>
      </w:tr>
      <w:tr w:rsidR="00C33466" w:rsidRPr="008D34B2" w:rsidTr="00C33466">
        <w:tc>
          <w:tcPr>
            <w:tcW w:w="711" w:type="dxa"/>
            <w:vMerge/>
            <w:shd w:val="clear" w:color="auto" w:fill="D6E3BC" w:themeFill="accent3" w:themeFillTint="66"/>
          </w:tcPr>
          <w:p w:rsidR="008D34B2" w:rsidRPr="008D34B2" w:rsidRDefault="008D34B2" w:rsidP="008D34B2">
            <w:pPr>
              <w:rPr>
                <w:rFonts w:asciiTheme="minorHAnsi" w:hAnsiTheme="minorHAnsi"/>
                <w:sz w:val="20"/>
                <w:szCs w:val="20"/>
              </w:rPr>
            </w:pPr>
          </w:p>
        </w:tc>
        <w:tc>
          <w:tcPr>
            <w:tcW w:w="2524" w:type="dxa"/>
            <w:shd w:val="clear" w:color="auto" w:fill="D6E3BC" w:themeFill="accent3" w:themeFillTint="66"/>
          </w:tcPr>
          <w:p w:rsidR="008D34B2" w:rsidRPr="008D34B2" w:rsidRDefault="008D34B2" w:rsidP="008D34B2">
            <w:pPr>
              <w:rPr>
                <w:rFonts w:asciiTheme="minorHAnsi" w:hAnsiTheme="minorHAnsi"/>
                <w:sz w:val="20"/>
                <w:szCs w:val="20"/>
              </w:rPr>
            </w:pPr>
            <w:r w:rsidRPr="008D34B2">
              <w:rPr>
                <w:rFonts w:asciiTheme="minorHAnsi" w:hAnsiTheme="minorHAnsi"/>
                <w:sz w:val="20"/>
                <w:szCs w:val="20"/>
              </w:rPr>
              <w:t>Community Members</w:t>
            </w:r>
          </w:p>
        </w:tc>
        <w:tc>
          <w:tcPr>
            <w:tcW w:w="1530" w:type="dxa"/>
            <w:shd w:val="clear" w:color="auto" w:fill="D6E3BC" w:themeFill="accent3" w:themeFillTint="66"/>
            <w:vAlign w:val="center"/>
          </w:tcPr>
          <w:p w:rsidR="008D34B2" w:rsidRPr="008D34B2" w:rsidRDefault="00C33466" w:rsidP="00C33466">
            <w:pPr>
              <w:jc w:val="center"/>
              <w:rPr>
                <w:rFonts w:asciiTheme="minorHAnsi" w:hAnsiTheme="minorHAnsi"/>
                <w:sz w:val="20"/>
                <w:szCs w:val="20"/>
              </w:rPr>
            </w:pPr>
            <w:r>
              <w:rPr>
                <w:rFonts w:asciiTheme="minorHAnsi" w:hAnsiTheme="minorHAnsi"/>
                <w:sz w:val="20"/>
                <w:szCs w:val="20"/>
              </w:rPr>
              <w:t>4-12</w:t>
            </w:r>
          </w:p>
        </w:tc>
        <w:tc>
          <w:tcPr>
            <w:tcW w:w="1530" w:type="dxa"/>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1530" w:type="dxa"/>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1530" w:type="dxa"/>
            <w:shd w:val="clear" w:color="auto" w:fill="D6E3BC" w:themeFill="accent3" w:themeFillTint="66"/>
            <w:vAlign w:val="center"/>
          </w:tcPr>
          <w:p w:rsidR="008D34B2" w:rsidRPr="008D34B2" w:rsidRDefault="00C33466" w:rsidP="00CD1409">
            <w:pPr>
              <w:jc w:val="center"/>
              <w:rPr>
                <w:rFonts w:asciiTheme="minorHAnsi" w:hAnsiTheme="minorHAnsi"/>
                <w:sz w:val="20"/>
                <w:szCs w:val="20"/>
              </w:rPr>
            </w:pPr>
            <w:r>
              <w:rPr>
                <w:rFonts w:asciiTheme="minorHAnsi" w:hAnsiTheme="minorHAnsi"/>
                <w:sz w:val="20"/>
                <w:szCs w:val="20"/>
              </w:rPr>
              <w:t>4-12</w:t>
            </w:r>
          </w:p>
        </w:tc>
        <w:tc>
          <w:tcPr>
            <w:tcW w:w="715" w:type="dxa"/>
            <w:shd w:val="clear" w:color="auto" w:fill="D6E3BC" w:themeFill="accent3" w:themeFillTint="66"/>
            <w:vAlign w:val="center"/>
          </w:tcPr>
          <w:p w:rsidR="008D34B2" w:rsidRPr="008D34B2" w:rsidRDefault="00C33466" w:rsidP="00C33466">
            <w:pPr>
              <w:jc w:val="center"/>
              <w:rPr>
                <w:rFonts w:asciiTheme="minorHAnsi" w:hAnsiTheme="minorHAnsi"/>
                <w:sz w:val="20"/>
                <w:szCs w:val="20"/>
              </w:rPr>
            </w:pPr>
            <w:r>
              <w:rPr>
                <w:rFonts w:asciiTheme="minorHAnsi" w:hAnsiTheme="minorHAnsi"/>
                <w:sz w:val="20"/>
                <w:szCs w:val="20"/>
              </w:rPr>
              <w:t>16-48</w:t>
            </w:r>
          </w:p>
        </w:tc>
      </w:tr>
      <w:tr w:rsidR="00C33466" w:rsidRPr="008D34B2" w:rsidTr="00C33466">
        <w:tc>
          <w:tcPr>
            <w:tcW w:w="711" w:type="dxa"/>
            <w:vMerge/>
            <w:tcBorders>
              <w:bottom w:val="single" w:sz="12" w:space="0" w:color="auto"/>
            </w:tcBorders>
            <w:shd w:val="clear" w:color="auto" w:fill="D6E3BC" w:themeFill="accent3" w:themeFillTint="66"/>
          </w:tcPr>
          <w:p w:rsidR="008D34B2" w:rsidRPr="008D34B2" w:rsidRDefault="008D34B2" w:rsidP="008D34B2">
            <w:pPr>
              <w:rPr>
                <w:rFonts w:asciiTheme="minorHAnsi" w:hAnsiTheme="minorHAnsi"/>
                <w:sz w:val="20"/>
                <w:szCs w:val="20"/>
              </w:rPr>
            </w:pPr>
          </w:p>
        </w:tc>
        <w:tc>
          <w:tcPr>
            <w:tcW w:w="2524" w:type="dxa"/>
            <w:tcBorders>
              <w:bottom w:val="single" w:sz="12" w:space="0" w:color="auto"/>
            </w:tcBorders>
            <w:shd w:val="clear" w:color="auto" w:fill="C2D69B" w:themeFill="accent3" w:themeFillTint="99"/>
          </w:tcPr>
          <w:p w:rsidR="008D34B2" w:rsidRPr="008D34B2" w:rsidRDefault="008D34B2" w:rsidP="008D34B2">
            <w:pPr>
              <w:rPr>
                <w:rFonts w:asciiTheme="minorHAnsi" w:hAnsiTheme="minorHAnsi"/>
                <w:sz w:val="20"/>
                <w:szCs w:val="20"/>
              </w:rPr>
            </w:pPr>
            <w:r w:rsidRPr="008D34B2">
              <w:rPr>
                <w:rFonts w:asciiTheme="minorHAnsi" w:hAnsiTheme="minorHAnsi"/>
                <w:sz w:val="20"/>
                <w:szCs w:val="20"/>
              </w:rPr>
              <w:t>Subtotal</w:t>
            </w:r>
          </w:p>
        </w:tc>
        <w:tc>
          <w:tcPr>
            <w:tcW w:w="1530" w:type="dxa"/>
            <w:tcBorders>
              <w:bottom w:val="single" w:sz="12" w:space="0" w:color="auto"/>
            </w:tcBorders>
            <w:shd w:val="clear" w:color="auto" w:fill="C2D69B" w:themeFill="accent3" w:themeFillTint="99"/>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25</w:t>
            </w:r>
          </w:p>
        </w:tc>
        <w:tc>
          <w:tcPr>
            <w:tcW w:w="1530" w:type="dxa"/>
            <w:tcBorders>
              <w:bottom w:val="single" w:sz="12" w:space="0" w:color="auto"/>
            </w:tcBorders>
            <w:shd w:val="clear" w:color="auto" w:fill="C2D69B" w:themeFill="accent3" w:themeFillTint="99"/>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25</w:t>
            </w:r>
          </w:p>
        </w:tc>
        <w:tc>
          <w:tcPr>
            <w:tcW w:w="1530" w:type="dxa"/>
            <w:tcBorders>
              <w:bottom w:val="single" w:sz="12" w:space="0" w:color="auto"/>
            </w:tcBorders>
            <w:shd w:val="clear" w:color="auto" w:fill="C2D69B" w:themeFill="accent3" w:themeFillTint="99"/>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25</w:t>
            </w:r>
          </w:p>
        </w:tc>
        <w:tc>
          <w:tcPr>
            <w:tcW w:w="1530" w:type="dxa"/>
            <w:tcBorders>
              <w:bottom w:val="single" w:sz="12" w:space="0" w:color="auto"/>
            </w:tcBorders>
            <w:shd w:val="clear" w:color="auto" w:fill="C2D69B" w:themeFill="accent3" w:themeFillTint="99"/>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25</w:t>
            </w:r>
          </w:p>
        </w:tc>
        <w:tc>
          <w:tcPr>
            <w:tcW w:w="715" w:type="dxa"/>
            <w:tcBorders>
              <w:bottom w:val="single" w:sz="12" w:space="0" w:color="auto"/>
            </w:tcBorders>
            <w:shd w:val="clear" w:color="auto" w:fill="C2D69B" w:themeFill="accent3" w:themeFillTint="99"/>
            <w:vAlign w:val="center"/>
          </w:tcPr>
          <w:p w:rsidR="008D34B2" w:rsidRPr="008D34B2" w:rsidRDefault="008D34B2" w:rsidP="00CD1409">
            <w:pPr>
              <w:jc w:val="center"/>
              <w:rPr>
                <w:rFonts w:asciiTheme="minorHAnsi" w:hAnsiTheme="minorHAnsi"/>
                <w:sz w:val="20"/>
                <w:szCs w:val="20"/>
              </w:rPr>
            </w:pPr>
            <w:r>
              <w:rPr>
                <w:rFonts w:asciiTheme="minorHAnsi" w:hAnsiTheme="minorHAnsi"/>
                <w:sz w:val="20"/>
                <w:szCs w:val="20"/>
              </w:rPr>
              <w:t>100</w:t>
            </w:r>
          </w:p>
        </w:tc>
      </w:tr>
      <w:tr w:rsidR="00C33466" w:rsidRPr="008D34B2" w:rsidTr="00786952">
        <w:tc>
          <w:tcPr>
            <w:tcW w:w="3235" w:type="dxa"/>
            <w:gridSpan w:val="2"/>
            <w:tcBorders>
              <w:top w:val="single" w:sz="12" w:space="0" w:color="auto"/>
              <w:bottom w:val="single" w:sz="12" w:space="0" w:color="auto"/>
            </w:tcBorders>
            <w:shd w:val="clear" w:color="auto" w:fill="BFBFBF" w:themeFill="background1" w:themeFillShade="BF"/>
            <w:vAlign w:val="bottom"/>
          </w:tcPr>
          <w:p w:rsidR="008D34B2" w:rsidRPr="00C33466" w:rsidRDefault="008D34B2" w:rsidP="00CD1409">
            <w:pPr>
              <w:jc w:val="right"/>
              <w:rPr>
                <w:rFonts w:asciiTheme="minorHAnsi" w:hAnsiTheme="minorHAnsi"/>
                <w:b/>
                <w:sz w:val="20"/>
                <w:szCs w:val="20"/>
              </w:rPr>
            </w:pPr>
            <w:r w:rsidRPr="00C33466">
              <w:rPr>
                <w:rFonts w:asciiTheme="minorHAnsi" w:hAnsiTheme="minorHAnsi"/>
                <w:b/>
                <w:sz w:val="20"/>
                <w:szCs w:val="20"/>
              </w:rPr>
              <w:t>Total</w:t>
            </w:r>
          </w:p>
        </w:tc>
        <w:tc>
          <w:tcPr>
            <w:tcW w:w="1530" w:type="dxa"/>
            <w:tcBorders>
              <w:top w:val="single" w:sz="12" w:space="0" w:color="auto"/>
              <w:bottom w:val="single" w:sz="12" w:space="0" w:color="auto"/>
            </w:tcBorders>
            <w:shd w:val="clear" w:color="auto" w:fill="BFBFBF" w:themeFill="background1" w:themeFillShade="BF"/>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30</w:t>
            </w:r>
          </w:p>
        </w:tc>
        <w:tc>
          <w:tcPr>
            <w:tcW w:w="1530" w:type="dxa"/>
            <w:tcBorders>
              <w:top w:val="single" w:sz="12" w:space="0" w:color="auto"/>
              <w:bottom w:val="single" w:sz="12" w:space="0" w:color="auto"/>
            </w:tcBorders>
            <w:shd w:val="clear" w:color="auto" w:fill="BFBFBF" w:themeFill="background1" w:themeFillShade="BF"/>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30</w:t>
            </w:r>
          </w:p>
        </w:tc>
        <w:tc>
          <w:tcPr>
            <w:tcW w:w="1530" w:type="dxa"/>
            <w:tcBorders>
              <w:top w:val="single" w:sz="12" w:space="0" w:color="auto"/>
              <w:bottom w:val="single" w:sz="12" w:space="0" w:color="auto"/>
            </w:tcBorders>
            <w:shd w:val="clear" w:color="auto" w:fill="BFBFBF" w:themeFill="background1" w:themeFillShade="BF"/>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30</w:t>
            </w:r>
          </w:p>
        </w:tc>
        <w:tc>
          <w:tcPr>
            <w:tcW w:w="1530" w:type="dxa"/>
            <w:tcBorders>
              <w:top w:val="single" w:sz="12" w:space="0" w:color="auto"/>
              <w:bottom w:val="single" w:sz="12" w:space="0" w:color="auto"/>
            </w:tcBorders>
            <w:shd w:val="clear" w:color="auto" w:fill="BFBFBF" w:themeFill="background1" w:themeFillShade="BF"/>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30</w:t>
            </w:r>
          </w:p>
        </w:tc>
        <w:tc>
          <w:tcPr>
            <w:tcW w:w="715" w:type="dxa"/>
            <w:tcBorders>
              <w:top w:val="single" w:sz="12" w:space="0" w:color="auto"/>
              <w:bottom w:val="single" w:sz="12" w:space="0" w:color="auto"/>
            </w:tcBorders>
            <w:shd w:val="clear" w:color="auto" w:fill="BFBFBF" w:themeFill="background1" w:themeFillShade="BF"/>
            <w:vAlign w:val="center"/>
          </w:tcPr>
          <w:p w:rsidR="008D34B2" w:rsidRPr="00CD1409" w:rsidRDefault="008D34B2" w:rsidP="00CD1409">
            <w:pPr>
              <w:jc w:val="center"/>
              <w:rPr>
                <w:rFonts w:asciiTheme="minorHAnsi" w:hAnsiTheme="minorHAnsi"/>
                <w:b/>
                <w:sz w:val="20"/>
                <w:szCs w:val="20"/>
              </w:rPr>
            </w:pPr>
            <w:r w:rsidRPr="00CD1409">
              <w:rPr>
                <w:rFonts w:asciiTheme="minorHAnsi" w:hAnsiTheme="minorHAnsi"/>
                <w:b/>
                <w:sz w:val="20"/>
                <w:szCs w:val="20"/>
              </w:rPr>
              <w:t>120</w:t>
            </w:r>
          </w:p>
        </w:tc>
      </w:tr>
    </w:tbl>
    <w:p w:rsidR="00937383" w:rsidRDefault="00937383" w:rsidP="00937383">
      <w:pPr>
        <w:pStyle w:val="Normal1"/>
        <w:spacing w:line="276" w:lineRule="auto"/>
      </w:pPr>
    </w:p>
    <w:p w:rsidR="00937383" w:rsidRDefault="00937383" w:rsidP="00937383">
      <w:pPr>
        <w:pStyle w:val="Normal1"/>
        <w:spacing w:line="276" w:lineRule="auto"/>
      </w:pPr>
    </w:p>
    <w:p w:rsidR="00792029" w:rsidRDefault="005C226C" w:rsidP="00792029">
      <w:r>
        <w:t>T</w:t>
      </w:r>
      <w:r w:rsidRPr="00B43DB4">
        <w:t>he distribution of KPI respondents will vary somewhat from place to place based on local particularities</w:t>
      </w:r>
      <w:r>
        <w:t>, but w</w:t>
      </w:r>
      <w:r w:rsidRPr="00B43DB4">
        <w:t>e will strive for a reasonable balance of different types of respondents in ea</w:t>
      </w:r>
      <w:r>
        <w:t xml:space="preserve">ch of the </w:t>
      </w:r>
      <w:r>
        <w:lastRenderedPageBreak/>
        <w:t xml:space="preserve">relevant categories. </w:t>
      </w:r>
      <w:r w:rsidR="00792029">
        <w:t xml:space="preserve">This is a qualitative research study and is not designed to make comparisons between groups or to make generalizations. We intend </w:t>
      </w:r>
      <w:r w:rsidR="00311E64">
        <w:t xml:space="preserve">to use a standard qualitative </w:t>
      </w:r>
      <w:r w:rsidR="00792029">
        <w:t xml:space="preserve">sampling methodology that ensures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 </w:t>
      </w:r>
    </w:p>
    <w:p w:rsidR="005342FB" w:rsidRDefault="005342FB" w:rsidP="005342FB">
      <w:pPr>
        <w:pStyle w:val="Heading1"/>
      </w:pPr>
      <w:bookmarkStart w:id="2" w:name="_Toc445107012"/>
      <w:r>
        <w:t>Procedures for the Collection of Information</w:t>
      </w:r>
      <w:bookmarkEnd w:id="2"/>
    </w:p>
    <w:p w:rsidR="005342FB" w:rsidRDefault="005342FB" w:rsidP="005342FB"/>
    <w:p w:rsidR="007B4308" w:rsidRDefault="007B4308" w:rsidP="007B4308">
      <w:r>
        <w:t>We will work with local health department staff to identify initial key participants and finalize plans for contacting potential respondents (</w:t>
      </w:r>
      <w:r w:rsidRPr="007B4308">
        <w:rPr>
          <w:b/>
        </w:rPr>
        <w:t>Attachment 1</w:t>
      </w:r>
      <w:r>
        <w:t xml:space="preserve">). </w:t>
      </w:r>
      <w:r>
        <w:rPr>
          <w:color w:val="000000" w:themeColor="text1"/>
        </w:rPr>
        <w:t>For all potential KPI respondents, if a telephone number is available, r</w:t>
      </w:r>
      <w:r w:rsidR="005F079D">
        <w:rPr>
          <w:color w:val="000000" w:themeColor="text1"/>
        </w:rPr>
        <w:t>ecruiter</w:t>
      </w:r>
      <w:r>
        <w:rPr>
          <w:color w:val="000000" w:themeColor="text1"/>
        </w:rPr>
        <w:t xml:space="preserve">s will first attempt to contact them by telephone to determine if they are eligible and to invite them to participate in the study. If we are unable to reach the potential respondent or we do not have a telephone contact number, we will contact the respondent by email or regular mail, stating that they have been identified as a potential participant. </w:t>
      </w:r>
    </w:p>
    <w:p w:rsidR="0014326C" w:rsidRDefault="0014326C" w:rsidP="005342FB"/>
    <w:p w:rsidR="007B4308" w:rsidRDefault="005F079D" w:rsidP="007B4308">
      <w:r>
        <w:t xml:space="preserve">We will send interested participants a follow-up email that includes information about the study. </w:t>
      </w:r>
      <w:r w:rsidR="007B4308">
        <w:t>Participants who choose to enroll in the study will be scheduled for an in-depth interview at a time and location that is convenient to them.</w:t>
      </w:r>
      <w:r>
        <w:t xml:space="preserve"> </w:t>
      </w:r>
      <w:r w:rsidR="00720E62">
        <w:t>We will confirm that participants are at least 18 years old during recruitment, but b</w:t>
      </w:r>
      <w:r>
        <w:t>ecause participants will be selected from a pre-determined list, no additional screening will be required.</w:t>
      </w:r>
      <w:r w:rsidR="007B4308">
        <w:t xml:space="preserve"> At the time of the interview, staff will </w:t>
      </w:r>
      <w:r>
        <w:t xml:space="preserve">review the study procedures, after which </w:t>
      </w:r>
      <w:r w:rsidR="007B4308">
        <w:t>participants will complete the informed consent</w:t>
      </w:r>
      <w:r>
        <w:t xml:space="preserve"> and will receive a copy of the consent for their records</w:t>
      </w:r>
      <w:r w:rsidR="007B4308">
        <w:t xml:space="preserve"> (</w:t>
      </w:r>
      <w:r w:rsidR="007B4308" w:rsidRPr="000E1128">
        <w:rPr>
          <w:b/>
        </w:rPr>
        <w:t>Attachment 2</w:t>
      </w:r>
      <w:r>
        <w:t xml:space="preserve">). </w:t>
      </w:r>
    </w:p>
    <w:p w:rsidR="007B4308" w:rsidRDefault="007B4308" w:rsidP="00720E62"/>
    <w:p w:rsidR="007B4308" w:rsidRDefault="007B4308" w:rsidP="00720E62">
      <w:r>
        <w:t>We will use qualitative, in-depth interviews</w:t>
      </w:r>
      <w:r w:rsidR="005F079D">
        <w:t xml:space="preserve"> </w:t>
      </w:r>
      <w:r w:rsidR="00720E62">
        <w:t>lasting one hour, on average,</w:t>
      </w:r>
      <w:r>
        <w:t xml:space="preserve"> to collect information for this study (</w:t>
      </w:r>
      <w:r w:rsidRPr="000E1128">
        <w:rPr>
          <w:b/>
        </w:rPr>
        <w:t>Attachments 3a-b</w:t>
      </w:r>
      <w:r>
        <w:t>).</w:t>
      </w:r>
      <w:r w:rsidR="005F079D">
        <w:t xml:space="preserve"> Interviews will be conducted in a private setting (e.g., participant’</w:t>
      </w:r>
      <w:r w:rsidR="00720E62">
        <w:t>s office)</w:t>
      </w:r>
      <w:r w:rsidR="004F75AD">
        <w:t xml:space="preserve"> by trained interviewers</w:t>
      </w:r>
      <w:r w:rsidR="00720E62">
        <w:t>. W</w:t>
      </w:r>
      <w:r w:rsidR="005F079D" w:rsidRPr="003F5C65">
        <w:t>ith the respondent’s permission, interviewers will digita</w:t>
      </w:r>
      <w:r w:rsidR="005F079D">
        <w:t>l</w:t>
      </w:r>
      <w:r w:rsidR="005F079D" w:rsidRPr="003F5C65">
        <w:t>l</w:t>
      </w:r>
      <w:r w:rsidR="005F079D">
        <w:t>y</w:t>
      </w:r>
      <w:r w:rsidR="005F079D" w:rsidRPr="003F5C65">
        <w:t xml:space="preserve"> a</w:t>
      </w:r>
      <w:r w:rsidR="00720E62">
        <w:t xml:space="preserve">udio record each KPI interview and will remind participants not to use their full names or other identifying information. </w:t>
      </w:r>
      <w:r>
        <w:t xml:space="preserve">Interviews will include a short, structured response section to collect participants’ demographic information and to assess their experience in HIV prevention or MSM outreach within the community. The key-participant interviews will primarily include open-ended questions designed to elicit information on HIV prevention, care and treatment among MSM in the jurisdiction and to address special topics relevant to the local context of each jurisdiction. </w:t>
      </w:r>
      <w:r w:rsidR="005F079D" w:rsidRPr="003F5C65">
        <w:t>Because all KPI respon</w:t>
      </w:r>
      <w:r w:rsidR="005F079D">
        <w:t>dents will be selected based on</w:t>
      </w:r>
      <w:r w:rsidR="005F079D" w:rsidRPr="003F5C65">
        <w:t xml:space="preserve"> their prominent roles in HIV prevention, care, and treatment with MSM in each city</w:t>
      </w:r>
      <w:r w:rsidR="005F079D">
        <w:t xml:space="preserve"> or in MSM community advocacy roles</w:t>
      </w:r>
      <w:r w:rsidR="005F079D" w:rsidRPr="009542B9">
        <w:t>, the open-ended format of all these questions will allow the responde</w:t>
      </w:r>
      <w:r w:rsidR="005F079D" w:rsidRPr="003F5C65">
        <w:t>nts to explain their views and describe their knowledge of the current situation in the city.</w:t>
      </w:r>
    </w:p>
    <w:p w:rsidR="00720E62" w:rsidRDefault="00720E62" w:rsidP="00720E62"/>
    <w:p w:rsidR="00720E62" w:rsidRDefault="00720E62" w:rsidP="00720E62">
      <w:pPr>
        <w:autoSpaceDE w:val="0"/>
        <w:autoSpaceDN w:val="0"/>
        <w:adjustRightInd w:val="0"/>
      </w:pPr>
      <w:r>
        <w:t xml:space="preserve">Contact information collected for the study will be stored on paper form only, only for the purpose of scheduling interviews, will be stored in locked cabinets, and will be destroyed after the recruitment period. </w:t>
      </w:r>
      <w:r w:rsidRPr="003F5C65">
        <w:t xml:space="preserve">All audio files will be stored on the recorders; transcription will be done </w:t>
      </w:r>
      <w:r>
        <w:t>in house</w:t>
      </w:r>
      <w:r w:rsidRPr="003F5C65">
        <w:t xml:space="preserve"> by listening to the recording device and transcribing to stand-alone computers that are not networked, taking care to remove any accidental </w:t>
      </w:r>
      <w:r w:rsidR="00E769A2">
        <w:t>personal identifying information (</w:t>
      </w:r>
      <w:r w:rsidRPr="003F5C65">
        <w:t>PII</w:t>
      </w:r>
      <w:r w:rsidR="00E769A2">
        <w:t>)</w:t>
      </w:r>
      <w:r w:rsidRPr="003F5C65">
        <w:t xml:space="preserve"> happening during the transcription process. Each KPI will be transcribed into an encrypted MS Word document. Transcripts </w:t>
      </w:r>
      <w:r w:rsidR="00E769A2">
        <w:t xml:space="preserve">will be coded and analyzed used the </w:t>
      </w:r>
      <w:proofErr w:type="spellStart"/>
      <w:r w:rsidR="00E769A2">
        <w:t>NVivo</w:t>
      </w:r>
      <w:proofErr w:type="spellEnd"/>
      <w:r w:rsidR="00E769A2">
        <w:t xml:space="preserve"> qualitative data analysis software program. </w:t>
      </w:r>
      <w:r w:rsidR="0016459B">
        <w:t xml:space="preserve">Information from the structured response questions will be analyzed using the Microsoft Excel and SPSS software programs. </w:t>
      </w:r>
      <w:r w:rsidR="00E769A2">
        <w:t>Individual transcripts</w:t>
      </w:r>
      <w:r w:rsidR="0016459B">
        <w:t>,</w:t>
      </w:r>
      <w:r w:rsidR="00E769A2">
        <w:t xml:space="preserve"> </w:t>
      </w:r>
      <w:proofErr w:type="spellStart"/>
      <w:r w:rsidRPr="003F5C65">
        <w:t>NVivo</w:t>
      </w:r>
      <w:proofErr w:type="spellEnd"/>
      <w:r w:rsidR="00E557C3">
        <w:t xml:space="preserve"> files</w:t>
      </w:r>
      <w:r w:rsidR="0016459B">
        <w:t>, and oth</w:t>
      </w:r>
      <w:r w:rsidR="00E557C3">
        <w:t>er structured response data fil</w:t>
      </w:r>
      <w:r w:rsidR="0016459B">
        <w:t>es</w:t>
      </w:r>
      <w:r w:rsidR="00AC1ACA">
        <w:t xml:space="preserve"> </w:t>
      </w:r>
      <w:r w:rsidRPr="003F5C65">
        <w:t xml:space="preserve">will be stored on and edited from a </w:t>
      </w:r>
      <w:r w:rsidRPr="003F5C65">
        <w:lastRenderedPageBreak/>
        <w:t>CDC</w:t>
      </w:r>
      <w:r>
        <w:t>-</w:t>
      </w:r>
      <w:r w:rsidRPr="003F5C65">
        <w:t xml:space="preserve">approved encrypted USB drive plugged into a standalone, non-networked </w:t>
      </w:r>
      <w:r>
        <w:t>computer without Internet access</w:t>
      </w:r>
      <w:r w:rsidRPr="003F5C65">
        <w:t>. Only project staff will have access to the records, study documents, and data.</w:t>
      </w:r>
    </w:p>
    <w:p w:rsidR="004F75AD" w:rsidRDefault="004F75AD" w:rsidP="00720E62">
      <w:pPr>
        <w:autoSpaceDE w:val="0"/>
        <w:autoSpaceDN w:val="0"/>
        <w:adjustRightInd w:val="0"/>
      </w:pPr>
    </w:p>
    <w:p w:rsidR="00720E62" w:rsidRDefault="00720E62" w:rsidP="00720E62">
      <w:pPr>
        <w:autoSpaceDE w:val="0"/>
        <w:autoSpaceDN w:val="0"/>
        <w:adjustRightInd w:val="0"/>
      </w:pPr>
    </w:p>
    <w:p w:rsidR="005342FB" w:rsidRDefault="005342FB" w:rsidP="005342FB">
      <w:pPr>
        <w:pStyle w:val="Heading1"/>
      </w:pPr>
      <w:bookmarkStart w:id="3" w:name="_Toc445107013"/>
      <w:r>
        <w:t>Methods to Maximize Response Rates and Deal with No Response</w:t>
      </w:r>
      <w:bookmarkEnd w:id="3"/>
    </w:p>
    <w:p w:rsidR="005342FB" w:rsidRDefault="005342FB" w:rsidP="005342FB"/>
    <w:p w:rsidR="0014326C" w:rsidRDefault="0014326C" w:rsidP="0014326C">
      <w:pPr>
        <w:autoSpaceDE w:val="0"/>
        <w:autoSpaceDN w:val="0"/>
        <w:adjustRightInd w:val="0"/>
        <w:rPr>
          <w:bCs/>
        </w:rPr>
      </w:pPr>
      <w:r>
        <w:rPr>
          <w:bCs/>
        </w:rPr>
        <w:t>We will use the following procedures to maximize cooperation and to achieve the desired high response rate:</w:t>
      </w:r>
    </w:p>
    <w:p w:rsidR="0014326C" w:rsidRDefault="0014326C" w:rsidP="0014326C">
      <w:pPr>
        <w:autoSpaceDE w:val="0"/>
        <w:autoSpaceDN w:val="0"/>
        <w:adjustRightInd w:val="0"/>
        <w:rPr>
          <w:bCs/>
        </w:rPr>
      </w:pPr>
    </w:p>
    <w:p w:rsidR="004F75AD" w:rsidRDefault="004F75AD" w:rsidP="004F75AD">
      <w:pPr>
        <w:numPr>
          <w:ilvl w:val="0"/>
          <w:numId w:val="8"/>
        </w:numPr>
        <w:autoSpaceDE w:val="0"/>
        <w:autoSpaceDN w:val="0"/>
        <w:adjustRightInd w:val="0"/>
        <w:jc w:val="both"/>
        <w:rPr>
          <w:bCs/>
        </w:rPr>
      </w:pPr>
      <w:bookmarkStart w:id="4" w:name="_Toc445107014"/>
      <w:r>
        <w:rPr>
          <w:bCs/>
        </w:rPr>
        <w:t xml:space="preserve">Key participants will be identified through past and existing partnerships with health departments in each of the jurisdictions. </w:t>
      </w:r>
    </w:p>
    <w:p w:rsidR="004F75AD" w:rsidRDefault="004F75AD" w:rsidP="004F75AD">
      <w:pPr>
        <w:numPr>
          <w:ilvl w:val="0"/>
          <w:numId w:val="8"/>
        </w:numPr>
        <w:autoSpaceDE w:val="0"/>
        <w:autoSpaceDN w:val="0"/>
        <w:adjustRightInd w:val="0"/>
        <w:jc w:val="both"/>
        <w:rPr>
          <w:bCs/>
        </w:rPr>
      </w:pPr>
      <w:r>
        <w:rPr>
          <w:bCs/>
        </w:rPr>
        <w:t xml:space="preserve">A token of appreciation of $40, in the form of cash, will be provided to key participants upon completion of the interview. </w:t>
      </w:r>
    </w:p>
    <w:p w:rsidR="004F75AD" w:rsidRDefault="004F75AD" w:rsidP="004F75AD">
      <w:pPr>
        <w:numPr>
          <w:ilvl w:val="0"/>
          <w:numId w:val="8"/>
        </w:numPr>
        <w:autoSpaceDE w:val="0"/>
        <w:autoSpaceDN w:val="0"/>
        <w:adjustRightInd w:val="0"/>
        <w:jc w:val="both"/>
        <w:rPr>
          <w:b/>
          <w:bCs/>
        </w:rPr>
      </w:pPr>
      <w:r>
        <w:rPr>
          <w:bCs/>
        </w:rPr>
        <w:t xml:space="preserve">All recruitment materials indicate the voluntary nature of the study and high participation is due in part to interest in the study and participation from key participants. </w:t>
      </w:r>
    </w:p>
    <w:p w:rsidR="005342FB" w:rsidRDefault="005342FB" w:rsidP="005342FB">
      <w:pPr>
        <w:pStyle w:val="Heading1"/>
      </w:pPr>
      <w:r>
        <w:t>Tests of Procedures or Methods to be Undertaken</w:t>
      </w:r>
      <w:bookmarkEnd w:id="4"/>
    </w:p>
    <w:p w:rsidR="008A18E1" w:rsidRDefault="008A18E1" w:rsidP="005342FB"/>
    <w:p w:rsidR="004F75AD" w:rsidRDefault="004F75AD" w:rsidP="004F75AD">
      <w:pPr>
        <w:autoSpaceDE w:val="0"/>
        <w:autoSpaceDN w:val="0"/>
        <w:adjustRightInd w:val="0"/>
        <w:jc w:val="both"/>
      </w:pPr>
      <w:bookmarkStart w:id="5" w:name="_Toc445107015"/>
      <w:r>
        <w:t xml:space="preserve">Our </w:t>
      </w:r>
      <w:r w:rsidR="00C24CB1">
        <w:t xml:space="preserve">research </w:t>
      </w:r>
      <w:r>
        <w:t xml:space="preserve">team includes experts with </w:t>
      </w:r>
      <w:r w:rsidR="00C24CB1">
        <w:t>experience conducting HIV research with</w:t>
      </w:r>
      <w:r>
        <w:t xml:space="preserve"> health departments, CBOs, MSM populations and qualitative research, including screening and interview development and testing. The contracting team will conduct pretesting of the screening tool and interviews on three to five mock respondents to assess question wording, skip patterns, question sensitivity, and overall flow of the interview</w:t>
      </w:r>
      <w:r w:rsidR="00DE77DD">
        <w:t xml:space="preserve"> and t</w:t>
      </w:r>
      <w:r w:rsidRPr="004F75AD">
        <w:t>o estimate respo</w:t>
      </w:r>
      <w:r w:rsidR="00DE77DD">
        <w:t>nse burden for each respondent</w:t>
      </w:r>
      <w:r w:rsidRPr="004F75AD">
        <w:t xml:space="preserve">. </w:t>
      </w:r>
      <w:r w:rsidR="00C24CB1">
        <w:t>Non-CDC members of the research team will be responsible for recruiting respondents and collecting the KPI data in the four cities, as well as for generating transcripts that contain no PII.</w:t>
      </w:r>
      <w:r w:rsidRPr="004F75AD">
        <w:t xml:space="preserve"> </w:t>
      </w:r>
    </w:p>
    <w:p w:rsidR="005342FB" w:rsidRDefault="005342FB" w:rsidP="005342FB">
      <w:pPr>
        <w:pStyle w:val="Heading1"/>
      </w:pPr>
      <w:r>
        <w:t>Individuals Consulted on Statistical Aspects and Individuals Collecting and/or Analyzing Data</w:t>
      </w:r>
      <w:bookmarkEnd w:id="5"/>
    </w:p>
    <w:p w:rsidR="008A18E1" w:rsidRDefault="008A18E1" w:rsidP="005342FB"/>
    <w:p w:rsidR="005342FB" w:rsidRDefault="008A18E1" w:rsidP="005342FB">
      <w:r w:rsidRPr="008A18E1">
        <w:t xml:space="preserve">Exhibit </w:t>
      </w:r>
      <w:r w:rsidR="00FF1B1C">
        <w:t>5.1</w:t>
      </w:r>
      <w:r>
        <w:t xml:space="preserve"> </w:t>
      </w:r>
      <w:r w:rsidRPr="008A18E1">
        <w:t xml:space="preserve">below lists the project team members who were consulted on the aspects of research design and those who will be collecting and analyzing the data. Please note: The CDC </w:t>
      </w:r>
      <w:r>
        <w:t>staff</w:t>
      </w:r>
      <w:r w:rsidRPr="008A18E1">
        <w:t xml:space="preserve">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The </w:t>
      </w:r>
      <w:r w:rsidR="00C24CB1">
        <w:t xml:space="preserve">CDC </w:t>
      </w:r>
      <w:r>
        <w:t>staff</w:t>
      </w:r>
      <w:r w:rsidRPr="008A18E1">
        <w:t xml:space="preserve"> will neither collect data from nor interact with research participants. Data will be collected by members of contractor project staff listed. No individual identifiers will be linkable to collected data, and no individually identifiable private information will be shared with or accessible by CDC staff. </w:t>
      </w:r>
      <w:r w:rsidR="00C24CB1">
        <w:t>All members of the research team will work together to analyze the data and generate reports containing summaries of the findings.</w:t>
      </w:r>
    </w:p>
    <w:p w:rsidR="007F29CE" w:rsidRDefault="007F29CE" w:rsidP="005342FB"/>
    <w:p w:rsidR="008A18E1" w:rsidRDefault="007F29CE" w:rsidP="007F29CE">
      <w:pPr>
        <w:pStyle w:val="Caption"/>
      </w:pPr>
      <w:bookmarkStart w:id="6" w:name="_Toc450750946"/>
      <w:r>
        <w:t xml:space="preserve">Exhibit </w:t>
      </w:r>
      <w:r w:rsidR="00557F5B">
        <w:fldChar w:fldCharType="begin"/>
      </w:r>
      <w:r w:rsidR="00557F5B">
        <w:instrText xml:space="preserve"> STYLEREF 1 \s </w:instrText>
      </w:r>
      <w:r w:rsidR="00557F5B">
        <w:fldChar w:fldCharType="separate"/>
      </w:r>
      <w:r w:rsidR="008B2F17">
        <w:rPr>
          <w:noProof/>
        </w:rPr>
        <w:t>5</w:t>
      </w:r>
      <w:r w:rsidR="00557F5B">
        <w:rPr>
          <w:noProof/>
        </w:rPr>
        <w:fldChar w:fldCharType="end"/>
      </w:r>
      <w:r>
        <w:t>.</w:t>
      </w:r>
      <w:r w:rsidR="00557F5B">
        <w:fldChar w:fldCharType="begin"/>
      </w:r>
      <w:r w:rsidR="00557F5B">
        <w:instrText xml:space="preserve"> SEQ Exhibit \* ARABIC \s 1 </w:instrText>
      </w:r>
      <w:r w:rsidR="00557F5B">
        <w:fldChar w:fldCharType="separate"/>
      </w:r>
      <w:r w:rsidR="008B2F17">
        <w:rPr>
          <w:noProof/>
        </w:rPr>
        <w:t>1</w:t>
      </w:r>
      <w:r w:rsidR="00557F5B">
        <w:rPr>
          <w:noProof/>
        </w:rPr>
        <w:fldChar w:fldCharType="end"/>
      </w:r>
      <w:r>
        <w:t>: Statistical Consultants</w:t>
      </w:r>
      <w:bookmarkEnd w:id="6"/>
    </w:p>
    <w:tbl>
      <w:tblPr>
        <w:tblStyle w:val="TableGrid"/>
        <w:tblW w:w="0" w:type="auto"/>
        <w:tblLook w:val="04A0" w:firstRow="1" w:lastRow="0" w:firstColumn="1" w:lastColumn="0" w:noHBand="0" w:noVBand="1"/>
      </w:tblPr>
      <w:tblGrid>
        <w:gridCol w:w="2031"/>
        <w:gridCol w:w="2379"/>
        <w:gridCol w:w="1768"/>
        <w:gridCol w:w="3892"/>
      </w:tblGrid>
      <w:tr w:rsidR="008A18E1" w:rsidRPr="00557F5B" w:rsidTr="00DE77DD">
        <w:tc>
          <w:tcPr>
            <w:tcW w:w="2138" w:type="dxa"/>
            <w:shd w:val="clear" w:color="auto" w:fill="C2D69B" w:themeFill="accent3" w:themeFillTint="99"/>
          </w:tcPr>
          <w:p w:rsidR="008A18E1" w:rsidRPr="00557F5B" w:rsidRDefault="008A18E1" w:rsidP="005342FB">
            <w:pPr>
              <w:rPr>
                <w:rFonts w:asciiTheme="minorHAnsi" w:hAnsiTheme="minorHAnsi"/>
                <w:b/>
                <w:sz w:val="22"/>
                <w:szCs w:val="22"/>
              </w:rPr>
            </w:pPr>
            <w:bookmarkStart w:id="7" w:name="_GoBack"/>
            <w:r w:rsidRPr="00557F5B">
              <w:rPr>
                <w:rFonts w:asciiTheme="minorHAnsi" w:hAnsiTheme="minorHAnsi"/>
                <w:b/>
                <w:sz w:val="22"/>
                <w:szCs w:val="22"/>
              </w:rPr>
              <w:t>Team Member</w:t>
            </w:r>
          </w:p>
        </w:tc>
        <w:tc>
          <w:tcPr>
            <w:tcW w:w="2494" w:type="dxa"/>
            <w:shd w:val="clear" w:color="auto" w:fill="C2D69B" w:themeFill="accent3" w:themeFillTint="99"/>
          </w:tcPr>
          <w:p w:rsidR="008A18E1" w:rsidRPr="00557F5B" w:rsidRDefault="008A18E1" w:rsidP="005342FB">
            <w:pPr>
              <w:rPr>
                <w:rFonts w:asciiTheme="minorHAnsi" w:hAnsiTheme="minorHAnsi"/>
                <w:b/>
                <w:sz w:val="22"/>
                <w:szCs w:val="22"/>
              </w:rPr>
            </w:pPr>
            <w:r w:rsidRPr="00557F5B">
              <w:rPr>
                <w:rFonts w:asciiTheme="minorHAnsi" w:hAnsiTheme="minorHAnsi"/>
                <w:b/>
                <w:sz w:val="22"/>
                <w:szCs w:val="22"/>
              </w:rPr>
              <w:t>Organization</w:t>
            </w:r>
          </w:p>
        </w:tc>
        <w:tc>
          <w:tcPr>
            <w:tcW w:w="1880" w:type="dxa"/>
            <w:shd w:val="clear" w:color="auto" w:fill="C2D69B" w:themeFill="accent3" w:themeFillTint="99"/>
          </w:tcPr>
          <w:p w:rsidR="008A18E1" w:rsidRPr="00557F5B" w:rsidRDefault="008A18E1" w:rsidP="005342FB">
            <w:pPr>
              <w:rPr>
                <w:rFonts w:asciiTheme="minorHAnsi" w:hAnsiTheme="minorHAnsi"/>
                <w:b/>
                <w:sz w:val="22"/>
                <w:szCs w:val="22"/>
              </w:rPr>
            </w:pPr>
            <w:r w:rsidRPr="00557F5B">
              <w:rPr>
                <w:rFonts w:asciiTheme="minorHAnsi" w:hAnsiTheme="minorHAnsi"/>
                <w:b/>
                <w:sz w:val="22"/>
                <w:szCs w:val="22"/>
              </w:rPr>
              <w:t>Phone</w:t>
            </w:r>
          </w:p>
        </w:tc>
        <w:tc>
          <w:tcPr>
            <w:tcW w:w="3558" w:type="dxa"/>
            <w:shd w:val="clear" w:color="auto" w:fill="C2D69B" w:themeFill="accent3" w:themeFillTint="99"/>
          </w:tcPr>
          <w:p w:rsidR="008A18E1" w:rsidRPr="00557F5B" w:rsidRDefault="008A18E1" w:rsidP="005342FB">
            <w:pPr>
              <w:rPr>
                <w:rFonts w:asciiTheme="minorHAnsi" w:hAnsiTheme="minorHAnsi"/>
                <w:b/>
                <w:sz w:val="22"/>
                <w:szCs w:val="22"/>
              </w:rPr>
            </w:pPr>
            <w:r w:rsidRPr="00557F5B">
              <w:rPr>
                <w:rFonts w:asciiTheme="minorHAnsi" w:hAnsiTheme="minorHAnsi"/>
                <w:b/>
                <w:sz w:val="22"/>
                <w:szCs w:val="22"/>
              </w:rPr>
              <w:t>Email</w:t>
            </w:r>
          </w:p>
        </w:tc>
      </w:tr>
      <w:tr w:rsidR="008A18E1" w:rsidRPr="00557F5B" w:rsidTr="00DE77DD">
        <w:tc>
          <w:tcPr>
            <w:tcW w:w="2138" w:type="dxa"/>
          </w:tcPr>
          <w:p w:rsidR="008A18E1" w:rsidRPr="00557F5B" w:rsidRDefault="00527188" w:rsidP="005342FB">
            <w:pPr>
              <w:rPr>
                <w:rFonts w:asciiTheme="minorHAnsi" w:hAnsiTheme="minorHAnsi"/>
                <w:sz w:val="22"/>
                <w:szCs w:val="22"/>
              </w:rPr>
            </w:pPr>
            <w:r w:rsidRPr="00557F5B">
              <w:rPr>
                <w:rFonts w:asciiTheme="minorHAnsi" w:hAnsiTheme="minorHAnsi"/>
                <w:sz w:val="22"/>
                <w:szCs w:val="22"/>
              </w:rPr>
              <w:t>James Carey</w:t>
            </w:r>
          </w:p>
        </w:tc>
        <w:tc>
          <w:tcPr>
            <w:tcW w:w="2494" w:type="dxa"/>
          </w:tcPr>
          <w:p w:rsidR="008A18E1" w:rsidRPr="00557F5B" w:rsidRDefault="008A18E1" w:rsidP="005342FB">
            <w:pPr>
              <w:rPr>
                <w:rFonts w:asciiTheme="minorHAnsi" w:hAnsiTheme="minorHAnsi"/>
                <w:sz w:val="22"/>
                <w:szCs w:val="22"/>
              </w:rPr>
            </w:pPr>
            <w:r w:rsidRPr="00557F5B">
              <w:rPr>
                <w:rFonts w:asciiTheme="minorHAnsi" w:hAnsiTheme="minorHAnsi"/>
                <w:sz w:val="22"/>
                <w:szCs w:val="22"/>
              </w:rPr>
              <w:t>CDC</w:t>
            </w:r>
          </w:p>
        </w:tc>
        <w:tc>
          <w:tcPr>
            <w:tcW w:w="1880" w:type="dxa"/>
          </w:tcPr>
          <w:p w:rsidR="008A18E1" w:rsidRPr="00557F5B" w:rsidRDefault="00527188" w:rsidP="005342FB">
            <w:pPr>
              <w:rPr>
                <w:rFonts w:asciiTheme="minorHAnsi" w:hAnsiTheme="minorHAnsi"/>
                <w:sz w:val="22"/>
                <w:szCs w:val="22"/>
              </w:rPr>
            </w:pPr>
            <w:r w:rsidRPr="00557F5B">
              <w:rPr>
                <w:rFonts w:asciiTheme="minorHAnsi" w:hAnsiTheme="minorHAnsi"/>
                <w:sz w:val="22"/>
                <w:szCs w:val="22"/>
              </w:rPr>
              <w:t>404-639-1903</w:t>
            </w:r>
          </w:p>
        </w:tc>
        <w:tc>
          <w:tcPr>
            <w:tcW w:w="3558" w:type="dxa"/>
          </w:tcPr>
          <w:p w:rsidR="008A18E1" w:rsidRPr="00557F5B" w:rsidRDefault="00527188" w:rsidP="005342FB">
            <w:pPr>
              <w:rPr>
                <w:rFonts w:asciiTheme="minorHAnsi" w:hAnsiTheme="minorHAnsi"/>
                <w:sz w:val="22"/>
                <w:szCs w:val="22"/>
              </w:rPr>
            </w:pPr>
            <w:r w:rsidRPr="00557F5B">
              <w:rPr>
                <w:rFonts w:asciiTheme="minorHAnsi" w:hAnsiTheme="minorHAnsi"/>
                <w:sz w:val="22"/>
                <w:szCs w:val="22"/>
              </w:rPr>
              <w:t>Jfc9@cdc.gov</w:t>
            </w:r>
          </w:p>
        </w:tc>
      </w:tr>
      <w:tr w:rsidR="008A18E1" w:rsidRPr="00557F5B" w:rsidTr="00DE77DD">
        <w:tc>
          <w:tcPr>
            <w:tcW w:w="2138" w:type="dxa"/>
          </w:tcPr>
          <w:p w:rsidR="008A18E1" w:rsidRPr="00557F5B" w:rsidRDefault="008A18E1" w:rsidP="005342FB">
            <w:pPr>
              <w:rPr>
                <w:rFonts w:asciiTheme="minorHAnsi" w:hAnsiTheme="minorHAnsi"/>
                <w:sz w:val="22"/>
                <w:szCs w:val="22"/>
              </w:rPr>
            </w:pPr>
            <w:r w:rsidRPr="00557F5B">
              <w:rPr>
                <w:rFonts w:asciiTheme="minorHAnsi" w:hAnsiTheme="minorHAnsi"/>
                <w:sz w:val="22"/>
                <w:szCs w:val="22"/>
              </w:rPr>
              <w:t>Brittney Baack</w:t>
            </w:r>
          </w:p>
        </w:tc>
        <w:tc>
          <w:tcPr>
            <w:tcW w:w="2494" w:type="dxa"/>
          </w:tcPr>
          <w:p w:rsidR="008A18E1" w:rsidRPr="00557F5B" w:rsidRDefault="008A18E1" w:rsidP="005342FB">
            <w:pPr>
              <w:rPr>
                <w:rFonts w:asciiTheme="minorHAnsi" w:hAnsiTheme="minorHAnsi"/>
                <w:sz w:val="22"/>
                <w:szCs w:val="22"/>
              </w:rPr>
            </w:pPr>
            <w:r w:rsidRPr="00557F5B">
              <w:rPr>
                <w:rFonts w:asciiTheme="minorHAnsi" w:hAnsiTheme="minorHAnsi"/>
                <w:sz w:val="22"/>
                <w:szCs w:val="22"/>
              </w:rPr>
              <w:t>CDC</w:t>
            </w:r>
          </w:p>
        </w:tc>
        <w:tc>
          <w:tcPr>
            <w:tcW w:w="1880" w:type="dxa"/>
          </w:tcPr>
          <w:p w:rsidR="008A18E1" w:rsidRPr="00557F5B" w:rsidRDefault="00D025A5" w:rsidP="005342FB">
            <w:pPr>
              <w:rPr>
                <w:rFonts w:asciiTheme="minorHAnsi" w:hAnsiTheme="minorHAnsi"/>
                <w:sz w:val="22"/>
                <w:szCs w:val="22"/>
              </w:rPr>
            </w:pPr>
            <w:r w:rsidRPr="00557F5B">
              <w:rPr>
                <w:rFonts w:asciiTheme="minorHAnsi" w:hAnsiTheme="minorHAnsi"/>
                <w:sz w:val="22"/>
                <w:szCs w:val="22"/>
              </w:rPr>
              <w:t>404-639-6297</w:t>
            </w:r>
          </w:p>
        </w:tc>
        <w:tc>
          <w:tcPr>
            <w:tcW w:w="3558" w:type="dxa"/>
          </w:tcPr>
          <w:p w:rsidR="008A18E1" w:rsidRPr="00557F5B" w:rsidRDefault="00D025A5" w:rsidP="005342FB">
            <w:pPr>
              <w:rPr>
                <w:rFonts w:asciiTheme="minorHAnsi" w:hAnsiTheme="minorHAnsi"/>
                <w:sz w:val="22"/>
                <w:szCs w:val="22"/>
              </w:rPr>
            </w:pPr>
            <w:r w:rsidRPr="00557F5B">
              <w:rPr>
                <w:rFonts w:asciiTheme="minorHAnsi" w:hAnsiTheme="minorHAnsi"/>
                <w:sz w:val="22"/>
                <w:szCs w:val="22"/>
              </w:rPr>
              <w:t>jcx3@cdc.gov</w:t>
            </w:r>
          </w:p>
        </w:tc>
      </w:tr>
      <w:tr w:rsidR="008A18E1" w:rsidRPr="00557F5B" w:rsidTr="00DE77DD">
        <w:tc>
          <w:tcPr>
            <w:tcW w:w="2138" w:type="dxa"/>
          </w:tcPr>
          <w:p w:rsidR="008A18E1" w:rsidRPr="00557F5B" w:rsidRDefault="00527188" w:rsidP="005342FB">
            <w:pPr>
              <w:rPr>
                <w:rFonts w:asciiTheme="minorHAnsi" w:hAnsiTheme="minorHAnsi"/>
                <w:sz w:val="22"/>
                <w:szCs w:val="22"/>
              </w:rPr>
            </w:pPr>
            <w:r w:rsidRPr="00557F5B">
              <w:rPr>
                <w:rFonts w:asciiTheme="minorHAnsi" w:hAnsiTheme="minorHAnsi"/>
                <w:sz w:val="22"/>
                <w:szCs w:val="22"/>
              </w:rPr>
              <w:t>Aisha Wilkes</w:t>
            </w:r>
          </w:p>
        </w:tc>
        <w:tc>
          <w:tcPr>
            <w:tcW w:w="2494" w:type="dxa"/>
          </w:tcPr>
          <w:p w:rsidR="008A18E1" w:rsidRPr="00557F5B" w:rsidRDefault="00527188" w:rsidP="005342FB">
            <w:pPr>
              <w:rPr>
                <w:rFonts w:asciiTheme="minorHAnsi" w:hAnsiTheme="minorHAnsi"/>
                <w:sz w:val="22"/>
                <w:szCs w:val="22"/>
              </w:rPr>
            </w:pPr>
            <w:r w:rsidRPr="00557F5B">
              <w:rPr>
                <w:rFonts w:asciiTheme="minorHAnsi" w:hAnsiTheme="minorHAnsi"/>
                <w:sz w:val="22"/>
                <w:szCs w:val="22"/>
              </w:rPr>
              <w:t>CDC</w:t>
            </w:r>
          </w:p>
        </w:tc>
        <w:tc>
          <w:tcPr>
            <w:tcW w:w="1880" w:type="dxa"/>
          </w:tcPr>
          <w:p w:rsidR="008A18E1" w:rsidRPr="00557F5B" w:rsidRDefault="00527188" w:rsidP="005342FB">
            <w:pPr>
              <w:rPr>
                <w:rFonts w:asciiTheme="minorHAnsi" w:hAnsiTheme="minorHAnsi"/>
                <w:sz w:val="22"/>
                <w:szCs w:val="22"/>
              </w:rPr>
            </w:pPr>
            <w:r w:rsidRPr="00557F5B">
              <w:rPr>
                <w:rFonts w:asciiTheme="minorHAnsi" w:hAnsiTheme="minorHAnsi"/>
                <w:sz w:val="22"/>
                <w:szCs w:val="22"/>
              </w:rPr>
              <w:t>404-639-6473</w:t>
            </w:r>
          </w:p>
        </w:tc>
        <w:tc>
          <w:tcPr>
            <w:tcW w:w="3558" w:type="dxa"/>
          </w:tcPr>
          <w:p w:rsidR="008A18E1" w:rsidRPr="00557F5B" w:rsidRDefault="00527188" w:rsidP="005342FB">
            <w:pPr>
              <w:rPr>
                <w:rFonts w:asciiTheme="minorHAnsi" w:hAnsiTheme="minorHAnsi"/>
                <w:sz w:val="22"/>
                <w:szCs w:val="22"/>
              </w:rPr>
            </w:pPr>
            <w:r w:rsidRPr="00557F5B">
              <w:rPr>
                <w:rFonts w:asciiTheme="minorHAnsi" w:hAnsiTheme="minorHAnsi"/>
                <w:sz w:val="22"/>
                <w:szCs w:val="22"/>
              </w:rPr>
              <w:t>bki6@cdc.gov</w:t>
            </w:r>
          </w:p>
        </w:tc>
      </w:tr>
      <w:tr w:rsidR="00D025A5" w:rsidRPr="00557F5B" w:rsidTr="00DE77DD">
        <w:tc>
          <w:tcPr>
            <w:tcW w:w="2138" w:type="dxa"/>
          </w:tcPr>
          <w:p w:rsidR="00D025A5" w:rsidRPr="00557F5B" w:rsidRDefault="00D025A5" w:rsidP="005342FB">
            <w:pPr>
              <w:rPr>
                <w:rFonts w:asciiTheme="minorHAnsi" w:hAnsiTheme="minorHAnsi"/>
                <w:sz w:val="22"/>
                <w:szCs w:val="22"/>
              </w:rPr>
            </w:pPr>
            <w:r w:rsidRPr="00557F5B">
              <w:rPr>
                <w:rFonts w:asciiTheme="minorHAnsi" w:hAnsiTheme="minorHAnsi"/>
                <w:sz w:val="22"/>
                <w:szCs w:val="22"/>
              </w:rPr>
              <w:t xml:space="preserve">Patricia </w:t>
            </w:r>
            <w:proofErr w:type="spellStart"/>
            <w:r w:rsidRPr="00557F5B">
              <w:rPr>
                <w:rFonts w:asciiTheme="minorHAnsi" w:hAnsiTheme="minorHAnsi"/>
                <w:sz w:val="22"/>
                <w:szCs w:val="22"/>
              </w:rPr>
              <w:t>Bessler</w:t>
            </w:r>
            <w:proofErr w:type="spellEnd"/>
          </w:p>
        </w:tc>
        <w:tc>
          <w:tcPr>
            <w:tcW w:w="2494" w:type="dxa"/>
          </w:tcPr>
          <w:p w:rsidR="00D025A5" w:rsidRPr="00557F5B" w:rsidRDefault="00D025A5" w:rsidP="005342FB">
            <w:pPr>
              <w:rPr>
                <w:rFonts w:asciiTheme="minorHAnsi" w:hAnsiTheme="minorHAnsi"/>
                <w:sz w:val="22"/>
                <w:szCs w:val="22"/>
              </w:rPr>
            </w:pPr>
            <w:r w:rsidRPr="00557F5B">
              <w:rPr>
                <w:rFonts w:asciiTheme="minorHAnsi" w:hAnsiTheme="minorHAnsi"/>
                <w:sz w:val="22"/>
                <w:szCs w:val="22"/>
              </w:rPr>
              <w:t>CDC</w:t>
            </w:r>
          </w:p>
        </w:tc>
        <w:tc>
          <w:tcPr>
            <w:tcW w:w="1880" w:type="dxa"/>
          </w:tcPr>
          <w:p w:rsidR="00D025A5" w:rsidRPr="00557F5B" w:rsidRDefault="00D025A5" w:rsidP="005342FB">
            <w:pPr>
              <w:rPr>
                <w:rFonts w:asciiTheme="minorHAnsi" w:hAnsiTheme="minorHAnsi"/>
                <w:sz w:val="22"/>
                <w:szCs w:val="22"/>
              </w:rPr>
            </w:pPr>
            <w:r w:rsidRPr="00557F5B">
              <w:rPr>
                <w:rFonts w:asciiTheme="minorHAnsi" w:hAnsiTheme="minorHAnsi"/>
                <w:sz w:val="22"/>
                <w:szCs w:val="22"/>
              </w:rPr>
              <w:t>404-639-8239</w:t>
            </w:r>
          </w:p>
        </w:tc>
        <w:tc>
          <w:tcPr>
            <w:tcW w:w="3558" w:type="dxa"/>
          </w:tcPr>
          <w:p w:rsidR="00D025A5" w:rsidRPr="00557F5B" w:rsidRDefault="00D025A5" w:rsidP="005342FB">
            <w:pPr>
              <w:rPr>
                <w:rFonts w:asciiTheme="minorHAnsi" w:hAnsiTheme="minorHAnsi"/>
                <w:sz w:val="22"/>
                <w:szCs w:val="22"/>
              </w:rPr>
            </w:pPr>
            <w:r w:rsidRPr="00557F5B">
              <w:rPr>
                <w:rFonts w:asciiTheme="minorHAnsi" w:hAnsiTheme="minorHAnsi"/>
                <w:sz w:val="22"/>
                <w:szCs w:val="22"/>
              </w:rPr>
              <w:t>vey4@cdc.gov</w:t>
            </w:r>
          </w:p>
        </w:tc>
      </w:tr>
      <w:tr w:rsidR="008A18E1" w:rsidRPr="00557F5B" w:rsidTr="007F29CE">
        <w:tc>
          <w:tcPr>
            <w:tcW w:w="10070" w:type="dxa"/>
            <w:gridSpan w:val="4"/>
            <w:shd w:val="clear" w:color="auto" w:fill="C2D69B" w:themeFill="accent3" w:themeFillTint="99"/>
          </w:tcPr>
          <w:p w:rsidR="008A18E1" w:rsidRPr="00557F5B" w:rsidRDefault="008A18E1" w:rsidP="005342FB">
            <w:pPr>
              <w:rPr>
                <w:rFonts w:asciiTheme="minorHAnsi" w:hAnsiTheme="minorHAnsi"/>
                <w:sz w:val="22"/>
                <w:szCs w:val="22"/>
              </w:rPr>
            </w:pPr>
          </w:p>
        </w:tc>
      </w:tr>
      <w:tr w:rsidR="008A18E1" w:rsidRPr="00557F5B" w:rsidTr="00DE77DD">
        <w:tc>
          <w:tcPr>
            <w:tcW w:w="2138" w:type="dxa"/>
          </w:tcPr>
          <w:p w:rsidR="008A18E1" w:rsidRPr="00557F5B" w:rsidRDefault="00DE77DD" w:rsidP="005342FB">
            <w:pPr>
              <w:rPr>
                <w:rFonts w:asciiTheme="minorHAnsi" w:hAnsiTheme="minorHAnsi"/>
                <w:sz w:val="22"/>
                <w:szCs w:val="22"/>
              </w:rPr>
            </w:pPr>
            <w:proofErr w:type="spellStart"/>
            <w:r w:rsidRPr="00557F5B">
              <w:rPr>
                <w:rFonts w:asciiTheme="minorHAnsi" w:hAnsiTheme="minorHAnsi"/>
                <w:sz w:val="22"/>
                <w:szCs w:val="22"/>
              </w:rPr>
              <w:t>Alisu</w:t>
            </w:r>
            <w:proofErr w:type="spellEnd"/>
            <w:r w:rsidRPr="00557F5B">
              <w:rPr>
                <w:rFonts w:asciiTheme="minorHAnsi" w:hAnsiTheme="minorHAnsi"/>
                <w:sz w:val="22"/>
                <w:szCs w:val="22"/>
              </w:rPr>
              <w:t xml:space="preserve"> </w:t>
            </w:r>
            <w:proofErr w:type="spellStart"/>
            <w:r w:rsidRPr="00557F5B">
              <w:rPr>
                <w:rFonts w:asciiTheme="minorHAnsi" w:hAnsiTheme="minorHAnsi"/>
                <w:sz w:val="22"/>
                <w:szCs w:val="22"/>
              </w:rPr>
              <w:t>Schoua-Glusberg</w:t>
            </w:r>
            <w:proofErr w:type="spellEnd"/>
          </w:p>
        </w:tc>
        <w:tc>
          <w:tcPr>
            <w:tcW w:w="2494" w:type="dxa"/>
          </w:tcPr>
          <w:p w:rsidR="008A18E1" w:rsidRPr="00557F5B" w:rsidRDefault="00DE77DD" w:rsidP="005342FB">
            <w:pPr>
              <w:rPr>
                <w:rFonts w:asciiTheme="minorHAnsi" w:hAnsiTheme="minorHAnsi"/>
                <w:sz w:val="22"/>
                <w:szCs w:val="22"/>
              </w:rPr>
            </w:pPr>
            <w:r w:rsidRPr="00557F5B">
              <w:rPr>
                <w:rFonts w:asciiTheme="minorHAnsi" w:hAnsiTheme="minorHAnsi"/>
                <w:sz w:val="22"/>
                <w:szCs w:val="22"/>
              </w:rPr>
              <w:t>Research Support Services</w:t>
            </w:r>
          </w:p>
        </w:tc>
        <w:tc>
          <w:tcPr>
            <w:tcW w:w="1880" w:type="dxa"/>
          </w:tcPr>
          <w:p w:rsidR="008A18E1" w:rsidRPr="00557F5B" w:rsidRDefault="00DE77DD" w:rsidP="005342FB">
            <w:pPr>
              <w:rPr>
                <w:rFonts w:asciiTheme="minorHAnsi" w:hAnsiTheme="minorHAnsi"/>
                <w:sz w:val="22"/>
                <w:szCs w:val="22"/>
              </w:rPr>
            </w:pPr>
            <w:r w:rsidRPr="00557F5B">
              <w:rPr>
                <w:rFonts w:asciiTheme="minorHAnsi" w:hAnsiTheme="minorHAnsi"/>
                <w:sz w:val="22"/>
                <w:szCs w:val="22"/>
              </w:rPr>
              <w:t>847-864-5677</w:t>
            </w:r>
          </w:p>
        </w:tc>
        <w:tc>
          <w:tcPr>
            <w:tcW w:w="3558" w:type="dxa"/>
          </w:tcPr>
          <w:p w:rsidR="008A18E1" w:rsidRPr="00557F5B" w:rsidRDefault="00DE77DD" w:rsidP="005342FB">
            <w:pPr>
              <w:rPr>
                <w:rFonts w:asciiTheme="minorHAnsi" w:hAnsiTheme="minorHAnsi"/>
                <w:sz w:val="22"/>
                <w:szCs w:val="22"/>
              </w:rPr>
            </w:pPr>
            <w:r w:rsidRPr="00557F5B">
              <w:rPr>
                <w:rFonts w:asciiTheme="minorHAnsi" w:hAnsiTheme="minorHAnsi"/>
                <w:sz w:val="22"/>
                <w:szCs w:val="22"/>
              </w:rPr>
              <w:t>alisu@researchsupportservices.com</w:t>
            </w:r>
          </w:p>
        </w:tc>
      </w:tr>
      <w:tr w:rsidR="008A18E1" w:rsidRPr="00557F5B" w:rsidTr="00DE77DD">
        <w:tc>
          <w:tcPr>
            <w:tcW w:w="2138" w:type="dxa"/>
          </w:tcPr>
          <w:p w:rsidR="008A18E1" w:rsidRPr="00557F5B" w:rsidRDefault="00DE77DD" w:rsidP="005342FB">
            <w:pPr>
              <w:rPr>
                <w:rFonts w:asciiTheme="minorHAnsi" w:hAnsiTheme="minorHAnsi"/>
                <w:sz w:val="22"/>
                <w:szCs w:val="22"/>
              </w:rPr>
            </w:pPr>
            <w:r w:rsidRPr="00557F5B">
              <w:rPr>
                <w:rFonts w:asciiTheme="minorHAnsi" w:hAnsiTheme="minorHAnsi"/>
                <w:sz w:val="22"/>
                <w:szCs w:val="22"/>
              </w:rPr>
              <w:t xml:space="preserve">Katherine </w:t>
            </w:r>
            <w:proofErr w:type="spellStart"/>
            <w:r w:rsidRPr="00557F5B">
              <w:rPr>
                <w:rFonts w:asciiTheme="minorHAnsi" w:hAnsiTheme="minorHAnsi"/>
                <w:sz w:val="22"/>
                <w:szCs w:val="22"/>
              </w:rPr>
              <w:t>Kenward</w:t>
            </w:r>
            <w:proofErr w:type="spellEnd"/>
          </w:p>
        </w:tc>
        <w:tc>
          <w:tcPr>
            <w:tcW w:w="2494" w:type="dxa"/>
          </w:tcPr>
          <w:p w:rsidR="008A18E1" w:rsidRPr="00557F5B" w:rsidRDefault="00DE77DD" w:rsidP="005342FB">
            <w:pPr>
              <w:rPr>
                <w:rFonts w:asciiTheme="minorHAnsi" w:hAnsiTheme="minorHAnsi"/>
                <w:sz w:val="22"/>
                <w:szCs w:val="22"/>
              </w:rPr>
            </w:pPr>
            <w:r w:rsidRPr="00557F5B">
              <w:rPr>
                <w:rFonts w:asciiTheme="minorHAnsi" w:hAnsiTheme="minorHAnsi"/>
                <w:sz w:val="22"/>
                <w:szCs w:val="22"/>
              </w:rPr>
              <w:t>Research Support Services</w:t>
            </w:r>
          </w:p>
        </w:tc>
        <w:tc>
          <w:tcPr>
            <w:tcW w:w="1880" w:type="dxa"/>
          </w:tcPr>
          <w:p w:rsidR="008A18E1" w:rsidRPr="00557F5B" w:rsidRDefault="00DE77DD" w:rsidP="005342FB">
            <w:pPr>
              <w:rPr>
                <w:rFonts w:asciiTheme="minorHAnsi" w:hAnsiTheme="minorHAnsi"/>
                <w:sz w:val="22"/>
                <w:szCs w:val="22"/>
              </w:rPr>
            </w:pPr>
            <w:r w:rsidRPr="00557F5B">
              <w:rPr>
                <w:rFonts w:asciiTheme="minorHAnsi" w:hAnsiTheme="minorHAnsi"/>
                <w:sz w:val="22"/>
                <w:szCs w:val="22"/>
              </w:rPr>
              <w:t>847-864-5677</w:t>
            </w:r>
          </w:p>
        </w:tc>
        <w:tc>
          <w:tcPr>
            <w:tcW w:w="3558" w:type="dxa"/>
          </w:tcPr>
          <w:p w:rsidR="008A18E1" w:rsidRPr="00557F5B" w:rsidRDefault="00DE77DD" w:rsidP="005342FB">
            <w:pPr>
              <w:rPr>
                <w:rFonts w:asciiTheme="minorHAnsi" w:hAnsiTheme="minorHAnsi"/>
                <w:sz w:val="22"/>
                <w:szCs w:val="22"/>
              </w:rPr>
            </w:pPr>
            <w:r w:rsidRPr="00557F5B">
              <w:rPr>
                <w:rFonts w:asciiTheme="minorHAnsi" w:hAnsiTheme="minorHAnsi"/>
                <w:sz w:val="22"/>
                <w:szCs w:val="22"/>
              </w:rPr>
              <w:t>katherine@researchsupportservices.com</w:t>
            </w:r>
          </w:p>
        </w:tc>
      </w:tr>
      <w:tr w:rsidR="007F29CE" w:rsidRPr="00557F5B" w:rsidTr="007F29CE">
        <w:tc>
          <w:tcPr>
            <w:tcW w:w="10070" w:type="dxa"/>
            <w:gridSpan w:val="4"/>
            <w:shd w:val="clear" w:color="auto" w:fill="C2D69B" w:themeFill="accent3" w:themeFillTint="99"/>
          </w:tcPr>
          <w:p w:rsidR="007F29CE" w:rsidRPr="00557F5B" w:rsidRDefault="007F29CE" w:rsidP="005342FB">
            <w:pPr>
              <w:rPr>
                <w:rFonts w:asciiTheme="minorHAnsi" w:hAnsiTheme="minorHAnsi"/>
                <w:sz w:val="22"/>
                <w:szCs w:val="22"/>
              </w:rPr>
            </w:pPr>
          </w:p>
        </w:tc>
      </w:tr>
      <w:tr w:rsidR="007F29CE" w:rsidRPr="00557F5B" w:rsidTr="00DE77DD">
        <w:tc>
          <w:tcPr>
            <w:tcW w:w="2138"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Paula Frew</w:t>
            </w:r>
          </w:p>
        </w:tc>
        <w:tc>
          <w:tcPr>
            <w:tcW w:w="2494"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Emory University</w:t>
            </w:r>
          </w:p>
        </w:tc>
        <w:tc>
          <w:tcPr>
            <w:tcW w:w="1880"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404-712-8546</w:t>
            </w:r>
          </w:p>
        </w:tc>
        <w:tc>
          <w:tcPr>
            <w:tcW w:w="3558"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pfrew@emory.edu</w:t>
            </w:r>
          </w:p>
        </w:tc>
      </w:tr>
      <w:tr w:rsidR="007F29CE" w:rsidRPr="00557F5B" w:rsidTr="00DE77DD">
        <w:tc>
          <w:tcPr>
            <w:tcW w:w="2138"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Laura Randall</w:t>
            </w:r>
          </w:p>
        </w:tc>
        <w:tc>
          <w:tcPr>
            <w:tcW w:w="2494"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Emory University</w:t>
            </w:r>
          </w:p>
        </w:tc>
        <w:tc>
          <w:tcPr>
            <w:tcW w:w="1880" w:type="dxa"/>
          </w:tcPr>
          <w:p w:rsidR="007F29CE" w:rsidRPr="00557F5B" w:rsidRDefault="007F29CE" w:rsidP="005342FB">
            <w:pPr>
              <w:rPr>
                <w:rFonts w:asciiTheme="minorHAnsi" w:hAnsiTheme="minorHAnsi"/>
                <w:sz w:val="22"/>
                <w:szCs w:val="22"/>
              </w:rPr>
            </w:pPr>
          </w:p>
        </w:tc>
        <w:tc>
          <w:tcPr>
            <w:tcW w:w="3558"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laura.randall@emory.edu</w:t>
            </w:r>
          </w:p>
        </w:tc>
      </w:tr>
      <w:tr w:rsidR="007F29CE" w:rsidRPr="00557F5B" w:rsidTr="007F29CE">
        <w:tc>
          <w:tcPr>
            <w:tcW w:w="10070" w:type="dxa"/>
            <w:gridSpan w:val="4"/>
            <w:shd w:val="clear" w:color="auto" w:fill="C2D69B" w:themeFill="accent3" w:themeFillTint="99"/>
          </w:tcPr>
          <w:p w:rsidR="007F29CE" w:rsidRPr="00557F5B" w:rsidRDefault="007F29CE" w:rsidP="005342FB">
            <w:pPr>
              <w:rPr>
                <w:rFonts w:asciiTheme="minorHAnsi" w:hAnsiTheme="minorHAnsi"/>
                <w:sz w:val="22"/>
                <w:szCs w:val="22"/>
              </w:rPr>
            </w:pPr>
          </w:p>
        </w:tc>
      </w:tr>
      <w:tr w:rsidR="007F29CE" w:rsidRPr="00557F5B" w:rsidTr="00DE77DD">
        <w:tc>
          <w:tcPr>
            <w:tcW w:w="2138"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Susan Berkowitz</w:t>
            </w:r>
          </w:p>
        </w:tc>
        <w:tc>
          <w:tcPr>
            <w:tcW w:w="2494"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IMPAQ International</w:t>
            </w:r>
          </w:p>
        </w:tc>
        <w:tc>
          <w:tcPr>
            <w:tcW w:w="1880" w:type="dxa"/>
          </w:tcPr>
          <w:p w:rsidR="007F29CE" w:rsidRPr="00557F5B" w:rsidRDefault="00AB6846" w:rsidP="005342FB">
            <w:pPr>
              <w:rPr>
                <w:rFonts w:asciiTheme="minorHAnsi" w:hAnsiTheme="minorHAnsi"/>
                <w:sz w:val="22"/>
                <w:szCs w:val="22"/>
              </w:rPr>
            </w:pPr>
            <w:r w:rsidRPr="00557F5B">
              <w:rPr>
                <w:rFonts w:asciiTheme="minorHAnsi" w:hAnsiTheme="minorHAnsi"/>
                <w:sz w:val="22"/>
                <w:szCs w:val="22"/>
              </w:rPr>
              <w:t>202-774-1943</w:t>
            </w:r>
          </w:p>
        </w:tc>
        <w:tc>
          <w:tcPr>
            <w:tcW w:w="3558" w:type="dxa"/>
          </w:tcPr>
          <w:p w:rsidR="007F29CE" w:rsidRPr="00557F5B" w:rsidRDefault="00DE77DD" w:rsidP="005342FB">
            <w:pPr>
              <w:rPr>
                <w:rFonts w:asciiTheme="minorHAnsi" w:hAnsiTheme="minorHAnsi"/>
                <w:sz w:val="22"/>
                <w:szCs w:val="22"/>
              </w:rPr>
            </w:pPr>
            <w:r w:rsidRPr="00557F5B">
              <w:rPr>
                <w:rFonts w:asciiTheme="minorHAnsi" w:hAnsiTheme="minorHAnsi"/>
                <w:sz w:val="22"/>
                <w:szCs w:val="22"/>
              </w:rPr>
              <w:t>sberkowitz@impawint.com</w:t>
            </w:r>
          </w:p>
        </w:tc>
      </w:tr>
      <w:tr w:rsidR="00D025A5" w:rsidRPr="00557F5B" w:rsidTr="00DE77DD">
        <w:tc>
          <w:tcPr>
            <w:tcW w:w="2138" w:type="dxa"/>
          </w:tcPr>
          <w:p w:rsidR="00D025A5" w:rsidRPr="00557F5B" w:rsidRDefault="00DE77DD" w:rsidP="00D025A5">
            <w:pPr>
              <w:rPr>
                <w:rFonts w:asciiTheme="minorHAnsi" w:hAnsiTheme="minorHAnsi"/>
                <w:sz w:val="22"/>
                <w:szCs w:val="22"/>
              </w:rPr>
            </w:pPr>
            <w:r w:rsidRPr="00557F5B">
              <w:rPr>
                <w:rFonts w:asciiTheme="minorHAnsi" w:hAnsiTheme="minorHAnsi"/>
                <w:sz w:val="22"/>
                <w:szCs w:val="22"/>
              </w:rPr>
              <w:t xml:space="preserve">Valerie </w:t>
            </w:r>
            <w:proofErr w:type="spellStart"/>
            <w:r w:rsidRPr="00557F5B">
              <w:rPr>
                <w:rFonts w:asciiTheme="minorHAnsi" w:hAnsiTheme="minorHAnsi"/>
                <w:sz w:val="22"/>
                <w:szCs w:val="22"/>
              </w:rPr>
              <w:t>Betley</w:t>
            </w:r>
            <w:proofErr w:type="spellEnd"/>
          </w:p>
        </w:tc>
        <w:tc>
          <w:tcPr>
            <w:tcW w:w="2494" w:type="dxa"/>
          </w:tcPr>
          <w:p w:rsidR="00D025A5" w:rsidRPr="00557F5B" w:rsidRDefault="00DE77DD" w:rsidP="00D025A5">
            <w:pPr>
              <w:rPr>
                <w:rFonts w:asciiTheme="minorHAnsi" w:hAnsiTheme="minorHAnsi"/>
                <w:sz w:val="22"/>
                <w:szCs w:val="22"/>
              </w:rPr>
            </w:pPr>
            <w:r w:rsidRPr="00557F5B">
              <w:rPr>
                <w:rFonts w:asciiTheme="minorHAnsi" w:hAnsiTheme="minorHAnsi"/>
                <w:sz w:val="22"/>
                <w:szCs w:val="22"/>
              </w:rPr>
              <w:t>IMPAQ International</w:t>
            </w:r>
          </w:p>
        </w:tc>
        <w:tc>
          <w:tcPr>
            <w:tcW w:w="1880" w:type="dxa"/>
          </w:tcPr>
          <w:p w:rsidR="00D025A5" w:rsidRPr="00557F5B" w:rsidRDefault="00D025A5" w:rsidP="00D025A5">
            <w:pPr>
              <w:rPr>
                <w:rFonts w:asciiTheme="minorHAnsi" w:hAnsiTheme="minorHAnsi"/>
                <w:sz w:val="22"/>
                <w:szCs w:val="22"/>
              </w:rPr>
            </w:pPr>
          </w:p>
        </w:tc>
        <w:tc>
          <w:tcPr>
            <w:tcW w:w="3558" w:type="dxa"/>
          </w:tcPr>
          <w:p w:rsidR="00D025A5" w:rsidRPr="00557F5B" w:rsidRDefault="00DE77DD" w:rsidP="00D025A5">
            <w:pPr>
              <w:rPr>
                <w:rFonts w:asciiTheme="minorHAnsi" w:hAnsiTheme="minorHAnsi"/>
                <w:sz w:val="22"/>
                <w:szCs w:val="22"/>
              </w:rPr>
            </w:pPr>
            <w:r w:rsidRPr="00557F5B">
              <w:rPr>
                <w:rFonts w:asciiTheme="minorHAnsi" w:hAnsiTheme="minorHAnsi"/>
                <w:sz w:val="22"/>
                <w:szCs w:val="22"/>
              </w:rPr>
              <w:t>vbetley@impaqint.com</w:t>
            </w:r>
          </w:p>
        </w:tc>
      </w:tr>
    </w:tbl>
    <w:bookmarkEnd w:id="7"/>
    <w:p w:rsidR="00013F21" w:rsidRDefault="00DE77DD" w:rsidP="00013F21">
      <w:pPr>
        <w:pStyle w:val="Heading1"/>
        <w:numPr>
          <w:ilvl w:val="0"/>
          <w:numId w:val="0"/>
        </w:numPr>
      </w:pPr>
      <w:r>
        <w:t>R</w:t>
      </w:r>
      <w:r w:rsidR="00013F21">
        <w:t>eferences</w:t>
      </w:r>
    </w:p>
    <w:p w:rsidR="0053739F" w:rsidRDefault="0053739F" w:rsidP="00013F21"/>
    <w:p w:rsidR="007F5034" w:rsidRPr="007F5034" w:rsidRDefault="0053739F" w:rsidP="00AC1ACA">
      <w:pPr>
        <w:pStyle w:val="EndNoteBibliography"/>
        <w:ind w:left="720" w:hanging="720"/>
      </w:pPr>
      <w:r>
        <w:fldChar w:fldCharType="begin"/>
      </w:r>
      <w:r>
        <w:instrText xml:space="preserve"> ADDIN EN.REFLIST </w:instrText>
      </w:r>
      <w:r>
        <w:fldChar w:fldCharType="separate"/>
      </w:r>
      <w:r w:rsidR="007F5034" w:rsidRPr="007F5034">
        <w:t>1.</w:t>
      </w:r>
      <w:r w:rsidR="007F5034" w:rsidRPr="007F5034">
        <w:tab/>
        <w:t xml:space="preserve">Centers for Disease Control and Prevention. Diagnoses of HIV infection in the United States and dependent areas, 2014. HIV Surveillance Reports 2015;26. </w:t>
      </w:r>
      <w:hyperlink r:id="rId8" w:history="1">
        <w:r w:rsidR="007F5034" w:rsidRPr="007F5034">
          <w:rPr>
            <w:rStyle w:val="Hyperlink"/>
          </w:rPr>
          <w:t>http://www.cdc.gov/hiv/library/reports/surveillance/</w:t>
        </w:r>
      </w:hyperlink>
      <w:r w:rsidR="007F5034" w:rsidRPr="007F5034">
        <w:t>.</w:t>
      </w:r>
    </w:p>
    <w:p w:rsidR="007F5034" w:rsidRPr="007F5034" w:rsidRDefault="007F5034" w:rsidP="00AC1ACA">
      <w:pPr>
        <w:pStyle w:val="EndNoteBibliography"/>
        <w:ind w:left="720" w:hanging="720"/>
      </w:pPr>
      <w:r w:rsidRPr="007F5034">
        <w:t>2.</w:t>
      </w:r>
      <w:r w:rsidRPr="007F5034">
        <w:tab/>
        <w:t>Centers for Disease Control and Prevention. Diagnosis of HIV infection in the United States and its dependent areas, 2014; 2015.</w:t>
      </w:r>
    </w:p>
    <w:p w:rsidR="007F5034" w:rsidRPr="007F5034" w:rsidRDefault="007F5034" w:rsidP="00AC1ACA">
      <w:pPr>
        <w:pStyle w:val="EndNoteBibliography"/>
        <w:ind w:left="720" w:hanging="720"/>
      </w:pPr>
      <w:r w:rsidRPr="007F5034">
        <w:t>3.</w:t>
      </w:r>
      <w:r w:rsidRPr="007F5034">
        <w:tab/>
        <w:t>Texas Department of State Health Services. Texas HIV Surveillance Report: Texas Department of State Health Services, TB/HIV/STD Epidemilogy and Surveillance Branch; 2015 July 22.</w:t>
      </w:r>
    </w:p>
    <w:p w:rsidR="007F5034" w:rsidRPr="007F5034" w:rsidRDefault="007F5034" w:rsidP="00AC1ACA">
      <w:pPr>
        <w:pStyle w:val="EndNoteBibliography"/>
        <w:ind w:left="720" w:hanging="720"/>
      </w:pPr>
      <w:r w:rsidRPr="007F5034">
        <w:t>4.</w:t>
      </w:r>
      <w:r w:rsidRPr="007F5034">
        <w:tab/>
        <w:t>Ryan White Planning Council, HIV Prevention Community Planning Group. The 2013 Houston Area Integrated Epidemiologic Profile for HIV/AIDS Prevention and Care Services Planning. Reporting period: January 1 to December 31, 2011; 2013.</w:t>
      </w:r>
    </w:p>
    <w:p w:rsidR="007F5034" w:rsidRPr="007F5034" w:rsidRDefault="007F5034" w:rsidP="00AC1ACA">
      <w:pPr>
        <w:pStyle w:val="EndNoteBibliography"/>
        <w:ind w:left="720" w:hanging="720"/>
      </w:pPr>
      <w:r w:rsidRPr="007F5034">
        <w:t>5.</w:t>
      </w:r>
      <w:r w:rsidRPr="007F5034">
        <w:tab/>
        <w:t xml:space="preserve">Health FDo. Monthly HIV/AIDS Surveillance Report October 2015. HIV/AIDS Surveillance  2015; Available from: </w:t>
      </w:r>
      <w:hyperlink r:id="rId9" w:history="1">
        <w:r w:rsidRPr="007F5034">
          <w:rPr>
            <w:rStyle w:val="Hyperlink"/>
          </w:rPr>
          <w:t>http://miamidade.floridahealth.gov/programs-and-services/infectious-disease-services/hiv-aids-services/_documents/hiv-surveillance-monthly-report-2015-10.pdf</w:t>
        </w:r>
      </w:hyperlink>
    </w:p>
    <w:p w:rsidR="007F5034" w:rsidRPr="007F5034" w:rsidRDefault="007F5034" w:rsidP="00AC1ACA">
      <w:pPr>
        <w:pStyle w:val="EndNoteBibliography"/>
        <w:ind w:left="720" w:hanging="720"/>
      </w:pPr>
      <w:r w:rsidRPr="007F5034">
        <w:t>6.</w:t>
      </w:r>
      <w:r w:rsidRPr="007F5034">
        <w:tab/>
        <w:t>Department of Health and Hospitals. 2013 STD/HIV Surveillance Report: State of Louisiana, Department of Health and Hospitals, Office of Public Health; 2014.</w:t>
      </w:r>
    </w:p>
    <w:p w:rsidR="007F5034" w:rsidRPr="007F5034" w:rsidRDefault="007F5034" w:rsidP="00AC1ACA">
      <w:pPr>
        <w:pStyle w:val="EndNoteBibliography"/>
        <w:ind w:left="720" w:hanging="720"/>
      </w:pPr>
      <w:r w:rsidRPr="007F5034">
        <w:t>7.</w:t>
      </w:r>
      <w:r w:rsidRPr="007F5034">
        <w:tab/>
        <w:t>HIV/AIDS H, STD and TB Administration,. Annual Epidemiology &amp; Surveillance Report: District of Columbia, Department of Health, HIV/AIDS, Hepatitis, STD, and TB Administration (HAHSTA); 2015.</w:t>
      </w:r>
    </w:p>
    <w:p w:rsidR="00013F21" w:rsidRDefault="0053739F" w:rsidP="00013F21">
      <w:r>
        <w:fldChar w:fldCharType="end"/>
      </w:r>
    </w:p>
    <w:sectPr w:rsidR="00013F21" w:rsidSect="006C6578">
      <w:footerReference w:type="default" r:id="rId10"/>
      <w:endnotePr>
        <w:numFmt w:val="decimal"/>
      </w:end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8E6" w:rsidRDefault="003908E6" w:rsidP="008B5D54">
      <w:r>
        <w:separator/>
      </w:r>
    </w:p>
  </w:endnote>
  <w:endnote w:type="continuationSeparator" w:id="0">
    <w:p w:rsidR="003908E6" w:rsidRDefault="003908E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164076"/>
      <w:docPartObj>
        <w:docPartGallery w:val="Page Numbers (Bottom of Page)"/>
        <w:docPartUnique/>
      </w:docPartObj>
    </w:sdtPr>
    <w:sdtEndPr>
      <w:rPr>
        <w:noProof/>
      </w:rPr>
    </w:sdtEndPr>
    <w:sdtContent>
      <w:p w:rsidR="007F29CE" w:rsidRDefault="007F29CE">
        <w:pPr>
          <w:pStyle w:val="Footer"/>
          <w:jc w:val="right"/>
        </w:pPr>
        <w:r>
          <w:fldChar w:fldCharType="begin"/>
        </w:r>
        <w:r>
          <w:instrText xml:space="preserve"> PAGE   \* MERGEFORMAT </w:instrText>
        </w:r>
        <w:r>
          <w:fldChar w:fldCharType="separate"/>
        </w:r>
        <w:r w:rsidR="00557F5B">
          <w:rPr>
            <w:noProof/>
          </w:rPr>
          <w:t>7</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8E6" w:rsidRDefault="003908E6" w:rsidP="008B5D54">
      <w:r>
        <w:separator/>
      </w:r>
    </w:p>
  </w:footnote>
  <w:footnote w:type="continuationSeparator" w:id="0">
    <w:p w:rsidR="003908E6" w:rsidRDefault="003908E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2"/>
  </w:num>
  <w:num w:numId="3">
    <w:abstractNumId w:val="4"/>
  </w:num>
  <w:num w:numId="4">
    <w:abstractNumId w:val="3"/>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13F21"/>
    <w:rsid w:val="000366A9"/>
    <w:rsid w:val="000D03CA"/>
    <w:rsid w:val="00103914"/>
    <w:rsid w:val="00104443"/>
    <w:rsid w:val="0014326C"/>
    <w:rsid w:val="0016459B"/>
    <w:rsid w:val="00187F1C"/>
    <w:rsid w:val="00311E64"/>
    <w:rsid w:val="0031423B"/>
    <w:rsid w:val="0032129A"/>
    <w:rsid w:val="00325C9D"/>
    <w:rsid w:val="003908E6"/>
    <w:rsid w:val="003978FC"/>
    <w:rsid w:val="003A2A70"/>
    <w:rsid w:val="003D3BBE"/>
    <w:rsid w:val="003D4F04"/>
    <w:rsid w:val="004F75AD"/>
    <w:rsid w:val="00527188"/>
    <w:rsid w:val="005339B7"/>
    <w:rsid w:val="005342FB"/>
    <w:rsid w:val="0053739F"/>
    <w:rsid w:val="00554673"/>
    <w:rsid w:val="0055675E"/>
    <w:rsid w:val="00557F5B"/>
    <w:rsid w:val="005A3A8D"/>
    <w:rsid w:val="005A6CB0"/>
    <w:rsid w:val="005C226C"/>
    <w:rsid w:val="005D0F7C"/>
    <w:rsid w:val="005D6D67"/>
    <w:rsid w:val="005E2E30"/>
    <w:rsid w:val="005F079D"/>
    <w:rsid w:val="00606E0F"/>
    <w:rsid w:val="00607C89"/>
    <w:rsid w:val="00615AD1"/>
    <w:rsid w:val="00644E20"/>
    <w:rsid w:val="00670D29"/>
    <w:rsid w:val="00686860"/>
    <w:rsid w:val="006B0155"/>
    <w:rsid w:val="006C6578"/>
    <w:rsid w:val="006E1F27"/>
    <w:rsid w:val="006E3721"/>
    <w:rsid w:val="00720E62"/>
    <w:rsid w:val="00786952"/>
    <w:rsid w:val="00792029"/>
    <w:rsid w:val="007A56E0"/>
    <w:rsid w:val="007B4308"/>
    <w:rsid w:val="007C43A0"/>
    <w:rsid w:val="007F29CE"/>
    <w:rsid w:val="007F5034"/>
    <w:rsid w:val="008238F6"/>
    <w:rsid w:val="008253CC"/>
    <w:rsid w:val="00851A91"/>
    <w:rsid w:val="00892BA9"/>
    <w:rsid w:val="008A18E1"/>
    <w:rsid w:val="008B22CA"/>
    <w:rsid w:val="008B2F17"/>
    <w:rsid w:val="008B5D54"/>
    <w:rsid w:val="008D34B2"/>
    <w:rsid w:val="008D61A7"/>
    <w:rsid w:val="008F519C"/>
    <w:rsid w:val="0092419F"/>
    <w:rsid w:val="00937383"/>
    <w:rsid w:val="00945206"/>
    <w:rsid w:val="00AB6846"/>
    <w:rsid w:val="00AC1ACA"/>
    <w:rsid w:val="00AC47D6"/>
    <w:rsid w:val="00AF3A32"/>
    <w:rsid w:val="00B27474"/>
    <w:rsid w:val="00B55735"/>
    <w:rsid w:val="00B608AC"/>
    <w:rsid w:val="00B96201"/>
    <w:rsid w:val="00C24CB1"/>
    <w:rsid w:val="00C33466"/>
    <w:rsid w:val="00C722C4"/>
    <w:rsid w:val="00C946C2"/>
    <w:rsid w:val="00CC755C"/>
    <w:rsid w:val="00CD1409"/>
    <w:rsid w:val="00CD6D16"/>
    <w:rsid w:val="00D0040C"/>
    <w:rsid w:val="00D025A5"/>
    <w:rsid w:val="00D04403"/>
    <w:rsid w:val="00D14157"/>
    <w:rsid w:val="00D207FC"/>
    <w:rsid w:val="00D3747B"/>
    <w:rsid w:val="00D554F6"/>
    <w:rsid w:val="00D90173"/>
    <w:rsid w:val="00DC57CC"/>
    <w:rsid w:val="00DE69FC"/>
    <w:rsid w:val="00DE77DD"/>
    <w:rsid w:val="00DF6A21"/>
    <w:rsid w:val="00E04084"/>
    <w:rsid w:val="00E3297C"/>
    <w:rsid w:val="00E451A4"/>
    <w:rsid w:val="00E557C3"/>
    <w:rsid w:val="00E769A2"/>
    <w:rsid w:val="00EA0E5E"/>
    <w:rsid w:val="00EE64BF"/>
    <w:rsid w:val="00F21E20"/>
    <w:rsid w:val="00FA09E0"/>
    <w:rsid w:val="00FC0B16"/>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7F2B1FB-DD94-450C-ABA5-EE0B9192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semiHidden/>
    <w:unhideWhenUsed/>
    <w:rsid w:val="008253CC"/>
    <w:rPr>
      <w:sz w:val="16"/>
      <w:szCs w:val="16"/>
    </w:rPr>
  </w:style>
  <w:style w:type="paragraph" w:styleId="CommentText">
    <w:name w:val="annotation text"/>
    <w:basedOn w:val="Normal"/>
    <w:link w:val="CommentTextChar"/>
    <w:uiPriority w:val="99"/>
    <w:semiHidden/>
    <w:unhideWhenUsed/>
    <w:rsid w:val="008253CC"/>
    <w:rPr>
      <w:sz w:val="20"/>
      <w:szCs w:val="20"/>
    </w:rPr>
  </w:style>
  <w:style w:type="character" w:customStyle="1" w:styleId="CommentTextChar">
    <w:name w:val="Comment Text Char"/>
    <w:basedOn w:val="DefaultParagraphFont"/>
    <w:link w:val="CommentText"/>
    <w:uiPriority w:val="99"/>
    <w:semiHidden/>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styleId="TableGrid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iv/library/reports/surveil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iamidade.floridahealth.gov/programs-and-services/infectious-disease-services/hiv-aids-services/_documents/hiv-surveillance-monthly-report-2015-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87D984C-51E2-43FE-9876-C7B3BDFF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4014</Words>
  <Characters>22881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Bonds, Constance (CDC/OID/NCHHSTP)</cp:lastModifiedBy>
  <cp:revision>3</cp:revision>
  <dcterms:created xsi:type="dcterms:W3CDTF">2016-06-02T17:57:00Z</dcterms:created>
  <dcterms:modified xsi:type="dcterms:W3CDTF">2016-06-03T17:47:00Z</dcterms:modified>
</cp:coreProperties>
</file>