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FBF0D" w14:textId="77777777" w:rsidR="00716F94" w:rsidRDefault="00716F94" w:rsidP="00BC6896"/>
    <w:p w14:paraId="719FBF0E" w14:textId="77777777" w:rsidR="009B4A51" w:rsidRDefault="009B4A51" w:rsidP="00BC6896"/>
    <w:p w14:paraId="719FBF0F" w14:textId="77777777" w:rsidR="009B4A51" w:rsidRDefault="009B4A51" w:rsidP="00BC6896"/>
    <w:p w14:paraId="719FBF10" w14:textId="77777777" w:rsidR="009B4A51" w:rsidRDefault="009B4A51" w:rsidP="00BC6896"/>
    <w:p w14:paraId="719FBF11" w14:textId="77777777" w:rsidR="009B4A51" w:rsidRDefault="009B4A51" w:rsidP="00BC6896"/>
    <w:p w14:paraId="719FBF12" w14:textId="77777777" w:rsidR="00667C89" w:rsidRDefault="00667C89" w:rsidP="00BC6896"/>
    <w:p w14:paraId="719FBF13" w14:textId="77777777" w:rsidR="009B4A51" w:rsidRDefault="009B4A51" w:rsidP="00BC6896"/>
    <w:p w14:paraId="719FBF14" w14:textId="77777777" w:rsidR="009B4A51" w:rsidRDefault="009B4A51" w:rsidP="00BC6896"/>
    <w:p w14:paraId="719FBF16" w14:textId="25459F4C" w:rsidR="00AA3192" w:rsidRPr="0037798D" w:rsidRDefault="0009253D" w:rsidP="0037798D">
      <w:pPr>
        <w:pStyle w:val="Heading1"/>
        <w:rPr>
          <w:color w:val="0070C0"/>
          <w:sz w:val="24"/>
        </w:rPr>
      </w:pPr>
      <w:r w:rsidRPr="0037798D">
        <w:rPr>
          <w:color w:val="0070C0"/>
        </w:rPr>
        <w:t xml:space="preserve">Persistence of Ebola Virus in </w:t>
      </w:r>
      <w:r w:rsidR="00BD219A">
        <w:rPr>
          <w:color w:val="0070C0"/>
        </w:rPr>
        <w:t>B</w:t>
      </w:r>
      <w:r w:rsidRPr="0037798D">
        <w:rPr>
          <w:color w:val="0070C0"/>
        </w:rPr>
        <w:t xml:space="preserve">ody </w:t>
      </w:r>
      <w:r w:rsidR="00BD219A">
        <w:rPr>
          <w:color w:val="0070C0"/>
        </w:rPr>
        <w:t>F</w:t>
      </w:r>
      <w:r w:rsidRPr="0037798D">
        <w:rPr>
          <w:color w:val="0070C0"/>
        </w:rPr>
        <w:t xml:space="preserve">luids of </w:t>
      </w:r>
      <w:r w:rsidR="0037798D" w:rsidRPr="0037798D">
        <w:rPr>
          <w:color w:val="0070C0"/>
        </w:rPr>
        <w:t>E</w:t>
      </w:r>
      <w:r w:rsidRPr="0037798D">
        <w:rPr>
          <w:color w:val="0070C0"/>
        </w:rPr>
        <w:t xml:space="preserve">bola </w:t>
      </w:r>
      <w:r w:rsidR="00BD219A">
        <w:rPr>
          <w:color w:val="0070C0"/>
        </w:rPr>
        <w:t>V</w:t>
      </w:r>
      <w:r w:rsidRPr="0037798D">
        <w:rPr>
          <w:color w:val="0070C0"/>
        </w:rPr>
        <w:t xml:space="preserve">irus </w:t>
      </w:r>
      <w:r w:rsidR="00BD219A">
        <w:rPr>
          <w:color w:val="0070C0"/>
        </w:rPr>
        <w:t>D</w:t>
      </w:r>
      <w:r w:rsidRPr="0037798D">
        <w:rPr>
          <w:color w:val="0070C0"/>
        </w:rPr>
        <w:t xml:space="preserve">isease </w:t>
      </w:r>
      <w:r w:rsidR="00BD219A">
        <w:rPr>
          <w:color w:val="0070C0"/>
        </w:rPr>
        <w:t>S</w:t>
      </w:r>
      <w:r w:rsidRPr="0037798D">
        <w:rPr>
          <w:color w:val="0070C0"/>
        </w:rPr>
        <w:t>urvivors in Sierra Leone</w:t>
      </w:r>
    </w:p>
    <w:p w14:paraId="7A943625" w14:textId="77777777" w:rsidR="0009253D" w:rsidRDefault="0009253D" w:rsidP="0009253D">
      <w:pPr>
        <w:jc w:val="center"/>
      </w:pPr>
    </w:p>
    <w:p w14:paraId="5E2BEC81" w14:textId="2CEAF43F" w:rsidR="003B549F" w:rsidRPr="0037798D" w:rsidRDefault="003B549F" w:rsidP="003B549F">
      <w:pPr>
        <w:jc w:val="center"/>
        <w:rPr>
          <w:b/>
          <w:sz w:val="32"/>
        </w:rPr>
      </w:pPr>
      <w:r w:rsidRPr="0037798D">
        <w:rPr>
          <w:b/>
          <w:sz w:val="32"/>
        </w:rPr>
        <w:t>Request for OMB Approval for a</w:t>
      </w:r>
      <w:r w:rsidR="0037798D" w:rsidRPr="0037798D">
        <w:rPr>
          <w:b/>
          <w:sz w:val="32"/>
        </w:rPr>
        <w:t>n</w:t>
      </w:r>
      <w:r w:rsidRPr="0037798D">
        <w:rPr>
          <w:b/>
          <w:sz w:val="32"/>
        </w:rPr>
        <w:t xml:space="preserve"> </w:t>
      </w:r>
    </w:p>
    <w:p w14:paraId="719FBF19" w14:textId="1F3E1CFE" w:rsidR="009B4A51" w:rsidRPr="0037798D" w:rsidRDefault="0037798D" w:rsidP="003B549F">
      <w:pPr>
        <w:jc w:val="center"/>
        <w:rPr>
          <w:b/>
          <w:sz w:val="32"/>
        </w:rPr>
      </w:pPr>
      <w:r w:rsidRPr="0037798D">
        <w:rPr>
          <w:b/>
          <w:sz w:val="32"/>
        </w:rPr>
        <w:t>Emergency Information</w:t>
      </w:r>
      <w:r w:rsidR="003B549F" w:rsidRPr="0037798D">
        <w:rPr>
          <w:b/>
          <w:sz w:val="32"/>
        </w:rPr>
        <w:t xml:space="preserve"> Collection Request</w:t>
      </w:r>
    </w:p>
    <w:p w14:paraId="719FBF1A" w14:textId="77777777" w:rsidR="009B4A51" w:rsidRDefault="009B4A51" w:rsidP="00BC6896"/>
    <w:p w14:paraId="719FBF1B" w14:textId="77777777" w:rsidR="00AA3192" w:rsidRDefault="00AA3192" w:rsidP="00BC6896"/>
    <w:p w14:paraId="719FBF1C" w14:textId="77777777" w:rsidR="00AA3192" w:rsidRDefault="00AA3192" w:rsidP="00BC6896"/>
    <w:p w14:paraId="719FBF1D" w14:textId="0F3E06D3" w:rsidR="009B4A51" w:rsidRDefault="009B4A51" w:rsidP="00BC6896">
      <w:pPr>
        <w:pStyle w:val="Heading2"/>
      </w:pPr>
      <w:r w:rsidRPr="00BC6896">
        <w:t xml:space="preserve">Supporting Statement </w:t>
      </w:r>
      <w:r w:rsidR="00601392" w:rsidRPr="00BC6896">
        <w:t>B</w:t>
      </w:r>
    </w:p>
    <w:p w14:paraId="2A6D9788" w14:textId="4D036D48" w:rsidR="003B549F" w:rsidRPr="008F6A7A" w:rsidRDefault="003B549F" w:rsidP="00BC6896">
      <w:pPr>
        <w:pStyle w:val="Heading2"/>
        <w:rPr>
          <w:sz w:val="24"/>
        </w:rPr>
      </w:pPr>
      <w:r w:rsidRPr="008F6A7A">
        <w:rPr>
          <w:sz w:val="24"/>
        </w:rPr>
        <w:t>Collections of Information Employing Statistical Methods</w:t>
      </w:r>
    </w:p>
    <w:p w14:paraId="4AB780D1" w14:textId="77777777" w:rsidR="008F6A7A" w:rsidRPr="00474DF1" w:rsidRDefault="008F6A7A" w:rsidP="008F6A7A">
      <w:pPr>
        <w:pStyle w:val="Heading2"/>
        <w:rPr>
          <w:sz w:val="22"/>
        </w:rPr>
      </w:pPr>
      <w:r w:rsidRPr="003641A7">
        <w:rPr>
          <w:sz w:val="22"/>
        </w:rPr>
        <w:t>Based</w:t>
      </w:r>
      <w:r w:rsidRPr="00474DF1">
        <w:rPr>
          <w:sz w:val="22"/>
        </w:rPr>
        <w:t xml:space="preserve"> on Protocol Version </w:t>
      </w:r>
      <w:r>
        <w:rPr>
          <w:sz w:val="22"/>
        </w:rPr>
        <w:t>May 6</w:t>
      </w:r>
      <w:r w:rsidRPr="00474DF1">
        <w:rPr>
          <w:sz w:val="22"/>
        </w:rPr>
        <w:t>, 2015</w:t>
      </w:r>
    </w:p>
    <w:p w14:paraId="599881C6" w14:textId="77777777" w:rsidR="008F6A7A" w:rsidRPr="0037798D" w:rsidRDefault="008F6A7A" w:rsidP="00BC6896">
      <w:pPr>
        <w:pStyle w:val="Heading2"/>
        <w:rPr>
          <w:b w:val="0"/>
          <w:sz w:val="24"/>
        </w:rPr>
      </w:pPr>
    </w:p>
    <w:p w14:paraId="719FBF1E" w14:textId="77777777" w:rsidR="009B4A51" w:rsidRDefault="009B4A51" w:rsidP="00BC6896"/>
    <w:p w14:paraId="719FBF1F" w14:textId="77777777" w:rsidR="00484011" w:rsidRDefault="00484011" w:rsidP="00BC6896"/>
    <w:p w14:paraId="719FBF20" w14:textId="77777777" w:rsidR="00AA3192" w:rsidRDefault="00AA3192" w:rsidP="00BC6896"/>
    <w:p w14:paraId="719FBF23" w14:textId="77777777" w:rsidR="00187D5A" w:rsidRDefault="00187D5A" w:rsidP="00D37DD9">
      <w:pPr>
        <w:ind w:left="0"/>
      </w:pPr>
    </w:p>
    <w:p w14:paraId="733744A3" w14:textId="37EF6596" w:rsidR="00DA0791" w:rsidRPr="009B4A51" w:rsidRDefault="00DA0791" w:rsidP="00DA0791">
      <w:pPr>
        <w:ind w:left="0"/>
        <w:jc w:val="center"/>
      </w:pPr>
      <w:r w:rsidRPr="00AA3192">
        <w:t>Submitted:</w:t>
      </w:r>
      <w:r w:rsidRPr="00713412">
        <w:rPr>
          <w:color w:val="0070C0"/>
        </w:rPr>
        <w:t xml:space="preserve"> </w:t>
      </w:r>
      <w:r w:rsidR="00FE5635">
        <w:rPr>
          <w:color w:val="0070C0"/>
        </w:rPr>
        <w:t>May 1</w:t>
      </w:r>
      <w:r w:rsidR="00472D28">
        <w:rPr>
          <w:color w:val="0070C0"/>
        </w:rPr>
        <w:t>8</w:t>
      </w:r>
      <w:r w:rsidR="008F6A7A" w:rsidRPr="00066235">
        <w:rPr>
          <w:color w:val="0070C0"/>
        </w:rPr>
        <w:t>, 2015</w:t>
      </w:r>
    </w:p>
    <w:p w14:paraId="719FBF26" w14:textId="77777777" w:rsidR="009B4A51" w:rsidRDefault="009B4A51" w:rsidP="00BC6896"/>
    <w:p w14:paraId="719FBF27" w14:textId="77777777" w:rsidR="009B4A51" w:rsidRDefault="009B4A51" w:rsidP="00BC6896"/>
    <w:p w14:paraId="719FBF28" w14:textId="77777777" w:rsidR="00AA3192" w:rsidRDefault="00AA3192" w:rsidP="00BC6896"/>
    <w:p w14:paraId="719FBF29" w14:textId="77777777" w:rsidR="00AA3192" w:rsidRDefault="00AA3192" w:rsidP="00BC6896"/>
    <w:p w14:paraId="719FBF2A" w14:textId="77777777" w:rsidR="009B4A51" w:rsidRDefault="009B4A51" w:rsidP="00BC6896"/>
    <w:p w14:paraId="2F760A77" w14:textId="77777777" w:rsidR="003B549F" w:rsidRDefault="003B549F" w:rsidP="00BC6896">
      <w:pPr>
        <w:ind w:left="0"/>
        <w:rPr>
          <w:b/>
          <w:u w:val="single"/>
        </w:rPr>
      </w:pPr>
    </w:p>
    <w:p w14:paraId="719FBF2B"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4C6AA139"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b/>
          <w:bCs/>
          <w:lang w:bidi="he-IL"/>
        </w:rPr>
        <w:t>Barbara Knust, DVM, MPH, DACVPM</w:t>
      </w:r>
    </w:p>
    <w:p w14:paraId="31B7E67E"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CDR, US Public Health Service</w:t>
      </w:r>
    </w:p>
    <w:p w14:paraId="771240FE"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Viral Special Pathogens Branch</w:t>
      </w:r>
    </w:p>
    <w:p w14:paraId="12544C95"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US Centers for Disease Control</w:t>
      </w:r>
    </w:p>
    <w:p w14:paraId="470AB0CB"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 </w:t>
      </w:r>
    </w:p>
    <w:p w14:paraId="002D2C39"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404-639-1104 phone</w:t>
      </w:r>
    </w:p>
    <w:p w14:paraId="60063D54"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404-639-1118 fax</w:t>
      </w:r>
    </w:p>
    <w:p w14:paraId="6A6BA950" w14:textId="77777777" w:rsidR="0037798D" w:rsidRPr="008F6A7A" w:rsidRDefault="0037798D" w:rsidP="0037798D">
      <w:pPr>
        <w:spacing w:line="240" w:lineRule="auto"/>
        <w:ind w:left="0"/>
        <w:rPr>
          <w:rFonts w:eastAsia="Calibri" w:cs="Times New Roman"/>
          <w:lang w:bidi="he-IL"/>
        </w:rPr>
      </w:pPr>
      <w:r w:rsidRPr="008F6A7A">
        <w:rPr>
          <w:rFonts w:eastAsia="Calibri" w:cs="Times New Roman"/>
          <w:lang w:bidi="he-IL"/>
        </w:rPr>
        <w:t>404-218-9626 mobile</w:t>
      </w:r>
    </w:p>
    <w:p w14:paraId="719FBF32" w14:textId="71D434E0" w:rsidR="00F725B5" w:rsidRPr="00573EB1" w:rsidRDefault="006E14C6" w:rsidP="0037798D">
      <w:pPr>
        <w:ind w:left="0"/>
        <w:rPr>
          <w:color w:val="0070C0"/>
        </w:rPr>
      </w:pPr>
      <w:hyperlink r:id="rId12" w:history="1">
        <w:r w:rsidR="0037798D" w:rsidRPr="008F6A7A">
          <w:rPr>
            <w:rFonts w:eastAsia="Calibri" w:cs="Times New Roman"/>
            <w:color w:val="0563C1"/>
            <w:u w:val="single"/>
            <w:lang w:bidi="he-IL"/>
          </w:rPr>
          <w:t>bknust@cdc.gov</w:t>
        </w:r>
      </w:hyperlink>
    </w:p>
    <w:p w14:paraId="719FBF37" w14:textId="13B8D2C9" w:rsidR="00245F1F" w:rsidRDefault="0037798D" w:rsidP="00574F06">
      <w:pPr>
        <w:ind w:left="0"/>
        <w:rPr>
          <w:b/>
        </w:rPr>
      </w:pPr>
      <w:bookmarkStart w:id="0" w:name="_Toc413847909"/>
      <w:r>
        <w:br w:type="page"/>
      </w:r>
      <w:r w:rsidR="00245F1F" w:rsidRPr="00574F06">
        <w:rPr>
          <w:b/>
        </w:rPr>
        <w:lastRenderedPageBreak/>
        <w:t>Table of Contents</w:t>
      </w:r>
      <w:bookmarkEnd w:id="0"/>
    </w:p>
    <w:p w14:paraId="6A244FD0" w14:textId="77777777" w:rsidR="00015037" w:rsidRPr="00574F06" w:rsidRDefault="00015037" w:rsidP="00574F06">
      <w:pPr>
        <w:ind w:left="0"/>
        <w:rPr>
          <w:b/>
          <w:sz w:val="28"/>
        </w:rPr>
      </w:pPr>
    </w:p>
    <w:bookmarkStart w:id="1" w:name="_GoBack"/>
    <w:bookmarkEnd w:id="1"/>
    <w:p w14:paraId="70745739" w14:textId="77777777" w:rsidR="006E14C6"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19723306" w:history="1">
        <w:r w:rsidR="006E14C6" w:rsidRPr="00641846">
          <w:rPr>
            <w:rStyle w:val="Hyperlink"/>
            <w:noProof/>
          </w:rPr>
          <w:t>Part B — Collections of Information Employing Statistical Methods</w:t>
        </w:r>
        <w:r w:rsidR="006E14C6">
          <w:rPr>
            <w:noProof/>
            <w:webHidden/>
          </w:rPr>
          <w:tab/>
        </w:r>
        <w:r w:rsidR="006E14C6">
          <w:rPr>
            <w:noProof/>
            <w:webHidden/>
          </w:rPr>
          <w:fldChar w:fldCharType="begin"/>
        </w:r>
        <w:r w:rsidR="006E14C6">
          <w:rPr>
            <w:noProof/>
            <w:webHidden/>
          </w:rPr>
          <w:instrText xml:space="preserve"> PAGEREF _Toc419723306 \h </w:instrText>
        </w:r>
        <w:r w:rsidR="006E14C6">
          <w:rPr>
            <w:noProof/>
            <w:webHidden/>
          </w:rPr>
        </w:r>
        <w:r w:rsidR="006E14C6">
          <w:rPr>
            <w:noProof/>
            <w:webHidden/>
          </w:rPr>
          <w:fldChar w:fldCharType="separate"/>
        </w:r>
        <w:r w:rsidR="006E14C6">
          <w:rPr>
            <w:noProof/>
            <w:webHidden/>
          </w:rPr>
          <w:t>3</w:t>
        </w:r>
        <w:r w:rsidR="006E14C6">
          <w:rPr>
            <w:noProof/>
            <w:webHidden/>
          </w:rPr>
          <w:fldChar w:fldCharType="end"/>
        </w:r>
      </w:hyperlink>
    </w:p>
    <w:p w14:paraId="3A431221" w14:textId="77777777" w:rsidR="006E14C6" w:rsidRDefault="006E14C6">
      <w:pPr>
        <w:pStyle w:val="TOC2"/>
        <w:rPr>
          <w:rFonts w:asciiTheme="minorHAnsi" w:hAnsiTheme="minorHAnsi"/>
          <w:noProof/>
        </w:rPr>
      </w:pPr>
      <w:hyperlink w:anchor="_Toc419723307" w:history="1">
        <w:r w:rsidRPr="00641846">
          <w:rPr>
            <w:rStyle w:val="Hyperlink"/>
            <w:noProof/>
          </w:rPr>
          <w:t>1.</w:t>
        </w:r>
        <w:r>
          <w:rPr>
            <w:rFonts w:asciiTheme="minorHAnsi" w:hAnsiTheme="minorHAnsi"/>
            <w:noProof/>
          </w:rPr>
          <w:tab/>
        </w:r>
        <w:r w:rsidRPr="00641846">
          <w:rPr>
            <w:rStyle w:val="Hyperlink"/>
            <w:noProof/>
          </w:rPr>
          <w:t>Respondent Universe and Sampling Methods</w:t>
        </w:r>
        <w:r>
          <w:rPr>
            <w:noProof/>
            <w:webHidden/>
          </w:rPr>
          <w:tab/>
        </w:r>
        <w:r>
          <w:rPr>
            <w:noProof/>
            <w:webHidden/>
          </w:rPr>
          <w:fldChar w:fldCharType="begin"/>
        </w:r>
        <w:r>
          <w:rPr>
            <w:noProof/>
            <w:webHidden/>
          </w:rPr>
          <w:instrText xml:space="preserve"> PAGEREF _Toc419723307 \h </w:instrText>
        </w:r>
        <w:r>
          <w:rPr>
            <w:noProof/>
            <w:webHidden/>
          </w:rPr>
        </w:r>
        <w:r>
          <w:rPr>
            <w:noProof/>
            <w:webHidden/>
          </w:rPr>
          <w:fldChar w:fldCharType="separate"/>
        </w:r>
        <w:r>
          <w:rPr>
            <w:noProof/>
            <w:webHidden/>
          </w:rPr>
          <w:t>3</w:t>
        </w:r>
        <w:r>
          <w:rPr>
            <w:noProof/>
            <w:webHidden/>
          </w:rPr>
          <w:fldChar w:fldCharType="end"/>
        </w:r>
      </w:hyperlink>
    </w:p>
    <w:p w14:paraId="3A1B4F89" w14:textId="77777777" w:rsidR="006E14C6" w:rsidRDefault="006E14C6">
      <w:pPr>
        <w:pStyle w:val="TOC2"/>
        <w:rPr>
          <w:rFonts w:asciiTheme="minorHAnsi" w:hAnsiTheme="minorHAnsi"/>
          <w:noProof/>
        </w:rPr>
      </w:pPr>
      <w:hyperlink w:anchor="_Toc419723308" w:history="1">
        <w:r w:rsidRPr="00641846">
          <w:rPr>
            <w:rStyle w:val="Hyperlink"/>
            <w:noProof/>
          </w:rPr>
          <w:t>2.</w:t>
        </w:r>
        <w:r>
          <w:rPr>
            <w:rFonts w:asciiTheme="minorHAnsi" w:hAnsiTheme="minorHAnsi"/>
            <w:noProof/>
          </w:rPr>
          <w:tab/>
        </w:r>
        <w:r w:rsidRPr="00641846">
          <w:rPr>
            <w:rStyle w:val="Hyperlink"/>
            <w:noProof/>
          </w:rPr>
          <w:t>Procedures for the Collection of Information</w:t>
        </w:r>
        <w:r>
          <w:rPr>
            <w:noProof/>
            <w:webHidden/>
          </w:rPr>
          <w:tab/>
        </w:r>
        <w:r>
          <w:rPr>
            <w:noProof/>
            <w:webHidden/>
          </w:rPr>
          <w:fldChar w:fldCharType="begin"/>
        </w:r>
        <w:r>
          <w:rPr>
            <w:noProof/>
            <w:webHidden/>
          </w:rPr>
          <w:instrText xml:space="preserve"> PAGEREF _Toc419723308 \h </w:instrText>
        </w:r>
        <w:r>
          <w:rPr>
            <w:noProof/>
            <w:webHidden/>
          </w:rPr>
        </w:r>
        <w:r>
          <w:rPr>
            <w:noProof/>
            <w:webHidden/>
          </w:rPr>
          <w:fldChar w:fldCharType="separate"/>
        </w:r>
        <w:r>
          <w:rPr>
            <w:noProof/>
            <w:webHidden/>
          </w:rPr>
          <w:t>5</w:t>
        </w:r>
        <w:r>
          <w:rPr>
            <w:noProof/>
            <w:webHidden/>
          </w:rPr>
          <w:fldChar w:fldCharType="end"/>
        </w:r>
      </w:hyperlink>
    </w:p>
    <w:p w14:paraId="44C7028D" w14:textId="77777777" w:rsidR="006E14C6" w:rsidRDefault="006E14C6">
      <w:pPr>
        <w:pStyle w:val="TOC2"/>
        <w:rPr>
          <w:rFonts w:asciiTheme="minorHAnsi" w:hAnsiTheme="minorHAnsi"/>
          <w:noProof/>
        </w:rPr>
      </w:pPr>
      <w:hyperlink w:anchor="_Toc419723309" w:history="1">
        <w:r w:rsidRPr="00641846">
          <w:rPr>
            <w:rStyle w:val="Hyperlink"/>
            <w:noProof/>
          </w:rPr>
          <w:t>3.</w:t>
        </w:r>
        <w:r>
          <w:rPr>
            <w:rFonts w:asciiTheme="minorHAnsi" w:hAnsiTheme="minorHAnsi"/>
            <w:noProof/>
          </w:rPr>
          <w:tab/>
        </w:r>
        <w:r w:rsidRPr="00641846">
          <w:rPr>
            <w:rStyle w:val="Hyperlink"/>
            <w:noProof/>
          </w:rPr>
          <w:t>Methods to Maximize Response Rates and Deal with Nonresponse</w:t>
        </w:r>
        <w:r>
          <w:rPr>
            <w:noProof/>
            <w:webHidden/>
          </w:rPr>
          <w:tab/>
        </w:r>
        <w:r>
          <w:rPr>
            <w:noProof/>
            <w:webHidden/>
          </w:rPr>
          <w:fldChar w:fldCharType="begin"/>
        </w:r>
        <w:r>
          <w:rPr>
            <w:noProof/>
            <w:webHidden/>
          </w:rPr>
          <w:instrText xml:space="preserve"> PAGEREF _Toc419723309 \h </w:instrText>
        </w:r>
        <w:r>
          <w:rPr>
            <w:noProof/>
            <w:webHidden/>
          </w:rPr>
        </w:r>
        <w:r>
          <w:rPr>
            <w:noProof/>
            <w:webHidden/>
          </w:rPr>
          <w:fldChar w:fldCharType="separate"/>
        </w:r>
        <w:r>
          <w:rPr>
            <w:noProof/>
            <w:webHidden/>
          </w:rPr>
          <w:t>9</w:t>
        </w:r>
        <w:r>
          <w:rPr>
            <w:noProof/>
            <w:webHidden/>
          </w:rPr>
          <w:fldChar w:fldCharType="end"/>
        </w:r>
      </w:hyperlink>
    </w:p>
    <w:p w14:paraId="21B9B583" w14:textId="77777777" w:rsidR="006E14C6" w:rsidRDefault="006E14C6">
      <w:pPr>
        <w:pStyle w:val="TOC2"/>
        <w:rPr>
          <w:rFonts w:asciiTheme="minorHAnsi" w:hAnsiTheme="minorHAnsi"/>
          <w:noProof/>
        </w:rPr>
      </w:pPr>
      <w:hyperlink w:anchor="_Toc419723310" w:history="1">
        <w:r w:rsidRPr="00641846">
          <w:rPr>
            <w:rStyle w:val="Hyperlink"/>
            <w:noProof/>
          </w:rPr>
          <w:t>4.</w:t>
        </w:r>
        <w:r>
          <w:rPr>
            <w:rFonts w:asciiTheme="minorHAnsi" w:hAnsiTheme="minorHAnsi"/>
            <w:noProof/>
          </w:rPr>
          <w:tab/>
        </w:r>
        <w:r w:rsidRPr="00641846">
          <w:rPr>
            <w:rStyle w:val="Hyperlink"/>
            <w:noProof/>
          </w:rPr>
          <w:t>Test of Procedures or Methods to be Undertaken</w:t>
        </w:r>
        <w:r>
          <w:rPr>
            <w:noProof/>
            <w:webHidden/>
          </w:rPr>
          <w:tab/>
        </w:r>
        <w:r>
          <w:rPr>
            <w:noProof/>
            <w:webHidden/>
          </w:rPr>
          <w:fldChar w:fldCharType="begin"/>
        </w:r>
        <w:r>
          <w:rPr>
            <w:noProof/>
            <w:webHidden/>
          </w:rPr>
          <w:instrText xml:space="preserve"> PAGEREF _Toc419723310 \h </w:instrText>
        </w:r>
        <w:r>
          <w:rPr>
            <w:noProof/>
            <w:webHidden/>
          </w:rPr>
        </w:r>
        <w:r>
          <w:rPr>
            <w:noProof/>
            <w:webHidden/>
          </w:rPr>
          <w:fldChar w:fldCharType="separate"/>
        </w:r>
        <w:r>
          <w:rPr>
            <w:noProof/>
            <w:webHidden/>
          </w:rPr>
          <w:t>9</w:t>
        </w:r>
        <w:r>
          <w:rPr>
            <w:noProof/>
            <w:webHidden/>
          </w:rPr>
          <w:fldChar w:fldCharType="end"/>
        </w:r>
      </w:hyperlink>
    </w:p>
    <w:p w14:paraId="6C7537B5" w14:textId="77777777" w:rsidR="006E14C6" w:rsidRDefault="006E14C6">
      <w:pPr>
        <w:pStyle w:val="TOC2"/>
        <w:rPr>
          <w:rFonts w:asciiTheme="minorHAnsi" w:hAnsiTheme="minorHAnsi"/>
          <w:noProof/>
        </w:rPr>
      </w:pPr>
      <w:hyperlink w:anchor="_Toc419723311" w:history="1">
        <w:r w:rsidRPr="00641846">
          <w:rPr>
            <w:rStyle w:val="Hyperlink"/>
            <w:noProof/>
          </w:rPr>
          <w:t>5.</w:t>
        </w:r>
        <w:r>
          <w:rPr>
            <w:rFonts w:asciiTheme="minorHAnsi" w:hAnsiTheme="minorHAnsi"/>
            <w:noProof/>
          </w:rPr>
          <w:tab/>
        </w:r>
        <w:r w:rsidRPr="00641846">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_Toc419723311 \h </w:instrText>
        </w:r>
        <w:r>
          <w:rPr>
            <w:noProof/>
            <w:webHidden/>
          </w:rPr>
        </w:r>
        <w:r>
          <w:rPr>
            <w:noProof/>
            <w:webHidden/>
          </w:rPr>
          <w:fldChar w:fldCharType="separate"/>
        </w:r>
        <w:r>
          <w:rPr>
            <w:noProof/>
            <w:webHidden/>
          </w:rPr>
          <w:t>10</w:t>
        </w:r>
        <w:r>
          <w:rPr>
            <w:noProof/>
            <w:webHidden/>
          </w:rPr>
          <w:fldChar w:fldCharType="end"/>
        </w:r>
      </w:hyperlink>
    </w:p>
    <w:p w14:paraId="67E701C7" w14:textId="77777777" w:rsidR="006E14C6" w:rsidRDefault="006E14C6">
      <w:pPr>
        <w:pStyle w:val="TOC1"/>
        <w:tabs>
          <w:tab w:val="right" w:leader="dot" w:pos="9350"/>
        </w:tabs>
        <w:rPr>
          <w:rFonts w:asciiTheme="minorHAnsi" w:hAnsiTheme="minorHAnsi"/>
          <w:noProof/>
        </w:rPr>
      </w:pPr>
      <w:hyperlink w:anchor="_Toc419723312" w:history="1">
        <w:r w:rsidRPr="00641846">
          <w:rPr>
            <w:rStyle w:val="Hyperlink"/>
            <w:noProof/>
          </w:rPr>
          <w:t>LIST OF APPENDICES</w:t>
        </w:r>
        <w:r>
          <w:rPr>
            <w:noProof/>
            <w:webHidden/>
          </w:rPr>
          <w:tab/>
        </w:r>
        <w:r>
          <w:rPr>
            <w:noProof/>
            <w:webHidden/>
          </w:rPr>
          <w:fldChar w:fldCharType="begin"/>
        </w:r>
        <w:r>
          <w:rPr>
            <w:noProof/>
            <w:webHidden/>
          </w:rPr>
          <w:instrText xml:space="preserve"> PAGEREF _Toc419723312 \h </w:instrText>
        </w:r>
        <w:r>
          <w:rPr>
            <w:noProof/>
            <w:webHidden/>
          </w:rPr>
        </w:r>
        <w:r>
          <w:rPr>
            <w:noProof/>
            <w:webHidden/>
          </w:rPr>
          <w:fldChar w:fldCharType="separate"/>
        </w:r>
        <w:r>
          <w:rPr>
            <w:noProof/>
            <w:webHidden/>
          </w:rPr>
          <w:t>11</w:t>
        </w:r>
        <w:r>
          <w:rPr>
            <w:noProof/>
            <w:webHidden/>
          </w:rPr>
          <w:fldChar w:fldCharType="end"/>
        </w:r>
      </w:hyperlink>
    </w:p>
    <w:p w14:paraId="243C2635" w14:textId="77777777" w:rsidR="006E14C6" w:rsidRDefault="006E14C6">
      <w:pPr>
        <w:pStyle w:val="TOC1"/>
        <w:tabs>
          <w:tab w:val="right" w:leader="dot" w:pos="9350"/>
        </w:tabs>
        <w:rPr>
          <w:rFonts w:asciiTheme="minorHAnsi" w:hAnsiTheme="minorHAnsi"/>
          <w:noProof/>
        </w:rPr>
      </w:pPr>
      <w:hyperlink w:anchor="_Toc419723313" w:history="1">
        <w:r w:rsidRPr="00641846">
          <w:rPr>
            <w:rStyle w:val="Hyperlink"/>
            <w:noProof/>
          </w:rPr>
          <w:t>LIST OF ATTACHMENTS</w:t>
        </w:r>
        <w:r>
          <w:rPr>
            <w:noProof/>
            <w:webHidden/>
          </w:rPr>
          <w:tab/>
        </w:r>
        <w:r>
          <w:rPr>
            <w:noProof/>
            <w:webHidden/>
          </w:rPr>
          <w:fldChar w:fldCharType="begin"/>
        </w:r>
        <w:r>
          <w:rPr>
            <w:noProof/>
            <w:webHidden/>
          </w:rPr>
          <w:instrText xml:space="preserve"> PAGEREF _Toc419723313 \h </w:instrText>
        </w:r>
        <w:r>
          <w:rPr>
            <w:noProof/>
            <w:webHidden/>
          </w:rPr>
        </w:r>
        <w:r>
          <w:rPr>
            <w:noProof/>
            <w:webHidden/>
          </w:rPr>
          <w:fldChar w:fldCharType="separate"/>
        </w:r>
        <w:r>
          <w:rPr>
            <w:noProof/>
            <w:webHidden/>
          </w:rPr>
          <w:t>11</w:t>
        </w:r>
        <w:r>
          <w:rPr>
            <w:noProof/>
            <w:webHidden/>
          </w:rPr>
          <w:fldChar w:fldCharType="end"/>
        </w:r>
      </w:hyperlink>
    </w:p>
    <w:p w14:paraId="719FBF40" w14:textId="77777777" w:rsidR="00245F1F" w:rsidRDefault="00245F1F" w:rsidP="00BC6896">
      <w:pPr>
        <w:pStyle w:val="Heading3"/>
      </w:pPr>
      <w:r>
        <w:fldChar w:fldCharType="end"/>
      </w:r>
    </w:p>
    <w:p w14:paraId="719FBF41" w14:textId="77777777" w:rsidR="00245F1F" w:rsidRDefault="00245F1F">
      <w:pPr>
        <w:spacing w:after="200"/>
        <w:ind w:left="0"/>
        <w:rPr>
          <w:b/>
          <w:sz w:val="28"/>
        </w:rPr>
      </w:pPr>
      <w:r>
        <w:br w:type="page"/>
      </w:r>
    </w:p>
    <w:p w14:paraId="719FBF42" w14:textId="695374FB" w:rsidR="00B12F51" w:rsidRPr="00BC6896" w:rsidRDefault="00D34204" w:rsidP="00BC6896">
      <w:pPr>
        <w:pStyle w:val="Heading3"/>
      </w:pPr>
      <w:bookmarkStart w:id="2" w:name="_Toc419723306"/>
      <w:r>
        <w:lastRenderedPageBreak/>
        <w:t>Part</w:t>
      </w:r>
      <w:r w:rsidR="00B12F51" w:rsidRPr="00BC6896">
        <w:t xml:space="preserve"> B </w:t>
      </w:r>
      <w:r w:rsidR="00573EB1">
        <w:t>—</w:t>
      </w:r>
      <w:r w:rsidR="00B12F51" w:rsidRPr="00BC6896">
        <w:t xml:space="preserve"> </w:t>
      </w:r>
      <w:r w:rsidR="00287E2F" w:rsidRPr="00BC6896">
        <w:t>Collection</w:t>
      </w:r>
      <w:r w:rsidR="00BD47AB">
        <w:t>s of Information</w:t>
      </w:r>
      <w:r w:rsidR="00287E2F" w:rsidRPr="00BC6896">
        <w:t xml:space="preserve"> </w:t>
      </w:r>
      <w:r w:rsidR="00BD47AB">
        <w:t>Employing Statistical Methods</w:t>
      </w:r>
      <w:bookmarkEnd w:id="2"/>
    </w:p>
    <w:p w14:paraId="719FBF43" w14:textId="77777777" w:rsidR="00287E2F" w:rsidRDefault="00287E2F" w:rsidP="00BC6896"/>
    <w:p w14:paraId="719FBF44" w14:textId="77777777" w:rsidR="00A75D1C" w:rsidRPr="00BC6896" w:rsidRDefault="009759F3" w:rsidP="00991BF9">
      <w:pPr>
        <w:pStyle w:val="Heading4"/>
      </w:pPr>
      <w:bookmarkStart w:id="3" w:name="_Toc419723307"/>
      <w:r w:rsidRPr="00BC6896">
        <w:t xml:space="preserve">Respondent Universe and </w:t>
      </w:r>
      <w:r w:rsidRPr="00991BF9">
        <w:t>Sampling</w:t>
      </w:r>
      <w:r w:rsidRPr="00BC6896">
        <w:t xml:space="preserve"> Methods</w:t>
      </w:r>
      <w:bookmarkEnd w:id="3"/>
      <w:r w:rsidR="00A305CE" w:rsidRPr="00BC6896">
        <w:t xml:space="preserve"> </w:t>
      </w:r>
    </w:p>
    <w:p w14:paraId="4C249637" w14:textId="19AEFDE2" w:rsidR="008B4637" w:rsidRPr="00C97F1C" w:rsidRDefault="008B4637" w:rsidP="006A3D8C">
      <w:pPr>
        <w:pStyle w:val="Heading5"/>
        <w:numPr>
          <w:ilvl w:val="1"/>
          <w:numId w:val="1"/>
        </w:numPr>
        <w:rPr>
          <w:color w:val="auto"/>
        </w:rPr>
      </w:pPr>
      <w:r w:rsidRPr="00C97F1C">
        <w:rPr>
          <w:color w:val="auto"/>
        </w:rPr>
        <w:t>Respondent Universe</w:t>
      </w:r>
    </w:p>
    <w:p w14:paraId="58E2A5C8" w14:textId="0A67EFC4" w:rsidR="00C56DA3" w:rsidRDefault="008B4637" w:rsidP="00E64150">
      <w:pPr>
        <w:ind w:left="0"/>
      </w:pPr>
      <w:r w:rsidRPr="00C97F1C">
        <w:t>This</w:t>
      </w:r>
      <w:r w:rsidR="004210DF" w:rsidRPr="00C97F1C">
        <w:t xml:space="preserve"> research study</w:t>
      </w:r>
      <w:r w:rsidRPr="00C97F1C">
        <w:t xml:space="preserve"> will enroll </w:t>
      </w:r>
      <w:r w:rsidR="00C56DA3" w:rsidRPr="00C97F1C">
        <w:t xml:space="preserve">individuals with documented previous Ebola </w:t>
      </w:r>
      <w:r w:rsidR="00573EB1" w:rsidRPr="00C97F1C">
        <w:t>v</w:t>
      </w:r>
      <w:r w:rsidR="00C56DA3" w:rsidRPr="00C97F1C">
        <w:t>irus</w:t>
      </w:r>
      <w:r w:rsidR="004210DF" w:rsidRPr="00C97F1C">
        <w:t xml:space="preserve"> (EBOV)</w:t>
      </w:r>
      <w:r w:rsidR="00C56DA3" w:rsidRPr="00C97F1C">
        <w:t xml:space="preserve"> infection</w:t>
      </w:r>
      <w:r w:rsidRPr="00C97F1C">
        <w:t xml:space="preserve"> from </w:t>
      </w:r>
      <w:r w:rsidR="00F82C19" w:rsidRPr="00C97F1C">
        <w:t xml:space="preserve">four study sites in three high EVD burden districts in Sierra Leone (Western, Bombali, and Port Loko). </w:t>
      </w:r>
      <w:r w:rsidR="00C13E21" w:rsidRPr="00C97F1C">
        <w:t xml:space="preserve">Ebola virus disease </w:t>
      </w:r>
      <w:r w:rsidR="00C13E21">
        <w:t>(EVD) s</w:t>
      </w:r>
      <w:r>
        <w:t>urvivors</w:t>
      </w:r>
      <w:r w:rsidR="00C56DA3">
        <w:t xml:space="preserve"> at different points of convalescence</w:t>
      </w:r>
      <w:r>
        <w:t>,</w:t>
      </w:r>
      <w:r w:rsidR="00C56DA3">
        <w:t xml:space="preserve"> ranging from the time of discharge from an Ebola Treatment Unit (ETU) up to 30 weeks of convalescence</w:t>
      </w:r>
      <w:r>
        <w:t>, will be targeted for enrollment</w:t>
      </w:r>
      <w:r w:rsidR="00C56DA3">
        <w:t xml:space="preserve">. </w:t>
      </w:r>
    </w:p>
    <w:p w14:paraId="12C1A167" w14:textId="77777777" w:rsidR="008B4637" w:rsidRDefault="008B4637" w:rsidP="00E64150">
      <w:pPr>
        <w:ind w:left="0"/>
      </w:pPr>
    </w:p>
    <w:p w14:paraId="29599F39" w14:textId="4556B2E4" w:rsidR="008B4637" w:rsidRDefault="00B30DE6" w:rsidP="00E64150">
      <w:pPr>
        <w:ind w:left="0"/>
      </w:pPr>
      <w:r>
        <w:t xml:space="preserve">Eligible participants </w:t>
      </w:r>
      <w:r w:rsidR="00265917">
        <w:t xml:space="preserve">are adults (18 years </w:t>
      </w:r>
      <w:r w:rsidR="00573EB1">
        <w:t xml:space="preserve">of age </w:t>
      </w:r>
      <w:r w:rsidR="00265917">
        <w:t xml:space="preserve">or older) and </w:t>
      </w:r>
      <w:r w:rsidR="008B4637">
        <w:t xml:space="preserve">must demonstrate an EVD </w:t>
      </w:r>
      <w:r w:rsidR="003B549F">
        <w:t xml:space="preserve">discharge certificate and a national identification card in order </w:t>
      </w:r>
      <w:r w:rsidR="00C13E21">
        <w:t xml:space="preserve">to be </w:t>
      </w:r>
      <w:r w:rsidR="003B549F">
        <w:t>recruit</w:t>
      </w:r>
      <w:r w:rsidR="00C13E21">
        <w:t>ed</w:t>
      </w:r>
      <w:r w:rsidR="003B549F">
        <w:t xml:space="preserve">. In order to ensure survivor status and eligibility for the study, results may be cross-checked </w:t>
      </w:r>
      <w:r w:rsidR="00120C28">
        <w:t xml:space="preserve">against </w:t>
      </w:r>
      <w:r w:rsidR="003B549F">
        <w:t xml:space="preserve">the national laboratory database. </w:t>
      </w:r>
      <w:r w:rsidR="00F82C19">
        <w:t>Eligibility for each component of the study is as follows:</w:t>
      </w:r>
    </w:p>
    <w:p w14:paraId="752758F3" w14:textId="403657B9" w:rsidR="00F82C19" w:rsidRPr="00F82C19" w:rsidRDefault="00F82C19" w:rsidP="006A3D8C">
      <w:pPr>
        <w:pStyle w:val="Intextformat"/>
        <w:numPr>
          <w:ilvl w:val="0"/>
          <w:numId w:val="4"/>
        </w:numPr>
        <w:spacing w:before="0" w:after="0"/>
        <w:rPr>
          <w:rFonts w:asciiTheme="majorHAnsi" w:hAnsiTheme="majorHAnsi"/>
          <w:b/>
          <w:bCs/>
        </w:rPr>
      </w:pPr>
      <w:r w:rsidRPr="00F82C19">
        <w:rPr>
          <w:rFonts w:asciiTheme="majorHAnsi" w:hAnsiTheme="majorHAnsi"/>
          <w:b/>
          <w:bCs/>
        </w:rPr>
        <w:t>Pilot</w:t>
      </w:r>
      <w:r>
        <w:rPr>
          <w:rFonts w:asciiTheme="majorHAnsi" w:hAnsiTheme="majorHAnsi"/>
          <w:b/>
          <w:bCs/>
        </w:rPr>
        <w:t xml:space="preserve"> — </w:t>
      </w:r>
      <w:r w:rsidRPr="00F82C19">
        <w:rPr>
          <w:rFonts w:asciiTheme="majorHAnsi" w:hAnsiTheme="majorHAnsi"/>
        </w:rPr>
        <w:t xml:space="preserve">Adult male (18 years or above) survivors will be enrolled if eligible, with assistance of the survivors association in Freetown and the collaborating hospital and clinic. </w:t>
      </w:r>
    </w:p>
    <w:p w14:paraId="02A7CF0E" w14:textId="673F39AA" w:rsidR="00F82C19" w:rsidRPr="00F82C19" w:rsidRDefault="00F82C19" w:rsidP="006A3D8C">
      <w:pPr>
        <w:pStyle w:val="Intextformat"/>
        <w:numPr>
          <w:ilvl w:val="0"/>
          <w:numId w:val="4"/>
        </w:numPr>
        <w:spacing w:before="0" w:after="0"/>
        <w:rPr>
          <w:rFonts w:asciiTheme="majorHAnsi" w:hAnsiTheme="majorHAnsi"/>
          <w:b/>
          <w:bCs/>
        </w:rPr>
      </w:pPr>
      <w:r w:rsidRPr="00F82C19">
        <w:rPr>
          <w:rFonts w:asciiTheme="majorHAnsi" w:hAnsiTheme="majorHAnsi"/>
          <w:b/>
          <w:bCs/>
        </w:rPr>
        <w:t xml:space="preserve">Module A </w:t>
      </w:r>
      <w:r>
        <w:rPr>
          <w:rFonts w:asciiTheme="majorHAnsi" w:hAnsiTheme="majorHAnsi"/>
          <w:b/>
          <w:bCs/>
        </w:rPr>
        <w:t xml:space="preserve">— </w:t>
      </w:r>
      <w:r w:rsidRPr="00F82C19">
        <w:rPr>
          <w:rFonts w:asciiTheme="majorHAnsi" w:hAnsiTheme="majorHAnsi"/>
        </w:rPr>
        <w:t xml:space="preserve">All adult men or women (18 years or above), discharged from an ETU or selected from survivor registries with a certificate of recovery, are eligible. </w:t>
      </w:r>
    </w:p>
    <w:p w14:paraId="7ABEF4B2" w14:textId="329CB4BC" w:rsidR="00F82C19" w:rsidRPr="00F82C19" w:rsidRDefault="00F82C19" w:rsidP="006A3D8C">
      <w:pPr>
        <w:pStyle w:val="Intextformat"/>
        <w:numPr>
          <w:ilvl w:val="0"/>
          <w:numId w:val="4"/>
        </w:numPr>
        <w:spacing w:before="0" w:after="0"/>
        <w:rPr>
          <w:rFonts w:asciiTheme="majorHAnsi" w:hAnsiTheme="majorHAnsi"/>
        </w:rPr>
      </w:pPr>
      <w:r>
        <w:rPr>
          <w:rFonts w:asciiTheme="majorHAnsi" w:hAnsiTheme="majorHAnsi"/>
          <w:b/>
          <w:bCs/>
        </w:rPr>
        <w:t xml:space="preserve">Module B — </w:t>
      </w:r>
      <w:r w:rsidRPr="00F82C19">
        <w:rPr>
          <w:rFonts w:asciiTheme="majorHAnsi" w:hAnsiTheme="majorHAnsi"/>
        </w:rPr>
        <w:t xml:space="preserve">Lactating women </w:t>
      </w:r>
      <w:r>
        <w:rPr>
          <w:rFonts w:asciiTheme="majorHAnsi" w:hAnsiTheme="majorHAnsi"/>
        </w:rPr>
        <w:t>(</w:t>
      </w:r>
      <w:r w:rsidRPr="00F82C19">
        <w:rPr>
          <w:rFonts w:asciiTheme="majorHAnsi" w:hAnsiTheme="majorHAnsi"/>
        </w:rPr>
        <w:t>18 years or above</w:t>
      </w:r>
      <w:r>
        <w:rPr>
          <w:rFonts w:asciiTheme="majorHAnsi" w:hAnsiTheme="majorHAnsi"/>
        </w:rPr>
        <w:t>)</w:t>
      </w:r>
      <w:r w:rsidRPr="00F82C19">
        <w:rPr>
          <w:rFonts w:asciiTheme="majorHAnsi" w:hAnsiTheme="majorHAnsi"/>
        </w:rPr>
        <w:t xml:space="preserve">, discharged from an ETU or selected from survivor registries with a certificate of recovery are eligible. </w:t>
      </w:r>
    </w:p>
    <w:p w14:paraId="0E53C8AA" w14:textId="77777777" w:rsidR="00C56DA3" w:rsidRDefault="00C56DA3" w:rsidP="00E64150">
      <w:pPr>
        <w:ind w:left="0"/>
      </w:pPr>
    </w:p>
    <w:p w14:paraId="1AE3B255" w14:textId="42F8D88F" w:rsidR="008B4637" w:rsidRPr="00C97F1C" w:rsidRDefault="00C07ADA" w:rsidP="006A3D8C">
      <w:pPr>
        <w:pStyle w:val="Heading5"/>
        <w:numPr>
          <w:ilvl w:val="1"/>
          <w:numId w:val="1"/>
        </w:numPr>
        <w:rPr>
          <w:color w:val="auto"/>
        </w:rPr>
      </w:pPr>
      <w:r w:rsidRPr="00C97F1C">
        <w:rPr>
          <w:color w:val="auto"/>
        </w:rPr>
        <w:t>Sampl</w:t>
      </w:r>
      <w:r w:rsidR="00015037" w:rsidRPr="00C97F1C">
        <w:rPr>
          <w:color w:val="auto"/>
        </w:rPr>
        <w:t>e</w:t>
      </w:r>
      <w:r w:rsidR="008B4637" w:rsidRPr="00C97F1C">
        <w:rPr>
          <w:color w:val="auto"/>
        </w:rPr>
        <w:t xml:space="preserve"> </w:t>
      </w:r>
      <w:r w:rsidR="00C13E21" w:rsidRPr="00C97F1C">
        <w:rPr>
          <w:color w:val="auto"/>
        </w:rPr>
        <w:t>S</w:t>
      </w:r>
      <w:r w:rsidR="00333517" w:rsidRPr="00C97F1C">
        <w:rPr>
          <w:color w:val="auto"/>
        </w:rPr>
        <w:t>ize</w:t>
      </w:r>
    </w:p>
    <w:p w14:paraId="41821F4E" w14:textId="225C1D90" w:rsidR="00333517" w:rsidRDefault="00333517" w:rsidP="00333517">
      <w:pPr>
        <w:ind w:left="0"/>
      </w:pPr>
      <w:r w:rsidRPr="00C97F1C">
        <w:t xml:space="preserve">As this project will be conducted in the midst of an ongoing public health response, sample sizes may be adjusted by the </w:t>
      </w:r>
      <w:r>
        <w:t>Sierra Leone Minis</w:t>
      </w:r>
      <w:r w:rsidR="00BA52A6">
        <w:t>try of Health and Sanitation (Mo</w:t>
      </w:r>
      <w:r>
        <w:t xml:space="preserve">HS) </w:t>
      </w:r>
      <w:r w:rsidR="00C03F43">
        <w:t>and the Ministry of Social Welfare, Gender</w:t>
      </w:r>
      <w:r w:rsidR="00C13E21">
        <w:t>,</w:t>
      </w:r>
      <w:r w:rsidR="00C03F43">
        <w:t xml:space="preserve"> and Children’s Affairs (MSWGCA) </w:t>
      </w:r>
      <w:r w:rsidRPr="00F605F1">
        <w:t>in accordance with national and local capacity and in a manner such that they will not interfere with response efforts.</w:t>
      </w:r>
      <w:r>
        <w:t xml:space="preserve"> </w:t>
      </w:r>
      <w:r w:rsidRPr="00F605F1">
        <w:t xml:space="preserve">The number of participants will depend largely upon the number of </w:t>
      </w:r>
      <w:r w:rsidR="00C13E21">
        <w:t xml:space="preserve">EVD </w:t>
      </w:r>
      <w:r w:rsidRPr="00F605F1">
        <w:t xml:space="preserve">survivors </w:t>
      </w:r>
      <w:r w:rsidR="00C73033">
        <w:t>from the selected clinic sites</w:t>
      </w:r>
      <w:r w:rsidRPr="00F605F1">
        <w:t xml:space="preserve"> who can be located and agree to provide </w:t>
      </w:r>
      <w:r w:rsidR="00C13E21">
        <w:t xml:space="preserve">body </w:t>
      </w:r>
      <w:r w:rsidRPr="00F605F1">
        <w:t>fluid specimens.</w:t>
      </w:r>
      <w:r w:rsidRPr="003B549F">
        <w:t xml:space="preserve"> </w:t>
      </w:r>
    </w:p>
    <w:p w14:paraId="3AF9ACD4" w14:textId="77777777" w:rsidR="00333517" w:rsidRDefault="00333517" w:rsidP="00333517">
      <w:pPr>
        <w:ind w:left="0"/>
      </w:pPr>
    </w:p>
    <w:p w14:paraId="3FD027A8" w14:textId="781734DC" w:rsidR="00333517" w:rsidRDefault="008B63CF" w:rsidP="00333517">
      <w:pPr>
        <w:ind w:left="0"/>
      </w:pPr>
      <w:r>
        <w:t>Sample sizes for each component of the study are as follows:</w:t>
      </w:r>
    </w:p>
    <w:p w14:paraId="1D7D784F" w14:textId="09DF9126" w:rsidR="00B77E1A" w:rsidRPr="004261F1" w:rsidRDefault="00B77E1A" w:rsidP="006A3D8C">
      <w:pPr>
        <w:pStyle w:val="Intextformat"/>
        <w:numPr>
          <w:ilvl w:val="0"/>
          <w:numId w:val="6"/>
        </w:numPr>
        <w:spacing w:before="0" w:after="0"/>
        <w:rPr>
          <w:rFonts w:asciiTheme="majorHAnsi" w:hAnsiTheme="majorHAnsi"/>
          <w:b/>
        </w:rPr>
      </w:pPr>
      <w:r w:rsidRPr="004261F1">
        <w:rPr>
          <w:rFonts w:asciiTheme="majorHAnsi" w:hAnsiTheme="majorHAnsi"/>
          <w:b/>
        </w:rPr>
        <w:t>Pilot</w:t>
      </w:r>
      <w:r w:rsidR="004261F1">
        <w:rPr>
          <w:rFonts w:asciiTheme="majorHAnsi" w:hAnsiTheme="majorHAnsi"/>
          <w:b/>
        </w:rPr>
        <w:t xml:space="preserve"> </w:t>
      </w:r>
      <w:r w:rsidR="004261F1">
        <w:rPr>
          <w:rFonts w:asciiTheme="majorHAnsi" w:hAnsiTheme="majorHAnsi"/>
          <w:b/>
          <w:bCs/>
        </w:rPr>
        <w:t>—</w:t>
      </w:r>
      <w:r w:rsidR="004261F1">
        <w:rPr>
          <w:rFonts w:asciiTheme="majorHAnsi" w:hAnsiTheme="majorHAnsi"/>
          <w:b/>
        </w:rPr>
        <w:t xml:space="preserve"> </w:t>
      </w:r>
      <w:r w:rsidRPr="004261F1">
        <w:rPr>
          <w:rFonts w:asciiTheme="majorHAnsi" w:hAnsiTheme="majorHAnsi"/>
        </w:rPr>
        <w:t>A maximum of 100 patients will be included with a target of 40% between 2 and 3 months convalescence period and 60% with over 3 months convalescence period.</w:t>
      </w:r>
    </w:p>
    <w:p w14:paraId="681C2F73" w14:textId="3F96519F" w:rsidR="00B77E1A" w:rsidRPr="004261F1" w:rsidRDefault="00B77E1A" w:rsidP="006A3D8C">
      <w:pPr>
        <w:pStyle w:val="Intextformat"/>
        <w:numPr>
          <w:ilvl w:val="0"/>
          <w:numId w:val="6"/>
        </w:numPr>
        <w:spacing w:before="0" w:after="0"/>
        <w:rPr>
          <w:rFonts w:asciiTheme="majorHAnsi" w:hAnsiTheme="majorHAnsi"/>
          <w:b/>
        </w:rPr>
      </w:pPr>
      <w:r w:rsidRPr="004261F1">
        <w:rPr>
          <w:rFonts w:asciiTheme="majorHAnsi" w:hAnsiTheme="majorHAnsi"/>
          <w:b/>
        </w:rPr>
        <w:t>Module A</w:t>
      </w:r>
      <w:r w:rsidR="004261F1">
        <w:rPr>
          <w:rFonts w:asciiTheme="majorHAnsi" w:hAnsiTheme="majorHAnsi"/>
          <w:b/>
        </w:rPr>
        <w:t xml:space="preserve"> </w:t>
      </w:r>
      <w:r w:rsidR="004261F1">
        <w:rPr>
          <w:rFonts w:asciiTheme="majorHAnsi" w:hAnsiTheme="majorHAnsi"/>
          <w:b/>
          <w:bCs/>
        </w:rPr>
        <w:t xml:space="preserve">— </w:t>
      </w:r>
      <w:r w:rsidRPr="004261F1">
        <w:rPr>
          <w:rFonts w:asciiTheme="majorHAnsi" w:hAnsiTheme="majorHAnsi"/>
        </w:rPr>
        <w:t>There will be two relevant enrollment targets:</w:t>
      </w:r>
    </w:p>
    <w:p w14:paraId="64DA58F6" w14:textId="77777777" w:rsidR="004261F1" w:rsidRPr="004261F1" w:rsidRDefault="00B77E1A" w:rsidP="006A3D8C">
      <w:pPr>
        <w:pStyle w:val="ListParagraph"/>
        <w:numPr>
          <w:ilvl w:val="1"/>
          <w:numId w:val="6"/>
        </w:numPr>
        <w:pBdr>
          <w:top w:val="nil"/>
          <w:left w:val="nil"/>
          <w:bottom w:val="nil"/>
          <w:right w:val="nil"/>
          <w:between w:val="nil"/>
          <w:bar w:val="nil"/>
        </w:pBdr>
        <w:contextualSpacing w:val="0"/>
        <w:rPr>
          <w:rFonts w:eastAsia="Arial" w:cs="Arial"/>
        </w:rPr>
      </w:pPr>
      <w:r w:rsidRPr="004261F1">
        <w:t>New survivors sample: recruitment of up to 16 (max) patients per week (if excess available this may be expandable dependent on capacity to investigate further numbers without detriment to local care provision, if not then recruitment shall be of equal gender distribution if possible) during a recruitment period expected to last one month</w:t>
      </w:r>
    </w:p>
    <w:p w14:paraId="2FB37546" w14:textId="77777777" w:rsidR="004261F1" w:rsidRPr="004261F1" w:rsidRDefault="00B77E1A" w:rsidP="006A3D8C">
      <w:pPr>
        <w:pStyle w:val="ListParagraph"/>
        <w:numPr>
          <w:ilvl w:val="1"/>
          <w:numId w:val="6"/>
        </w:numPr>
        <w:pBdr>
          <w:top w:val="nil"/>
          <w:left w:val="nil"/>
          <w:bottom w:val="nil"/>
          <w:right w:val="nil"/>
          <w:between w:val="nil"/>
          <w:bar w:val="nil"/>
        </w:pBdr>
        <w:contextualSpacing w:val="0"/>
        <w:rPr>
          <w:rFonts w:eastAsia="Arial" w:cs="Arial"/>
        </w:rPr>
      </w:pPr>
      <w:r w:rsidRPr="004261F1">
        <w:t>Established survivor sample:</w:t>
      </w:r>
    </w:p>
    <w:p w14:paraId="052457A7" w14:textId="77777777" w:rsidR="004261F1" w:rsidRPr="004261F1" w:rsidRDefault="00B77E1A" w:rsidP="006A3D8C">
      <w:pPr>
        <w:pStyle w:val="ListParagraph"/>
        <w:numPr>
          <w:ilvl w:val="2"/>
          <w:numId w:val="6"/>
        </w:numPr>
        <w:pBdr>
          <w:top w:val="nil"/>
          <w:left w:val="nil"/>
          <w:bottom w:val="nil"/>
          <w:right w:val="nil"/>
          <w:between w:val="nil"/>
          <w:bar w:val="nil"/>
        </w:pBdr>
        <w:contextualSpacing w:val="0"/>
        <w:rPr>
          <w:rFonts w:eastAsia="Arial" w:cs="Arial"/>
        </w:rPr>
      </w:pPr>
      <w:r w:rsidRPr="004261F1">
        <w:t>A sample of 50 patients (25 male + 25 female) will be enrolled, these are all at less than or equal to 4 weeks post discharge</w:t>
      </w:r>
    </w:p>
    <w:p w14:paraId="37B26C09" w14:textId="6256885E" w:rsidR="00B77E1A" w:rsidRPr="004261F1" w:rsidRDefault="00B77E1A" w:rsidP="006A3D8C">
      <w:pPr>
        <w:pStyle w:val="ListParagraph"/>
        <w:numPr>
          <w:ilvl w:val="2"/>
          <w:numId w:val="6"/>
        </w:numPr>
        <w:pBdr>
          <w:top w:val="nil"/>
          <w:left w:val="nil"/>
          <w:bottom w:val="nil"/>
          <w:right w:val="nil"/>
          <w:between w:val="nil"/>
          <w:bar w:val="nil"/>
        </w:pBdr>
        <w:contextualSpacing w:val="0"/>
        <w:rPr>
          <w:rFonts w:eastAsia="Arial" w:cs="Arial"/>
        </w:rPr>
      </w:pPr>
      <w:r w:rsidRPr="004261F1">
        <w:lastRenderedPageBreak/>
        <w:t>300 patients (150 male + 150 female) will be recruited at greater than 4 weeks post discharge, but less than 30 weeks. No more than 10 patients of a single gender shall be recruited into a single week</w:t>
      </w:r>
    </w:p>
    <w:p w14:paraId="1447EF37" w14:textId="09B1709C" w:rsidR="00B77E1A" w:rsidRPr="004261F1" w:rsidRDefault="00B77E1A" w:rsidP="006A3D8C">
      <w:pPr>
        <w:pStyle w:val="Body"/>
        <w:numPr>
          <w:ilvl w:val="0"/>
          <w:numId w:val="6"/>
        </w:numPr>
        <w:spacing w:line="276" w:lineRule="auto"/>
        <w:rPr>
          <w:rFonts w:asciiTheme="majorHAnsi" w:eastAsia="Arial" w:hAnsiTheme="majorHAnsi" w:cs="Arial"/>
          <w:b/>
          <w:sz w:val="22"/>
          <w:szCs w:val="22"/>
        </w:rPr>
      </w:pPr>
      <w:r w:rsidRPr="004261F1">
        <w:rPr>
          <w:rFonts w:asciiTheme="majorHAnsi" w:hAnsiTheme="majorHAnsi"/>
          <w:b/>
          <w:sz w:val="22"/>
          <w:szCs w:val="22"/>
        </w:rPr>
        <w:t>Module B</w:t>
      </w:r>
      <w:r w:rsidR="004261F1">
        <w:rPr>
          <w:rFonts w:asciiTheme="majorHAnsi" w:hAnsiTheme="majorHAnsi"/>
          <w:b/>
          <w:sz w:val="22"/>
          <w:szCs w:val="22"/>
        </w:rPr>
        <w:t xml:space="preserve"> </w:t>
      </w:r>
      <w:r w:rsidR="004261F1">
        <w:rPr>
          <w:rFonts w:asciiTheme="majorHAnsi" w:hAnsiTheme="majorHAnsi"/>
          <w:b/>
          <w:bCs/>
        </w:rPr>
        <w:t xml:space="preserve">— </w:t>
      </w:r>
      <w:r w:rsidRPr="004261F1">
        <w:rPr>
          <w:rFonts w:asciiTheme="majorHAnsi" w:hAnsiTheme="majorHAnsi"/>
          <w:sz w:val="22"/>
          <w:szCs w:val="22"/>
        </w:rPr>
        <w:t>Participants meeting eligibility criteria may be rare and it may be that relatively few mothers will have those characteristics and be able to provide the requested milk and sweat specimens. A target of 100 lacta</w:t>
      </w:r>
      <w:r w:rsidR="00C97F1C">
        <w:rPr>
          <w:rFonts w:asciiTheme="majorHAnsi" w:hAnsiTheme="majorHAnsi"/>
          <w:sz w:val="22"/>
          <w:szCs w:val="22"/>
        </w:rPr>
        <w:t>ting women will be enrolled in M</w:t>
      </w:r>
      <w:r w:rsidRPr="004261F1">
        <w:rPr>
          <w:rFonts w:asciiTheme="majorHAnsi" w:hAnsiTheme="majorHAnsi"/>
          <w:sz w:val="22"/>
          <w:szCs w:val="22"/>
        </w:rPr>
        <w:t>odule B.</w:t>
      </w:r>
    </w:p>
    <w:p w14:paraId="60B2A428" w14:textId="2E9A92B9" w:rsidR="00333517" w:rsidRDefault="00333517" w:rsidP="004261F1">
      <w:pPr>
        <w:pStyle w:val="ListParagraph"/>
      </w:pPr>
    </w:p>
    <w:p w14:paraId="45B9AB04" w14:textId="15B28CCA" w:rsidR="00984B4F" w:rsidRDefault="004B12A6" w:rsidP="00817B4B">
      <w:pPr>
        <w:ind w:left="0"/>
      </w:pPr>
      <w:r>
        <w:t>I</w:t>
      </w:r>
      <w:r w:rsidR="00984B4F">
        <w:t>f the number of patients discharged from ETUs per week is no longer sufficient to meet study sample sizes (i.e., by the time Modules A and B are implemented), i</w:t>
      </w:r>
      <w:r>
        <w:t>t is anticipated that the</w:t>
      </w:r>
      <w:r w:rsidR="00984B4F">
        <w:t xml:space="preserve">re will be adequate numbers </w:t>
      </w:r>
      <w:r w:rsidR="00480DB0">
        <w:t>of potential participants in survivor registries</w:t>
      </w:r>
      <w:r w:rsidR="00984B4F">
        <w:t xml:space="preserve"> to meet the study sample sizes.</w:t>
      </w:r>
      <w:r>
        <w:t xml:space="preserve"> </w:t>
      </w:r>
    </w:p>
    <w:p w14:paraId="54AE7D72" w14:textId="77777777" w:rsidR="00984B4F" w:rsidRDefault="00984B4F" w:rsidP="00817B4B">
      <w:pPr>
        <w:ind w:left="0"/>
      </w:pPr>
    </w:p>
    <w:p w14:paraId="1729EC64" w14:textId="7EE28FAB" w:rsidR="00817B4B" w:rsidRDefault="00817B4B" w:rsidP="00817B4B">
      <w:pPr>
        <w:ind w:left="0"/>
      </w:pPr>
      <w:r>
        <w:t>For the primary outcome of live virus isolated in tissue culture, even one positive result is of interest; as such a finding would be expected to have important implications for guidance to future caregivers,</w:t>
      </w:r>
      <w:r w:rsidR="00BA52A6">
        <w:t xml:space="preserve"> patients, and their families. </w:t>
      </w:r>
      <w:r>
        <w:t>Similarly, we would not want to conclude that there is no probability of persistent live EBOV virus in the fluids we test if, in reality (within the</w:t>
      </w:r>
      <w:r w:rsidR="00BA52A6">
        <w:t xml:space="preserve"> larger population), there is. </w:t>
      </w:r>
      <w:r>
        <w:t>Therefore, the primary power calculation of interest is the degree of confidence we can have in a null (no positives) result from our tissue culture testing. In other words, we need to know the upper confidence limit for a calculated proportion of 0% in our study.</w:t>
      </w:r>
    </w:p>
    <w:p w14:paraId="60E57339" w14:textId="77777777" w:rsidR="00817B4B" w:rsidRDefault="00817B4B" w:rsidP="00817B4B">
      <w:pPr>
        <w:ind w:left="0"/>
      </w:pPr>
    </w:p>
    <w:p w14:paraId="7E1B3AB6" w14:textId="12828C9A" w:rsidR="00BA1F1A" w:rsidRDefault="00817B4B" w:rsidP="00BA1F1A">
      <w:pPr>
        <w:ind w:left="0"/>
      </w:pPr>
      <w:r>
        <w:t>There are several ways to calculate an upper bound for a 95% confidence interval for a 0% finding.  The rule of thumb for the upper bound is 3/N, where N is t</w:t>
      </w:r>
      <w:r w:rsidR="00BA52A6">
        <w:t xml:space="preserve">he number of specimens tested. </w:t>
      </w:r>
      <w:r>
        <w:t>This method is accurate when the sample is sufficiently large. Calculating the upper bound precisely requires use</w:t>
      </w:r>
      <w:r w:rsidR="00BA52A6">
        <w:t xml:space="preserve"> of the binomial distribution. </w:t>
      </w:r>
      <w:r>
        <w:t>The table below lists the upper bounds for a 1-sided 95% confidence interval estimated using Stata SE V12.1</w:t>
      </w:r>
      <w:r w:rsidR="00FC45A8">
        <w:t>:</w:t>
      </w:r>
    </w:p>
    <w:p w14:paraId="16A7E16C" w14:textId="77777777" w:rsidR="00BA1F1A" w:rsidRDefault="00BA1F1A" w:rsidP="00BA1F1A">
      <w:pPr>
        <w:ind w:left="0"/>
      </w:pPr>
    </w:p>
    <w:tbl>
      <w:tblPr>
        <w:tblW w:w="5611" w:type="dxa"/>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960"/>
        <w:gridCol w:w="960"/>
        <w:gridCol w:w="960"/>
        <w:gridCol w:w="960"/>
      </w:tblGrid>
      <w:tr w:rsidR="00BA1F1A" w14:paraId="7F66F1D7" w14:textId="77777777" w:rsidTr="00817B4B">
        <w:trPr>
          <w:trHeight w:val="238"/>
        </w:trPr>
        <w:tc>
          <w:tcPr>
            <w:tcW w:w="1771" w:type="dxa"/>
            <w:shd w:val="clear" w:color="auto" w:fill="auto"/>
            <w:tcMar>
              <w:top w:w="80" w:type="dxa"/>
              <w:left w:w="80" w:type="dxa"/>
              <w:bottom w:w="80" w:type="dxa"/>
              <w:right w:w="80" w:type="dxa"/>
            </w:tcMar>
            <w:vAlign w:val="bottom"/>
          </w:tcPr>
          <w:p w14:paraId="289CD558" w14:textId="77777777" w:rsidR="00BA1F1A" w:rsidRPr="003B09EF" w:rsidRDefault="00BA1F1A" w:rsidP="00E2087D">
            <w:pPr>
              <w:pStyle w:val="Body"/>
              <w:rPr>
                <w:rFonts w:asciiTheme="majorHAnsi" w:hAnsiTheme="majorHAnsi"/>
              </w:rPr>
            </w:pPr>
            <w:r w:rsidRPr="003B09EF">
              <w:rPr>
                <w:rFonts w:asciiTheme="majorHAnsi" w:hAnsiTheme="majorHAnsi"/>
                <w:sz w:val="22"/>
                <w:szCs w:val="22"/>
                <w:lang w:val="en-US"/>
              </w:rPr>
              <w:t>Numerator</w:t>
            </w:r>
          </w:p>
        </w:tc>
        <w:tc>
          <w:tcPr>
            <w:tcW w:w="960" w:type="dxa"/>
            <w:shd w:val="clear" w:color="auto" w:fill="auto"/>
            <w:tcMar>
              <w:top w:w="80" w:type="dxa"/>
              <w:left w:w="80" w:type="dxa"/>
              <w:bottom w:w="80" w:type="dxa"/>
              <w:right w:w="80" w:type="dxa"/>
            </w:tcMar>
            <w:vAlign w:val="bottom"/>
          </w:tcPr>
          <w:p w14:paraId="23B14E69"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6419E9E2"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512E77D7"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7EB84CCB"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r>
      <w:tr w:rsidR="00BA1F1A" w14:paraId="4A5188A7" w14:textId="77777777" w:rsidTr="00817B4B">
        <w:trPr>
          <w:trHeight w:val="243"/>
        </w:trPr>
        <w:tc>
          <w:tcPr>
            <w:tcW w:w="1771" w:type="dxa"/>
            <w:shd w:val="clear" w:color="auto" w:fill="auto"/>
            <w:tcMar>
              <w:top w:w="80" w:type="dxa"/>
              <w:left w:w="80" w:type="dxa"/>
              <w:bottom w:w="80" w:type="dxa"/>
              <w:right w:w="80" w:type="dxa"/>
            </w:tcMar>
            <w:vAlign w:val="bottom"/>
          </w:tcPr>
          <w:p w14:paraId="2B58CD1A" w14:textId="77777777" w:rsidR="00BA1F1A" w:rsidRPr="003B09EF" w:rsidRDefault="00BA1F1A" w:rsidP="00E2087D">
            <w:pPr>
              <w:pStyle w:val="Body"/>
              <w:rPr>
                <w:rFonts w:asciiTheme="majorHAnsi" w:hAnsiTheme="majorHAnsi"/>
              </w:rPr>
            </w:pPr>
            <w:r w:rsidRPr="003B09EF">
              <w:rPr>
                <w:rFonts w:asciiTheme="majorHAnsi" w:hAnsiTheme="majorHAnsi"/>
                <w:sz w:val="22"/>
                <w:szCs w:val="22"/>
                <w:lang w:val="en-US"/>
              </w:rPr>
              <w:t>Denominator</w:t>
            </w:r>
          </w:p>
        </w:tc>
        <w:tc>
          <w:tcPr>
            <w:tcW w:w="960" w:type="dxa"/>
            <w:shd w:val="clear" w:color="auto" w:fill="auto"/>
            <w:tcMar>
              <w:top w:w="80" w:type="dxa"/>
              <w:left w:w="80" w:type="dxa"/>
              <w:bottom w:w="80" w:type="dxa"/>
              <w:right w:w="80" w:type="dxa"/>
            </w:tcMar>
            <w:vAlign w:val="bottom"/>
          </w:tcPr>
          <w:p w14:paraId="08C12C00"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50</w:t>
            </w:r>
          </w:p>
        </w:tc>
        <w:tc>
          <w:tcPr>
            <w:tcW w:w="960" w:type="dxa"/>
            <w:shd w:val="clear" w:color="auto" w:fill="auto"/>
            <w:tcMar>
              <w:top w:w="80" w:type="dxa"/>
              <w:left w:w="80" w:type="dxa"/>
              <w:bottom w:w="80" w:type="dxa"/>
              <w:right w:w="80" w:type="dxa"/>
            </w:tcMar>
            <w:vAlign w:val="bottom"/>
          </w:tcPr>
          <w:p w14:paraId="75C1AF66"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100</w:t>
            </w:r>
          </w:p>
        </w:tc>
        <w:tc>
          <w:tcPr>
            <w:tcW w:w="960" w:type="dxa"/>
            <w:shd w:val="clear" w:color="auto" w:fill="auto"/>
            <w:tcMar>
              <w:top w:w="80" w:type="dxa"/>
              <w:left w:w="80" w:type="dxa"/>
              <w:bottom w:w="80" w:type="dxa"/>
              <w:right w:w="80" w:type="dxa"/>
            </w:tcMar>
            <w:vAlign w:val="bottom"/>
          </w:tcPr>
          <w:p w14:paraId="2272CD20"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200</w:t>
            </w:r>
          </w:p>
        </w:tc>
        <w:tc>
          <w:tcPr>
            <w:tcW w:w="960" w:type="dxa"/>
            <w:shd w:val="clear" w:color="auto" w:fill="auto"/>
            <w:tcMar>
              <w:top w:w="80" w:type="dxa"/>
              <w:left w:w="80" w:type="dxa"/>
              <w:bottom w:w="80" w:type="dxa"/>
              <w:right w:w="80" w:type="dxa"/>
            </w:tcMar>
            <w:vAlign w:val="bottom"/>
          </w:tcPr>
          <w:p w14:paraId="2933FBD9"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300</w:t>
            </w:r>
          </w:p>
        </w:tc>
      </w:tr>
      <w:tr w:rsidR="00BA1F1A" w14:paraId="24D353B2" w14:textId="77777777" w:rsidTr="00817B4B">
        <w:trPr>
          <w:trHeight w:val="250"/>
        </w:trPr>
        <w:tc>
          <w:tcPr>
            <w:tcW w:w="1771" w:type="dxa"/>
            <w:shd w:val="clear" w:color="auto" w:fill="F2F2F2"/>
            <w:tcMar>
              <w:top w:w="80" w:type="dxa"/>
              <w:left w:w="80" w:type="dxa"/>
              <w:bottom w:w="80" w:type="dxa"/>
              <w:right w:w="80" w:type="dxa"/>
            </w:tcMar>
            <w:vAlign w:val="bottom"/>
          </w:tcPr>
          <w:p w14:paraId="34F439D2" w14:textId="77777777" w:rsidR="00BA1F1A" w:rsidRPr="003B09EF" w:rsidRDefault="00BA1F1A" w:rsidP="00E2087D"/>
        </w:tc>
        <w:tc>
          <w:tcPr>
            <w:tcW w:w="960" w:type="dxa"/>
            <w:shd w:val="clear" w:color="auto" w:fill="F2F2F2"/>
            <w:tcMar>
              <w:top w:w="80" w:type="dxa"/>
              <w:left w:w="80" w:type="dxa"/>
              <w:bottom w:w="80" w:type="dxa"/>
              <w:right w:w="80" w:type="dxa"/>
            </w:tcMar>
            <w:vAlign w:val="bottom"/>
          </w:tcPr>
          <w:p w14:paraId="185B0E40" w14:textId="77777777" w:rsidR="00BA1F1A" w:rsidRPr="003B09EF" w:rsidRDefault="00BA1F1A" w:rsidP="00E2087D"/>
        </w:tc>
        <w:tc>
          <w:tcPr>
            <w:tcW w:w="960" w:type="dxa"/>
            <w:shd w:val="clear" w:color="auto" w:fill="F2F2F2"/>
            <w:tcMar>
              <w:top w:w="80" w:type="dxa"/>
              <w:left w:w="80" w:type="dxa"/>
              <w:bottom w:w="80" w:type="dxa"/>
              <w:right w:w="80" w:type="dxa"/>
            </w:tcMar>
            <w:vAlign w:val="bottom"/>
          </w:tcPr>
          <w:p w14:paraId="783E625F" w14:textId="77777777" w:rsidR="00BA1F1A" w:rsidRPr="003B09EF" w:rsidRDefault="00BA1F1A" w:rsidP="00E2087D"/>
        </w:tc>
        <w:tc>
          <w:tcPr>
            <w:tcW w:w="960" w:type="dxa"/>
            <w:shd w:val="clear" w:color="auto" w:fill="F2F2F2"/>
            <w:tcMar>
              <w:top w:w="80" w:type="dxa"/>
              <w:left w:w="80" w:type="dxa"/>
              <w:bottom w:w="80" w:type="dxa"/>
              <w:right w:w="80" w:type="dxa"/>
            </w:tcMar>
            <w:vAlign w:val="bottom"/>
          </w:tcPr>
          <w:p w14:paraId="0C50CE67" w14:textId="77777777" w:rsidR="00BA1F1A" w:rsidRPr="003B09EF" w:rsidRDefault="00BA1F1A" w:rsidP="00E2087D"/>
        </w:tc>
        <w:tc>
          <w:tcPr>
            <w:tcW w:w="960" w:type="dxa"/>
            <w:shd w:val="clear" w:color="auto" w:fill="F2F2F2"/>
            <w:tcMar>
              <w:top w:w="80" w:type="dxa"/>
              <w:left w:w="80" w:type="dxa"/>
              <w:bottom w:w="80" w:type="dxa"/>
              <w:right w:w="80" w:type="dxa"/>
            </w:tcMar>
            <w:vAlign w:val="bottom"/>
          </w:tcPr>
          <w:p w14:paraId="130AEA83" w14:textId="77777777" w:rsidR="00BA1F1A" w:rsidRPr="003B09EF" w:rsidRDefault="00BA1F1A" w:rsidP="00E2087D"/>
        </w:tc>
      </w:tr>
      <w:tr w:rsidR="00BA1F1A" w14:paraId="206391F5" w14:textId="77777777" w:rsidTr="00817B4B">
        <w:trPr>
          <w:trHeight w:val="243"/>
        </w:trPr>
        <w:tc>
          <w:tcPr>
            <w:tcW w:w="1771" w:type="dxa"/>
            <w:shd w:val="clear" w:color="auto" w:fill="auto"/>
            <w:tcMar>
              <w:top w:w="80" w:type="dxa"/>
              <w:left w:w="80" w:type="dxa"/>
              <w:bottom w:w="80" w:type="dxa"/>
              <w:right w:w="80" w:type="dxa"/>
            </w:tcMar>
            <w:vAlign w:val="bottom"/>
          </w:tcPr>
          <w:p w14:paraId="5A3E9EAA" w14:textId="77777777" w:rsidR="00BA1F1A" w:rsidRPr="003B09EF" w:rsidRDefault="00BA1F1A" w:rsidP="00E2087D">
            <w:pPr>
              <w:pStyle w:val="Body"/>
              <w:rPr>
                <w:rFonts w:asciiTheme="majorHAnsi" w:hAnsiTheme="majorHAnsi"/>
              </w:rPr>
            </w:pPr>
            <w:r w:rsidRPr="003B09EF">
              <w:rPr>
                <w:rFonts w:asciiTheme="majorHAnsi" w:hAnsiTheme="majorHAnsi"/>
                <w:sz w:val="22"/>
                <w:szCs w:val="22"/>
                <w:lang w:val="en-US"/>
              </w:rPr>
              <w:t>Upper bound</w:t>
            </w:r>
          </w:p>
        </w:tc>
        <w:tc>
          <w:tcPr>
            <w:tcW w:w="960" w:type="dxa"/>
            <w:shd w:val="clear" w:color="auto" w:fill="auto"/>
            <w:tcMar>
              <w:top w:w="80" w:type="dxa"/>
              <w:left w:w="80" w:type="dxa"/>
              <w:bottom w:w="80" w:type="dxa"/>
              <w:right w:w="80" w:type="dxa"/>
            </w:tcMar>
            <w:vAlign w:val="bottom"/>
          </w:tcPr>
          <w:p w14:paraId="2F59D925"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7.1%</w:t>
            </w:r>
          </w:p>
        </w:tc>
        <w:tc>
          <w:tcPr>
            <w:tcW w:w="960" w:type="dxa"/>
            <w:shd w:val="clear" w:color="auto" w:fill="auto"/>
            <w:tcMar>
              <w:top w:w="80" w:type="dxa"/>
              <w:left w:w="80" w:type="dxa"/>
              <w:bottom w:w="80" w:type="dxa"/>
              <w:right w:w="80" w:type="dxa"/>
            </w:tcMar>
            <w:vAlign w:val="bottom"/>
          </w:tcPr>
          <w:p w14:paraId="24EC1DCF"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3.6%</w:t>
            </w:r>
          </w:p>
        </w:tc>
        <w:tc>
          <w:tcPr>
            <w:tcW w:w="960" w:type="dxa"/>
            <w:shd w:val="clear" w:color="auto" w:fill="auto"/>
            <w:tcMar>
              <w:top w:w="80" w:type="dxa"/>
              <w:left w:w="80" w:type="dxa"/>
              <w:bottom w:w="80" w:type="dxa"/>
              <w:right w:w="80" w:type="dxa"/>
            </w:tcMar>
            <w:vAlign w:val="bottom"/>
          </w:tcPr>
          <w:p w14:paraId="11405EFA"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1.8%</w:t>
            </w:r>
          </w:p>
        </w:tc>
        <w:tc>
          <w:tcPr>
            <w:tcW w:w="960" w:type="dxa"/>
            <w:shd w:val="clear" w:color="auto" w:fill="auto"/>
            <w:tcMar>
              <w:top w:w="80" w:type="dxa"/>
              <w:left w:w="80" w:type="dxa"/>
              <w:bottom w:w="80" w:type="dxa"/>
              <w:right w:w="80" w:type="dxa"/>
            </w:tcMar>
            <w:vAlign w:val="bottom"/>
          </w:tcPr>
          <w:p w14:paraId="6D8848F3"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1.2%</w:t>
            </w:r>
          </w:p>
        </w:tc>
      </w:tr>
      <w:tr w:rsidR="00BA1F1A" w14:paraId="6B2C6F10" w14:textId="77777777" w:rsidTr="00817B4B">
        <w:trPr>
          <w:trHeight w:val="238"/>
        </w:trPr>
        <w:tc>
          <w:tcPr>
            <w:tcW w:w="1771" w:type="dxa"/>
            <w:shd w:val="clear" w:color="auto" w:fill="auto"/>
            <w:tcMar>
              <w:top w:w="80" w:type="dxa"/>
              <w:left w:w="80" w:type="dxa"/>
              <w:bottom w:w="80" w:type="dxa"/>
              <w:right w:w="80" w:type="dxa"/>
            </w:tcMar>
            <w:vAlign w:val="bottom"/>
          </w:tcPr>
          <w:p w14:paraId="26E32B43" w14:textId="77777777" w:rsidR="00BA1F1A" w:rsidRPr="003B09EF" w:rsidRDefault="00BA1F1A" w:rsidP="00E2087D">
            <w:pPr>
              <w:pStyle w:val="Body"/>
              <w:rPr>
                <w:rFonts w:asciiTheme="majorHAnsi" w:hAnsiTheme="majorHAnsi"/>
              </w:rPr>
            </w:pPr>
            <w:r w:rsidRPr="003B09EF">
              <w:rPr>
                <w:rFonts w:asciiTheme="majorHAnsi" w:hAnsiTheme="majorHAnsi"/>
                <w:sz w:val="22"/>
                <w:szCs w:val="22"/>
                <w:lang w:val="en-US"/>
              </w:rPr>
              <w:t>Lower bound</w:t>
            </w:r>
          </w:p>
        </w:tc>
        <w:tc>
          <w:tcPr>
            <w:tcW w:w="960" w:type="dxa"/>
            <w:shd w:val="clear" w:color="auto" w:fill="auto"/>
            <w:tcMar>
              <w:top w:w="80" w:type="dxa"/>
              <w:left w:w="80" w:type="dxa"/>
              <w:bottom w:w="80" w:type="dxa"/>
              <w:right w:w="80" w:type="dxa"/>
            </w:tcMar>
            <w:vAlign w:val="bottom"/>
          </w:tcPr>
          <w:p w14:paraId="73FF7936"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2AD9FE96"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08087E9D"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c>
          <w:tcPr>
            <w:tcW w:w="960" w:type="dxa"/>
            <w:shd w:val="clear" w:color="auto" w:fill="auto"/>
            <w:tcMar>
              <w:top w:w="80" w:type="dxa"/>
              <w:left w:w="80" w:type="dxa"/>
              <w:bottom w:w="80" w:type="dxa"/>
              <w:right w:w="80" w:type="dxa"/>
            </w:tcMar>
            <w:vAlign w:val="bottom"/>
          </w:tcPr>
          <w:p w14:paraId="48EDF067" w14:textId="77777777" w:rsidR="00BA1F1A" w:rsidRPr="003B09EF" w:rsidRDefault="00BA1F1A" w:rsidP="00E2087D">
            <w:pPr>
              <w:pStyle w:val="Body"/>
              <w:jc w:val="right"/>
              <w:rPr>
                <w:rFonts w:asciiTheme="majorHAnsi" w:hAnsiTheme="majorHAnsi"/>
              </w:rPr>
            </w:pPr>
            <w:r w:rsidRPr="003B09EF">
              <w:rPr>
                <w:rFonts w:asciiTheme="majorHAnsi" w:hAnsiTheme="majorHAnsi"/>
                <w:sz w:val="22"/>
                <w:szCs w:val="22"/>
                <w:lang w:val="en-US"/>
              </w:rPr>
              <w:t>0%</w:t>
            </w:r>
          </w:p>
        </w:tc>
      </w:tr>
    </w:tbl>
    <w:p w14:paraId="00633571" w14:textId="7327CE2B" w:rsidR="006D4953" w:rsidRDefault="006D4953" w:rsidP="006D4953">
      <w:pPr>
        <w:ind w:left="0"/>
      </w:pPr>
    </w:p>
    <w:p w14:paraId="689F2674" w14:textId="77777777" w:rsidR="00C73033" w:rsidRDefault="00C73033" w:rsidP="006D4953">
      <w:pPr>
        <w:ind w:left="0"/>
      </w:pPr>
    </w:p>
    <w:p w14:paraId="59AA374E" w14:textId="76644F68" w:rsidR="008B4637" w:rsidRPr="009069EB" w:rsidRDefault="00C07ADA" w:rsidP="006A3D8C">
      <w:pPr>
        <w:pStyle w:val="Heading5"/>
        <w:numPr>
          <w:ilvl w:val="1"/>
          <w:numId w:val="1"/>
        </w:numPr>
        <w:rPr>
          <w:color w:val="auto"/>
        </w:rPr>
      </w:pPr>
      <w:r w:rsidRPr="009069EB">
        <w:rPr>
          <w:color w:val="auto"/>
        </w:rPr>
        <w:t>Sampling</w:t>
      </w:r>
      <w:r w:rsidR="008B4637" w:rsidRPr="009069EB">
        <w:rPr>
          <w:color w:val="auto"/>
        </w:rPr>
        <w:t xml:space="preserve"> </w:t>
      </w:r>
      <w:r w:rsidR="00333517" w:rsidRPr="009069EB">
        <w:rPr>
          <w:color w:val="auto"/>
        </w:rPr>
        <w:t>Method</w:t>
      </w:r>
    </w:p>
    <w:p w14:paraId="1D08A917" w14:textId="77777777" w:rsidR="005D6FF3" w:rsidRDefault="005D6FF3" w:rsidP="00333517">
      <w:pPr>
        <w:ind w:left="0"/>
      </w:pPr>
      <w:r w:rsidRPr="005D6FF3">
        <w:t>Survivor associations in each of the districts will be involved with the study implementation.  A small group of survivors will be formed to serve as key informants for sensitization of the community and recruitment for the study.</w:t>
      </w:r>
      <w:r>
        <w:t xml:space="preserve"> </w:t>
      </w:r>
    </w:p>
    <w:p w14:paraId="1D02E016" w14:textId="77777777" w:rsidR="005D6FF3" w:rsidRDefault="005D6FF3" w:rsidP="00333517">
      <w:pPr>
        <w:ind w:left="0"/>
      </w:pPr>
    </w:p>
    <w:p w14:paraId="2BEB5AC4" w14:textId="704B8A3B" w:rsidR="00333517" w:rsidRPr="00A772F6" w:rsidRDefault="00BA52A6" w:rsidP="00333517">
      <w:pPr>
        <w:ind w:left="0"/>
      </w:pPr>
      <w:r w:rsidRPr="009069EB">
        <w:t xml:space="preserve">In collaboration with the </w:t>
      </w:r>
      <w:r w:rsidRPr="00A772F6">
        <w:t xml:space="preserve">survivors association and the MSWGCA, a list of established EVD survivors will be selected in accordance with sample size criteria. These groups of established survivors will be invited to a meeting in their district where they will be informed about the study process and </w:t>
      </w:r>
      <w:r w:rsidRPr="00A772F6">
        <w:lastRenderedPageBreak/>
        <w:t>benefits by MSWGCA staff and/or survivor key informants. The interested participants will be asked to review and sign the informed consent and an appointment will be scheduled for the first study visit. In addition print and radio advertisements may be used to recruit for the study.</w:t>
      </w:r>
    </w:p>
    <w:p w14:paraId="55424188" w14:textId="77777777" w:rsidR="00421B61" w:rsidRPr="00A772F6" w:rsidRDefault="00421B61" w:rsidP="00421B61">
      <w:pPr>
        <w:ind w:left="0"/>
      </w:pPr>
    </w:p>
    <w:p w14:paraId="08742C99" w14:textId="77777777" w:rsidR="00A772F6" w:rsidRPr="00A772F6" w:rsidRDefault="00A772F6" w:rsidP="00A772F6">
      <w:pPr>
        <w:pStyle w:val="Body"/>
        <w:spacing w:line="276" w:lineRule="auto"/>
        <w:rPr>
          <w:rFonts w:asciiTheme="majorHAnsi" w:hAnsiTheme="majorHAnsi"/>
          <w:b/>
          <w:sz w:val="22"/>
          <w:szCs w:val="22"/>
        </w:rPr>
      </w:pPr>
      <w:r w:rsidRPr="00A772F6">
        <w:rPr>
          <w:rFonts w:asciiTheme="majorHAnsi" w:hAnsiTheme="majorHAnsi"/>
          <w:b/>
          <w:sz w:val="22"/>
          <w:szCs w:val="22"/>
        </w:rPr>
        <w:t xml:space="preserve">Pilot  </w:t>
      </w:r>
    </w:p>
    <w:p w14:paraId="7A03F7DD" w14:textId="62FBE036" w:rsidR="00A772F6" w:rsidRPr="00A772F6" w:rsidRDefault="00A772F6" w:rsidP="00A772F6">
      <w:pPr>
        <w:pStyle w:val="Body"/>
        <w:spacing w:line="276" w:lineRule="auto"/>
        <w:rPr>
          <w:rFonts w:asciiTheme="majorHAnsi" w:hAnsiTheme="majorHAnsi"/>
          <w:sz w:val="22"/>
          <w:szCs w:val="22"/>
        </w:rPr>
      </w:pPr>
      <w:r w:rsidRPr="00A772F6">
        <w:rPr>
          <w:rFonts w:asciiTheme="majorHAnsi" w:hAnsiTheme="majorHAnsi"/>
          <w:sz w:val="22"/>
          <w:szCs w:val="22"/>
        </w:rPr>
        <w:t>The recruitment of survivors for the pilot will be done on a voluntary basis with the help of the association of survivors in Freet</w:t>
      </w:r>
      <w:r w:rsidR="009069EB">
        <w:rPr>
          <w:rFonts w:asciiTheme="majorHAnsi" w:hAnsiTheme="majorHAnsi"/>
          <w:sz w:val="22"/>
          <w:szCs w:val="22"/>
        </w:rPr>
        <w:t>own and before the samples for M</w:t>
      </w:r>
      <w:r w:rsidRPr="00A772F6">
        <w:rPr>
          <w:rFonts w:asciiTheme="majorHAnsi" w:hAnsiTheme="majorHAnsi"/>
          <w:sz w:val="22"/>
          <w:szCs w:val="22"/>
        </w:rPr>
        <w:t>odule A and B are selected. A collaboration with the national survivors’ association has alre</w:t>
      </w:r>
      <w:r w:rsidR="0039593E">
        <w:rPr>
          <w:rFonts w:asciiTheme="majorHAnsi" w:hAnsiTheme="majorHAnsi"/>
          <w:sz w:val="22"/>
          <w:szCs w:val="22"/>
        </w:rPr>
        <w:t>ady been started, and the organiz</w:t>
      </w:r>
      <w:r w:rsidRPr="00A772F6">
        <w:rPr>
          <w:rFonts w:asciiTheme="majorHAnsi" w:hAnsiTheme="majorHAnsi"/>
          <w:sz w:val="22"/>
          <w:szCs w:val="22"/>
        </w:rPr>
        <w:t xml:space="preserve">ation has been part of the formative work. The association foresees no challenges in recruiting participants for the pilot study. </w:t>
      </w:r>
    </w:p>
    <w:p w14:paraId="0548CDCD" w14:textId="77777777" w:rsidR="00A772F6" w:rsidRPr="00A772F6" w:rsidRDefault="00A772F6" w:rsidP="00A772F6">
      <w:pPr>
        <w:pStyle w:val="Body"/>
        <w:rPr>
          <w:rFonts w:asciiTheme="majorHAnsi" w:eastAsia="Arial" w:hAnsiTheme="majorHAnsi" w:cs="Arial"/>
          <w:sz w:val="22"/>
          <w:szCs w:val="22"/>
        </w:rPr>
      </w:pPr>
    </w:p>
    <w:p w14:paraId="550BF655" w14:textId="77777777" w:rsidR="00A772F6" w:rsidRPr="00A772F6" w:rsidRDefault="00A772F6" w:rsidP="00A772F6">
      <w:pPr>
        <w:pStyle w:val="Body"/>
        <w:widowControl w:val="0"/>
        <w:rPr>
          <w:rFonts w:asciiTheme="majorHAnsi" w:eastAsia="Arial" w:hAnsiTheme="majorHAnsi" w:cs="Arial"/>
          <w:b/>
          <w:bCs/>
          <w:sz w:val="22"/>
          <w:szCs w:val="22"/>
        </w:rPr>
      </w:pPr>
      <w:r w:rsidRPr="00A772F6">
        <w:rPr>
          <w:rFonts w:asciiTheme="majorHAnsi" w:hAnsiTheme="majorHAnsi"/>
          <w:b/>
          <w:bCs/>
          <w:sz w:val="22"/>
          <w:szCs w:val="22"/>
        </w:rPr>
        <w:t>Module A</w:t>
      </w: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5"/>
        <w:gridCol w:w="7007"/>
      </w:tblGrid>
      <w:tr w:rsidR="00A772F6" w:rsidRPr="00A772F6" w14:paraId="5FB83B63" w14:textId="77777777" w:rsidTr="00AA7078">
        <w:trPr>
          <w:trHeight w:val="51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46F5F1F2"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Recruitment from the ETUs</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644FAD4C"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All adult patients newly discharged from an ETU during the recruitment period will be asked to participate in the study</w:t>
            </w:r>
          </w:p>
        </w:tc>
      </w:tr>
      <w:tr w:rsidR="00A772F6" w:rsidRPr="00A772F6" w14:paraId="450EF7CF" w14:textId="77777777" w:rsidTr="00AA7078">
        <w:trPr>
          <w:trHeight w:val="788"/>
        </w:trPr>
        <w:tc>
          <w:tcPr>
            <w:tcW w:w="2235" w:type="dxa"/>
            <w:tcBorders>
              <w:top w:val="single" w:sz="4" w:space="0" w:color="BFBFBF"/>
              <w:left w:val="nil"/>
              <w:bottom w:val="nil"/>
              <w:right w:val="single" w:sz="4" w:space="0" w:color="BFBFBF"/>
            </w:tcBorders>
            <w:shd w:val="clear" w:color="auto" w:fill="auto"/>
            <w:tcMar>
              <w:top w:w="80" w:type="dxa"/>
              <w:left w:w="80" w:type="dxa"/>
              <w:bottom w:w="80" w:type="dxa"/>
              <w:right w:w="80" w:type="dxa"/>
            </w:tcMar>
          </w:tcPr>
          <w:p w14:paraId="39CB2BB1"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survivor registry </w:t>
            </w:r>
          </w:p>
        </w:tc>
        <w:tc>
          <w:tcPr>
            <w:tcW w:w="7007" w:type="dxa"/>
            <w:tcBorders>
              <w:top w:val="single" w:sz="4" w:space="0" w:color="BFBFBF"/>
              <w:left w:val="single" w:sz="4" w:space="0" w:color="BFBFBF"/>
              <w:bottom w:val="nil"/>
              <w:right w:val="nil"/>
            </w:tcBorders>
            <w:shd w:val="clear" w:color="auto" w:fill="auto"/>
            <w:tcMar>
              <w:top w:w="80" w:type="dxa"/>
              <w:left w:w="80" w:type="dxa"/>
              <w:bottom w:w="80" w:type="dxa"/>
              <w:right w:w="80" w:type="dxa"/>
            </w:tcMar>
          </w:tcPr>
          <w:p w14:paraId="42580044"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Survivors will be contacted according to their duration of convalescence and their place of residence. </w:t>
            </w:r>
          </w:p>
        </w:tc>
      </w:tr>
      <w:tr w:rsidR="00A772F6" w:rsidRPr="00A772F6" w14:paraId="6BBFB59F" w14:textId="77777777" w:rsidTr="00AA7078">
        <w:trPr>
          <w:trHeight w:val="106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6A45A87F"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other sources </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0D5E0A59"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If the number of patients is not enough, an open cohort process where participants will be recruited by using local ETU records, survivor networks and services; community outreach, including radio solicitations, may also be considered.  </w:t>
            </w:r>
          </w:p>
        </w:tc>
      </w:tr>
      <w:tr w:rsidR="00A772F6" w:rsidRPr="00A772F6" w14:paraId="2ED23914" w14:textId="77777777" w:rsidTr="00AA7078">
        <w:trPr>
          <w:trHeight w:val="238"/>
        </w:trPr>
        <w:tc>
          <w:tcPr>
            <w:tcW w:w="2235" w:type="dxa"/>
            <w:tcBorders>
              <w:top w:val="single" w:sz="4" w:space="0" w:color="BFBFBF"/>
              <w:left w:val="nil"/>
              <w:bottom w:val="nil"/>
              <w:right w:val="single" w:sz="4" w:space="0" w:color="BFBFBF"/>
            </w:tcBorders>
            <w:shd w:val="clear" w:color="auto" w:fill="auto"/>
            <w:tcMar>
              <w:top w:w="80" w:type="dxa"/>
              <w:left w:w="80" w:type="dxa"/>
              <w:bottom w:w="80" w:type="dxa"/>
              <w:right w:w="80" w:type="dxa"/>
            </w:tcMar>
          </w:tcPr>
          <w:p w14:paraId="34A784EE" w14:textId="77777777" w:rsidR="00A772F6" w:rsidRPr="00A772F6" w:rsidRDefault="00A772F6" w:rsidP="00AA7078"/>
        </w:tc>
        <w:tc>
          <w:tcPr>
            <w:tcW w:w="7007" w:type="dxa"/>
            <w:tcBorders>
              <w:top w:val="single" w:sz="4" w:space="0" w:color="BFBFBF"/>
              <w:left w:val="single" w:sz="4" w:space="0" w:color="BFBFBF"/>
              <w:bottom w:val="nil"/>
              <w:right w:val="nil"/>
            </w:tcBorders>
            <w:shd w:val="clear" w:color="auto" w:fill="auto"/>
            <w:tcMar>
              <w:top w:w="80" w:type="dxa"/>
              <w:left w:w="80" w:type="dxa"/>
              <w:bottom w:w="80" w:type="dxa"/>
              <w:right w:w="80" w:type="dxa"/>
            </w:tcMar>
          </w:tcPr>
          <w:p w14:paraId="19A37528" w14:textId="77777777" w:rsidR="00A772F6" w:rsidRPr="00A772F6" w:rsidRDefault="00A772F6" w:rsidP="00AA7078"/>
        </w:tc>
      </w:tr>
    </w:tbl>
    <w:p w14:paraId="25ED2B11" w14:textId="77777777" w:rsidR="00A772F6" w:rsidRPr="00A772F6" w:rsidRDefault="00A772F6" w:rsidP="00A772F6">
      <w:pPr>
        <w:pStyle w:val="Body"/>
        <w:spacing w:before="120" w:after="120"/>
        <w:rPr>
          <w:rFonts w:asciiTheme="majorHAnsi" w:eastAsia="Arial" w:hAnsiTheme="majorHAnsi" w:cs="Arial"/>
          <w:b/>
          <w:bCs/>
          <w:sz w:val="22"/>
          <w:szCs w:val="22"/>
        </w:rPr>
      </w:pPr>
      <w:r w:rsidRPr="00A772F6">
        <w:rPr>
          <w:rFonts w:asciiTheme="majorHAnsi" w:hAnsiTheme="majorHAnsi"/>
          <w:b/>
          <w:bCs/>
          <w:sz w:val="22"/>
          <w:szCs w:val="22"/>
        </w:rPr>
        <w:t>Module B</w:t>
      </w:r>
      <w:r w:rsidRPr="00A772F6">
        <w:rPr>
          <w:rFonts w:asciiTheme="majorHAnsi" w:eastAsia="Arial" w:hAnsiTheme="majorHAnsi" w:cs="Arial"/>
          <w:b/>
          <w:bCs/>
          <w:sz w:val="22"/>
          <w:szCs w:val="22"/>
        </w:rPr>
        <w:br/>
      </w: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5"/>
        <w:gridCol w:w="7007"/>
      </w:tblGrid>
      <w:tr w:rsidR="00A772F6" w:rsidRPr="00A772F6" w14:paraId="11666FF4" w14:textId="77777777" w:rsidTr="00AA7078">
        <w:trPr>
          <w:trHeight w:val="51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1699E639"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Recruitment from the ETUs</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2921D148"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All lactating female survivors newly discharged from an ETU during the recruitment period may be asked to participate in the study</w:t>
            </w:r>
          </w:p>
        </w:tc>
      </w:tr>
      <w:tr w:rsidR="00A772F6" w:rsidRPr="00A772F6" w14:paraId="162C1F2A" w14:textId="77777777" w:rsidTr="00AA7078">
        <w:trPr>
          <w:trHeight w:val="788"/>
        </w:trPr>
        <w:tc>
          <w:tcPr>
            <w:tcW w:w="2235" w:type="dxa"/>
            <w:tcBorders>
              <w:top w:val="single" w:sz="4" w:space="0" w:color="BFBFBF"/>
              <w:left w:val="nil"/>
              <w:bottom w:val="nil"/>
              <w:right w:val="single" w:sz="4" w:space="0" w:color="BFBFBF"/>
            </w:tcBorders>
            <w:shd w:val="clear" w:color="auto" w:fill="auto"/>
            <w:tcMar>
              <w:top w:w="80" w:type="dxa"/>
              <w:left w:w="80" w:type="dxa"/>
              <w:bottom w:w="80" w:type="dxa"/>
              <w:right w:w="80" w:type="dxa"/>
            </w:tcMar>
          </w:tcPr>
          <w:p w14:paraId="21E1B158"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survivor registry </w:t>
            </w:r>
          </w:p>
        </w:tc>
        <w:tc>
          <w:tcPr>
            <w:tcW w:w="7007" w:type="dxa"/>
            <w:tcBorders>
              <w:top w:val="single" w:sz="4" w:space="0" w:color="BFBFBF"/>
              <w:left w:val="single" w:sz="4" w:space="0" w:color="BFBFBF"/>
              <w:bottom w:val="nil"/>
              <w:right w:val="nil"/>
            </w:tcBorders>
            <w:shd w:val="clear" w:color="auto" w:fill="auto"/>
            <w:tcMar>
              <w:top w:w="80" w:type="dxa"/>
              <w:left w:w="80" w:type="dxa"/>
              <w:bottom w:w="80" w:type="dxa"/>
              <w:right w:w="80" w:type="dxa"/>
            </w:tcMar>
          </w:tcPr>
          <w:p w14:paraId="6A5D3E4E" w14:textId="03BD6A88"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As no information on lactation status is avail</w:t>
            </w:r>
            <w:r w:rsidR="00E01DAB">
              <w:rPr>
                <w:rFonts w:asciiTheme="majorHAnsi" w:hAnsiTheme="majorHAnsi"/>
                <w:sz w:val="22"/>
                <w:szCs w:val="22"/>
                <w:lang w:val="en-US"/>
              </w:rPr>
              <w:t>able, if a female survivor  in M</w:t>
            </w:r>
            <w:r w:rsidRPr="00A772F6">
              <w:rPr>
                <w:rFonts w:asciiTheme="majorHAnsi" w:hAnsiTheme="majorHAnsi"/>
                <w:sz w:val="22"/>
                <w:szCs w:val="22"/>
                <w:lang w:val="en-US"/>
              </w:rPr>
              <w:t>odule A is lactating, s</w:t>
            </w:r>
            <w:r w:rsidR="00E01DAB">
              <w:rPr>
                <w:rFonts w:asciiTheme="majorHAnsi" w:hAnsiTheme="majorHAnsi"/>
                <w:sz w:val="22"/>
                <w:szCs w:val="22"/>
                <w:lang w:val="en-US"/>
              </w:rPr>
              <w:t>he will be proposed entry into M</w:t>
            </w:r>
            <w:r w:rsidRPr="00A772F6">
              <w:rPr>
                <w:rFonts w:asciiTheme="majorHAnsi" w:hAnsiTheme="majorHAnsi"/>
                <w:sz w:val="22"/>
                <w:szCs w:val="22"/>
                <w:lang w:val="en-US"/>
              </w:rPr>
              <w:t xml:space="preserve">odule B. </w:t>
            </w:r>
          </w:p>
        </w:tc>
      </w:tr>
      <w:tr w:rsidR="00A772F6" w:rsidRPr="00A772F6" w14:paraId="36625D09" w14:textId="77777777" w:rsidTr="00AA7078">
        <w:trPr>
          <w:trHeight w:val="1063"/>
        </w:trPr>
        <w:tc>
          <w:tcPr>
            <w:tcW w:w="2235" w:type="dxa"/>
            <w:tcBorders>
              <w:top w:val="nil"/>
              <w:left w:val="nil"/>
              <w:bottom w:val="single" w:sz="4" w:space="0" w:color="BFBFBF"/>
              <w:right w:val="single" w:sz="4" w:space="0" w:color="BFBFBF"/>
            </w:tcBorders>
            <w:shd w:val="clear" w:color="auto" w:fill="auto"/>
            <w:tcMar>
              <w:top w:w="80" w:type="dxa"/>
              <w:left w:w="80" w:type="dxa"/>
              <w:bottom w:w="80" w:type="dxa"/>
              <w:right w:w="80" w:type="dxa"/>
            </w:tcMar>
          </w:tcPr>
          <w:p w14:paraId="35B44628"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Recruitment from other sources </w:t>
            </w:r>
          </w:p>
        </w:tc>
        <w:tc>
          <w:tcPr>
            <w:tcW w:w="7007" w:type="dxa"/>
            <w:tcBorders>
              <w:top w:val="nil"/>
              <w:left w:val="single" w:sz="4" w:space="0" w:color="BFBFBF"/>
              <w:bottom w:val="single" w:sz="4" w:space="0" w:color="BFBFBF"/>
              <w:right w:val="nil"/>
            </w:tcBorders>
            <w:shd w:val="clear" w:color="auto" w:fill="auto"/>
            <w:tcMar>
              <w:top w:w="80" w:type="dxa"/>
              <w:left w:w="80" w:type="dxa"/>
              <w:bottom w:w="80" w:type="dxa"/>
              <w:right w:w="80" w:type="dxa"/>
            </w:tcMar>
          </w:tcPr>
          <w:p w14:paraId="5FF43356" w14:textId="77777777" w:rsidR="00A772F6" w:rsidRPr="00A772F6" w:rsidRDefault="00A772F6" w:rsidP="00AA7078">
            <w:pPr>
              <w:pStyle w:val="Body"/>
              <w:spacing w:before="60" w:after="60" w:line="276" w:lineRule="auto"/>
              <w:rPr>
                <w:rFonts w:asciiTheme="majorHAnsi" w:hAnsiTheme="majorHAnsi"/>
              </w:rPr>
            </w:pPr>
            <w:r w:rsidRPr="00A772F6">
              <w:rPr>
                <w:rFonts w:asciiTheme="majorHAnsi" w:hAnsiTheme="majorHAnsi"/>
                <w:sz w:val="22"/>
                <w:szCs w:val="22"/>
                <w:lang w:val="en-US"/>
              </w:rPr>
              <w:t xml:space="preserve">If the number of patients is not enough, an open cohort process where lactating female survivors will be recruited by using local treatment center records, survivor networks and services; community outreach, including radio solicitations, may also be considered.  </w:t>
            </w:r>
          </w:p>
        </w:tc>
      </w:tr>
    </w:tbl>
    <w:p w14:paraId="049DCA62" w14:textId="77777777" w:rsidR="00330DAA" w:rsidRDefault="00330DAA" w:rsidP="003A5956">
      <w:pPr>
        <w:ind w:left="0"/>
      </w:pPr>
    </w:p>
    <w:p w14:paraId="622CCD35" w14:textId="77777777" w:rsidR="00BA1F1A" w:rsidRDefault="00BA1F1A" w:rsidP="00333517">
      <w:pPr>
        <w:ind w:left="0"/>
      </w:pPr>
    </w:p>
    <w:p w14:paraId="44AC02BA" w14:textId="77777777" w:rsidR="00333517" w:rsidRDefault="00333517" w:rsidP="00333517">
      <w:pPr>
        <w:ind w:left="0"/>
      </w:pPr>
    </w:p>
    <w:p w14:paraId="719FBF47" w14:textId="5B2602E0" w:rsidR="00287E2F" w:rsidRPr="009759F3" w:rsidRDefault="00287E2F" w:rsidP="006A3D8C">
      <w:pPr>
        <w:pStyle w:val="Heading4"/>
        <w:numPr>
          <w:ilvl w:val="0"/>
          <w:numId w:val="1"/>
        </w:numPr>
      </w:pPr>
      <w:bookmarkStart w:id="4" w:name="_Toc419723308"/>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2D180868" w14:textId="440CD41A" w:rsidR="00BA3AB6" w:rsidRPr="00E76909" w:rsidRDefault="00BA3AB6" w:rsidP="006A3D8C">
      <w:pPr>
        <w:pStyle w:val="Heading5"/>
        <w:numPr>
          <w:ilvl w:val="1"/>
          <w:numId w:val="3"/>
        </w:numPr>
        <w:rPr>
          <w:color w:val="auto"/>
        </w:rPr>
      </w:pPr>
      <w:r w:rsidRPr="00E76909">
        <w:rPr>
          <w:color w:val="auto"/>
        </w:rPr>
        <w:lastRenderedPageBreak/>
        <w:t>Sampling Plan</w:t>
      </w:r>
    </w:p>
    <w:p w14:paraId="587F9B40" w14:textId="77777777" w:rsidR="00E64150" w:rsidRPr="00E76909" w:rsidRDefault="00E64150" w:rsidP="00E64150">
      <w:pPr>
        <w:ind w:left="0"/>
      </w:pPr>
    </w:p>
    <w:p w14:paraId="060A0DE3" w14:textId="77777777" w:rsidR="00A73F7B" w:rsidRDefault="00A73F7B" w:rsidP="00A73F7B">
      <w:pPr>
        <w:ind w:left="0"/>
      </w:pPr>
      <w:r w:rsidRPr="00E76909">
        <w:t xml:space="preserve">The Sierra Leone MoHS will ensure coordination of project activities with routine MoHS response activities. Data from routine MoHS response activities (case investigation and contact tracing) will be shared for project </w:t>
      </w:r>
      <w:r w:rsidRPr="008658ED">
        <w:t>purposes as needed. The Sierra Leone MoHS will advise in hiring local clinical and data entry staff. Clinical staff will interact with participants; clinical and data entry staff will have access to individually identifiable data. CDC and WHO will provide technical assistance in all project aspects and will supervise clinical staff and lead data analysis. As supervisory staff, CDC and WHO field staff will interact with participants and have access to individually identifiable data.</w:t>
      </w:r>
      <w:r>
        <w:t xml:space="preserve"> </w:t>
      </w:r>
    </w:p>
    <w:p w14:paraId="4AC37E5A" w14:textId="77777777" w:rsidR="00A73F7B" w:rsidRDefault="00A73F7B" w:rsidP="00A73F7B">
      <w:pPr>
        <w:ind w:left="0"/>
      </w:pPr>
    </w:p>
    <w:p w14:paraId="48D32813" w14:textId="77777777" w:rsidR="00A73F7B" w:rsidRPr="005106A8" w:rsidRDefault="00A73F7B" w:rsidP="00A73F7B">
      <w:pPr>
        <w:widowControl w:val="0"/>
        <w:pBdr>
          <w:top w:val="nil"/>
          <w:left w:val="nil"/>
          <w:bottom w:val="nil"/>
          <w:right w:val="nil"/>
          <w:between w:val="nil"/>
          <w:bar w:val="nil"/>
        </w:pBdr>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The MoHS identified four study sites in three high</w:t>
      </w:r>
      <w:r>
        <w:rPr>
          <w:rFonts w:eastAsia="Arial Unicode MS" w:cs="Arial Unicode MS"/>
          <w:color w:val="000000"/>
          <w:u w:color="000000"/>
          <w:bdr w:val="nil"/>
          <w:lang w:eastAsia="zh-CN"/>
        </w:rPr>
        <w:t xml:space="preserve"> EVD</w:t>
      </w:r>
      <w:r w:rsidRPr="005106A8">
        <w:rPr>
          <w:rFonts w:eastAsia="Arial Unicode MS" w:cs="Arial Unicode MS"/>
          <w:color w:val="000000"/>
          <w:u w:color="000000"/>
          <w:bdr w:val="nil"/>
          <w:lang w:eastAsia="zh-CN"/>
        </w:rPr>
        <w:t xml:space="preserve"> burden districts (Western, Bombali, and Port Loko)</w:t>
      </w:r>
      <w:r>
        <w:rPr>
          <w:rFonts w:eastAsia="Arial Unicode MS" w:cs="Arial Unicode MS"/>
          <w:color w:val="000000"/>
          <w:u w:color="000000"/>
          <w:bdr w:val="nil"/>
          <w:lang w:eastAsia="zh-CN"/>
        </w:rPr>
        <w:t xml:space="preserve"> for the study</w:t>
      </w:r>
      <w:r w:rsidRPr="005106A8">
        <w:rPr>
          <w:rFonts w:eastAsia="Arial Unicode MS" w:cs="Arial Unicode MS"/>
          <w:color w:val="000000"/>
          <w:u w:color="000000"/>
          <w:bdr w:val="nil"/>
          <w:lang w:eastAsia="zh-CN"/>
        </w:rPr>
        <w:t>:</w:t>
      </w:r>
    </w:p>
    <w:p w14:paraId="67B53186" w14:textId="77777777" w:rsidR="00A73F7B" w:rsidRPr="008658ED" w:rsidRDefault="00A73F7B"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M34 hospital, Freetown (pilot site location)</w:t>
      </w:r>
    </w:p>
    <w:p w14:paraId="2D39CC9B" w14:textId="77777777" w:rsidR="00A73F7B" w:rsidRPr="008658ED" w:rsidRDefault="00A73F7B"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PTS1 (Police Training Station) Hospital</w:t>
      </w:r>
    </w:p>
    <w:p w14:paraId="1D6B1181" w14:textId="77777777" w:rsidR="00A73F7B" w:rsidRPr="008658ED" w:rsidRDefault="00A73F7B"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Makeni District Hospital</w:t>
      </w:r>
    </w:p>
    <w:p w14:paraId="2F8B485F" w14:textId="77777777" w:rsidR="00A73F7B" w:rsidRPr="008658ED" w:rsidRDefault="00A73F7B" w:rsidP="006A3D8C">
      <w:pPr>
        <w:pStyle w:val="ListParagraph"/>
        <w:widowControl w:val="0"/>
        <w:numPr>
          <w:ilvl w:val="0"/>
          <w:numId w:val="7"/>
        </w:numPr>
        <w:pBdr>
          <w:top w:val="nil"/>
          <w:left w:val="nil"/>
          <w:bottom w:val="nil"/>
          <w:right w:val="nil"/>
          <w:between w:val="nil"/>
          <w:bar w:val="nil"/>
        </w:pBdr>
        <w:rPr>
          <w:rFonts w:eastAsia="Arial Unicode MS" w:cs="Arial Unicode MS"/>
          <w:color w:val="000000"/>
          <w:u w:color="000000"/>
          <w:bdr w:val="nil"/>
          <w:lang w:eastAsia="zh-CN"/>
        </w:rPr>
      </w:pPr>
      <w:r w:rsidRPr="008658ED">
        <w:rPr>
          <w:rFonts w:eastAsia="Arial Unicode MS" w:cs="Arial Unicode MS"/>
          <w:color w:val="000000"/>
          <w:u w:color="000000"/>
          <w:bdr w:val="nil"/>
          <w:lang w:eastAsia="zh-CN"/>
        </w:rPr>
        <w:t xml:space="preserve">Port Loko Government Hospital  </w:t>
      </w:r>
    </w:p>
    <w:p w14:paraId="212F81CD" w14:textId="77777777" w:rsidR="000855A1" w:rsidRDefault="000855A1" w:rsidP="00E64150">
      <w:pPr>
        <w:ind w:left="0"/>
      </w:pPr>
    </w:p>
    <w:p w14:paraId="648DBC82" w14:textId="77777777" w:rsidR="00A73F7B" w:rsidRPr="005106A8" w:rsidRDefault="00A73F7B" w:rsidP="00A73F7B">
      <w:pPr>
        <w:widowControl w:val="0"/>
        <w:pBdr>
          <w:top w:val="nil"/>
          <w:left w:val="nil"/>
          <w:bottom w:val="nil"/>
          <w:right w:val="nil"/>
          <w:between w:val="nil"/>
          <w:bar w:val="nil"/>
        </w:pBdr>
        <w:ind w:left="0"/>
        <w:rPr>
          <w:rFonts w:eastAsia="Arial Unicode MS" w:cs="Arial Unicode MS"/>
          <w:color w:val="000000"/>
          <w:u w:color="000000"/>
          <w:bdr w:val="nil"/>
          <w:lang w:eastAsia="zh-CN"/>
        </w:rPr>
      </w:pPr>
      <w:r w:rsidRPr="005106A8">
        <w:rPr>
          <w:rFonts w:eastAsia="Arial Unicode MS" w:cs="Arial Unicode MS"/>
          <w:color w:val="000000"/>
          <w:u w:color="000000"/>
          <w:bdr w:val="nil"/>
          <w:lang w:eastAsia="zh-CN"/>
        </w:rPr>
        <w:t xml:space="preserve">For the pilot </w:t>
      </w:r>
      <w:r>
        <w:rPr>
          <w:rFonts w:eastAsia="Arial Unicode MS" w:cs="Arial Unicode MS"/>
          <w:color w:val="000000"/>
          <w:u w:color="000000"/>
          <w:bdr w:val="nil"/>
          <w:lang w:eastAsia="zh-CN"/>
        </w:rPr>
        <w:t>study and both modules</w:t>
      </w:r>
      <w:r w:rsidRPr="005106A8">
        <w:rPr>
          <w:rFonts w:eastAsia="Arial Unicode MS" w:cs="Arial Unicode MS"/>
          <w:color w:val="000000"/>
          <w:u w:color="000000"/>
          <w:bdr w:val="nil"/>
          <w:lang w:eastAsia="zh-CN"/>
        </w:rPr>
        <w:t xml:space="preserve">, the study site(s) will be the setting for all initial and follow-up visits of survivor participants. These study sites will be the location for interviews, specimen collection, and counselling regarding test results. Study participants can be referred to HIV and survivor services within the hospitals where the study sites are located. </w:t>
      </w:r>
    </w:p>
    <w:p w14:paraId="5948B969" w14:textId="77777777" w:rsidR="00A73F7B" w:rsidRDefault="00A73F7B" w:rsidP="00E64150">
      <w:pPr>
        <w:ind w:left="0"/>
      </w:pPr>
    </w:p>
    <w:p w14:paraId="33B292BB" w14:textId="77777777" w:rsidR="00023EB2" w:rsidRPr="00023EB2" w:rsidRDefault="00023EB2" w:rsidP="00023EB2">
      <w:pPr>
        <w:widowControl w:val="0"/>
        <w:pBdr>
          <w:top w:val="nil"/>
          <w:left w:val="nil"/>
          <w:bottom w:val="nil"/>
          <w:right w:val="nil"/>
          <w:between w:val="nil"/>
          <w:bar w:val="nil"/>
        </w:pBdr>
        <w:ind w:left="0"/>
        <w:rPr>
          <w:rFonts w:eastAsia="Arial Unicode MS" w:cs="Calibri"/>
          <w:color w:val="000000"/>
          <w:u w:color="000000"/>
          <w:bdr w:val="nil"/>
          <w:lang w:eastAsia="zh-CN"/>
        </w:rPr>
      </w:pPr>
      <w:r w:rsidRPr="00023EB2">
        <w:rPr>
          <w:rFonts w:eastAsia="Arial Unicode MS" w:cs="Calibri"/>
          <w:color w:val="000000"/>
          <w:u w:color="000000"/>
          <w:bdr w:val="nil"/>
          <w:lang w:eastAsia="zh-CN"/>
        </w:rPr>
        <w:t>For the study:</w:t>
      </w:r>
    </w:p>
    <w:p w14:paraId="19DFB4EA" w14:textId="15C73132" w:rsidR="00ED2716" w:rsidRPr="00ED2716" w:rsidRDefault="00ED2716" w:rsidP="00ED2716">
      <w:pPr>
        <w:widowControl w:val="0"/>
        <w:numPr>
          <w:ilvl w:val="0"/>
          <w:numId w:val="9"/>
        </w:numPr>
        <w:pBdr>
          <w:top w:val="nil"/>
          <w:left w:val="nil"/>
          <w:bottom w:val="nil"/>
          <w:right w:val="nil"/>
          <w:between w:val="nil"/>
          <w:bar w:val="nil"/>
        </w:pBdr>
        <w:tabs>
          <w:tab w:val="right" w:pos="9360"/>
        </w:tabs>
        <w:rPr>
          <w:rFonts w:eastAsia="Arial Unicode MS" w:cs="Arial Unicode MS"/>
          <w:bCs/>
          <w:color w:val="000000"/>
          <w:u w:color="000000"/>
          <w:bdr w:val="nil"/>
          <w:lang w:eastAsia="zh-CN"/>
        </w:rPr>
      </w:pPr>
      <w:r w:rsidRPr="00ED2716">
        <w:rPr>
          <w:rFonts w:eastAsia="Arial Unicode MS" w:cs="Arial Unicode MS"/>
          <w:bCs/>
          <w:color w:val="000000"/>
          <w:u w:color="000000"/>
          <w:bdr w:val="nil"/>
          <w:lang w:eastAsia="zh-CN"/>
        </w:rPr>
        <w:t>Eligible study participants must demonstrate an EVD discharge certificate and a national identificatio</w:t>
      </w:r>
      <w:r w:rsidR="00E76909">
        <w:rPr>
          <w:rFonts w:eastAsia="Arial Unicode MS" w:cs="Arial Unicode MS"/>
          <w:bCs/>
          <w:color w:val="000000"/>
          <w:u w:color="000000"/>
          <w:bdr w:val="nil"/>
          <w:lang w:eastAsia="zh-CN"/>
        </w:rPr>
        <w:t>n card in order to be recruited.</w:t>
      </w:r>
      <w:r w:rsidRPr="00ED2716">
        <w:rPr>
          <w:rFonts w:eastAsia="Arial Unicode MS" w:cs="Arial Unicode MS"/>
          <w:bCs/>
          <w:color w:val="000000"/>
          <w:u w:color="000000"/>
          <w:bdr w:val="nil"/>
          <w:lang w:eastAsia="zh-CN"/>
        </w:rPr>
        <w:t xml:space="preserve"> To ensure survivor status and eligibility for the study, collaborators may cross-check labo</w:t>
      </w:r>
      <w:r w:rsidR="008442F4">
        <w:rPr>
          <w:rFonts w:eastAsia="Arial Unicode MS" w:cs="Arial Unicode MS"/>
          <w:bCs/>
          <w:color w:val="000000"/>
          <w:u w:color="000000"/>
          <w:bdr w:val="nil"/>
          <w:lang w:eastAsia="zh-CN"/>
        </w:rPr>
        <w:t>ratory information as available.</w:t>
      </w:r>
      <w:r w:rsidRPr="00ED2716">
        <w:rPr>
          <w:rFonts w:eastAsia="Arial Unicode MS" w:cs="Arial Unicode MS"/>
          <w:bCs/>
          <w:color w:val="000000"/>
          <w:u w:color="000000"/>
          <w:bdr w:val="nil"/>
          <w:lang w:eastAsia="zh-CN"/>
        </w:rPr>
        <w:t xml:space="preserve"> This information will be recorded in the Intake Form (</w:t>
      </w:r>
      <w:r w:rsidRPr="00ED2716">
        <w:rPr>
          <w:rFonts w:eastAsia="Arial Unicode MS" w:cs="Arial Unicode MS"/>
          <w:b/>
          <w:bCs/>
          <w:color w:val="000000"/>
          <w:u w:color="000000"/>
          <w:bdr w:val="nil"/>
          <w:lang w:eastAsia="zh-CN"/>
        </w:rPr>
        <w:t>Attachment 1</w:t>
      </w:r>
      <w:r w:rsidRPr="00ED2716">
        <w:rPr>
          <w:rFonts w:eastAsia="Arial Unicode MS" w:cs="Arial Unicode MS"/>
          <w:bCs/>
          <w:color w:val="000000"/>
          <w:u w:color="000000"/>
          <w:bdr w:val="nil"/>
          <w:lang w:eastAsia="zh-CN"/>
        </w:rPr>
        <w:t>) and a unique ID will be assigned.</w:t>
      </w:r>
    </w:p>
    <w:p w14:paraId="362C31C7"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Entry will then begin with the informed Consent Form (</w:t>
      </w:r>
      <w:r w:rsidRPr="00ED2716">
        <w:rPr>
          <w:rFonts w:eastAsia="Arial Unicode MS" w:cs="Calibri"/>
          <w:b/>
          <w:color w:val="000000"/>
          <w:u w:color="000000"/>
          <w:bdr w:val="nil"/>
          <w:lang w:eastAsia="zh-CN"/>
        </w:rPr>
        <w:t>Attachment 2 or Attachment 3</w:t>
      </w:r>
      <w:r w:rsidRPr="00ED2716">
        <w:rPr>
          <w:rFonts w:eastAsia="Arial Unicode MS" w:cs="Calibri"/>
          <w:color w:val="000000"/>
          <w:u w:color="000000"/>
          <w:bdr w:val="nil"/>
          <w:lang w:eastAsia="zh-CN"/>
        </w:rPr>
        <w:t>; for pilot study/Module A or Module B, respectively).</w:t>
      </w:r>
    </w:p>
    <w:p w14:paraId="587E5EAE"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A Participant Study ID Card (</w:t>
      </w:r>
      <w:r w:rsidRPr="00ED2716">
        <w:rPr>
          <w:rFonts w:eastAsia="Arial Unicode MS" w:cs="Calibri"/>
          <w:b/>
          <w:color w:val="000000"/>
          <w:u w:color="000000"/>
          <w:bdr w:val="nil"/>
          <w:lang w:eastAsia="zh-CN"/>
        </w:rPr>
        <w:t>Attachment 4</w:t>
      </w:r>
      <w:r w:rsidRPr="00ED2716">
        <w:rPr>
          <w:rFonts w:eastAsia="Arial Unicode MS" w:cs="Calibri"/>
          <w:color w:val="000000"/>
          <w:u w:color="000000"/>
          <w:bdr w:val="nil"/>
          <w:lang w:eastAsia="zh-CN"/>
        </w:rPr>
        <w:t xml:space="preserve">) will be issued to the participant, and a photo will be taken </w:t>
      </w:r>
      <w:r w:rsidRPr="00ED2716">
        <w:rPr>
          <w:bCs/>
        </w:rPr>
        <w:t>for verification of identity at subsequent study visits.</w:t>
      </w:r>
    </w:p>
    <w:p w14:paraId="03032CAE"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The participant will then complete a Survivor Questionnaire (</w:t>
      </w:r>
      <w:r w:rsidRPr="00ED2716">
        <w:rPr>
          <w:rFonts w:eastAsia="Arial Unicode MS" w:cs="Calibri"/>
          <w:b/>
          <w:color w:val="000000"/>
          <w:u w:color="000000"/>
          <w:bdr w:val="nil"/>
          <w:lang w:eastAsia="zh-CN"/>
        </w:rPr>
        <w:t>Attachment 5</w:t>
      </w:r>
      <w:r w:rsidRPr="00ED2716">
        <w:rPr>
          <w:rFonts w:eastAsia="Arial Unicode MS" w:cs="Calibri"/>
          <w:color w:val="000000"/>
          <w:u w:color="000000"/>
          <w:bdr w:val="nil"/>
          <w:lang w:eastAsia="zh-CN"/>
        </w:rPr>
        <w:t xml:space="preserve">) and initial specimen collection.  </w:t>
      </w:r>
    </w:p>
    <w:p w14:paraId="2BD5BF2B"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 xml:space="preserve">Specimen(s) will be tested for EBOV RNA by RT-PCR in Sierra Leone at the CDC laboratory facility in Bo; </w:t>
      </w:r>
      <w:r w:rsidRPr="00ED2716">
        <w:rPr>
          <w:rFonts w:eastAsia="Arial Unicode MS" w:cs="Arial Unicode MS"/>
          <w:color w:val="000000"/>
          <w:u w:color="000000"/>
          <w:bdr w:val="nil"/>
          <w:lang w:eastAsia="zh-CN"/>
        </w:rPr>
        <w:t>any specimen positive for EBOV by RT-PCR will be frozen and shipped to CDC for culture/virus isolation in a BSL-4 laboratory facility in Atlanta, GA.</w:t>
      </w:r>
    </w:p>
    <w:p w14:paraId="421391B1"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Participants with a RT-PCR positive result in any of the initial specimens</w:t>
      </w:r>
      <w:r w:rsidRPr="00ED2716">
        <w:rPr>
          <w:rFonts w:eastAsia="Arial Unicode MS" w:cs="Arial Unicode MS"/>
          <w:color w:val="000000"/>
          <w:u w:color="000000"/>
          <w:bdr w:val="nil"/>
          <w:lang w:eastAsia="zh-CN"/>
        </w:rPr>
        <w:t xml:space="preserve"> will be invited to complete a Survivor Follow-up Questionnaire (</w:t>
      </w:r>
      <w:r w:rsidRPr="00ED2716">
        <w:rPr>
          <w:rFonts w:eastAsia="Arial Unicode MS" w:cs="Arial Unicode MS"/>
          <w:b/>
          <w:color w:val="000000"/>
          <w:u w:color="000000"/>
          <w:bdr w:val="nil"/>
          <w:lang w:eastAsia="zh-CN"/>
        </w:rPr>
        <w:t>Attachment 6</w:t>
      </w:r>
      <w:r w:rsidRPr="00ED2716">
        <w:rPr>
          <w:rFonts w:eastAsia="Arial Unicode MS" w:cs="Arial Unicode MS"/>
          <w:color w:val="000000"/>
          <w:u w:color="000000"/>
          <w:bdr w:val="nil"/>
          <w:lang w:eastAsia="zh-CN"/>
        </w:rPr>
        <w:t>) at every subsequent study visit and to provide prospective specimens (i.e., repeat specimen collection) of each RT-PCR positive body fluid according to the following schedule:</w:t>
      </w:r>
    </w:p>
    <w:p w14:paraId="03C8FF35" w14:textId="77777777" w:rsidR="00ED2716" w:rsidRPr="00ED2716" w:rsidRDefault="00ED2716"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Semen collection every 2 weeks for the first three visits and then monthly until the RT-PCR is negative (pilot).</w:t>
      </w:r>
    </w:p>
    <w:p w14:paraId="50F347CE" w14:textId="77777777" w:rsidR="00ED2716" w:rsidRPr="00ED2716" w:rsidRDefault="00ED2716"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 xml:space="preserve">Specimen (i.e., </w:t>
      </w:r>
      <w:r w:rsidRPr="00ED2716">
        <w:rPr>
          <w:rFonts w:eastAsia="Arial Unicode MS" w:cs="Times New Roman"/>
          <w:bdr w:val="nil"/>
        </w:rPr>
        <w:t xml:space="preserve">semen or vaginal secretions, rectal swabs, sweat, urine, saliva, tears) </w:t>
      </w:r>
      <w:r w:rsidRPr="00ED2716">
        <w:rPr>
          <w:rFonts w:eastAsia="Arial Unicode MS" w:cs="Times New Roman"/>
          <w:bdr w:val="nil"/>
        </w:rPr>
        <w:lastRenderedPageBreak/>
        <w:t>collection</w:t>
      </w:r>
      <w:r w:rsidRPr="00ED2716">
        <w:rPr>
          <w:rFonts w:eastAsia="Arial Unicode MS" w:cs="Calibri"/>
          <w:color w:val="000000"/>
          <w:u w:color="000000"/>
          <w:bdr w:val="nil"/>
          <w:lang w:eastAsia="zh-CN"/>
        </w:rPr>
        <w:t xml:space="preserve"> every 2 weeks for the first three visits and then monthly until the RT-PCR is negative (Module A)</w:t>
      </w:r>
    </w:p>
    <w:p w14:paraId="2016827A" w14:textId="77777777" w:rsidR="00ED2716" w:rsidRPr="00ED2716" w:rsidRDefault="00ED2716" w:rsidP="00ED2716">
      <w:pPr>
        <w:widowControl w:val="0"/>
        <w:numPr>
          <w:ilvl w:val="1"/>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Calibri"/>
          <w:color w:val="000000"/>
          <w:u w:color="000000"/>
          <w:bdr w:val="nil"/>
          <w:lang w:eastAsia="zh-CN"/>
        </w:rPr>
        <w:t>Specimen (i.e., sweat and breast milk) collection every 3 days until the RT-PCR is negative (Module B)</w:t>
      </w:r>
    </w:p>
    <w:p w14:paraId="1A985797"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Arial Unicode MS"/>
          <w:color w:val="000000"/>
          <w:u w:color="000000"/>
          <w:bdr w:val="nil"/>
          <w:lang w:eastAsia="zh-CN"/>
        </w:rPr>
        <w:t>All laboratory results will be entered into a Laboratory Results Form (</w:t>
      </w:r>
      <w:r w:rsidRPr="00ED2716">
        <w:rPr>
          <w:rFonts w:eastAsia="Arial Unicode MS" w:cs="Arial Unicode MS"/>
          <w:b/>
          <w:color w:val="000000"/>
          <w:u w:color="000000"/>
          <w:bdr w:val="nil"/>
          <w:lang w:eastAsia="zh-CN"/>
        </w:rPr>
        <w:t>Attachment 7</w:t>
      </w:r>
      <w:r w:rsidRPr="00ED2716">
        <w:rPr>
          <w:rFonts w:eastAsia="Arial Unicode MS" w:cs="Arial Unicode MS"/>
          <w:color w:val="000000"/>
          <w:u w:color="000000"/>
          <w:bdr w:val="nil"/>
          <w:lang w:eastAsia="zh-CN"/>
        </w:rPr>
        <w:t xml:space="preserve">) marked with the participant’s study ID and kept in confidential storage for entering of follow-up results. </w:t>
      </w:r>
    </w:p>
    <w:p w14:paraId="61650A74"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contextualSpacing/>
        <w:rPr>
          <w:rFonts w:eastAsia="Arial Unicode MS" w:cs="Calibri"/>
          <w:color w:val="000000"/>
          <w:u w:color="000000"/>
          <w:bdr w:val="nil"/>
          <w:lang w:eastAsia="zh-CN"/>
        </w:rPr>
      </w:pPr>
      <w:r w:rsidRPr="00ED2716">
        <w:rPr>
          <w:rFonts w:eastAsia="Arial Unicode MS" w:cs="Arial Unicode MS"/>
          <w:color w:val="000000"/>
          <w:u w:color="000000"/>
          <w:bdr w:val="nil"/>
          <w:lang w:eastAsia="zh-CN"/>
        </w:rPr>
        <w:t xml:space="preserve">At follow up visits, </w:t>
      </w:r>
      <w:r w:rsidRPr="00ED2716">
        <w:rPr>
          <w:rFonts w:eastAsia="Arial Unicode MS" w:cs="Calibri"/>
          <w:color w:val="000000"/>
          <w:u w:color="000000"/>
          <w:bdr w:val="nil"/>
          <w:lang w:eastAsia="zh-CN"/>
        </w:rPr>
        <w:t>laboratory results will be shared with the participant, and transmission prevention and potentially other counselling messages will be provided via a Counselling Script (</w:t>
      </w:r>
      <w:r w:rsidRPr="00ED2716">
        <w:rPr>
          <w:rFonts w:eastAsia="Arial Unicode MS" w:cs="Calibri"/>
          <w:b/>
          <w:color w:val="000000"/>
          <w:u w:color="000000"/>
          <w:bdr w:val="nil"/>
          <w:lang w:eastAsia="zh-CN"/>
        </w:rPr>
        <w:t>Attachment 8</w:t>
      </w:r>
      <w:r w:rsidRPr="00ED2716">
        <w:rPr>
          <w:rFonts w:eastAsia="Arial Unicode MS" w:cs="Calibri"/>
          <w:color w:val="000000"/>
          <w:u w:color="000000"/>
          <w:bdr w:val="nil"/>
          <w:lang w:eastAsia="zh-CN"/>
        </w:rPr>
        <w:t xml:space="preserve">).  </w:t>
      </w:r>
    </w:p>
    <w:p w14:paraId="7C4EF2BB" w14:textId="77777777" w:rsidR="00ED2716" w:rsidRPr="00ED2716" w:rsidRDefault="00ED2716" w:rsidP="00ED2716">
      <w:pPr>
        <w:widowControl w:val="0"/>
        <w:numPr>
          <w:ilvl w:val="0"/>
          <w:numId w:val="8"/>
        </w:numPr>
        <w:pBdr>
          <w:top w:val="nil"/>
          <w:left w:val="nil"/>
          <w:bottom w:val="nil"/>
          <w:right w:val="nil"/>
          <w:between w:val="nil"/>
          <w:bar w:val="nil"/>
        </w:pBdr>
        <w:tabs>
          <w:tab w:val="right" w:pos="9360"/>
        </w:tabs>
        <w:rPr>
          <w:rFonts w:eastAsia="Arial Unicode MS" w:cs="Arial Unicode MS"/>
          <w:color w:val="000000"/>
          <w:u w:color="000000"/>
          <w:bdr w:val="nil"/>
          <w:lang w:eastAsia="zh-CN"/>
        </w:rPr>
      </w:pPr>
      <w:r w:rsidRPr="00ED2716">
        <w:rPr>
          <w:rFonts w:eastAsia="Arial Unicode MS" w:cs="Arial Unicode MS"/>
          <w:color w:val="000000"/>
          <w:u w:color="000000"/>
          <w:bdr w:val="nil"/>
          <w:lang w:eastAsia="zh-CN"/>
        </w:rPr>
        <w:t xml:space="preserve">Confirmatory virus culture results will be reported back to participants when available. </w:t>
      </w:r>
    </w:p>
    <w:p w14:paraId="7BC2F407" w14:textId="77777777" w:rsidR="00ED2716" w:rsidRPr="00890801" w:rsidRDefault="00ED2716" w:rsidP="00ED2716">
      <w:pPr>
        <w:widowControl w:val="0"/>
        <w:numPr>
          <w:ilvl w:val="0"/>
          <w:numId w:val="8"/>
        </w:numPr>
        <w:pBdr>
          <w:top w:val="nil"/>
          <w:left w:val="nil"/>
          <w:bottom w:val="nil"/>
          <w:right w:val="nil"/>
          <w:between w:val="nil"/>
          <w:bar w:val="nil"/>
        </w:pBdr>
        <w:tabs>
          <w:tab w:val="right" w:pos="9360"/>
        </w:tabs>
        <w:rPr>
          <w:rFonts w:eastAsia="Arial Unicode MS" w:cs="Arial Unicode MS"/>
          <w:u w:color="000000"/>
          <w:bdr w:val="nil"/>
          <w:lang w:eastAsia="zh-CN"/>
        </w:rPr>
      </w:pPr>
      <w:r w:rsidRPr="00ED2716">
        <w:rPr>
          <w:rFonts w:eastAsia="Arial Unicode MS" w:cs="Arial Unicode MS"/>
          <w:color w:val="000000"/>
          <w:u w:color="000000"/>
          <w:bdr w:val="nil"/>
          <w:lang w:eastAsia="zh-CN"/>
        </w:rPr>
        <w:t xml:space="preserve">Once a participant has had two consecutive negative test results for all body fluid specimens </w:t>
      </w:r>
      <w:r w:rsidRPr="00890801">
        <w:rPr>
          <w:rFonts w:eastAsia="Arial Unicode MS" w:cs="Arial Unicode MS"/>
          <w:u w:color="000000"/>
          <w:bdr w:val="nil"/>
          <w:lang w:eastAsia="zh-CN"/>
        </w:rPr>
        <w:t>collected in this study, there will be no further follow-up.</w:t>
      </w:r>
    </w:p>
    <w:p w14:paraId="7B20F89A" w14:textId="529F9B8C" w:rsidR="00BA3AB6" w:rsidRPr="00890801" w:rsidRDefault="00BA3AB6" w:rsidP="006A3D8C">
      <w:pPr>
        <w:pStyle w:val="Heading5"/>
        <w:numPr>
          <w:ilvl w:val="1"/>
          <w:numId w:val="3"/>
        </w:numPr>
        <w:rPr>
          <w:color w:val="auto"/>
        </w:rPr>
      </w:pPr>
      <w:r w:rsidRPr="00890801">
        <w:rPr>
          <w:color w:val="auto"/>
        </w:rPr>
        <w:t xml:space="preserve">Specimen Transportation, </w:t>
      </w:r>
      <w:r w:rsidR="003D3A25" w:rsidRPr="00890801">
        <w:rPr>
          <w:color w:val="auto"/>
        </w:rPr>
        <w:t xml:space="preserve">Laboratory </w:t>
      </w:r>
      <w:r w:rsidRPr="00890801">
        <w:rPr>
          <w:color w:val="auto"/>
        </w:rPr>
        <w:t>Testing, and Storage</w:t>
      </w:r>
    </w:p>
    <w:p w14:paraId="618A772D" w14:textId="79F417C7" w:rsidR="00A73F7B" w:rsidRPr="00890801" w:rsidRDefault="00A73F7B" w:rsidP="00A73F7B">
      <w:pPr>
        <w:pStyle w:val="Intextformat"/>
        <w:spacing w:before="0" w:after="0"/>
        <w:rPr>
          <w:rFonts w:asciiTheme="majorHAnsi" w:hAnsiTheme="majorHAnsi"/>
          <w:b/>
          <w:bCs/>
          <w:color w:val="auto"/>
        </w:rPr>
      </w:pPr>
      <w:r w:rsidRPr="00890801">
        <w:rPr>
          <w:rFonts w:asciiTheme="majorHAnsi" w:hAnsiTheme="majorHAnsi"/>
          <w:b/>
          <w:bCs/>
          <w:color w:val="auto"/>
        </w:rPr>
        <w:t>At the study site</w:t>
      </w:r>
      <w:r w:rsidR="006A3D8C" w:rsidRPr="00890801">
        <w:rPr>
          <w:rFonts w:asciiTheme="majorHAnsi" w:hAnsiTheme="majorHAnsi"/>
          <w:b/>
          <w:bCs/>
          <w:color w:val="auto"/>
        </w:rPr>
        <w:t>s</w:t>
      </w:r>
    </w:p>
    <w:p w14:paraId="180AD570" w14:textId="77777777" w:rsidR="00A73F7B" w:rsidRPr="00890801" w:rsidRDefault="00A73F7B" w:rsidP="006A3D8C">
      <w:pPr>
        <w:pStyle w:val="ListParagraph"/>
        <w:numPr>
          <w:ilvl w:val="0"/>
          <w:numId w:val="13"/>
        </w:numPr>
        <w:pBdr>
          <w:top w:val="nil"/>
          <w:left w:val="nil"/>
          <w:bottom w:val="nil"/>
          <w:right w:val="nil"/>
          <w:between w:val="nil"/>
          <w:bar w:val="nil"/>
        </w:pBdr>
        <w:ind w:left="720"/>
        <w:contextualSpacing w:val="0"/>
        <w:rPr>
          <w:rFonts w:cs="Arial"/>
        </w:rPr>
      </w:pPr>
      <w:r w:rsidRPr="00890801">
        <w:rPr>
          <w:rFonts w:cs="Arial"/>
        </w:rPr>
        <w:t>All biological specimens will be kept cold and will be transported from the study sites to the CDC Bo laboratory daily (three times weekly during the pilot study).</w:t>
      </w:r>
    </w:p>
    <w:p w14:paraId="72AAE63A" w14:textId="7313B789" w:rsidR="00A73F7B" w:rsidRPr="00A73F7B" w:rsidRDefault="00A73F7B" w:rsidP="006A3D8C">
      <w:pPr>
        <w:pStyle w:val="ListParagraph"/>
        <w:numPr>
          <w:ilvl w:val="0"/>
          <w:numId w:val="13"/>
        </w:numPr>
        <w:pBdr>
          <w:top w:val="nil"/>
          <w:left w:val="nil"/>
          <w:bottom w:val="nil"/>
          <w:right w:val="nil"/>
          <w:between w:val="nil"/>
          <w:bar w:val="nil"/>
        </w:pBdr>
        <w:ind w:left="720"/>
        <w:contextualSpacing w:val="0"/>
        <w:rPr>
          <w:rFonts w:cs="Arial"/>
        </w:rPr>
      </w:pPr>
      <w:r w:rsidRPr="00890801">
        <w:rPr>
          <w:rFonts w:cs="Arial"/>
        </w:rPr>
        <w:t xml:space="preserve">All sampling and handling of specimens </w:t>
      </w:r>
      <w:r w:rsidRPr="00A73F7B">
        <w:rPr>
          <w:rFonts w:cs="Arial"/>
        </w:rPr>
        <w:t>collected for transportation should follow procedures for labeling, packaging, transporting, and storing bio-hazardous m</w:t>
      </w:r>
      <w:r w:rsidR="006A3D8C">
        <w:rPr>
          <w:rFonts w:cs="Arial"/>
        </w:rPr>
        <w:t>aterial</w:t>
      </w:r>
      <w:r w:rsidRPr="00A73F7B">
        <w:rPr>
          <w:rFonts w:cs="Arial"/>
        </w:rPr>
        <w:t>.</w:t>
      </w:r>
    </w:p>
    <w:p w14:paraId="214F3649" w14:textId="77777777" w:rsidR="00A73F7B" w:rsidRPr="00A73F7B" w:rsidRDefault="00A73F7B" w:rsidP="00A73F7B">
      <w:pPr>
        <w:pStyle w:val="Intextformat"/>
        <w:spacing w:before="0" w:after="0"/>
        <w:rPr>
          <w:rFonts w:asciiTheme="majorHAnsi" w:hAnsiTheme="majorHAnsi"/>
          <w:b/>
          <w:bCs/>
        </w:rPr>
      </w:pPr>
      <w:r w:rsidRPr="00A73F7B">
        <w:rPr>
          <w:rFonts w:asciiTheme="majorHAnsi" w:hAnsiTheme="majorHAnsi"/>
          <w:b/>
          <w:bCs/>
        </w:rPr>
        <w:t>At CDC Bo laboratory:</w:t>
      </w:r>
    </w:p>
    <w:p w14:paraId="76E241B1" w14:textId="59103B25" w:rsidR="00A73F7B" w:rsidRPr="00A73F7B" w:rsidRDefault="00A73F7B" w:rsidP="00E27997">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 xml:space="preserve">RT-PCR will be performed on all specimens for two viral targets, </w:t>
      </w:r>
      <w:r w:rsidR="00E27997">
        <w:t>viral matrix protein 40 (</w:t>
      </w:r>
      <w:r w:rsidRPr="00E27997">
        <w:t>VP40</w:t>
      </w:r>
      <w:r w:rsidR="00E27997" w:rsidRPr="00E27997">
        <w:t>)</w:t>
      </w:r>
      <w:r w:rsidRPr="00E27997">
        <w:t xml:space="preserve"> and </w:t>
      </w:r>
      <w:r w:rsidR="00E27997" w:rsidRPr="00E27997">
        <w:t>nucleoprotein (</w:t>
      </w:r>
      <w:r w:rsidRPr="00E27997">
        <w:t>NP</w:t>
      </w:r>
      <w:r w:rsidR="00E27997" w:rsidRPr="00E27997">
        <w:t>)</w:t>
      </w:r>
      <w:r w:rsidRPr="00E27997">
        <w:t>,</w:t>
      </w:r>
      <w:r w:rsidRPr="00A73F7B">
        <w:t xml:space="preserve"> as well as an internal human control, </w:t>
      </w:r>
      <w:r w:rsidR="00E27997">
        <w:t xml:space="preserve">human </w:t>
      </w:r>
      <w:r w:rsidR="00E27997" w:rsidRPr="00E27997">
        <w:t>beta-2-microglobulin</w:t>
      </w:r>
      <w:r w:rsidR="00E27997">
        <w:t xml:space="preserve"> (</w:t>
      </w:r>
      <w:r w:rsidRPr="00A73F7B">
        <w:t>B2M</w:t>
      </w:r>
      <w:r w:rsidR="00E27997">
        <w:t>)</w:t>
      </w:r>
      <w:r w:rsidRPr="00A73F7B">
        <w:t xml:space="preserve">, according to </w:t>
      </w:r>
      <w:r w:rsidR="006A3D8C">
        <w:t>standard guidelines</w:t>
      </w:r>
      <w:r w:rsidRPr="00A73F7B">
        <w:t>.</w:t>
      </w:r>
    </w:p>
    <w:p w14:paraId="60FF25D3" w14:textId="77777777" w:rsidR="00A73F7B" w:rsidRPr="00A73F7B" w:rsidRDefault="00A73F7B" w:rsidP="006A3D8C">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 xml:space="preserve">If the internal human control is negative for a given specimen, this would be viewed as an inadequate sample and a new specimen would be requested. </w:t>
      </w:r>
    </w:p>
    <w:p w14:paraId="375AF9AD" w14:textId="77777777" w:rsidR="00A73F7B" w:rsidRPr="00A73F7B" w:rsidRDefault="00A73F7B" w:rsidP="006A3D8C">
      <w:pPr>
        <w:pStyle w:val="ListParagraph"/>
        <w:numPr>
          <w:ilvl w:val="0"/>
          <w:numId w:val="14"/>
        </w:numPr>
        <w:pBdr>
          <w:top w:val="nil"/>
          <w:left w:val="nil"/>
          <w:bottom w:val="nil"/>
          <w:right w:val="nil"/>
          <w:between w:val="nil"/>
          <w:bar w:val="nil"/>
        </w:pBdr>
        <w:ind w:left="720"/>
        <w:contextualSpacing w:val="0"/>
        <w:rPr>
          <w:rFonts w:eastAsia="Arial" w:cs="Arial"/>
        </w:rPr>
      </w:pPr>
      <w:r w:rsidRPr="00A73F7B">
        <w:t>Specimens will be stored at -70C and those that are RT-PCR positive at the CDC Bo laboratory will be shipped to the CDC-Atlanta BSL-4 laboratory for virus isolation testing, following appropriate protocols for transporting Category I biohazards.</w:t>
      </w:r>
    </w:p>
    <w:p w14:paraId="38293C83" w14:textId="77777777" w:rsidR="00A73F7B" w:rsidRPr="00A73F7B" w:rsidRDefault="00A73F7B" w:rsidP="00A73F7B">
      <w:pPr>
        <w:pStyle w:val="Body"/>
        <w:spacing w:line="276" w:lineRule="auto"/>
        <w:rPr>
          <w:rFonts w:asciiTheme="majorHAnsi" w:eastAsia="Arial" w:hAnsiTheme="majorHAnsi" w:cs="Arial"/>
          <w:sz w:val="22"/>
          <w:szCs w:val="22"/>
        </w:rPr>
      </w:pPr>
      <w:r w:rsidRPr="00A73F7B">
        <w:rPr>
          <w:rFonts w:asciiTheme="majorHAnsi" w:hAnsiTheme="majorHAnsi"/>
          <w:b/>
          <w:bCs/>
          <w:sz w:val="22"/>
          <w:szCs w:val="22"/>
          <w:lang w:val="en-US"/>
        </w:rPr>
        <w:t>CDC Atlanta BSL-4 laboratories</w:t>
      </w:r>
      <w:r w:rsidRPr="00A73F7B">
        <w:rPr>
          <w:rFonts w:asciiTheme="majorHAnsi" w:hAnsiTheme="majorHAnsi"/>
          <w:sz w:val="22"/>
          <w:szCs w:val="22"/>
        </w:rPr>
        <w:t>:</w:t>
      </w:r>
    </w:p>
    <w:p w14:paraId="21033F30" w14:textId="77777777"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rPr>
          <w:rFonts w:eastAsia="Arial" w:cs="Arial"/>
        </w:rPr>
        <w:t>In order to determine if a given body fluid specimen has live virus and is potentially infectious, virus culture will be performed. This can only be safely performed in Biosafety Level (BSL)-4 laboratory conditions, which are not available in Sierra Leone. Therefore specimens which have detectable EBOV RNA by RT-PCR will be transported frozen with adequate safe packaging and cold chain to Atlanta, GA, USA for virus isolation.</w:t>
      </w:r>
    </w:p>
    <w:p w14:paraId="149BE6DD" w14:textId="77777777"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t xml:space="preserve">Testing for live virus will be performed at the CDC BSL-4 laboratory in Atlanta, GA, USA, ideally within 6 months of specimen receipt. Standard EBOV virus isolation protocols for diagnostic specimens will be followed. </w:t>
      </w:r>
    </w:p>
    <w:p w14:paraId="3BF45845" w14:textId="53589E61"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rPr>
          <w:rFonts w:eastAsia="Arial" w:cs="Arial"/>
        </w:rPr>
      </w:pPr>
      <w:r w:rsidRPr="00A73F7B">
        <w:t>If specimen type and volume permit, the viral titer (TCID50/mL) for the specimen will be determined. This will inform the amount of infectious virus in a specimen, unlike virus isolatio</w:t>
      </w:r>
      <w:r w:rsidR="006A3D8C">
        <w:t xml:space="preserve">n which will tell you a binary </w:t>
      </w:r>
      <w:r w:rsidRPr="00A73F7B">
        <w:t>(i.e., yes or no)</w:t>
      </w:r>
      <w:r w:rsidR="006A3D8C">
        <w:t>,</w:t>
      </w:r>
      <w:r w:rsidRPr="00A73F7B">
        <w:t xml:space="preserve"> to infectious EBOV virus in the specimen.</w:t>
      </w:r>
    </w:p>
    <w:p w14:paraId="27EB1A72" w14:textId="7DEFAF16" w:rsidR="00A73F7B" w:rsidRPr="00A73F7B" w:rsidRDefault="00A73F7B" w:rsidP="006A3D8C">
      <w:pPr>
        <w:pStyle w:val="ListParagraph"/>
        <w:numPr>
          <w:ilvl w:val="0"/>
          <w:numId w:val="15"/>
        </w:numPr>
        <w:pBdr>
          <w:top w:val="nil"/>
          <w:left w:val="nil"/>
          <w:bottom w:val="nil"/>
          <w:right w:val="nil"/>
          <w:between w:val="nil"/>
          <w:bar w:val="nil"/>
        </w:pBdr>
        <w:ind w:left="720"/>
        <w:contextualSpacing w:val="0"/>
      </w:pPr>
      <w:r w:rsidRPr="00A73F7B">
        <w:lastRenderedPageBreak/>
        <w:t>Residual body fluid specimens will be destroyed. Viral isolates, if any, may be preserved at CDC for further study in collaboration with MoHS and WHO (in accordance with the research collaboration agreement). Body fluid isolates will be kept in liquid Nitrogen frozen storage (-165C) in a secure location at CDC’s BSL-4 laboratory. Virus isolates can be shared to requesting parties assuming that the requesters can comply with the necessary biosafety requirements (BioSafety Level-</w:t>
      </w:r>
      <w:r w:rsidR="00993CF8" w:rsidRPr="00A73F7B">
        <w:t>4,</w:t>
      </w:r>
      <w:r w:rsidRPr="00A73F7B">
        <w:t xml:space="preserve"> Select Agent compliance). Further study of virus isolates may include genetic analysis and comparison with other virus strains. </w:t>
      </w:r>
    </w:p>
    <w:p w14:paraId="719FBF54" w14:textId="77777777" w:rsidR="00991BF9" w:rsidRPr="00072E06" w:rsidRDefault="00991BF9" w:rsidP="00130335">
      <w:pPr>
        <w:ind w:left="0"/>
      </w:pPr>
    </w:p>
    <w:p w14:paraId="673E5D7F" w14:textId="52B1F1D8" w:rsidR="00130335" w:rsidRPr="00072E06" w:rsidRDefault="00130335" w:rsidP="006A3D8C">
      <w:pPr>
        <w:pStyle w:val="Heading5"/>
        <w:numPr>
          <w:ilvl w:val="1"/>
          <w:numId w:val="3"/>
        </w:numPr>
        <w:rPr>
          <w:color w:val="auto"/>
        </w:rPr>
      </w:pPr>
      <w:r w:rsidRPr="00072E06">
        <w:rPr>
          <w:color w:val="auto"/>
        </w:rPr>
        <w:t xml:space="preserve">Data Management </w:t>
      </w:r>
    </w:p>
    <w:p w14:paraId="3033B561" w14:textId="77777777" w:rsidR="00FF02B5" w:rsidRPr="00072E06" w:rsidRDefault="00FF02B5" w:rsidP="00FF02B5">
      <w:pPr>
        <w:pStyle w:val="ListParagraph"/>
        <w:numPr>
          <w:ilvl w:val="0"/>
          <w:numId w:val="16"/>
        </w:numPr>
        <w:pBdr>
          <w:top w:val="nil"/>
          <w:left w:val="nil"/>
          <w:bottom w:val="nil"/>
          <w:right w:val="nil"/>
          <w:between w:val="nil"/>
          <w:bar w:val="nil"/>
        </w:pBdr>
        <w:tabs>
          <w:tab w:val="num" w:pos="746"/>
        </w:tabs>
        <w:ind w:left="746" w:hanging="389"/>
        <w:contextualSpacing w:val="0"/>
        <w:rPr>
          <w:rFonts w:eastAsia="Arial" w:cs="Arial"/>
        </w:rPr>
      </w:pPr>
      <w:r w:rsidRPr="00072E06">
        <w:t xml:space="preserve">All MoHS-owned data related to a study participant will be assigned the participant’s unique study ID. No patient-identifying information (i.e., names) will leave Sierra Leone. </w:t>
      </w:r>
    </w:p>
    <w:p w14:paraId="4AC20ECC" w14:textId="77777777" w:rsidR="00FF02B5" w:rsidRPr="00FF02B5" w:rsidRDefault="00FF02B5" w:rsidP="00FF02B5">
      <w:pPr>
        <w:pStyle w:val="ListParagraph"/>
        <w:numPr>
          <w:ilvl w:val="0"/>
          <w:numId w:val="17"/>
        </w:numPr>
        <w:pBdr>
          <w:top w:val="nil"/>
          <w:left w:val="nil"/>
          <w:bottom w:val="nil"/>
          <w:right w:val="nil"/>
          <w:between w:val="nil"/>
          <w:bar w:val="nil"/>
        </w:pBdr>
        <w:tabs>
          <w:tab w:val="num" w:pos="746"/>
        </w:tabs>
        <w:ind w:left="746" w:hanging="389"/>
        <w:contextualSpacing w:val="0"/>
        <w:rPr>
          <w:rFonts w:eastAsia="Arial" w:cs="Arial"/>
        </w:rPr>
      </w:pPr>
      <w:r w:rsidRPr="00072E06">
        <w:t xml:space="preserve">Interview data will be organized in databases stored on secure local servers within the Ministry of Health in Sierra Leone and WHO and will be backed-up regularly. Collected data will be directly recorded on computers or tablets to minimize data recording and entry errors and minimize delays in data availability. If paper forms must be used, interview responses will be entered into the database </w:t>
      </w:r>
      <w:r w:rsidRPr="00FF02B5">
        <w:t>either daily or as a group at the close of data collection; and 10% of entered forms will be re-checked to identify any problems with data entry accuracy that must be addressed.</w:t>
      </w:r>
    </w:p>
    <w:p w14:paraId="11BE89AB" w14:textId="77777777" w:rsidR="00FF02B5" w:rsidRPr="00FF02B5" w:rsidRDefault="00FF02B5" w:rsidP="00FF02B5">
      <w:pPr>
        <w:pStyle w:val="ListParagraph"/>
        <w:numPr>
          <w:ilvl w:val="0"/>
          <w:numId w:val="18"/>
        </w:numPr>
        <w:pBdr>
          <w:top w:val="nil"/>
          <w:left w:val="nil"/>
          <w:bottom w:val="nil"/>
          <w:right w:val="nil"/>
          <w:between w:val="nil"/>
          <w:bar w:val="nil"/>
        </w:pBdr>
        <w:tabs>
          <w:tab w:val="num" w:pos="746"/>
        </w:tabs>
        <w:ind w:left="746" w:hanging="389"/>
        <w:contextualSpacing w:val="0"/>
        <w:rPr>
          <w:rFonts w:eastAsia="Arial" w:cs="Arial"/>
        </w:rPr>
      </w:pPr>
      <w:r w:rsidRPr="00FF02B5">
        <w:t>Electronic equipment and files will be kept password-protected.</w:t>
      </w:r>
    </w:p>
    <w:p w14:paraId="55B42BA1" w14:textId="77777777" w:rsidR="00FF02B5" w:rsidRPr="00FF02B5" w:rsidRDefault="00FF02B5" w:rsidP="00FF02B5">
      <w:pPr>
        <w:pStyle w:val="ListParagraph"/>
        <w:numPr>
          <w:ilvl w:val="0"/>
          <w:numId w:val="19"/>
        </w:numPr>
        <w:pBdr>
          <w:top w:val="nil"/>
          <w:left w:val="nil"/>
          <w:bottom w:val="nil"/>
          <w:right w:val="nil"/>
          <w:between w:val="nil"/>
          <w:bar w:val="nil"/>
        </w:pBdr>
        <w:tabs>
          <w:tab w:val="num" w:pos="746"/>
        </w:tabs>
        <w:ind w:left="746" w:hanging="389"/>
        <w:contextualSpacing w:val="0"/>
        <w:rPr>
          <w:rFonts w:eastAsia="Arial" w:cs="Arial"/>
        </w:rPr>
      </w:pPr>
      <w:r w:rsidRPr="00FF02B5">
        <w:rPr>
          <w:rFonts w:cs="Arial"/>
        </w:rPr>
        <w:t>Paper forms and electronic devices will be kept locked when not in use.</w:t>
      </w:r>
    </w:p>
    <w:p w14:paraId="7BFA9667" w14:textId="77777777" w:rsidR="00FF02B5" w:rsidRPr="00FF02B5" w:rsidRDefault="00FF02B5" w:rsidP="00FF02B5">
      <w:pPr>
        <w:pStyle w:val="ListParagraph"/>
        <w:numPr>
          <w:ilvl w:val="0"/>
          <w:numId w:val="20"/>
        </w:numPr>
        <w:pBdr>
          <w:top w:val="nil"/>
          <w:left w:val="nil"/>
          <w:bottom w:val="nil"/>
          <w:right w:val="nil"/>
          <w:between w:val="nil"/>
          <w:bar w:val="nil"/>
        </w:pBdr>
        <w:tabs>
          <w:tab w:val="num" w:pos="746"/>
        </w:tabs>
        <w:ind w:left="746" w:hanging="389"/>
        <w:contextualSpacing w:val="0"/>
        <w:rPr>
          <w:rFonts w:cs="Arial"/>
        </w:rPr>
      </w:pPr>
      <w:r w:rsidRPr="00FF02B5">
        <w:rPr>
          <w:rFonts w:cs="Arial"/>
        </w:rPr>
        <w:t>All individual data identifying direct patient identifiers will be removed from the dataset before analysis and replaced with a unique participant code that can be linked back to individuals via a master key at a centralized secure server and database.</w:t>
      </w:r>
    </w:p>
    <w:p w14:paraId="5768E23B" w14:textId="77777777" w:rsidR="00FF02B5" w:rsidRPr="00FF02B5" w:rsidRDefault="00FF02B5" w:rsidP="00FF02B5">
      <w:pPr>
        <w:pStyle w:val="ListParagraph"/>
        <w:numPr>
          <w:ilvl w:val="0"/>
          <w:numId w:val="21"/>
        </w:numPr>
        <w:pBdr>
          <w:top w:val="nil"/>
          <w:left w:val="nil"/>
          <w:bottom w:val="nil"/>
          <w:right w:val="nil"/>
          <w:between w:val="nil"/>
          <w:bar w:val="nil"/>
        </w:pBdr>
        <w:tabs>
          <w:tab w:val="num" w:pos="746"/>
        </w:tabs>
        <w:ind w:left="746" w:hanging="389"/>
        <w:contextualSpacing w:val="0"/>
        <w:rPr>
          <w:rFonts w:cs="Arial"/>
        </w:rPr>
      </w:pPr>
      <w:r w:rsidRPr="00FF02B5">
        <w:rPr>
          <w:rFonts w:cs="Arial"/>
        </w:rPr>
        <w:t>Individual records and the key linking the participant code number will be kept secure, accessible only to the local study team under the supervision of the study PI and MoHS in collaboration with WHO and CDC.</w:t>
      </w:r>
    </w:p>
    <w:p w14:paraId="6DBBD22A" w14:textId="77777777" w:rsidR="00FF02B5" w:rsidRPr="00FF02B5" w:rsidRDefault="00FF02B5" w:rsidP="00FF02B5">
      <w:pPr>
        <w:pStyle w:val="ListParagraph"/>
        <w:numPr>
          <w:ilvl w:val="0"/>
          <w:numId w:val="22"/>
        </w:numPr>
        <w:pBdr>
          <w:top w:val="nil"/>
          <w:left w:val="nil"/>
          <w:bottom w:val="nil"/>
          <w:right w:val="nil"/>
          <w:between w:val="nil"/>
          <w:bar w:val="nil"/>
        </w:pBdr>
        <w:tabs>
          <w:tab w:val="num" w:pos="746"/>
        </w:tabs>
        <w:ind w:left="746" w:hanging="389"/>
        <w:contextualSpacing w:val="0"/>
        <w:rPr>
          <w:rFonts w:cs="Arial"/>
        </w:rPr>
      </w:pPr>
      <w:r w:rsidRPr="00FF02B5">
        <w:rPr>
          <w:rFonts w:cs="Arial"/>
        </w:rPr>
        <w:t>Paper interview forms, if used, will be destroyed within one year after all data are entered and verified.</w:t>
      </w:r>
    </w:p>
    <w:p w14:paraId="597A8234" w14:textId="77777777" w:rsidR="00FF02B5" w:rsidRPr="00FF02B5" w:rsidRDefault="00FF02B5" w:rsidP="00FF02B5">
      <w:pPr>
        <w:pStyle w:val="ListParagraph"/>
        <w:numPr>
          <w:ilvl w:val="0"/>
          <w:numId w:val="23"/>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Laboratory results will be batch processed and complete PCR results for all specimen types will be reported back within 1 week of specimen receipt to each site coordinator. A positive RT-PCR result on any specimen should be entered in the secured data base and reported within 8 hours to the study PI and WHO and CDC local coordinators as well as the site coordinator where the specimen was collected. Laboratory staff will identify specimens only by the labelled study ID, and will not have access to any personally identifying information. </w:t>
      </w:r>
    </w:p>
    <w:p w14:paraId="4BE1E2ED" w14:textId="36116088" w:rsidR="00FF02B5" w:rsidRPr="00FF02B5" w:rsidRDefault="00FF02B5" w:rsidP="00FF02B5">
      <w:pPr>
        <w:pStyle w:val="ListParagraph"/>
        <w:numPr>
          <w:ilvl w:val="0"/>
          <w:numId w:val="24"/>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Site coordinators will provide laboratory results only in person and only to participants who (1) return for a follow-up study visit; and (2) present their study ID card or confirm their identity and study ID number; and (3) request to receive their own results. Individual results will not be shared with anyone other than the study participant. Results will be presented according to the counselling script in </w:t>
      </w:r>
      <w:r w:rsidR="00746CBC">
        <w:rPr>
          <w:rFonts w:cs="Arial"/>
        </w:rPr>
        <w:t>Attachment 8</w:t>
      </w:r>
      <w:r w:rsidRPr="00FF02B5">
        <w:rPr>
          <w:rFonts w:cs="Arial"/>
        </w:rPr>
        <w:t xml:space="preserve">.  </w:t>
      </w:r>
    </w:p>
    <w:p w14:paraId="33CB765D" w14:textId="77777777" w:rsidR="00FF02B5" w:rsidRPr="00FF02B5" w:rsidRDefault="00FF02B5" w:rsidP="00FF02B5">
      <w:pPr>
        <w:pStyle w:val="ListParagraph"/>
        <w:numPr>
          <w:ilvl w:val="0"/>
          <w:numId w:val="25"/>
        </w:numPr>
        <w:pBdr>
          <w:top w:val="nil"/>
          <w:left w:val="nil"/>
          <w:bottom w:val="nil"/>
          <w:right w:val="nil"/>
          <w:between w:val="nil"/>
          <w:bar w:val="nil"/>
        </w:pBdr>
        <w:tabs>
          <w:tab w:val="num" w:pos="746"/>
        </w:tabs>
        <w:ind w:left="746" w:hanging="389"/>
        <w:contextualSpacing w:val="0"/>
        <w:rPr>
          <w:rFonts w:cs="Arial"/>
        </w:rPr>
      </w:pPr>
      <w:r w:rsidRPr="00FF02B5">
        <w:rPr>
          <w:rFonts w:cs="Arial"/>
        </w:rPr>
        <w:t xml:space="preserve">Viral isolation results from CDC Atlanta will be reported promptly to the study PI and entered in the secured data base as they arrive. These confirmatory results will not be </w:t>
      </w:r>
      <w:r w:rsidRPr="00FF02B5">
        <w:rPr>
          <w:rFonts w:cs="Arial"/>
        </w:rPr>
        <w:lastRenderedPageBreak/>
        <w:t xml:space="preserve">available within a clinically relevant time frame (6 months) although positive results will be reported to participants. </w:t>
      </w:r>
    </w:p>
    <w:p w14:paraId="58076C3A" w14:textId="77777777" w:rsidR="00581178" w:rsidRDefault="00581178" w:rsidP="00C03F43">
      <w:pPr>
        <w:ind w:left="0"/>
      </w:pPr>
    </w:p>
    <w:p w14:paraId="35B7CCF3" w14:textId="132E6574" w:rsidR="00130335" w:rsidRDefault="00C03F43" w:rsidP="00C03F43">
      <w:pPr>
        <w:ind w:left="0"/>
      </w:pPr>
      <w:r w:rsidRPr="00C03F43">
        <w:t xml:space="preserve">   </w:t>
      </w:r>
    </w:p>
    <w:p w14:paraId="47E33431" w14:textId="35187B51" w:rsidR="004C2CBC" w:rsidRPr="00A76A79" w:rsidRDefault="00287E2F" w:rsidP="00A76A79">
      <w:pPr>
        <w:pStyle w:val="Heading4"/>
        <w:numPr>
          <w:ilvl w:val="0"/>
          <w:numId w:val="1"/>
        </w:numPr>
      </w:pPr>
      <w:bookmarkStart w:id="5" w:name="_Toc419723309"/>
      <w:r w:rsidRPr="00D26A64">
        <w:t>Methods to Maximize Response Rates</w:t>
      </w:r>
      <w:r w:rsidR="00F725B5">
        <w:t xml:space="preserve"> </w:t>
      </w:r>
      <w:r w:rsidR="006459B5">
        <w:t xml:space="preserve">and </w:t>
      </w:r>
      <w:r w:rsidR="009759F3" w:rsidRPr="009759F3">
        <w:t>Deal with Nonresponse</w:t>
      </w:r>
      <w:bookmarkEnd w:id="5"/>
    </w:p>
    <w:p w14:paraId="35E4BF07" w14:textId="5DFE15E9" w:rsidR="00A76A79" w:rsidRDefault="007F411D" w:rsidP="00A76A79">
      <w:pPr>
        <w:pStyle w:val="ListParagraph"/>
        <w:ind w:left="0"/>
        <w:rPr>
          <w:rFonts w:cs="Times New Roman"/>
        </w:rPr>
      </w:pPr>
      <w:r>
        <w:rPr>
          <w:rFonts w:cs="Times New Roman"/>
        </w:rPr>
        <w:t>As previously noted, s</w:t>
      </w:r>
      <w:r w:rsidRPr="007F411D">
        <w:rPr>
          <w:rFonts w:cs="Times New Roman"/>
        </w:rPr>
        <w:t xml:space="preserve">urvivor associations in each of the districts will be involved with the study implementation.  A small group of survivors will be formed to serve as key informants for sensitization of the community and recruitment for the study. </w:t>
      </w:r>
      <w:r w:rsidR="00A76A79">
        <w:rPr>
          <w:rFonts w:cs="Times New Roman"/>
        </w:rPr>
        <w:t>Study participation is</w:t>
      </w:r>
      <w:r w:rsidR="00A76A79" w:rsidRPr="007C6296">
        <w:rPr>
          <w:rFonts w:cs="Times New Roman"/>
        </w:rPr>
        <w:t xml:space="preserve"> voluntary, </w:t>
      </w:r>
      <w:r w:rsidR="00A76A79">
        <w:rPr>
          <w:rFonts w:cs="Times New Roman"/>
        </w:rPr>
        <w:t xml:space="preserve">and study leads will make </w:t>
      </w:r>
      <w:r w:rsidR="00A76A79" w:rsidRPr="007C6296">
        <w:rPr>
          <w:rFonts w:cs="Times New Roman"/>
        </w:rPr>
        <w:t xml:space="preserve">every effort to maximize the rate of response. </w:t>
      </w:r>
      <w:r w:rsidR="00A76A79">
        <w:rPr>
          <w:rFonts w:cs="Times New Roman"/>
        </w:rPr>
        <w:t>Additionally, support will be offered to every participant at every visit including:</w:t>
      </w:r>
      <w:r w:rsidR="00A76A79" w:rsidRPr="001A68E8">
        <w:rPr>
          <w:rFonts w:cs="Times New Roman"/>
        </w:rPr>
        <w:t xml:space="preserve"> specific </w:t>
      </w:r>
      <w:r w:rsidR="00A76A79">
        <w:rPr>
          <w:rFonts w:cs="Times New Roman"/>
        </w:rPr>
        <w:t xml:space="preserve">EBOV transmission </w:t>
      </w:r>
      <w:r w:rsidR="00A76A79" w:rsidRPr="001A68E8">
        <w:rPr>
          <w:rFonts w:cs="Times New Roman"/>
        </w:rPr>
        <w:t xml:space="preserve">prevention counselling and provision of condoms </w:t>
      </w:r>
      <w:r w:rsidR="00A76A79">
        <w:rPr>
          <w:rFonts w:cs="Times New Roman"/>
        </w:rPr>
        <w:t>distributed</w:t>
      </w:r>
      <w:r w:rsidR="00A76A79" w:rsidRPr="001A68E8">
        <w:rPr>
          <w:rFonts w:cs="Times New Roman"/>
        </w:rPr>
        <w:t xml:space="preserve"> by trained counsellors</w:t>
      </w:r>
      <w:r w:rsidR="00A76A79">
        <w:rPr>
          <w:rFonts w:cs="Times New Roman"/>
        </w:rPr>
        <w:t>; v</w:t>
      </w:r>
      <w:r w:rsidR="00A76A79" w:rsidRPr="001A68E8">
        <w:rPr>
          <w:rFonts w:cs="Times New Roman"/>
        </w:rPr>
        <w:t xml:space="preserve">oluntary </w:t>
      </w:r>
      <w:r w:rsidR="00A76A79">
        <w:rPr>
          <w:rFonts w:cs="Times New Roman"/>
        </w:rPr>
        <w:t>human immunodeficiency virus (</w:t>
      </w:r>
      <w:r w:rsidR="00A76A79" w:rsidRPr="001A68E8">
        <w:rPr>
          <w:rFonts w:cs="Times New Roman"/>
        </w:rPr>
        <w:t>HIV</w:t>
      </w:r>
      <w:r w:rsidR="00A76A79">
        <w:rPr>
          <w:rFonts w:cs="Times New Roman"/>
        </w:rPr>
        <w:t>)</w:t>
      </w:r>
      <w:r w:rsidR="00A76A79" w:rsidRPr="001A68E8">
        <w:rPr>
          <w:rFonts w:cs="Times New Roman"/>
        </w:rPr>
        <w:t xml:space="preserve"> testing and counse</w:t>
      </w:r>
      <w:r w:rsidR="00A76A79">
        <w:rPr>
          <w:rFonts w:cs="Times New Roman"/>
        </w:rPr>
        <w:t>l</w:t>
      </w:r>
      <w:r w:rsidR="00A76A79" w:rsidRPr="001A68E8">
        <w:rPr>
          <w:rFonts w:cs="Times New Roman"/>
        </w:rPr>
        <w:t>ling will be offered to all participants</w:t>
      </w:r>
      <w:r w:rsidR="00D22B27">
        <w:rPr>
          <w:rFonts w:cs="Times New Roman"/>
        </w:rPr>
        <w:t>,</w:t>
      </w:r>
      <w:r w:rsidR="00A76A79" w:rsidRPr="001A68E8">
        <w:rPr>
          <w:rFonts w:cs="Times New Roman"/>
        </w:rPr>
        <w:t xml:space="preserve"> and HIV</w:t>
      </w:r>
      <w:r w:rsidR="00A76A79">
        <w:rPr>
          <w:rFonts w:cs="Times New Roman"/>
        </w:rPr>
        <w:t>-</w:t>
      </w:r>
      <w:r w:rsidR="00A76A79" w:rsidRPr="001A68E8">
        <w:rPr>
          <w:rFonts w:cs="Times New Roman"/>
        </w:rPr>
        <w:t xml:space="preserve">positive study participants will be </w:t>
      </w:r>
      <w:r w:rsidR="00D22B27">
        <w:rPr>
          <w:rFonts w:cs="Times New Roman"/>
        </w:rPr>
        <w:t xml:space="preserve">referred </w:t>
      </w:r>
      <w:r w:rsidR="00D22B27">
        <w:t xml:space="preserve">for </w:t>
      </w:r>
      <w:r w:rsidR="00A76A79" w:rsidRPr="004C2CBC">
        <w:t>HIV counsel</w:t>
      </w:r>
      <w:r w:rsidR="00D22B27">
        <w:t>l</w:t>
      </w:r>
      <w:r w:rsidR="00A76A79" w:rsidRPr="004C2CBC">
        <w:t>ing and treatment services</w:t>
      </w:r>
      <w:r w:rsidR="00A76A79">
        <w:rPr>
          <w:rFonts w:cs="Times New Roman"/>
        </w:rPr>
        <w:t>;</w:t>
      </w:r>
      <w:r w:rsidR="00A76A79" w:rsidRPr="001A68E8">
        <w:rPr>
          <w:rFonts w:cs="Times New Roman"/>
        </w:rPr>
        <w:t xml:space="preserve"> </w:t>
      </w:r>
      <w:r w:rsidR="00D22B27" w:rsidRPr="004C2CBC">
        <w:t>participants in need of specific health services will be referred to the appropriate clinic/hospital for care and management</w:t>
      </w:r>
      <w:r w:rsidR="00D22B27">
        <w:t>.</w:t>
      </w:r>
      <w:r w:rsidR="00D22B27" w:rsidRPr="004C2CBC">
        <w:t xml:space="preserve"> </w:t>
      </w:r>
      <w:r w:rsidR="00A76A79" w:rsidRPr="004C2CBC">
        <w:t xml:space="preserve">When pertinent, counselling on potential </w:t>
      </w:r>
      <w:r w:rsidR="00D22B27">
        <w:t xml:space="preserve">EBOV </w:t>
      </w:r>
      <w:r w:rsidR="00A76A79" w:rsidRPr="004C2CBC">
        <w:t xml:space="preserve">transmission </w:t>
      </w:r>
      <w:r w:rsidR="00D22B27">
        <w:t xml:space="preserve">via breastfeeding </w:t>
      </w:r>
      <w:r w:rsidR="00A76A79" w:rsidRPr="004C2CBC">
        <w:t>will be given by trained counsellors and alternative feeding will be provided.</w:t>
      </w:r>
      <w:r w:rsidRPr="007F411D">
        <w:t xml:space="preserve"> </w:t>
      </w:r>
      <w:r>
        <w:t>The counselling script (Attachment 8) addresses many anticipated study participant questions. Finally, s</w:t>
      </w:r>
      <w:r w:rsidRPr="007F411D">
        <w:t>everal survivors’ support groups are actively working to provide counselling and support of various qualities to EVD survivors in Sierra Leone, in collaboration with UNICEF and the national survivors’ association, which study collaborators anticipate will mitigate community concerns.</w:t>
      </w:r>
    </w:p>
    <w:p w14:paraId="69B3DD08" w14:textId="77777777" w:rsidR="004C2CBC" w:rsidRDefault="004C2CBC" w:rsidP="004C2CBC">
      <w:pPr>
        <w:pStyle w:val="Intextformat"/>
        <w:spacing w:before="0" w:after="0"/>
        <w:rPr>
          <w:rFonts w:asciiTheme="majorHAnsi" w:hAnsiTheme="majorHAnsi"/>
        </w:rPr>
      </w:pPr>
    </w:p>
    <w:p w14:paraId="431ED3FC" w14:textId="11594869" w:rsidR="004C2CBC" w:rsidRPr="004C2CBC" w:rsidRDefault="004C2CBC" w:rsidP="004C2CBC">
      <w:pPr>
        <w:pStyle w:val="Intextformat"/>
        <w:spacing w:before="0" w:after="0"/>
        <w:rPr>
          <w:rFonts w:asciiTheme="majorHAnsi" w:hAnsiTheme="majorHAnsi"/>
        </w:rPr>
      </w:pPr>
      <w:r w:rsidRPr="004C2CBC">
        <w:rPr>
          <w:rFonts w:asciiTheme="majorHAnsi" w:hAnsiTheme="majorHAnsi"/>
        </w:rPr>
        <w:t>Main challenges to the success of the project include willingness of participants to provide biological specimens from sensitive locations, and to share intimate information on sexual behavior. Proposed solutions are to ensure trained interviewers and medical staff of appropriate genders and cultural backgrounds, who are used to discussing sexual behavior, and to take bio-samples of sensitive character. Also to secure an environment where the interviewee will be secure the procedures and information is kept confidential. The ability to provide quick turnaround of specimen processing and analysis for timely report back to participants,</w:t>
      </w:r>
      <w:r w:rsidR="00E01DAB">
        <w:rPr>
          <w:rFonts w:asciiTheme="majorHAnsi" w:hAnsiTheme="majorHAnsi"/>
        </w:rPr>
        <w:t xml:space="preserve"> especially in the breast milk M</w:t>
      </w:r>
      <w:r w:rsidRPr="004C2CBC">
        <w:rPr>
          <w:rFonts w:asciiTheme="majorHAnsi" w:hAnsiTheme="majorHAnsi"/>
        </w:rPr>
        <w:t>odule</w:t>
      </w:r>
      <w:r w:rsidR="00E01DAB">
        <w:rPr>
          <w:rFonts w:asciiTheme="majorHAnsi" w:hAnsiTheme="majorHAnsi"/>
        </w:rPr>
        <w:t xml:space="preserve"> B</w:t>
      </w:r>
      <w:r w:rsidRPr="004C2CBC">
        <w:rPr>
          <w:rFonts w:asciiTheme="majorHAnsi" w:hAnsiTheme="majorHAnsi"/>
        </w:rPr>
        <w:t xml:space="preserve"> will also be a challenge.  </w:t>
      </w:r>
    </w:p>
    <w:p w14:paraId="34336508" w14:textId="77777777" w:rsidR="004C2CBC" w:rsidRDefault="004C2CBC" w:rsidP="004C2CBC">
      <w:pPr>
        <w:pStyle w:val="Intextformat"/>
        <w:spacing w:before="0" w:after="0"/>
        <w:rPr>
          <w:rFonts w:asciiTheme="majorHAnsi" w:hAnsiTheme="majorHAnsi"/>
        </w:rPr>
      </w:pPr>
    </w:p>
    <w:p w14:paraId="16661861" w14:textId="5CB5E902" w:rsidR="00C06DAA" w:rsidRDefault="00C06DAA" w:rsidP="00991BF9">
      <w:pPr>
        <w:pStyle w:val="ListParagraph"/>
        <w:ind w:left="0"/>
        <w:rPr>
          <w:rFonts w:cs="Times New Roman"/>
        </w:rPr>
      </w:pPr>
      <w:r>
        <w:rPr>
          <w:rFonts w:cs="Times New Roman"/>
        </w:rPr>
        <w:t xml:space="preserve">Every effort will be given to maintaining communication with enrolled participants. Contact information of the participant will be collected and contact information for local study staff will be provided at enrollment. </w:t>
      </w:r>
    </w:p>
    <w:p w14:paraId="0AC10C48" w14:textId="77777777" w:rsidR="001A68E8" w:rsidRDefault="001A68E8" w:rsidP="00991BF9">
      <w:pPr>
        <w:pStyle w:val="ListParagraph"/>
        <w:ind w:left="0"/>
        <w:rPr>
          <w:rFonts w:cs="Times New Roman"/>
        </w:rPr>
      </w:pPr>
    </w:p>
    <w:p w14:paraId="719FBF57" w14:textId="77777777" w:rsidR="00991BF9" w:rsidRDefault="00991BF9" w:rsidP="00991BF9"/>
    <w:p w14:paraId="719FBF58" w14:textId="77777777" w:rsidR="00F52BCC" w:rsidRPr="009759F3" w:rsidRDefault="00287E2F" w:rsidP="006A3D8C">
      <w:pPr>
        <w:pStyle w:val="Heading4"/>
        <w:numPr>
          <w:ilvl w:val="0"/>
          <w:numId w:val="1"/>
        </w:numPr>
      </w:pPr>
      <w:bookmarkStart w:id="6" w:name="_Toc419723310"/>
      <w:r w:rsidRPr="005F3FEF">
        <w:t xml:space="preserve">Test of Procedures </w:t>
      </w:r>
      <w:r w:rsidR="009759F3" w:rsidRPr="009759F3">
        <w:t>or Methods to be Undertaken</w:t>
      </w:r>
      <w:bookmarkEnd w:id="6"/>
    </w:p>
    <w:p w14:paraId="59E4F6FB" w14:textId="28E61D3B" w:rsidR="005E102E" w:rsidRDefault="001E5FB4" w:rsidP="00991BF9">
      <w:pPr>
        <w:ind w:left="0"/>
      </w:pPr>
      <w:r w:rsidRPr="009A5215">
        <w:rPr>
          <w:color w:val="000000"/>
        </w:rPr>
        <w:t>Using WHO funds only, the study team</w:t>
      </w:r>
      <w:r>
        <w:rPr>
          <w:color w:val="000000"/>
        </w:rPr>
        <w:t xml:space="preserve"> previously </w:t>
      </w:r>
      <w:r w:rsidRPr="009A5215">
        <w:rPr>
          <w:color w:val="000000"/>
        </w:rPr>
        <w:t>held a focus group with 15 male EVD survivors at t</w:t>
      </w:r>
      <w:r>
        <w:rPr>
          <w:color w:val="000000"/>
        </w:rPr>
        <w:t>he Military 34 hospital grounds; CDC personnel observed, but did not conduct, this focus group.</w:t>
      </w:r>
      <w:r w:rsidRPr="009A5215">
        <w:rPr>
          <w:color w:val="000000"/>
        </w:rPr>
        <w:t xml:space="preserve"> </w:t>
      </w:r>
      <w:r w:rsidR="005E102E" w:rsidRPr="009A5215">
        <w:rPr>
          <w:color w:val="000000"/>
        </w:rPr>
        <w:t xml:space="preserve">The study team </w:t>
      </w:r>
      <w:r w:rsidR="005E102E" w:rsidRPr="009A5215">
        <w:t>provided an overview of the study and explained the rationale</w:t>
      </w:r>
      <w:r w:rsidR="005E102E">
        <w:t>,</w:t>
      </w:r>
      <w:r w:rsidR="005E102E" w:rsidRPr="009A5215">
        <w:t xml:space="preserve"> followed by a review</w:t>
      </w:r>
      <w:r w:rsidR="005E102E">
        <w:t xml:space="preserve"> of the informed consent and </w:t>
      </w:r>
      <w:r w:rsidR="005E102E" w:rsidRPr="009A5215">
        <w:t>questionnaire with the group. The group provided feedback on their comprehension of the informed consent, the acceptability of the subject matter, and questionnaire content. Revisions were made to the informed consent and questionnaire based on this feedback. The group did not find the informed consent or questionnaire process burdensome.</w:t>
      </w:r>
    </w:p>
    <w:p w14:paraId="22D1D475" w14:textId="77777777" w:rsidR="005E102E" w:rsidRDefault="005E102E" w:rsidP="00991BF9">
      <w:pPr>
        <w:ind w:left="0"/>
      </w:pPr>
    </w:p>
    <w:p w14:paraId="191D870A" w14:textId="77777777" w:rsidR="005E102E" w:rsidRDefault="005E102E" w:rsidP="00991BF9">
      <w:pPr>
        <w:ind w:left="0"/>
      </w:pPr>
      <w:r>
        <w:t xml:space="preserve">The pilot study is intended to </w:t>
      </w:r>
    </w:p>
    <w:p w14:paraId="4B551D66" w14:textId="5F8C78A8"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Inform the process and implementation of the overall study (i.e., Modules A and B)</w:t>
      </w:r>
    </w:p>
    <w:p w14:paraId="336FC22D" w14:textId="77777777"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 xml:space="preserve">Provide rapid results on the prevalence of EBOV by RT-PCR in semen of survivors  </w:t>
      </w:r>
    </w:p>
    <w:p w14:paraId="61791568" w14:textId="0AA1475E" w:rsidR="005E102E" w:rsidRPr="00F43F4D" w:rsidRDefault="005E102E" w:rsidP="005E102E">
      <w:pPr>
        <w:pStyle w:val="ListParagraph"/>
        <w:numPr>
          <w:ilvl w:val="0"/>
          <w:numId w:val="27"/>
        </w:numPr>
        <w:pBdr>
          <w:top w:val="nil"/>
          <w:left w:val="nil"/>
          <w:bottom w:val="nil"/>
          <w:right w:val="nil"/>
          <w:between w:val="nil"/>
          <w:bar w:val="nil"/>
        </w:pBdr>
        <w:tabs>
          <w:tab w:val="clear" w:pos="720"/>
          <w:tab w:val="num" w:pos="753"/>
        </w:tabs>
        <w:ind w:left="753" w:hanging="393"/>
        <w:contextualSpacing w:val="0"/>
        <w:rPr>
          <w:rFonts w:eastAsia="Arial" w:cs="Arial"/>
        </w:rPr>
      </w:pPr>
      <w:r w:rsidRPr="00F43F4D">
        <w:t>Assess the prevalence of live Ebola RNA detected by culture/viral isolation from RT-PCR</w:t>
      </w:r>
      <w:r w:rsidR="00F43F4D">
        <w:t xml:space="preserve"> positive</w:t>
      </w:r>
      <w:r w:rsidRPr="00F43F4D">
        <w:t xml:space="preserve"> semen</w:t>
      </w:r>
    </w:p>
    <w:p w14:paraId="683B9EF6" w14:textId="77777777" w:rsidR="00F43F4D" w:rsidRDefault="00F43F4D" w:rsidP="00991BF9">
      <w:pPr>
        <w:ind w:left="0"/>
        <w:rPr>
          <w:color w:val="000000"/>
          <w:lang w:eastAsia="zh-CN"/>
        </w:rPr>
      </w:pPr>
    </w:p>
    <w:p w14:paraId="719FBF59" w14:textId="791F1869" w:rsidR="00991BF9" w:rsidRPr="00B23CB6" w:rsidRDefault="00F43F4D" w:rsidP="00991BF9">
      <w:pPr>
        <w:ind w:left="0"/>
      </w:pPr>
      <w:r>
        <w:t>O</w:t>
      </w:r>
      <w:r w:rsidR="00651EFB">
        <w:t xml:space="preserve">nly minor </w:t>
      </w:r>
      <w:r>
        <w:t xml:space="preserve">study </w:t>
      </w:r>
      <w:r w:rsidR="00651EFB">
        <w:t>changes are expected, if any. As a result</w:t>
      </w:r>
      <w:r w:rsidR="00210635">
        <w:t>,</w:t>
      </w:r>
      <w:r w:rsidR="00651EFB">
        <w:t xml:space="preserve"> a combined approval for the </w:t>
      </w:r>
      <w:r w:rsidR="00210635">
        <w:t xml:space="preserve">pilot </w:t>
      </w:r>
      <w:r w:rsidR="00651EFB">
        <w:t xml:space="preserve">and the </w:t>
      </w:r>
      <w:r w:rsidR="006A2E4F">
        <w:t>subsequent modules</w:t>
      </w:r>
      <w:r w:rsidR="00651EFB">
        <w:t xml:space="preserve"> is preferred. Any changes to the </w:t>
      </w:r>
      <w:r>
        <w:t>procedures or methods to be used</w:t>
      </w:r>
      <w:r w:rsidR="00651EFB">
        <w:t xml:space="preserve"> will be communicated to </w:t>
      </w:r>
      <w:r w:rsidR="00057FED">
        <w:t xml:space="preserve">IRB and </w:t>
      </w:r>
      <w:r w:rsidR="00651EFB">
        <w:t xml:space="preserve">OMB as quickly as possible before data collection </w:t>
      </w:r>
      <w:r>
        <w:t>for Modules A and B</w:t>
      </w:r>
      <w:r w:rsidR="00651EFB">
        <w:t xml:space="preserve"> begin</w:t>
      </w:r>
      <w:r>
        <w:t>s</w:t>
      </w:r>
      <w:r w:rsidR="00651EFB">
        <w:t xml:space="preserve">. </w:t>
      </w:r>
    </w:p>
    <w:p w14:paraId="719FBF5A" w14:textId="77777777" w:rsidR="00F52BCC" w:rsidRDefault="00F52BCC" w:rsidP="00991BF9">
      <w:pPr>
        <w:ind w:left="360"/>
      </w:pPr>
    </w:p>
    <w:p w14:paraId="2D3F294D" w14:textId="77777777" w:rsidR="00E10D46" w:rsidRDefault="00E10D46" w:rsidP="00991BF9">
      <w:pPr>
        <w:ind w:left="360"/>
      </w:pPr>
    </w:p>
    <w:p w14:paraId="1B92B26A" w14:textId="39D65B88" w:rsidR="00742758" w:rsidRDefault="009759F3" w:rsidP="006A3D8C">
      <w:pPr>
        <w:pStyle w:val="Heading4"/>
        <w:numPr>
          <w:ilvl w:val="0"/>
          <w:numId w:val="1"/>
        </w:numPr>
      </w:pPr>
      <w:bookmarkStart w:id="7" w:name="_Toc419723311"/>
      <w:r w:rsidRPr="009759F3">
        <w:t>Individuals Consulted on Statistical Aspects and Individuals Collecting and/or Analyzing</w:t>
      </w:r>
      <w:r w:rsidR="00421E72">
        <w:t xml:space="preserve"> Data</w:t>
      </w:r>
      <w:bookmarkEnd w:id="7"/>
      <w:r w:rsidRPr="009759F3">
        <w:t xml:space="preserve"> </w:t>
      </w:r>
    </w:p>
    <w:p w14:paraId="3265DFFD" w14:textId="77777777" w:rsidR="00581178" w:rsidRPr="00581178" w:rsidRDefault="00581178" w:rsidP="00D722DB">
      <w:pPr>
        <w:ind w:left="0"/>
      </w:pPr>
    </w:p>
    <w:tbl>
      <w:tblPr>
        <w:tblStyle w:val="TableGrid"/>
        <w:tblW w:w="0" w:type="auto"/>
        <w:tblLayout w:type="fixed"/>
        <w:tblLook w:val="04A0" w:firstRow="1" w:lastRow="0" w:firstColumn="1" w:lastColumn="0" w:noHBand="0" w:noVBand="1"/>
      </w:tblPr>
      <w:tblGrid>
        <w:gridCol w:w="1705"/>
        <w:gridCol w:w="2250"/>
        <w:gridCol w:w="2250"/>
        <w:gridCol w:w="3145"/>
      </w:tblGrid>
      <w:tr w:rsidR="00A03F96" w14:paraId="33C71438" w14:textId="77777777" w:rsidTr="00A03F96">
        <w:tc>
          <w:tcPr>
            <w:tcW w:w="1705" w:type="dxa"/>
            <w:vAlign w:val="center"/>
          </w:tcPr>
          <w:p w14:paraId="0EB4DA16" w14:textId="4C55BB39" w:rsidR="00742758" w:rsidRPr="00A03F96" w:rsidRDefault="00742758" w:rsidP="00A03F96">
            <w:pPr>
              <w:ind w:left="0"/>
              <w:rPr>
                <w:b/>
              </w:rPr>
            </w:pPr>
            <w:r w:rsidRPr="00A03F96">
              <w:rPr>
                <w:b/>
              </w:rPr>
              <w:t>Role</w:t>
            </w:r>
          </w:p>
        </w:tc>
        <w:tc>
          <w:tcPr>
            <w:tcW w:w="2250" w:type="dxa"/>
            <w:vAlign w:val="center"/>
          </w:tcPr>
          <w:p w14:paraId="4B1F43AD" w14:textId="0FFC6263" w:rsidR="00742758" w:rsidRPr="00A03F96" w:rsidRDefault="00742758" w:rsidP="00A03F96">
            <w:pPr>
              <w:ind w:left="0"/>
              <w:rPr>
                <w:b/>
              </w:rPr>
            </w:pPr>
            <w:r w:rsidRPr="00A03F96">
              <w:rPr>
                <w:b/>
              </w:rPr>
              <w:t>Name</w:t>
            </w:r>
          </w:p>
        </w:tc>
        <w:tc>
          <w:tcPr>
            <w:tcW w:w="2250" w:type="dxa"/>
            <w:vAlign w:val="center"/>
          </w:tcPr>
          <w:p w14:paraId="09741AD8" w14:textId="605719EC" w:rsidR="00742758" w:rsidRPr="00A03F96" w:rsidRDefault="00742758" w:rsidP="00A03F96">
            <w:pPr>
              <w:ind w:left="0"/>
              <w:rPr>
                <w:b/>
              </w:rPr>
            </w:pPr>
            <w:r w:rsidRPr="00A03F96">
              <w:rPr>
                <w:b/>
              </w:rPr>
              <w:t>Telephone Number</w:t>
            </w:r>
          </w:p>
        </w:tc>
        <w:tc>
          <w:tcPr>
            <w:tcW w:w="3145" w:type="dxa"/>
            <w:vAlign w:val="center"/>
          </w:tcPr>
          <w:p w14:paraId="46367F86" w14:textId="088A6827" w:rsidR="00742758" w:rsidRPr="00A03F96" w:rsidRDefault="00742758" w:rsidP="00A03F96">
            <w:pPr>
              <w:ind w:left="0"/>
              <w:rPr>
                <w:b/>
              </w:rPr>
            </w:pPr>
            <w:r w:rsidRPr="00A03F96">
              <w:rPr>
                <w:b/>
              </w:rPr>
              <w:t>Email</w:t>
            </w:r>
          </w:p>
        </w:tc>
      </w:tr>
      <w:tr w:rsidR="00A03F96" w14:paraId="4792ABA9" w14:textId="77777777" w:rsidTr="00A03F96">
        <w:tc>
          <w:tcPr>
            <w:tcW w:w="1705" w:type="dxa"/>
            <w:vAlign w:val="center"/>
          </w:tcPr>
          <w:p w14:paraId="775F6854" w14:textId="40CA457C" w:rsidR="00742758" w:rsidRPr="00D056CA" w:rsidRDefault="00742758" w:rsidP="00A03F96">
            <w:pPr>
              <w:ind w:left="0"/>
            </w:pPr>
            <w:r w:rsidRPr="00D056CA">
              <w:t>Statistical consultation</w:t>
            </w:r>
          </w:p>
        </w:tc>
        <w:tc>
          <w:tcPr>
            <w:tcW w:w="2250" w:type="dxa"/>
          </w:tcPr>
          <w:p w14:paraId="2232635E" w14:textId="701D8AA0" w:rsidR="00742758" w:rsidRPr="007A2169" w:rsidRDefault="003C48F1" w:rsidP="00A03F96">
            <w:pPr>
              <w:ind w:left="0"/>
              <w:jc w:val="both"/>
            </w:pPr>
            <w:r w:rsidRPr="007A2169">
              <w:t>Tim Flietstra</w:t>
            </w:r>
          </w:p>
        </w:tc>
        <w:tc>
          <w:tcPr>
            <w:tcW w:w="2250" w:type="dxa"/>
          </w:tcPr>
          <w:p w14:paraId="021AC294" w14:textId="385C00C1" w:rsidR="00742758" w:rsidRPr="007A2169" w:rsidRDefault="003C48F1" w:rsidP="00A03F96">
            <w:pPr>
              <w:ind w:left="0"/>
            </w:pPr>
            <w:r w:rsidRPr="007A2169">
              <w:t>404.639.1137</w:t>
            </w:r>
          </w:p>
        </w:tc>
        <w:tc>
          <w:tcPr>
            <w:tcW w:w="3145" w:type="dxa"/>
          </w:tcPr>
          <w:p w14:paraId="57A7486F" w14:textId="6556506C" w:rsidR="00742758" w:rsidRPr="007A2169" w:rsidRDefault="00EC113A" w:rsidP="00A03F96">
            <w:pPr>
              <w:ind w:left="0"/>
            </w:pPr>
            <w:r w:rsidRPr="00F43F4D">
              <w:t>hng8@cdc.gov</w:t>
            </w:r>
          </w:p>
        </w:tc>
      </w:tr>
      <w:tr w:rsidR="00684866" w14:paraId="37B2BB6C" w14:textId="77777777" w:rsidTr="00A03F96">
        <w:tc>
          <w:tcPr>
            <w:tcW w:w="1705" w:type="dxa"/>
            <w:vMerge w:val="restart"/>
            <w:vAlign w:val="center"/>
          </w:tcPr>
          <w:p w14:paraId="76A3EF7A" w14:textId="602603F4" w:rsidR="00684866" w:rsidRPr="00D056CA" w:rsidRDefault="00684866" w:rsidP="00A03F96">
            <w:pPr>
              <w:ind w:left="0"/>
            </w:pPr>
            <w:r>
              <w:t>Data collection and</w:t>
            </w:r>
            <w:r w:rsidR="00047A41">
              <w:t>/or</w:t>
            </w:r>
            <w:r>
              <w:t xml:space="preserve"> analysis</w:t>
            </w:r>
          </w:p>
        </w:tc>
        <w:tc>
          <w:tcPr>
            <w:tcW w:w="2250" w:type="dxa"/>
            <w:vAlign w:val="center"/>
          </w:tcPr>
          <w:p w14:paraId="0A270E57" w14:textId="3C0BF560" w:rsidR="00684866" w:rsidRPr="00AF30AB" w:rsidRDefault="00AF30AB" w:rsidP="00A03F96">
            <w:pPr>
              <w:ind w:left="0"/>
              <w:rPr>
                <w:b/>
              </w:rPr>
            </w:pPr>
            <w:r w:rsidRPr="00AF30AB">
              <w:rPr>
                <w:b/>
              </w:rPr>
              <w:t>MoHS</w:t>
            </w:r>
          </w:p>
        </w:tc>
        <w:tc>
          <w:tcPr>
            <w:tcW w:w="2250" w:type="dxa"/>
            <w:vAlign w:val="center"/>
          </w:tcPr>
          <w:p w14:paraId="175DCC31" w14:textId="31D14283" w:rsidR="00684866" w:rsidRPr="007A2169" w:rsidRDefault="00684866" w:rsidP="00574F06"/>
        </w:tc>
        <w:tc>
          <w:tcPr>
            <w:tcW w:w="3145" w:type="dxa"/>
            <w:vAlign w:val="center"/>
          </w:tcPr>
          <w:p w14:paraId="046F2A34" w14:textId="588418A9" w:rsidR="00684866" w:rsidRPr="007A2169" w:rsidRDefault="00684866" w:rsidP="00A03F96">
            <w:pPr>
              <w:ind w:left="0"/>
            </w:pPr>
          </w:p>
        </w:tc>
      </w:tr>
      <w:tr w:rsidR="00684866" w14:paraId="4A0D30D0" w14:textId="77777777" w:rsidTr="00A03F96">
        <w:tc>
          <w:tcPr>
            <w:tcW w:w="1705" w:type="dxa"/>
            <w:vMerge/>
            <w:vAlign w:val="center"/>
          </w:tcPr>
          <w:p w14:paraId="60D03B00" w14:textId="4B592C21" w:rsidR="00684866" w:rsidRPr="00D056CA" w:rsidRDefault="00684866" w:rsidP="00A03F96">
            <w:pPr>
              <w:ind w:left="0"/>
            </w:pPr>
          </w:p>
        </w:tc>
        <w:tc>
          <w:tcPr>
            <w:tcW w:w="2250" w:type="dxa"/>
            <w:vAlign w:val="center"/>
          </w:tcPr>
          <w:p w14:paraId="2F744937" w14:textId="6E588EC6" w:rsidR="00684866" w:rsidRPr="007A2169" w:rsidRDefault="00684866" w:rsidP="00AF30AB">
            <w:pPr>
              <w:ind w:left="0" w:firstLine="162"/>
            </w:pPr>
            <w:r>
              <w:t>Gibrilla Fadlu Deen</w:t>
            </w:r>
          </w:p>
        </w:tc>
        <w:tc>
          <w:tcPr>
            <w:tcW w:w="2250" w:type="dxa"/>
            <w:vAlign w:val="center"/>
          </w:tcPr>
          <w:p w14:paraId="1B299122" w14:textId="6C9FEA01" w:rsidR="00684866" w:rsidRPr="00403BA7" w:rsidRDefault="00403BA7" w:rsidP="00D411C5">
            <w:pPr>
              <w:ind w:left="0"/>
              <w:rPr>
                <w:vertAlign w:val="superscript"/>
              </w:rPr>
            </w:pPr>
            <w:r>
              <w:t>NA</w:t>
            </w:r>
            <w:r>
              <w:rPr>
                <w:vertAlign w:val="superscript"/>
              </w:rPr>
              <w:t>*</w:t>
            </w:r>
          </w:p>
        </w:tc>
        <w:tc>
          <w:tcPr>
            <w:tcW w:w="3145" w:type="dxa"/>
            <w:vAlign w:val="center"/>
          </w:tcPr>
          <w:p w14:paraId="24B18A23" w14:textId="1130738A" w:rsidR="00684866" w:rsidRPr="007A2169" w:rsidRDefault="00684866" w:rsidP="00684866">
            <w:pPr>
              <w:ind w:left="0"/>
            </w:pPr>
            <w:r>
              <w:rPr>
                <w:rFonts w:ascii="Cambria" w:eastAsia="Times New Roman" w:hAnsi="Cambria" w:cs="Times New Roman"/>
              </w:rPr>
              <w:t>gibrilladeen1960@yahoo.com</w:t>
            </w:r>
          </w:p>
        </w:tc>
      </w:tr>
      <w:tr w:rsidR="00D411C5" w14:paraId="06EB2C8E" w14:textId="77777777" w:rsidTr="00811F58">
        <w:tc>
          <w:tcPr>
            <w:tcW w:w="1705" w:type="dxa"/>
            <w:vMerge/>
            <w:vAlign w:val="center"/>
          </w:tcPr>
          <w:p w14:paraId="6CFD38F9" w14:textId="649BE762" w:rsidR="00D411C5" w:rsidRDefault="00D411C5" w:rsidP="00D411C5">
            <w:pPr>
              <w:ind w:left="0"/>
            </w:pPr>
          </w:p>
        </w:tc>
        <w:tc>
          <w:tcPr>
            <w:tcW w:w="2250" w:type="dxa"/>
            <w:vAlign w:val="center"/>
          </w:tcPr>
          <w:p w14:paraId="497F8C7C" w14:textId="5FE41FAF" w:rsidR="00D411C5" w:rsidRPr="00AF30AB" w:rsidRDefault="00D411C5" w:rsidP="00D411C5">
            <w:pPr>
              <w:ind w:left="0" w:firstLine="162"/>
            </w:pPr>
            <w:r w:rsidRPr="00AF30AB">
              <w:t>Amara Jambai</w:t>
            </w:r>
          </w:p>
        </w:tc>
        <w:tc>
          <w:tcPr>
            <w:tcW w:w="2250" w:type="dxa"/>
          </w:tcPr>
          <w:p w14:paraId="3D3D5DC5" w14:textId="1EB9AD5C" w:rsidR="00D411C5" w:rsidRPr="007A2169" w:rsidRDefault="00D411C5" w:rsidP="00D411C5">
            <w:pPr>
              <w:ind w:left="0"/>
            </w:pPr>
            <w:r w:rsidRPr="00B84272">
              <w:t>NA</w:t>
            </w:r>
          </w:p>
        </w:tc>
        <w:tc>
          <w:tcPr>
            <w:tcW w:w="3145" w:type="dxa"/>
          </w:tcPr>
          <w:p w14:paraId="7643178B" w14:textId="5A0C2A2D" w:rsidR="00D411C5" w:rsidRPr="00F43F4D" w:rsidRDefault="00D411C5" w:rsidP="00D411C5">
            <w:pPr>
              <w:ind w:left="0"/>
            </w:pPr>
            <w:r w:rsidRPr="00B500C8">
              <w:t>amarajambai@yahoo.com</w:t>
            </w:r>
          </w:p>
        </w:tc>
      </w:tr>
      <w:tr w:rsidR="00D411C5" w14:paraId="63FE3D88" w14:textId="77777777" w:rsidTr="00811F58">
        <w:tc>
          <w:tcPr>
            <w:tcW w:w="1705" w:type="dxa"/>
            <w:vMerge/>
            <w:vAlign w:val="center"/>
          </w:tcPr>
          <w:p w14:paraId="28573570" w14:textId="77777777" w:rsidR="00D411C5" w:rsidRDefault="00D411C5" w:rsidP="00D411C5">
            <w:pPr>
              <w:ind w:left="0"/>
            </w:pPr>
          </w:p>
        </w:tc>
        <w:tc>
          <w:tcPr>
            <w:tcW w:w="2250" w:type="dxa"/>
            <w:vAlign w:val="center"/>
          </w:tcPr>
          <w:p w14:paraId="34A9C901" w14:textId="2F6AA016" w:rsidR="00D411C5" w:rsidRPr="00AF30AB" w:rsidRDefault="00D411C5" w:rsidP="00D411C5">
            <w:pPr>
              <w:ind w:left="0" w:firstLine="162"/>
            </w:pPr>
            <w:r w:rsidRPr="00AF30AB">
              <w:t>Alie Wurie</w:t>
            </w:r>
          </w:p>
        </w:tc>
        <w:tc>
          <w:tcPr>
            <w:tcW w:w="2250" w:type="dxa"/>
          </w:tcPr>
          <w:p w14:paraId="7090F17E" w14:textId="543C5692" w:rsidR="00D411C5" w:rsidRPr="007A2169" w:rsidRDefault="00D411C5" w:rsidP="00D411C5">
            <w:pPr>
              <w:ind w:left="0"/>
            </w:pPr>
            <w:r w:rsidRPr="00B84272">
              <w:t>NA</w:t>
            </w:r>
          </w:p>
        </w:tc>
        <w:tc>
          <w:tcPr>
            <w:tcW w:w="3145" w:type="dxa"/>
          </w:tcPr>
          <w:p w14:paraId="038D6F94" w14:textId="1FBAE1D5" w:rsidR="00D411C5" w:rsidRPr="00F43F4D" w:rsidRDefault="00D411C5" w:rsidP="00D411C5">
            <w:pPr>
              <w:ind w:left="0"/>
            </w:pPr>
            <w:r w:rsidRPr="00B500C8">
              <w:t xml:space="preserve">wuriealieh@yahoo.com </w:t>
            </w:r>
          </w:p>
        </w:tc>
      </w:tr>
      <w:tr w:rsidR="00D411C5" w14:paraId="6D115D0C" w14:textId="77777777" w:rsidTr="00811F58">
        <w:tc>
          <w:tcPr>
            <w:tcW w:w="1705" w:type="dxa"/>
            <w:vMerge/>
            <w:vAlign w:val="center"/>
          </w:tcPr>
          <w:p w14:paraId="6FBC42E0" w14:textId="77777777" w:rsidR="00D411C5" w:rsidRDefault="00D411C5" w:rsidP="00D411C5">
            <w:pPr>
              <w:ind w:left="0"/>
            </w:pPr>
          </w:p>
        </w:tc>
        <w:tc>
          <w:tcPr>
            <w:tcW w:w="2250" w:type="dxa"/>
            <w:vAlign w:val="center"/>
          </w:tcPr>
          <w:p w14:paraId="245E7553" w14:textId="288C399F" w:rsidR="00D411C5" w:rsidRPr="00AF30AB" w:rsidRDefault="00D411C5" w:rsidP="00D411C5">
            <w:pPr>
              <w:ind w:left="0" w:firstLine="162"/>
            </w:pPr>
            <w:r>
              <w:t>Tina Davies</w:t>
            </w:r>
          </w:p>
        </w:tc>
        <w:tc>
          <w:tcPr>
            <w:tcW w:w="2250" w:type="dxa"/>
          </w:tcPr>
          <w:p w14:paraId="56C7C4FF" w14:textId="29D20910" w:rsidR="00D411C5" w:rsidRPr="007A2169" w:rsidRDefault="00D411C5" w:rsidP="00D411C5">
            <w:pPr>
              <w:ind w:left="0"/>
            </w:pPr>
            <w:r w:rsidRPr="00B84272">
              <w:t>NA</w:t>
            </w:r>
          </w:p>
        </w:tc>
        <w:tc>
          <w:tcPr>
            <w:tcW w:w="3145" w:type="dxa"/>
          </w:tcPr>
          <w:p w14:paraId="48DD4E4B" w14:textId="5F7667EB" w:rsidR="00D411C5" w:rsidRPr="00F43F4D" w:rsidRDefault="00D411C5" w:rsidP="00D411C5">
            <w:pPr>
              <w:ind w:left="0"/>
            </w:pPr>
            <w:r w:rsidRPr="00B500C8">
              <w:t>tngebeh@hotmail.com</w:t>
            </w:r>
          </w:p>
        </w:tc>
      </w:tr>
      <w:tr w:rsidR="00D411C5" w14:paraId="45E7407E" w14:textId="77777777" w:rsidTr="00811F58">
        <w:tc>
          <w:tcPr>
            <w:tcW w:w="1705" w:type="dxa"/>
            <w:vMerge/>
            <w:vAlign w:val="center"/>
          </w:tcPr>
          <w:p w14:paraId="5817EC22" w14:textId="77777777" w:rsidR="00D411C5" w:rsidRDefault="00D411C5" w:rsidP="00D411C5">
            <w:pPr>
              <w:ind w:left="0"/>
            </w:pPr>
          </w:p>
        </w:tc>
        <w:tc>
          <w:tcPr>
            <w:tcW w:w="2250" w:type="dxa"/>
            <w:vAlign w:val="center"/>
          </w:tcPr>
          <w:p w14:paraId="28CAC220" w14:textId="268B4322" w:rsidR="00D411C5" w:rsidRPr="00AF30AB" w:rsidRDefault="00D411C5" w:rsidP="00D411C5">
            <w:pPr>
              <w:ind w:left="0" w:firstLine="162"/>
            </w:pPr>
            <w:r>
              <w:t>Foday Sahr</w:t>
            </w:r>
          </w:p>
        </w:tc>
        <w:tc>
          <w:tcPr>
            <w:tcW w:w="2250" w:type="dxa"/>
          </w:tcPr>
          <w:p w14:paraId="0585FD13" w14:textId="79B28579" w:rsidR="00D411C5" w:rsidRPr="007A2169" w:rsidRDefault="00D411C5" w:rsidP="00D411C5">
            <w:pPr>
              <w:ind w:left="0"/>
            </w:pPr>
            <w:r w:rsidRPr="00B84272">
              <w:t>NA</w:t>
            </w:r>
          </w:p>
        </w:tc>
        <w:tc>
          <w:tcPr>
            <w:tcW w:w="3145" w:type="dxa"/>
          </w:tcPr>
          <w:p w14:paraId="004A8544" w14:textId="5C7D7D68" w:rsidR="00D411C5" w:rsidRPr="00F43F4D" w:rsidRDefault="00D411C5" w:rsidP="00D411C5">
            <w:pPr>
              <w:ind w:left="0"/>
            </w:pPr>
            <w:r w:rsidRPr="00B500C8">
              <w:t>fsahr@yahoo.com</w:t>
            </w:r>
          </w:p>
        </w:tc>
      </w:tr>
      <w:tr w:rsidR="00D411C5" w14:paraId="7377E94E" w14:textId="77777777" w:rsidTr="00811F58">
        <w:tc>
          <w:tcPr>
            <w:tcW w:w="1705" w:type="dxa"/>
            <w:vMerge/>
            <w:vAlign w:val="center"/>
          </w:tcPr>
          <w:p w14:paraId="60479665" w14:textId="77777777" w:rsidR="00D411C5" w:rsidRDefault="00D411C5" w:rsidP="00D411C5">
            <w:pPr>
              <w:ind w:left="0"/>
            </w:pPr>
          </w:p>
        </w:tc>
        <w:tc>
          <w:tcPr>
            <w:tcW w:w="2250" w:type="dxa"/>
            <w:vAlign w:val="center"/>
          </w:tcPr>
          <w:p w14:paraId="356177E9" w14:textId="479B35EF" w:rsidR="00D411C5" w:rsidRPr="00AF30AB" w:rsidRDefault="00D411C5" w:rsidP="00D411C5">
            <w:pPr>
              <w:ind w:left="0" w:firstLine="162"/>
            </w:pPr>
            <w:r>
              <w:t>Foday Sesay</w:t>
            </w:r>
          </w:p>
        </w:tc>
        <w:tc>
          <w:tcPr>
            <w:tcW w:w="2250" w:type="dxa"/>
          </w:tcPr>
          <w:p w14:paraId="7741E99A" w14:textId="50B76AEB" w:rsidR="00D411C5" w:rsidRPr="007A2169" w:rsidRDefault="00D411C5" w:rsidP="00D411C5">
            <w:pPr>
              <w:ind w:left="0"/>
            </w:pPr>
            <w:r w:rsidRPr="00B84272">
              <w:t>NA</w:t>
            </w:r>
          </w:p>
        </w:tc>
        <w:tc>
          <w:tcPr>
            <w:tcW w:w="3145" w:type="dxa"/>
            <w:vAlign w:val="center"/>
          </w:tcPr>
          <w:p w14:paraId="36ABAF7C" w14:textId="278D8BDE" w:rsidR="00D411C5" w:rsidRPr="00F43F4D" w:rsidRDefault="00D411C5" w:rsidP="00D411C5">
            <w:pPr>
              <w:ind w:left="0"/>
            </w:pPr>
            <w:r>
              <w:t>NA</w:t>
            </w:r>
          </w:p>
        </w:tc>
      </w:tr>
      <w:tr w:rsidR="00AF30AB" w14:paraId="3DC962DC" w14:textId="77777777" w:rsidTr="00A03F96">
        <w:tc>
          <w:tcPr>
            <w:tcW w:w="1705" w:type="dxa"/>
            <w:vMerge/>
            <w:vAlign w:val="center"/>
          </w:tcPr>
          <w:p w14:paraId="13B54F41" w14:textId="77777777" w:rsidR="00AF30AB" w:rsidRDefault="00AF30AB" w:rsidP="00A03F96">
            <w:pPr>
              <w:ind w:left="0"/>
            </w:pPr>
          </w:p>
        </w:tc>
        <w:tc>
          <w:tcPr>
            <w:tcW w:w="2250" w:type="dxa"/>
            <w:vAlign w:val="center"/>
          </w:tcPr>
          <w:p w14:paraId="2DAE237E" w14:textId="73FE6DAC" w:rsidR="00AF30AB" w:rsidRPr="00AF30AB" w:rsidRDefault="00AF30AB" w:rsidP="00A03F96">
            <w:pPr>
              <w:ind w:left="0"/>
              <w:rPr>
                <w:b/>
              </w:rPr>
            </w:pPr>
            <w:r w:rsidRPr="00AF30AB">
              <w:rPr>
                <w:b/>
              </w:rPr>
              <w:t>WHO</w:t>
            </w:r>
          </w:p>
        </w:tc>
        <w:tc>
          <w:tcPr>
            <w:tcW w:w="2250" w:type="dxa"/>
            <w:vAlign w:val="center"/>
          </w:tcPr>
          <w:p w14:paraId="0C947012" w14:textId="77777777" w:rsidR="00AF30AB" w:rsidRPr="007A2169" w:rsidRDefault="00AF30AB" w:rsidP="00A03F96">
            <w:pPr>
              <w:ind w:left="0"/>
            </w:pPr>
          </w:p>
        </w:tc>
        <w:tc>
          <w:tcPr>
            <w:tcW w:w="3145" w:type="dxa"/>
            <w:vAlign w:val="center"/>
          </w:tcPr>
          <w:p w14:paraId="359C071B" w14:textId="77777777" w:rsidR="00AF30AB" w:rsidRPr="00F43F4D" w:rsidRDefault="00AF30AB" w:rsidP="00A03F96">
            <w:pPr>
              <w:ind w:left="0"/>
            </w:pPr>
          </w:p>
        </w:tc>
      </w:tr>
      <w:tr w:rsidR="00D411C5" w14:paraId="1BB2D2A7" w14:textId="77777777" w:rsidTr="002D4C9E">
        <w:tc>
          <w:tcPr>
            <w:tcW w:w="1705" w:type="dxa"/>
            <w:vMerge/>
            <w:vAlign w:val="center"/>
          </w:tcPr>
          <w:p w14:paraId="4DD7C980" w14:textId="77777777" w:rsidR="00D411C5" w:rsidRDefault="00D411C5" w:rsidP="00D411C5">
            <w:pPr>
              <w:ind w:left="0"/>
            </w:pPr>
          </w:p>
        </w:tc>
        <w:tc>
          <w:tcPr>
            <w:tcW w:w="2250" w:type="dxa"/>
            <w:vAlign w:val="bottom"/>
          </w:tcPr>
          <w:p w14:paraId="6A5A0BFD" w14:textId="4D404CEC" w:rsidR="00D411C5" w:rsidRPr="00AF30AB" w:rsidRDefault="00D411C5" w:rsidP="00D411C5">
            <w:pPr>
              <w:ind w:left="0" w:firstLine="162"/>
              <w:rPr>
                <w:rFonts w:ascii="Cambria" w:hAnsi="Cambria"/>
              </w:rPr>
            </w:pPr>
            <w:r w:rsidRPr="00AF30AB">
              <w:rPr>
                <w:rFonts w:ascii="Cambria" w:hAnsi="Cambria"/>
                <w:color w:val="000000"/>
              </w:rPr>
              <w:t>Nathalie Broutet</w:t>
            </w:r>
          </w:p>
        </w:tc>
        <w:tc>
          <w:tcPr>
            <w:tcW w:w="2250" w:type="dxa"/>
          </w:tcPr>
          <w:p w14:paraId="1B8AD69C" w14:textId="0BED225E" w:rsidR="00D411C5" w:rsidRPr="007A2169" w:rsidRDefault="00D411C5" w:rsidP="00D411C5">
            <w:pPr>
              <w:ind w:left="0"/>
            </w:pPr>
            <w:r w:rsidRPr="003D6953">
              <w:t>NA</w:t>
            </w:r>
          </w:p>
        </w:tc>
        <w:tc>
          <w:tcPr>
            <w:tcW w:w="3145" w:type="dxa"/>
          </w:tcPr>
          <w:p w14:paraId="3857CF27" w14:textId="47FC0F02" w:rsidR="00D411C5" w:rsidRPr="00F43F4D" w:rsidRDefault="00D411C5" w:rsidP="00D411C5">
            <w:pPr>
              <w:ind w:left="0"/>
            </w:pPr>
            <w:r w:rsidRPr="007C1A28">
              <w:t>broutetn@who.int</w:t>
            </w:r>
          </w:p>
        </w:tc>
      </w:tr>
      <w:tr w:rsidR="00D411C5" w14:paraId="25ACB1A5" w14:textId="77777777" w:rsidTr="002D4C9E">
        <w:tc>
          <w:tcPr>
            <w:tcW w:w="1705" w:type="dxa"/>
            <w:vMerge/>
            <w:vAlign w:val="center"/>
          </w:tcPr>
          <w:p w14:paraId="41A567C7" w14:textId="77777777" w:rsidR="00D411C5" w:rsidRDefault="00D411C5" w:rsidP="00D411C5">
            <w:pPr>
              <w:ind w:left="0"/>
            </w:pPr>
          </w:p>
        </w:tc>
        <w:tc>
          <w:tcPr>
            <w:tcW w:w="2250" w:type="dxa"/>
            <w:vAlign w:val="bottom"/>
          </w:tcPr>
          <w:p w14:paraId="018B1F9A" w14:textId="36D3EAF4" w:rsidR="00D411C5" w:rsidRPr="00AF30AB" w:rsidRDefault="00D411C5" w:rsidP="00D411C5">
            <w:pPr>
              <w:ind w:left="0" w:firstLine="162"/>
              <w:rPr>
                <w:rFonts w:ascii="Cambria" w:hAnsi="Cambria"/>
              </w:rPr>
            </w:pPr>
            <w:r w:rsidRPr="00AF30AB">
              <w:rPr>
                <w:rFonts w:ascii="Cambria" w:hAnsi="Cambria"/>
                <w:color w:val="000000"/>
              </w:rPr>
              <w:t>Anna Thorson</w:t>
            </w:r>
          </w:p>
        </w:tc>
        <w:tc>
          <w:tcPr>
            <w:tcW w:w="2250" w:type="dxa"/>
          </w:tcPr>
          <w:p w14:paraId="51481669" w14:textId="234C18FD" w:rsidR="00D411C5" w:rsidRPr="007A2169" w:rsidRDefault="00D411C5" w:rsidP="00D411C5">
            <w:pPr>
              <w:ind w:left="0"/>
            </w:pPr>
            <w:r w:rsidRPr="003D6953">
              <w:t>NA</w:t>
            </w:r>
          </w:p>
        </w:tc>
        <w:tc>
          <w:tcPr>
            <w:tcW w:w="3145" w:type="dxa"/>
          </w:tcPr>
          <w:p w14:paraId="55908E37" w14:textId="2BD89FF0" w:rsidR="00D411C5" w:rsidRPr="00F43F4D" w:rsidRDefault="00D411C5" w:rsidP="00D411C5">
            <w:pPr>
              <w:ind w:left="0"/>
            </w:pPr>
            <w:r w:rsidRPr="007C1A28">
              <w:t>thorson.a@gmail.com</w:t>
            </w:r>
          </w:p>
        </w:tc>
      </w:tr>
      <w:tr w:rsidR="00D411C5" w14:paraId="2D4F53A0" w14:textId="77777777" w:rsidTr="002D4C9E">
        <w:tc>
          <w:tcPr>
            <w:tcW w:w="1705" w:type="dxa"/>
            <w:vMerge/>
            <w:vAlign w:val="center"/>
          </w:tcPr>
          <w:p w14:paraId="70FA6CA5" w14:textId="77777777" w:rsidR="00D411C5" w:rsidRDefault="00D411C5" w:rsidP="00D411C5">
            <w:pPr>
              <w:ind w:left="0"/>
            </w:pPr>
          </w:p>
        </w:tc>
        <w:tc>
          <w:tcPr>
            <w:tcW w:w="2250" w:type="dxa"/>
            <w:vAlign w:val="bottom"/>
          </w:tcPr>
          <w:p w14:paraId="5226E9A2" w14:textId="7AE957B9" w:rsidR="00D411C5" w:rsidRPr="00AF30AB" w:rsidRDefault="00D411C5" w:rsidP="00D411C5">
            <w:pPr>
              <w:ind w:left="0" w:firstLine="162"/>
              <w:rPr>
                <w:rFonts w:ascii="Cambria" w:hAnsi="Cambria"/>
              </w:rPr>
            </w:pPr>
            <w:r w:rsidRPr="00AF30AB">
              <w:rPr>
                <w:rFonts w:ascii="Cambria" w:hAnsi="Cambria"/>
                <w:color w:val="000000"/>
              </w:rPr>
              <w:t>Teodora Wi</w:t>
            </w:r>
          </w:p>
        </w:tc>
        <w:tc>
          <w:tcPr>
            <w:tcW w:w="2250" w:type="dxa"/>
          </w:tcPr>
          <w:p w14:paraId="39DDBC40" w14:textId="39675529" w:rsidR="00D411C5" w:rsidRPr="007A2169" w:rsidRDefault="00D411C5" w:rsidP="00D411C5">
            <w:pPr>
              <w:ind w:left="0"/>
            </w:pPr>
            <w:r w:rsidRPr="003D6953">
              <w:t>NA</w:t>
            </w:r>
          </w:p>
        </w:tc>
        <w:tc>
          <w:tcPr>
            <w:tcW w:w="3145" w:type="dxa"/>
          </w:tcPr>
          <w:p w14:paraId="0A8BB945" w14:textId="307C765B" w:rsidR="00D411C5" w:rsidRPr="00F43F4D" w:rsidRDefault="00D411C5" w:rsidP="00D411C5">
            <w:pPr>
              <w:ind w:left="0"/>
            </w:pPr>
            <w:r w:rsidRPr="007C1A28">
              <w:t>wit@who.int</w:t>
            </w:r>
          </w:p>
        </w:tc>
      </w:tr>
      <w:tr w:rsidR="00D411C5" w14:paraId="427ECA53" w14:textId="77777777" w:rsidTr="002D4C9E">
        <w:tc>
          <w:tcPr>
            <w:tcW w:w="1705" w:type="dxa"/>
            <w:vMerge/>
            <w:vAlign w:val="center"/>
          </w:tcPr>
          <w:p w14:paraId="48EBE7B0" w14:textId="77777777" w:rsidR="00D411C5" w:rsidRDefault="00D411C5" w:rsidP="00D411C5">
            <w:pPr>
              <w:ind w:left="0"/>
            </w:pPr>
          </w:p>
        </w:tc>
        <w:tc>
          <w:tcPr>
            <w:tcW w:w="2250" w:type="dxa"/>
            <w:vAlign w:val="bottom"/>
          </w:tcPr>
          <w:p w14:paraId="1D243616" w14:textId="64D7402D" w:rsidR="00D411C5" w:rsidRPr="00AF30AB" w:rsidRDefault="00D411C5" w:rsidP="00D411C5">
            <w:pPr>
              <w:ind w:left="0" w:firstLine="162"/>
              <w:rPr>
                <w:rFonts w:ascii="Cambria" w:hAnsi="Cambria"/>
              </w:rPr>
            </w:pPr>
            <w:r w:rsidRPr="00AF30AB">
              <w:rPr>
                <w:rFonts w:ascii="Cambria" w:hAnsi="Cambria"/>
                <w:color w:val="000000"/>
              </w:rPr>
              <w:t>Kara Durski</w:t>
            </w:r>
          </w:p>
        </w:tc>
        <w:tc>
          <w:tcPr>
            <w:tcW w:w="2250" w:type="dxa"/>
          </w:tcPr>
          <w:p w14:paraId="113BBA18" w14:textId="4C3AE906" w:rsidR="00D411C5" w:rsidRPr="007A2169" w:rsidRDefault="00D411C5" w:rsidP="00D411C5">
            <w:pPr>
              <w:ind w:left="0"/>
            </w:pPr>
            <w:r w:rsidRPr="003D6953">
              <w:t>NA</w:t>
            </w:r>
          </w:p>
        </w:tc>
        <w:tc>
          <w:tcPr>
            <w:tcW w:w="3145" w:type="dxa"/>
          </w:tcPr>
          <w:p w14:paraId="3B5EE4DD" w14:textId="37CCEFC4" w:rsidR="00D411C5" w:rsidRPr="00F43F4D" w:rsidRDefault="00D411C5" w:rsidP="00D411C5">
            <w:pPr>
              <w:ind w:left="0"/>
            </w:pPr>
            <w:r w:rsidRPr="007C1A28">
              <w:t>durskik@who.int</w:t>
            </w:r>
          </w:p>
        </w:tc>
      </w:tr>
      <w:tr w:rsidR="00D411C5" w14:paraId="0FFFD4E5" w14:textId="77777777" w:rsidTr="002D4C9E">
        <w:tc>
          <w:tcPr>
            <w:tcW w:w="1705" w:type="dxa"/>
            <w:vMerge/>
            <w:vAlign w:val="center"/>
          </w:tcPr>
          <w:p w14:paraId="1ED028E1" w14:textId="77777777" w:rsidR="00D411C5" w:rsidRDefault="00D411C5" w:rsidP="00D411C5">
            <w:pPr>
              <w:ind w:left="0"/>
            </w:pPr>
          </w:p>
        </w:tc>
        <w:tc>
          <w:tcPr>
            <w:tcW w:w="2250" w:type="dxa"/>
            <w:vAlign w:val="bottom"/>
          </w:tcPr>
          <w:p w14:paraId="32BCF3AA" w14:textId="30C5F4CF" w:rsidR="00D411C5" w:rsidRPr="00AF30AB" w:rsidRDefault="00D411C5" w:rsidP="00D411C5">
            <w:pPr>
              <w:ind w:left="0" w:firstLine="162"/>
              <w:rPr>
                <w:rFonts w:ascii="Cambria" w:hAnsi="Cambria"/>
              </w:rPr>
            </w:pPr>
            <w:r w:rsidRPr="00AF30AB">
              <w:rPr>
                <w:rFonts w:ascii="Cambria" w:hAnsi="Cambria"/>
                <w:color w:val="000000"/>
              </w:rPr>
              <w:t>Jaclyn Marrinan</w:t>
            </w:r>
          </w:p>
        </w:tc>
        <w:tc>
          <w:tcPr>
            <w:tcW w:w="2250" w:type="dxa"/>
          </w:tcPr>
          <w:p w14:paraId="15DC95E1" w14:textId="0B0A70F0" w:rsidR="00D411C5" w:rsidRPr="007A2169" w:rsidRDefault="00D411C5" w:rsidP="00D411C5">
            <w:pPr>
              <w:ind w:left="0"/>
            </w:pPr>
            <w:r w:rsidRPr="003D6953">
              <w:t>NA</w:t>
            </w:r>
          </w:p>
        </w:tc>
        <w:tc>
          <w:tcPr>
            <w:tcW w:w="3145" w:type="dxa"/>
          </w:tcPr>
          <w:p w14:paraId="4A6E9967" w14:textId="603B24AA" w:rsidR="00D411C5" w:rsidRPr="00F43F4D" w:rsidRDefault="00D411C5" w:rsidP="00D411C5">
            <w:pPr>
              <w:ind w:left="0"/>
            </w:pPr>
            <w:r w:rsidRPr="007C1A28">
              <w:t xml:space="preserve">marrinanj@who.int </w:t>
            </w:r>
          </w:p>
        </w:tc>
      </w:tr>
      <w:tr w:rsidR="00D411C5" w14:paraId="5B5483AD" w14:textId="77777777" w:rsidTr="002D4C9E">
        <w:tc>
          <w:tcPr>
            <w:tcW w:w="1705" w:type="dxa"/>
            <w:vMerge/>
            <w:vAlign w:val="center"/>
          </w:tcPr>
          <w:p w14:paraId="0D6284CE" w14:textId="77777777" w:rsidR="00D411C5" w:rsidRDefault="00D411C5" w:rsidP="00D411C5">
            <w:pPr>
              <w:ind w:left="0"/>
            </w:pPr>
          </w:p>
        </w:tc>
        <w:tc>
          <w:tcPr>
            <w:tcW w:w="2250" w:type="dxa"/>
            <w:vAlign w:val="bottom"/>
          </w:tcPr>
          <w:p w14:paraId="178D8976" w14:textId="354D89B5" w:rsidR="00D411C5" w:rsidRPr="00AF30AB" w:rsidRDefault="00D411C5" w:rsidP="00D411C5">
            <w:pPr>
              <w:ind w:left="0" w:firstLine="162"/>
              <w:rPr>
                <w:rFonts w:ascii="Cambria" w:hAnsi="Cambria"/>
              </w:rPr>
            </w:pPr>
            <w:r w:rsidRPr="00AF30AB">
              <w:rPr>
                <w:rFonts w:ascii="Cambria" w:hAnsi="Cambria"/>
                <w:color w:val="000000"/>
              </w:rPr>
              <w:t>Lee Sharkey</w:t>
            </w:r>
          </w:p>
        </w:tc>
        <w:tc>
          <w:tcPr>
            <w:tcW w:w="2250" w:type="dxa"/>
          </w:tcPr>
          <w:p w14:paraId="2BDF374E" w14:textId="2A9B4DED" w:rsidR="00D411C5" w:rsidRPr="007A2169" w:rsidRDefault="00D411C5" w:rsidP="00D411C5">
            <w:pPr>
              <w:ind w:left="0"/>
            </w:pPr>
            <w:r w:rsidRPr="003D6953">
              <w:t>NA</w:t>
            </w:r>
          </w:p>
        </w:tc>
        <w:tc>
          <w:tcPr>
            <w:tcW w:w="3145" w:type="dxa"/>
          </w:tcPr>
          <w:p w14:paraId="2D597118" w14:textId="57FA8771" w:rsidR="00D411C5" w:rsidRPr="00F43F4D" w:rsidRDefault="00D411C5" w:rsidP="00D411C5">
            <w:pPr>
              <w:ind w:left="0"/>
            </w:pPr>
            <w:r w:rsidRPr="007C1A28">
              <w:t xml:space="preserve">leedsharkey@gmail.com </w:t>
            </w:r>
          </w:p>
        </w:tc>
      </w:tr>
      <w:tr w:rsidR="00D411C5" w14:paraId="23BB73A6" w14:textId="77777777" w:rsidTr="002D4C9E">
        <w:tc>
          <w:tcPr>
            <w:tcW w:w="1705" w:type="dxa"/>
            <w:vMerge/>
            <w:vAlign w:val="center"/>
          </w:tcPr>
          <w:p w14:paraId="086D7040" w14:textId="77777777" w:rsidR="00D411C5" w:rsidRDefault="00D411C5" w:rsidP="00D411C5">
            <w:pPr>
              <w:ind w:left="0"/>
            </w:pPr>
          </w:p>
        </w:tc>
        <w:tc>
          <w:tcPr>
            <w:tcW w:w="2250" w:type="dxa"/>
            <w:vAlign w:val="bottom"/>
          </w:tcPr>
          <w:p w14:paraId="6977F5B4" w14:textId="29054CE3" w:rsidR="00D411C5" w:rsidRPr="00AF30AB" w:rsidRDefault="00D411C5" w:rsidP="00D411C5">
            <w:pPr>
              <w:ind w:left="0" w:firstLine="162"/>
              <w:rPr>
                <w:rFonts w:ascii="Cambria" w:hAnsi="Cambria"/>
              </w:rPr>
            </w:pPr>
            <w:r w:rsidRPr="00AF30AB">
              <w:rPr>
                <w:rFonts w:ascii="Cambria" w:hAnsi="Cambria"/>
                <w:color w:val="000000"/>
              </w:rPr>
              <w:t xml:space="preserve">Theo </w:t>
            </w:r>
            <w:r>
              <w:rPr>
                <w:rFonts w:ascii="Cambria" w:hAnsi="Cambria"/>
                <w:color w:val="000000"/>
              </w:rPr>
              <w:t>Grace</w:t>
            </w:r>
          </w:p>
        </w:tc>
        <w:tc>
          <w:tcPr>
            <w:tcW w:w="2250" w:type="dxa"/>
          </w:tcPr>
          <w:p w14:paraId="3A19EBE8" w14:textId="2309536B" w:rsidR="00D411C5" w:rsidRPr="007A2169" w:rsidRDefault="00D411C5" w:rsidP="00D411C5">
            <w:pPr>
              <w:ind w:left="0"/>
            </w:pPr>
            <w:r w:rsidRPr="003D6953">
              <w:t>NA</w:t>
            </w:r>
          </w:p>
        </w:tc>
        <w:tc>
          <w:tcPr>
            <w:tcW w:w="3145" w:type="dxa"/>
          </w:tcPr>
          <w:p w14:paraId="0F7C043E" w14:textId="412AD34A" w:rsidR="00D411C5" w:rsidRPr="00F43F4D" w:rsidRDefault="00D411C5" w:rsidP="00D411C5">
            <w:pPr>
              <w:ind w:left="0"/>
            </w:pPr>
            <w:r w:rsidRPr="007C1A28">
              <w:t>gracet@who.int</w:t>
            </w:r>
          </w:p>
        </w:tc>
      </w:tr>
      <w:tr w:rsidR="00D411C5" w14:paraId="67389122" w14:textId="77777777" w:rsidTr="002D4C9E">
        <w:tc>
          <w:tcPr>
            <w:tcW w:w="1705" w:type="dxa"/>
            <w:vMerge/>
            <w:vAlign w:val="center"/>
          </w:tcPr>
          <w:p w14:paraId="4E663EF2" w14:textId="77777777" w:rsidR="00D411C5" w:rsidRDefault="00D411C5" w:rsidP="00D411C5">
            <w:pPr>
              <w:ind w:left="0"/>
            </w:pPr>
          </w:p>
        </w:tc>
        <w:tc>
          <w:tcPr>
            <w:tcW w:w="2250" w:type="dxa"/>
            <w:vAlign w:val="bottom"/>
          </w:tcPr>
          <w:p w14:paraId="4389ADA5" w14:textId="365FA1FF" w:rsidR="00D411C5" w:rsidRPr="00AF30AB" w:rsidRDefault="00D411C5" w:rsidP="00D411C5">
            <w:pPr>
              <w:ind w:left="0" w:firstLine="162"/>
              <w:rPr>
                <w:rFonts w:ascii="Cambria" w:hAnsi="Cambria"/>
              </w:rPr>
            </w:pPr>
            <w:r w:rsidRPr="00AF30AB">
              <w:rPr>
                <w:rFonts w:ascii="Cambria" w:hAnsi="Cambria"/>
                <w:color w:val="000000"/>
              </w:rPr>
              <w:t>Faiqa Ebrahim</w:t>
            </w:r>
          </w:p>
        </w:tc>
        <w:tc>
          <w:tcPr>
            <w:tcW w:w="2250" w:type="dxa"/>
          </w:tcPr>
          <w:p w14:paraId="13D763B8" w14:textId="37D1ECF0" w:rsidR="00D411C5" w:rsidRPr="007A2169" w:rsidRDefault="00D411C5" w:rsidP="00D411C5">
            <w:pPr>
              <w:ind w:left="0"/>
            </w:pPr>
            <w:r w:rsidRPr="003D6953">
              <w:t>NA</w:t>
            </w:r>
          </w:p>
        </w:tc>
        <w:tc>
          <w:tcPr>
            <w:tcW w:w="3145" w:type="dxa"/>
          </w:tcPr>
          <w:p w14:paraId="491935FA" w14:textId="22F8A489" w:rsidR="00D411C5" w:rsidRPr="00F43F4D" w:rsidRDefault="00D411C5" w:rsidP="00D411C5">
            <w:pPr>
              <w:ind w:left="0"/>
            </w:pPr>
            <w:r w:rsidRPr="007C1A28">
              <w:t>ebrahimf@un.org</w:t>
            </w:r>
          </w:p>
        </w:tc>
      </w:tr>
      <w:tr w:rsidR="00AF30AB" w14:paraId="7176F55D" w14:textId="77777777" w:rsidTr="00A03F96">
        <w:tc>
          <w:tcPr>
            <w:tcW w:w="1705" w:type="dxa"/>
            <w:vMerge/>
            <w:vAlign w:val="center"/>
          </w:tcPr>
          <w:p w14:paraId="15CB410C" w14:textId="77777777" w:rsidR="00AF30AB" w:rsidRDefault="00AF30AB" w:rsidP="00A03F96">
            <w:pPr>
              <w:ind w:left="0"/>
            </w:pPr>
          </w:p>
        </w:tc>
        <w:tc>
          <w:tcPr>
            <w:tcW w:w="2250" w:type="dxa"/>
            <w:vAlign w:val="center"/>
          </w:tcPr>
          <w:p w14:paraId="318B321E" w14:textId="3CECB4E2" w:rsidR="00AF30AB" w:rsidRDefault="00AF30AB" w:rsidP="00A03F96">
            <w:pPr>
              <w:ind w:left="0"/>
              <w:rPr>
                <w:b/>
              </w:rPr>
            </w:pPr>
            <w:r>
              <w:rPr>
                <w:b/>
              </w:rPr>
              <w:t>CDC</w:t>
            </w:r>
          </w:p>
        </w:tc>
        <w:tc>
          <w:tcPr>
            <w:tcW w:w="2250" w:type="dxa"/>
            <w:vAlign w:val="center"/>
          </w:tcPr>
          <w:p w14:paraId="440E6AB0" w14:textId="77777777" w:rsidR="00AF30AB" w:rsidRPr="007A2169" w:rsidRDefault="00AF30AB" w:rsidP="00A03F96">
            <w:pPr>
              <w:ind w:left="0"/>
            </w:pPr>
          </w:p>
        </w:tc>
        <w:tc>
          <w:tcPr>
            <w:tcW w:w="3145" w:type="dxa"/>
            <w:vAlign w:val="center"/>
          </w:tcPr>
          <w:p w14:paraId="781FA7D8" w14:textId="77777777" w:rsidR="00AF30AB" w:rsidRPr="00F43F4D" w:rsidRDefault="00AF30AB" w:rsidP="00A03F96">
            <w:pPr>
              <w:ind w:left="0"/>
            </w:pPr>
          </w:p>
        </w:tc>
      </w:tr>
      <w:tr w:rsidR="00684866" w14:paraId="2777E285" w14:textId="77777777" w:rsidTr="00A03F96">
        <w:tc>
          <w:tcPr>
            <w:tcW w:w="1705" w:type="dxa"/>
            <w:vMerge/>
            <w:vAlign w:val="center"/>
          </w:tcPr>
          <w:p w14:paraId="77167C11" w14:textId="4B148101" w:rsidR="00684866" w:rsidRPr="00D056CA" w:rsidRDefault="00684866" w:rsidP="00A03F96">
            <w:pPr>
              <w:ind w:left="0"/>
            </w:pPr>
          </w:p>
        </w:tc>
        <w:tc>
          <w:tcPr>
            <w:tcW w:w="2250" w:type="dxa"/>
            <w:vAlign w:val="center"/>
          </w:tcPr>
          <w:p w14:paraId="34A29695" w14:textId="551AFE60" w:rsidR="00684866" w:rsidRPr="007A2169" w:rsidRDefault="00684866" w:rsidP="00AF30AB">
            <w:pPr>
              <w:ind w:left="0" w:firstLine="162"/>
            </w:pPr>
            <w:r w:rsidRPr="007A2169">
              <w:t>Barbara Knust</w:t>
            </w:r>
          </w:p>
        </w:tc>
        <w:tc>
          <w:tcPr>
            <w:tcW w:w="2250" w:type="dxa"/>
            <w:vAlign w:val="center"/>
          </w:tcPr>
          <w:p w14:paraId="5C779616" w14:textId="1EB927EF" w:rsidR="00684866" w:rsidRPr="007A2169" w:rsidRDefault="00684866" w:rsidP="00A03F96">
            <w:pPr>
              <w:ind w:left="0"/>
            </w:pPr>
            <w:r w:rsidRPr="007A2169">
              <w:t>404.639.1104</w:t>
            </w:r>
          </w:p>
        </w:tc>
        <w:tc>
          <w:tcPr>
            <w:tcW w:w="3145" w:type="dxa"/>
            <w:vAlign w:val="center"/>
          </w:tcPr>
          <w:p w14:paraId="72C5C087" w14:textId="4144B75B" w:rsidR="00684866" w:rsidRPr="007A2169" w:rsidRDefault="00684866" w:rsidP="00A03F96">
            <w:pPr>
              <w:ind w:left="0"/>
            </w:pPr>
            <w:r w:rsidRPr="00F43F4D">
              <w:t>bkk0@cdc.gov</w:t>
            </w:r>
          </w:p>
        </w:tc>
      </w:tr>
      <w:tr w:rsidR="00684866" w14:paraId="3A334D89" w14:textId="77777777" w:rsidTr="00A03F96">
        <w:tc>
          <w:tcPr>
            <w:tcW w:w="1705" w:type="dxa"/>
            <w:vMerge/>
            <w:vAlign w:val="center"/>
          </w:tcPr>
          <w:p w14:paraId="3395D98D" w14:textId="77777777" w:rsidR="00684866" w:rsidRPr="00D056CA" w:rsidRDefault="00684866" w:rsidP="00574F06"/>
        </w:tc>
        <w:tc>
          <w:tcPr>
            <w:tcW w:w="2250" w:type="dxa"/>
            <w:vAlign w:val="center"/>
          </w:tcPr>
          <w:p w14:paraId="16C7D0AA" w14:textId="2AA77CB4" w:rsidR="00684866" w:rsidRPr="007A2169" w:rsidRDefault="00684866" w:rsidP="00AF30AB">
            <w:pPr>
              <w:ind w:left="0" w:firstLine="162"/>
            </w:pPr>
            <w:r w:rsidRPr="007A2169">
              <w:rPr>
                <w:rFonts w:cs="Times New Roman"/>
              </w:rPr>
              <w:t>Oliver Morgan</w:t>
            </w:r>
          </w:p>
        </w:tc>
        <w:tc>
          <w:tcPr>
            <w:tcW w:w="2250" w:type="dxa"/>
            <w:vAlign w:val="center"/>
          </w:tcPr>
          <w:p w14:paraId="0A9CC674" w14:textId="0F7A6A9C" w:rsidR="00684866" w:rsidRPr="007A2169" w:rsidRDefault="00684866" w:rsidP="00A03F96">
            <w:pPr>
              <w:ind w:left="0"/>
            </w:pPr>
            <w:r>
              <w:t>404.553.7318</w:t>
            </w:r>
          </w:p>
        </w:tc>
        <w:tc>
          <w:tcPr>
            <w:tcW w:w="3145" w:type="dxa"/>
            <w:vAlign w:val="center"/>
          </w:tcPr>
          <w:p w14:paraId="3B760890" w14:textId="62DB0008" w:rsidR="00684866" w:rsidRPr="007A2169" w:rsidRDefault="00684866" w:rsidP="00A03F96">
            <w:pPr>
              <w:ind w:left="0"/>
            </w:pPr>
            <w:r w:rsidRPr="00F43F4D">
              <w:rPr>
                <w:rFonts w:cs="Times New Roman"/>
              </w:rPr>
              <w:t>ggv7@cdc.gov</w:t>
            </w:r>
          </w:p>
        </w:tc>
      </w:tr>
      <w:tr w:rsidR="00684866" w14:paraId="35DB2A16" w14:textId="77777777" w:rsidTr="00A03F96">
        <w:tc>
          <w:tcPr>
            <w:tcW w:w="1705" w:type="dxa"/>
            <w:vMerge/>
            <w:vAlign w:val="center"/>
          </w:tcPr>
          <w:p w14:paraId="72E75353" w14:textId="77777777" w:rsidR="00684866" w:rsidRPr="00D056CA" w:rsidRDefault="00684866" w:rsidP="00574F06"/>
        </w:tc>
        <w:tc>
          <w:tcPr>
            <w:tcW w:w="2250" w:type="dxa"/>
            <w:vAlign w:val="center"/>
          </w:tcPr>
          <w:p w14:paraId="2F747CAE" w14:textId="33F1623C" w:rsidR="00684866" w:rsidRPr="007A2169" w:rsidRDefault="00684866" w:rsidP="00AF30AB">
            <w:pPr>
              <w:ind w:left="0" w:firstLine="162"/>
            </w:pPr>
            <w:r w:rsidRPr="007A2169">
              <w:t>Christine Ross</w:t>
            </w:r>
          </w:p>
        </w:tc>
        <w:tc>
          <w:tcPr>
            <w:tcW w:w="2250" w:type="dxa"/>
            <w:vAlign w:val="center"/>
          </w:tcPr>
          <w:p w14:paraId="22DFFDD9" w14:textId="6C71CC17" w:rsidR="00684866" w:rsidRPr="007A2169" w:rsidRDefault="00684866" w:rsidP="00A03F96">
            <w:pPr>
              <w:ind w:left="0"/>
            </w:pPr>
            <w:r w:rsidRPr="007A2169">
              <w:t>404.528.0490</w:t>
            </w:r>
          </w:p>
        </w:tc>
        <w:tc>
          <w:tcPr>
            <w:tcW w:w="3145" w:type="dxa"/>
            <w:vAlign w:val="center"/>
          </w:tcPr>
          <w:p w14:paraId="061A311F" w14:textId="527A677F" w:rsidR="00684866" w:rsidRPr="007A2169" w:rsidRDefault="00684866" w:rsidP="00A03F96">
            <w:pPr>
              <w:ind w:left="0"/>
            </w:pPr>
            <w:r w:rsidRPr="00F43F4D">
              <w:t>wiz6@cdc.gov</w:t>
            </w:r>
          </w:p>
        </w:tc>
      </w:tr>
      <w:tr w:rsidR="00684866" w14:paraId="0A340240" w14:textId="77777777" w:rsidTr="00A03F96">
        <w:tc>
          <w:tcPr>
            <w:tcW w:w="1705" w:type="dxa"/>
            <w:vMerge/>
            <w:vAlign w:val="center"/>
          </w:tcPr>
          <w:p w14:paraId="19B80056" w14:textId="77777777" w:rsidR="00684866" w:rsidRPr="00D056CA" w:rsidRDefault="00684866" w:rsidP="00574F06"/>
        </w:tc>
        <w:tc>
          <w:tcPr>
            <w:tcW w:w="2250" w:type="dxa"/>
            <w:vAlign w:val="center"/>
          </w:tcPr>
          <w:p w14:paraId="42F192AC" w14:textId="1663091C" w:rsidR="00684866" w:rsidRPr="007A2169" w:rsidRDefault="00684866" w:rsidP="00AF30AB">
            <w:pPr>
              <w:ind w:left="0" w:firstLine="162"/>
            </w:pPr>
            <w:r>
              <w:t>Dianna</w:t>
            </w:r>
            <w:r w:rsidRPr="007A2169">
              <w:t xml:space="preserve"> Ng </w:t>
            </w:r>
          </w:p>
        </w:tc>
        <w:tc>
          <w:tcPr>
            <w:tcW w:w="2250" w:type="dxa"/>
            <w:vAlign w:val="center"/>
          </w:tcPr>
          <w:p w14:paraId="4894A980" w14:textId="733C76AB" w:rsidR="00684866" w:rsidRPr="007A2169" w:rsidRDefault="00684866" w:rsidP="00A03F96">
            <w:pPr>
              <w:ind w:left="0"/>
            </w:pPr>
            <w:r>
              <w:t>404.639.0069</w:t>
            </w:r>
          </w:p>
        </w:tc>
        <w:tc>
          <w:tcPr>
            <w:tcW w:w="3145" w:type="dxa"/>
            <w:vAlign w:val="center"/>
          </w:tcPr>
          <w:p w14:paraId="0A376540" w14:textId="5711EC88" w:rsidR="00684866" w:rsidRPr="00F43F4D" w:rsidRDefault="00684866" w:rsidP="00A03F96">
            <w:pPr>
              <w:ind w:left="0"/>
            </w:pPr>
            <w:r w:rsidRPr="00F43F4D">
              <w:t>ydd9@cdc.gov</w:t>
            </w:r>
          </w:p>
        </w:tc>
      </w:tr>
      <w:tr w:rsidR="00684866" w14:paraId="6C2926E1" w14:textId="77777777" w:rsidTr="00A03F96">
        <w:tc>
          <w:tcPr>
            <w:tcW w:w="1705" w:type="dxa"/>
            <w:vMerge/>
            <w:vAlign w:val="center"/>
          </w:tcPr>
          <w:p w14:paraId="633F6FE1" w14:textId="77777777" w:rsidR="00684866" w:rsidRPr="00D056CA" w:rsidRDefault="00684866" w:rsidP="00574F06"/>
        </w:tc>
        <w:tc>
          <w:tcPr>
            <w:tcW w:w="2250" w:type="dxa"/>
            <w:vAlign w:val="center"/>
          </w:tcPr>
          <w:p w14:paraId="13B3F7E9" w14:textId="474DBF2F" w:rsidR="00684866" w:rsidRPr="007A2169" w:rsidRDefault="00684866" w:rsidP="00AF30AB">
            <w:pPr>
              <w:ind w:left="0" w:firstLine="162"/>
            </w:pPr>
            <w:r w:rsidRPr="007A2169">
              <w:t>Sarah Benne</w:t>
            </w:r>
            <w:r>
              <w:t>t</w:t>
            </w:r>
            <w:r w:rsidRPr="007A2169">
              <w:t>t</w:t>
            </w:r>
          </w:p>
        </w:tc>
        <w:tc>
          <w:tcPr>
            <w:tcW w:w="2250" w:type="dxa"/>
            <w:vAlign w:val="center"/>
          </w:tcPr>
          <w:p w14:paraId="7A3A7211" w14:textId="58338D75" w:rsidR="00684866" w:rsidRPr="007A2169" w:rsidRDefault="00684866" w:rsidP="00A03F96">
            <w:pPr>
              <w:ind w:left="0"/>
            </w:pPr>
            <w:r>
              <w:t>404.639.2274</w:t>
            </w:r>
          </w:p>
        </w:tc>
        <w:tc>
          <w:tcPr>
            <w:tcW w:w="3145" w:type="dxa"/>
            <w:vAlign w:val="center"/>
          </w:tcPr>
          <w:p w14:paraId="2F3700DF" w14:textId="2C722C0D" w:rsidR="00684866" w:rsidRPr="007A2169" w:rsidRDefault="00684866" w:rsidP="00A03F96">
            <w:pPr>
              <w:ind w:left="0"/>
            </w:pPr>
            <w:r w:rsidRPr="00F43F4D">
              <w:t>iyk3@cdc.gov</w:t>
            </w:r>
          </w:p>
        </w:tc>
      </w:tr>
      <w:tr w:rsidR="00684866" w14:paraId="47DC4F89" w14:textId="77777777" w:rsidTr="00A03F96">
        <w:tc>
          <w:tcPr>
            <w:tcW w:w="1705" w:type="dxa"/>
            <w:vMerge/>
            <w:vAlign w:val="center"/>
          </w:tcPr>
          <w:p w14:paraId="7B812A18" w14:textId="77777777" w:rsidR="00684866" w:rsidRPr="00D056CA" w:rsidRDefault="00684866" w:rsidP="00574F06"/>
        </w:tc>
        <w:tc>
          <w:tcPr>
            <w:tcW w:w="2250" w:type="dxa"/>
            <w:vAlign w:val="center"/>
          </w:tcPr>
          <w:p w14:paraId="2538CE1C" w14:textId="3987D329" w:rsidR="00684866" w:rsidRPr="007A2169" w:rsidRDefault="00684866" w:rsidP="00AF30AB">
            <w:pPr>
              <w:ind w:left="0" w:firstLine="162"/>
            </w:pPr>
            <w:r w:rsidRPr="007A2169">
              <w:t>Elizabeth Ervin</w:t>
            </w:r>
          </w:p>
        </w:tc>
        <w:tc>
          <w:tcPr>
            <w:tcW w:w="2250" w:type="dxa"/>
            <w:vAlign w:val="center"/>
          </w:tcPr>
          <w:p w14:paraId="0F47D786" w14:textId="2ABC9866" w:rsidR="00684866" w:rsidRPr="007A2169" w:rsidRDefault="00684866" w:rsidP="00A03F96">
            <w:pPr>
              <w:ind w:left="0"/>
            </w:pPr>
            <w:r w:rsidRPr="007A2169">
              <w:t>404.639.0038</w:t>
            </w:r>
          </w:p>
        </w:tc>
        <w:tc>
          <w:tcPr>
            <w:tcW w:w="3145" w:type="dxa"/>
            <w:vAlign w:val="center"/>
          </w:tcPr>
          <w:p w14:paraId="5223F0DE" w14:textId="241C42CF" w:rsidR="00684866" w:rsidRPr="007A2169" w:rsidRDefault="00684866" w:rsidP="00A03F96">
            <w:pPr>
              <w:ind w:left="0"/>
            </w:pPr>
            <w:r w:rsidRPr="00F43F4D">
              <w:t>wkc8@cdc.gov</w:t>
            </w:r>
          </w:p>
        </w:tc>
      </w:tr>
      <w:tr w:rsidR="00684866" w14:paraId="14B988A7" w14:textId="77777777" w:rsidTr="00A03F96">
        <w:tc>
          <w:tcPr>
            <w:tcW w:w="1705" w:type="dxa"/>
            <w:vMerge/>
            <w:vAlign w:val="center"/>
          </w:tcPr>
          <w:p w14:paraId="27535A6C" w14:textId="77777777" w:rsidR="00684866" w:rsidRPr="00D056CA" w:rsidRDefault="00684866" w:rsidP="00684866"/>
        </w:tc>
        <w:tc>
          <w:tcPr>
            <w:tcW w:w="2250" w:type="dxa"/>
            <w:vAlign w:val="center"/>
          </w:tcPr>
          <w:p w14:paraId="43C09CA7" w14:textId="511DF9C7" w:rsidR="00684866" w:rsidRPr="007A2169" w:rsidRDefault="00684866" w:rsidP="00AF30AB">
            <w:pPr>
              <w:ind w:left="0" w:firstLine="162"/>
            </w:pPr>
            <w:r>
              <w:t>Kyle Bernstein</w:t>
            </w:r>
          </w:p>
        </w:tc>
        <w:tc>
          <w:tcPr>
            <w:tcW w:w="2250" w:type="dxa"/>
            <w:vAlign w:val="center"/>
          </w:tcPr>
          <w:p w14:paraId="4F468E14" w14:textId="06043464" w:rsidR="00684866" w:rsidRPr="007A2169" w:rsidRDefault="00684866" w:rsidP="00684866">
            <w:pPr>
              <w:ind w:left="0"/>
            </w:pPr>
            <w:r>
              <w:t>404.960.9183</w:t>
            </w:r>
          </w:p>
        </w:tc>
        <w:tc>
          <w:tcPr>
            <w:tcW w:w="3145" w:type="dxa"/>
            <w:vAlign w:val="center"/>
          </w:tcPr>
          <w:p w14:paraId="60C5862E" w14:textId="6A5AA5C9" w:rsidR="00684866" w:rsidRPr="00F43F4D" w:rsidRDefault="00684866" w:rsidP="00684866">
            <w:pPr>
              <w:ind w:left="0"/>
            </w:pPr>
            <w:r w:rsidRPr="00F43F4D">
              <w:t>kio8@cdc.gov</w:t>
            </w:r>
          </w:p>
        </w:tc>
      </w:tr>
      <w:tr w:rsidR="00684866" w14:paraId="682FE401" w14:textId="77777777" w:rsidTr="00A03F96">
        <w:tc>
          <w:tcPr>
            <w:tcW w:w="1705" w:type="dxa"/>
            <w:vMerge/>
            <w:vAlign w:val="center"/>
          </w:tcPr>
          <w:p w14:paraId="5B5F0174" w14:textId="77777777" w:rsidR="00684866" w:rsidRPr="00D056CA" w:rsidRDefault="00684866" w:rsidP="00684866"/>
        </w:tc>
        <w:tc>
          <w:tcPr>
            <w:tcW w:w="2250" w:type="dxa"/>
            <w:vAlign w:val="center"/>
          </w:tcPr>
          <w:p w14:paraId="66C7AC02" w14:textId="3296F879" w:rsidR="00684866" w:rsidRPr="007A2169" w:rsidRDefault="00684866" w:rsidP="00AF30AB">
            <w:pPr>
              <w:ind w:left="0" w:firstLine="162"/>
            </w:pPr>
            <w:r>
              <w:t>Elissa Meites</w:t>
            </w:r>
          </w:p>
        </w:tc>
        <w:tc>
          <w:tcPr>
            <w:tcW w:w="2250" w:type="dxa"/>
            <w:vAlign w:val="center"/>
          </w:tcPr>
          <w:p w14:paraId="151EC602" w14:textId="64C6F560" w:rsidR="00684866" w:rsidRPr="007A2169" w:rsidRDefault="00684866" w:rsidP="00684866">
            <w:pPr>
              <w:ind w:left="0"/>
            </w:pPr>
            <w:r>
              <w:t>404.704.2427</w:t>
            </w:r>
          </w:p>
        </w:tc>
        <w:tc>
          <w:tcPr>
            <w:tcW w:w="3145" w:type="dxa"/>
            <w:vAlign w:val="center"/>
          </w:tcPr>
          <w:p w14:paraId="589F092D" w14:textId="3FC03F4A" w:rsidR="00684866" w:rsidRPr="00F43F4D" w:rsidRDefault="00684866" w:rsidP="00684866">
            <w:pPr>
              <w:ind w:left="0"/>
            </w:pPr>
            <w:r w:rsidRPr="00F43F4D">
              <w:t>dri9@cdc.gov</w:t>
            </w:r>
          </w:p>
        </w:tc>
      </w:tr>
      <w:tr w:rsidR="00B27C76" w14:paraId="0FE64E36" w14:textId="77777777" w:rsidTr="00A03F96">
        <w:tc>
          <w:tcPr>
            <w:tcW w:w="1705" w:type="dxa"/>
            <w:vMerge w:val="restart"/>
            <w:vAlign w:val="center"/>
          </w:tcPr>
          <w:p w14:paraId="4226C91E" w14:textId="25F23592" w:rsidR="00B27C76" w:rsidRPr="00D056CA" w:rsidRDefault="00B27C76" w:rsidP="00A03F96">
            <w:pPr>
              <w:ind w:left="0"/>
            </w:pPr>
            <w:r w:rsidRPr="00D056CA">
              <w:t>Administrative Support</w:t>
            </w:r>
          </w:p>
        </w:tc>
        <w:tc>
          <w:tcPr>
            <w:tcW w:w="2250" w:type="dxa"/>
            <w:vAlign w:val="center"/>
          </w:tcPr>
          <w:p w14:paraId="64FE6BBF" w14:textId="426A7E4E" w:rsidR="00B27C76" w:rsidRDefault="00B27C76" w:rsidP="00A03F96">
            <w:pPr>
              <w:ind w:left="0"/>
            </w:pPr>
            <w:r>
              <w:t>Rachel Kaufman</w:t>
            </w:r>
          </w:p>
        </w:tc>
        <w:tc>
          <w:tcPr>
            <w:tcW w:w="2250" w:type="dxa"/>
            <w:vAlign w:val="center"/>
          </w:tcPr>
          <w:p w14:paraId="0F787527" w14:textId="3C89E23F" w:rsidR="00B27C76" w:rsidRDefault="00B27C76" w:rsidP="00A03F96">
            <w:pPr>
              <w:ind w:left="0"/>
            </w:pPr>
            <w:r>
              <w:t>404.498.2347</w:t>
            </w:r>
          </w:p>
        </w:tc>
        <w:tc>
          <w:tcPr>
            <w:tcW w:w="3145" w:type="dxa"/>
            <w:vAlign w:val="center"/>
          </w:tcPr>
          <w:p w14:paraId="1B3308D3" w14:textId="030F5B66" w:rsidR="00B27C76" w:rsidRPr="007A2169" w:rsidRDefault="00B27C76" w:rsidP="00A03F96">
            <w:pPr>
              <w:ind w:left="0"/>
            </w:pPr>
            <w:r>
              <w:t>rbk8@cdc.gov</w:t>
            </w:r>
          </w:p>
        </w:tc>
      </w:tr>
      <w:tr w:rsidR="00B27C76" w14:paraId="441FA193" w14:textId="77777777" w:rsidTr="00A03F96">
        <w:tc>
          <w:tcPr>
            <w:tcW w:w="1705" w:type="dxa"/>
            <w:vMerge/>
            <w:vAlign w:val="center"/>
          </w:tcPr>
          <w:p w14:paraId="7EED7343" w14:textId="67E70D32" w:rsidR="00B27C76" w:rsidRPr="00D056CA" w:rsidRDefault="00B27C76" w:rsidP="00A03F96">
            <w:pPr>
              <w:ind w:left="0"/>
            </w:pPr>
          </w:p>
        </w:tc>
        <w:tc>
          <w:tcPr>
            <w:tcW w:w="2250" w:type="dxa"/>
            <w:vAlign w:val="center"/>
          </w:tcPr>
          <w:p w14:paraId="766BBE82" w14:textId="18FFCC07" w:rsidR="00B27C76" w:rsidRDefault="00B27C76" w:rsidP="00A03F96">
            <w:pPr>
              <w:ind w:left="0"/>
            </w:pPr>
            <w:r>
              <w:t>Michael Fox</w:t>
            </w:r>
          </w:p>
        </w:tc>
        <w:tc>
          <w:tcPr>
            <w:tcW w:w="2250" w:type="dxa"/>
            <w:vAlign w:val="center"/>
          </w:tcPr>
          <w:p w14:paraId="1E787418" w14:textId="2842E1DD" w:rsidR="00B27C76" w:rsidRDefault="00B27C76" w:rsidP="00A03F96">
            <w:pPr>
              <w:ind w:left="0"/>
            </w:pPr>
            <w:r>
              <w:t>404.498.3806</w:t>
            </w:r>
          </w:p>
        </w:tc>
        <w:tc>
          <w:tcPr>
            <w:tcW w:w="3145" w:type="dxa"/>
            <w:vAlign w:val="center"/>
          </w:tcPr>
          <w:p w14:paraId="0E0A81BB" w14:textId="0A09FE67" w:rsidR="00B27C76" w:rsidRPr="007A2169" w:rsidRDefault="00B27C76" w:rsidP="00A03F96">
            <w:pPr>
              <w:ind w:left="0"/>
            </w:pPr>
            <w:r w:rsidRPr="007A2169">
              <w:t>Imv9@cdc.gov</w:t>
            </w:r>
          </w:p>
        </w:tc>
      </w:tr>
      <w:tr w:rsidR="00B27C76" w14:paraId="0F201B0A" w14:textId="77777777" w:rsidTr="00A03F96">
        <w:tc>
          <w:tcPr>
            <w:tcW w:w="1705" w:type="dxa"/>
            <w:vMerge/>
            <w:vAlign w:val="center"/>
          </w:tcPr>
          <w:p w14:paraId="59C9B5F9" w14:textId="77777777" w:rsidR="00B27C76" w:rsidRPr="00D056CA" w:rsidRDefault="00B27C76" w:rsidP="00574F06"/>
        </w:tc>
        <w:tc>
          <w:tcPr>
            <w:tcW w:w="2250" w:type="dxa"/>
            <w:vAlign w:val="center"/>
          </w:tcPr>
          <w:p w14:paraId="2A56FF9A" w14:textId="5DB9F8BE" w:rsidR="00B27C76" w:rsidRDefault="00B27C76" w:rsidP="00A03F96">
            <w:pPr>
              <w:ind w:left="0"/>
            </w:pPr>
            <w:r>
              <w:t>Neil Rainford</w:t>
            </w:r>
          </w:p>
        </w:tc>
        <w:tc>
          <w:tcPr>
            <w:tcW w:w="2250" w:type="dxa"/>
            <w:vAlign w:val="center"/>
          </w:tcPr>
          <w:p w14:paraId="6698913B" w14:textId="7BB24015" w:rsidR="00B27C76" w:rsidRDefault="00B27C76" w:rsidP="00A03F96">
            <w:pPr>
              <w:ind w:left="0"/>
            </w:pPr>
            <w:r>
              <w:t>770.488.1122</w:t>
            </w:r>
          </w:p>
        </w:tc>
        <w:tc>
          <w:tcPr>
            <w:tcW w:w="3145" w:type="dxa"/>
            <w:vAlign w:val="center"/>
          </w:tcPr>
          <w:p w14:paraId="06087FEB" w14:textId="315B12B4" w:rsidR="00B27C76" w:rsidRPr="00F43F4D" w:rsidRDefault="00B27C76" w:rsidP="00A03F96">
            <w:pPr>
              <w:ind w:left="0"/>
            </w:pPr>
            <w:r w:rsidRPr="00F43F4D">
              <w:t>ner0@cdc.gov</w:t>
            </w:r>
          </w:p>
        </w:tc>
      </w:tr>
      <w:tr w:rsidR="00B27C76" w14:paraId="32902B2A" w14:textId="77777777" w:rsidTr="00A03F96">
        <w:tc>
          <w:tcPr>
            <w:tcW w:w="1705" w:type="dxa"/>
            <w:vMerge/>
            <w:vAlign w:val="center"/>
          </w:tcPr>
          <w:p w14:paraId="1ABB8ABE" w14:textId="77777777" w:rsidR="00B27C76" w:rsidRPr="00D056CA" w:rsidRDefault="00B27C76" w:rsidP="00574F06"/>
        </w:tc>
        <w:tc>
          <w:tcPr>
            <w:tcW w:w="2250" w:type="dxa"/>
            <w:vAlign w:val="center"/>
          </w:tcPr>
          <w:p w14:paraId="27C656F8" w14:textId="5FD4B5A2" w:rsidR="00B27C76" w:rsidRDefault="00B27C76" w:rsidP="00A03F96">
            <w:pPr>
              <w:ind w:left="0"/>
            </w:pPr>
            <w:r>
              <w:t>Tara Anderson</w:t>
            </w:r>
          </w:p>
        </w:tc>
        <w:tc>
          <w:tcPr>
            <w:tcW w:w="2250" w:type="dxa"/>
            <w:vAlign w:val="center"/>
          </w:tcPr>
          <w:p w14:paraId="7F03278E" w14:textId="7E48FDB6" w:rsidR="00B27C76" w:rsidRDefault="00B27C76" w:rsidP="00A03F96">
            <w:pPr>
              <w:ind w:left="0"/>
            </w:pPr>
            <w:r>
              <w:t>404.498.6314</w:t>
            </w:r>
          </w:p>
        </w:tc>
        <w:tc>
          <w:tcPr>
            <w:tcW w:w="3145" w:type="dxa"/>
            <w:vAlign w:val="center"/>
          </w:tcPr>
          <w:p w14:paraId="37116D05" w14:textId="18B59463" w:rsidR="00B27C76" w:rsidRPr="00F43F4D" w:rsidRDefault="00B27C76" w:rsidP="00A03F96">
            <w:pPr>
              <w:ind w:left="0"/>
            </w:pPr>
            <w:r>
              <w:t>tqc3@cdc.gov</w:t>
            </w:r>
          </w:p>
        </w:tc>
      </w:tr>
    </w:tbl>
    <w:p w14:paraId="5AE3F9FD" w14:textId="4D96E5C5" w:rsidR="00742758" w:rsidRPr="00403BA7" w:rsidRDefault="00403BA7" w:rsidP="00BA2A1C">
      <w:pPr>
        <w:ind w:left="0"/>
      </w:pPr>
      <w:r>
        <w:rPr>
          <w:vertAlign w:val="superscript"/>
        </w:rPr>
        <w:t>*</w:t>
      </w:r>
      <w:r w:rsidRPr="00403BA7">
        <w:t>Not Available (NA)</w:t>
      </w:r>
    </w:p>
    <w:p w14:paraId="719FBF5C" w14:textId="77777777" w:rsidR="00287E2F" w:rsidRPr="00281795" w:rsidRDefault="00287E2F" w:rsidP="00991BF9">
      <w:pPr>
        <w:ind w:left="0"/>
      </w:pPr>
    </w:p>
    <w:p w14:paraId="719FBF5D" w14:textId="77777777" w:rsidR="00E24C20" w:rsidRDefault="00E24C20" w:rsidP="00BC6896"/>
    <w:p w14:paraId="7403CC43" w14:textId="77777777" w:rsidR="00015037" w:rsidRDefault="00015037" w:rsidP="00015037">
      <w:pPr>
        <w:pStyle w:val="Heading3"/>
      </w:pPr>
      <w:bookmarkStart w:id="8" w:name="_Toc418174625"/>
      <w:bookmarkStart w:id="9" w:name="_Toc419723312"/>
      <w:r>
        <w:t>LIST OF APPENDICES</w:t>
      </w:r>
      <w:bookmarkEnd w:id="8"/>
      <w:bookmarkEnd w:id="9"/>
    </w:p>
    <w:p w14:paraId="50C01336" w14:textId="77777777" w:rsidR="00015037" w:rsidRDefault="00015037" w:rsidP="00015037">
      <w:pPr>
        <w:pStyle w:val="Heading3"/>
      </w:pPr>
    </w:p>
    <w:p w14:paraId="73ADD59B" w14:textId="77777777" w:rsidR="00015037" w:rsidRPr="00127B23" w:rsidRDefault="00015037" w:rsidP="00015037">
      <w:pPr>
        <w:spacing w:line="240" w:lineRule="auto"/>
        <w:ind w:left="0"/>
      </w:pPr>
      <w:r w:rsidRPr="00127B23">
        <w:t>APPENDIX A. Authorizing Legislation</w:t>
      </w:r>
    </w:p>
    <w:p w14:paraId="6EE89716" w14:textId="77777777" w:rsidR="00015037" w:rsidRDefault="00015037" w:rsidP="00015037">
      <w:pPr>
        <w:spacing w:line="240" w:lineRule="auto"/>
        <w:ind w:left="0"/>
      </w:pPr>
      <w:r>
        <w:t>APPENDIX B. Human Subjects Review and Approvals</w:t>
      </w:r>
    </w:p>
    <w:p w14:paraId="6BF929E4" w14:textId="77777777" w:rsidR="00015037" w:rsidRDefault="00015037" w:rsidP="00015037">
      <w:pPr>
        <w:spacing w:line="240" w:lineRule="auto"/>
        <w:ind w:left="0"/>
      </w:pPr>
      <w:r>
        <w:t>APPENDIX C. Sierra Leone News 2015 Minimum Wage</w:t>
      </w:r>
    </w:p>
    <w:p w14:paraId="50C8F641" w14:textId="77777777" w:rsidR="00015037" w:rsidRDefault="00015037" w:rsidP="00015037">
      <w:pPr>
        <w:pStyle w:val="Heading3"/>
      </w:pPr>
    </w:p>
    <w:p w14:paraId="489C0124" w14:textId="77777777" w:rsidR="00015037" w:rsidRPr="0097225C" w:rsidRDefault="00015037" w:rsidP="00015037"/>
    <w:p w14:paraId="23E4A0A4" w14:textId="77777777" w:rsidR="00015037" w:rsidRDefault="00015037" w:rsidP="00015037">
      <w:pPr>
        <w:pStyle w:val="Heading3"/>
      </w:pPr>
      <w:bookmarkStart w:id="10" w:name="_Toc418174626"/>
      <w:bookmarkStart w:id="11" w:name="_Toc419723313"/>
      <w:r>
        <w:t>LIST OF ATTACHMENTS</w:t>
      </w:r>
      <w:bookmarkEnd w:id="10"/>
      <w:bookmarkEnd w:id="11"/>
      <w:r>
        <w:t xml:space="preserve"> </w:t>
      </w:r>
    </w:p>
    <w:p w14:paraId="14F36FE6" w14:textId="77777777" w:rsidR="00015037" w:rsidRDefault="00015037" w:rsidP="00015037">
      <w:pPr>
        <w:ind w:left="0"/>
      </w:pPr>
    </w:p>
    <w:p w14:paraId="7D19F5A9" w14:textId="77777777" w:rsidR="00023EB2" w:rsidRPr="00023EB2" w:rsidRDefault="00023EB2" w:rsidP="00023EB2">
      <w:pPr>
        <w:tabs>
          <w:tab w:val="right" w:pos="9360"/>
        </w:tabs>
        <w:spacing w:line="240" w:lineRule="auto"/>
        <w:ind w:left="0"/>
      </w:pPr>
      <w:r w:rsidRPr="00023EB2">
        <w:t xml:space="preserve">ATTACHMENT 1. Intake Form </w:t>
      </w:r>
    </w:p>
    <w:p w14:paraId="67F25BCA" w14:textId="77777777" w:rsidR="00023EB2" w:rsidRPr="00023EB2" w:rsidRDefault="00023EB2" w:rsidP="00023EB2">
      <w:pPr>
        <w:tabs>
          <w:tab w:val="right" w:pos="9360"/>
        </w:tabs>
        <w:spacing w:line="240" w:lineRule="auto"/>
        <w:ind w:left="0"/>
      </w:pPr>
      <w:r w:rsidRPr="00023EB2">
        <w:t>ATTACHMENT 2. Consent Form – Pilot and Module A</w:t>
      </w:r>
    </w:p>
    <w:p w14:paraId="57B836EA" w14:textId="77777777" w:rsidR="00023EB2" w:rsidRPr="00023EB2" w:rsidRDefault="00023EB2" w:rsidP="00023EB2">
      <w:pPr>
        <w:tabs>
          <w:tab w:val="right" w:pos="9360"/>
        </w:tabs>
        <w:spacing w:line="240" w:lineRule="auto"/>
        <w:ind w:left="0"/>
      </w:pPr>
      <w:r w:rsidRPr="00023EB2">
        <w:t>ATTACHMENT 3. Consent Form – Module B</w:t>
      </w:r>
    </w:p>
    <w:p w14:paraId="511F8360" w14:textId="77777777" w:rsidR="00023EB2" w:rsidRPr="00023EB2" w:rsidRDefault="00023EB2" w:rsidP="00023EB2">
      <w:pPr>
        <w:tabs>
          <w:tab w:val="right" w:pos="9360"/>
        </w:tabs>
        <w:spacing w:line="240" w:lineRule="auto"/>
        <w:ind w:left="0"/>
      </w:pPr>
      <w:r w:rsidRPr="00023EB2">
        <w:t>ATTACHMENT 4. Participant Study ID Card</w:t>
      </w:r>
    </w:p>
    <w:p w14:paraId="40FFE7F2" w14:textId="77777777" w:rsidR="00023EB2" w:rsidRPr="00023EB2" w:rsidRDefault="00023EB2" w:rsidP="00023EB2">
      <w:pPr>
        <w:tabs>
          <w:tab w:val="right" w:pos="9360"/>
        </w:tabs>
        <w:spacing w:line="240" w:lineRule="auto"/>
        <w:ind w:left="0"/>
      </w:pPr>
      <w:r w:rsidRPr="00023EB2">
        <w:t xml:space="preserve">ATTACHMENT 5. Survivor Questionnaire </w:t>
      </w:r>
    </w:p>
    <w:p w14:paraId="3472023C" w14:textId="77777777" w:rsidR="00023EB2" w:rsidRPr="00023EB2" w:rsidRDefault="00023EB2" w:rsidP="00023EB2">
      <w:pPr>
        <w:tabs>
          <w:tab w:val="right" w:pos="9360"/>
        </w:tabs>
        <w:spacing w:line="240" w:lineRule="auto"/>
        <w:ind w:left="0"/>
      </w:pPr>
      <w:r w:rsidRPr="00023EB2">
        <w:t>ATTACHMENT 6. Survivor Follow-up Questionnaire</w:t>
      </w:r>
    </w:p>
    <w:p w14:paraId="14CC910A" w14:textId="77777777" w:rsidR="00023EB2" w:rsidRPr="00023EB2" w:rsidRDefault="00023EB2" w:rsidP="00023EB2">
      <w:pPr>
        <w:tabs>
          <w:tab w:val="right" w:pos="9360"/>
        </w:tabs>
        <w:spacing w:line="240" w:lineRule="auto"/>
        <w:ind w:left="0"/>
      </w:pPr>
      <w:r w:rsidRPr="00023EB2">
        <w:t>ATTACHMENT 7. Laboratory Results Form</w:t>
      </w:r>
    </w:p>
    <w:p w14:paraId="06E4ECED" w14:textId="77777777" w:rsidR="00023EB2" w:rsidRPr="00023EB2" w:rsidRDefault="00023EB2" w:rsidP="00023EB2">
      <w:pPr>
        <w:tabs>
          <w:tab w:val="right" w:pos="9360"/>
        </w:tabs>
        <w:ind w:left="0"/>
      </w:pPr>
      <w:r w:rsidRPr="00023EB2">
        <w:t>ATTACHMENT 8. Counselling Script</w:t>
      </w:r>
    </w:p>
    <w:p w14:paraId="1761EDBB" w14:textId="77777777" w:rsidR="00023EB2" w:rsidRPr="00023EB2" w:rsidRDefault="00023EB2" w:rsidP="00023EB2">
      <w:pPr>
        <w:tabs>
          <w:tab w:val="right" w:pos="9360"/>
        </w:tabs>
        <w:ind w:left="0"/>
      </w:pPr>
    </w:p>
    <w:p w14:paraId="10925153" w14:textId="03608E1D" w:rsidR="00F43F4D" w:rsidRPr="00C91663" w:rsidRDefault="00F43F4D" w:rsidP="00BC6896">
      <w:pPr>
        <w:ind w:left="0"/>
      </w:pPr>
    </w:p>
    <w:sectPr w:rsidR="00F43F4D" w:rsidRPr="00C91663"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482F" w14:textId="77777777" w:rsidR="00241420" w:rsidRDefault="00241420" w:rsidP="00BC6896">
      <w:r>
        <w:separator/>
      </w:r>
    </w:p>
    <w:p w14:paraId="7CD3DF0E" w14:textId="77777777" w:rsidR="00241420" w:rsidRDefault="00241420" w:rsidP="00BC6896"/>
  </w:endnote>
  <w:endnote w:type="continuationSeparator" w:id="0">
    <w:p w14:paraId="7A1C4D83" w14:textId="77777777" w:rsidR="00241420" w:rsidRDefault="00241420" w:rsidP="00BC6896">
      <w:r>
        <w:continuationSeparator/>
      </w:r>
    </w:p>
    <w:p w14:paraId="2AD69014" w14:textId="77777777" w:rsidR="00241420" w:rsidRDefault="00241420"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19FBF95" w14:textId="77777777"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E14C6">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14C6">
              <w:rPr>
                <w:b/>
                <w:bCs/>
                <w:noProof/>
              </w:rPr>
              <w:t>11</w:t>
            </w:r>
            <w:r>
              <w:rPr>
                <w:b/>
                <w:bCs/>
                <w:sz w:val="24"/>
                <w:szCs w:val="24"/>
              </w:rPr>
              <w:fldChar w:fldCharType="end"/>
            </w:r>
          </w:p>
        </w:sdtContent>
      </w:sdt>
    </w:sdtContent>
  </w:sdt>
  <w:p w14:paraId="719FBF96"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90D11" w14:textId="77777777" w:rsidR="00241420" w:rsidRDefault="00241420" w:rsidP="00BC6896">
      <w:r>
        <w:separator/>
      </w:r>
    </w:p>
    <w:p w14:paraId="63170769" w14:textId="77777777" w:rsidR="00241420" w:rsidRDefault="00241420" w:rsidP="00BC6896"/>
  </w:footnote>
  <w:footnote w:type="continuationSeparator" w:id="0">
    <w:p w14:paraId="3C398F75" w14:textId="77777777" w:rsidR="00241420" w:rsidRDefault="00241420" w:rsidP="00BC6896">
      <w:r>
        <w:continuationSeparator/>
      </w:r>
    </w:p>
    <w:p w14:paraId="074146D0" w14:textId="77777777" w:rsidR="00241420" w:rsidRDefault="00241420"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FBF93" w14:textId="77777777" w:rsidR="00783A3C" w:rsidRPr="00716F94" w:rsidRDefault="00783A3C" w:rsidP="00BC6896">
    <w:pPr>
      <w:pStyle w:val="Header"/>
      <w:rPr>
        <w:color w:val="0033CC"/>
      </w:rPr>
    </w:pPr>
    <w:r>
      <w:tab/>
    </w:r>
  </w:p>
  <w:p w14:paraId="719FBF94"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3C3"/>
    <w:multiLevelType w:val="multilevel"/>
    <w:tmpl w:val="F75879C2"/>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
    <w:nsid w:val="0B986A72"/>
    <w:multiLevelType w:val="hybridMultilevel"/>
    <w:tmpl w:val="C4A4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73657"/>
    <w:multiLevelType w:val="hybridMultilevel"/>
    <w:tmpl w:val="B5F4D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84E95"/>
    <w:multiLevelType w:val="multilevel"/>
    <w:tmpl w:val="FCB43596"/>
    <w:styleLink w:val="List26"/>
    <w:lvl w:ilvl="0">
      <w:numFmt w:val="bullet"/>
      <w:lvlText w:val="-"/>
      <w:lvlJc w:val="left"/>
      <w:pPr>
        <w:tabs>
          <w:tab w:val="num" w:pos="709"/>
        </w:tabs>
        <w:ind w:left="709" w:hanging="426"/>
      </w:pPr>
      <w:rPr>
        <w:rFonts w:ascii="Arial" w:eastAsia="Arial" w:hAnsi="Arial" w:cs="Arial"/>
        <w:position w:val="0"/>
        <w:sz w:val="24"/>
        <w:szCs w:val="24"/>
        <w:lang w:val="en-US"/>
      </w:rPr>
    </w:lvl>
    <w:lvl w:ilvl="1">
      <w:start w:val="1"/>
      <w:numFmt w:val="bullet"/>
      <w:lvlText w:val="o"/>
      <w:lvlJc w:val="left"/>
      <w:pPr>
        <w:tabs>
          <w:tab w:val="num" w:pos="1617"/>
        </w:tabs>
        <w:ind w:left="1617" w:hanging="330"/>
      </w:pPr>
      <w:rPr>
        <w:rFonts w:ascii="Arial" w:eastAsia="Arial" w:hAnsi="Arial" w:cs="Arial"/>
        <w:position w:val="0"/>
        <w:sz w:val="22"/>
        <w:szCs w:val="22"/>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4">
    <w:nsid w:val="1B0A0C56"/>
    <w:multiLevelType w:val="multilevel"/>
    <w:tmpl w:val="EA0C5948"/>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5">
    <w:nsid w:val="1CE82039"/>
    <w:multiLevelType w:val="multilevel"/>
    <w:tmpl w:val="D7D0F188"/>
    <w:lvl w:ilvl="0">
      <w:numFmt w:val="bullet"/>
      <w:lvlText w:val="•"/>
      <w:lvlJc w:val="left"/>
      <w:pPr>
        <w:tabs>
          <w:tab w:val="num" w:pos="720"/>
        </w:tabs>
        <w:ind w:left="720" w:hanging="360"/>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6">
    <w:nsid w:val="229D2086"/>
    <w:multiLevelType w:val="multilevel"/>
    <w:tmpl w:val="AA504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CEF175A"/>
    <w:multiLevelType w:val="multilevel"/>
    <w:tmpl w:val="20EEC5E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8">
    <w:nsid w:val="2D97486F"/>
    <w:multiLevelType w:val="multilevel"/>
    <w:tmpl w:val="FF0E453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9">
    <w:nsid w:val="2F3A06F7"/>
    <w:multiLevelType w:val="hybridMultilevel"/>
    <w:tmpl w:val="AFB2EF8E"/>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0">
    <w:nsid w:val="31D73E5A"/>
    <w:multiLevelType w:val="multilevel"/>
    <w:tmpl w:val="74426F54"/>
    <w:styleLink w:val="List19"/>
    <w:lvl w:ilvl="0">
      <w:numFmt w:val="bullet"/>
      <w:lvlText w:val="•"/>
      <w:lvlJc w:val="left"/>
      <w:pPr>
        <w:tabs>
          <w:tab w:val="num" w:pos="832"/>
        </w:tabs>
        <w:ind w:left="2011" w:hanging="360"/>
      </w:pPr>
      <w:rPr>
        <w:rFonts w:ascii="Arial" w:eastAsia="Arial" w:hAnsi="Arial" w:cs="Arial"/>
        <w:position w:val="0"/>
        <w:sz w:val="24"/>
        <w:szCs w:val="24"/>
      </w:rPr>
    </w:lvl>
    <w:lvl w:ilvl="1">
      <w:start w:val="1"/>
      <w:numFmt w:val="bullet"/>
      <w:lvlText w:val="o"/>
      <w:lvlJc w:val="left"/>
      <w:pPr>
        <w:tabs>
          <w:tab w:val="num" w:pos="1522"/>
        </w:tabs>
        <w:ind w:left="1522" w:hanging="330"/>
      </w:pPr>
      <w:rPr>
        <w:rFonts w:ascii="Arial" w:eastAsia="Arial" w:hAnsi="Arial" w:cs="Arial"/>
        <w:position w:val="0"/>
        <w:sz w:val="22"/>
        <w:szCs w:val="22"/>
      </w:rPr>
    </w:lvl>
    <w:lvl w:ilvl="2">
      <w:start w:val="1"/>
      <w:numFmt w:val="bullet"/>
      <w:lvlText w:val="▪"/>
      <w:lvlJc w:val="left"/>
      <w:pPr>
        <w:tabs>
          <w:tab w:val="num" w:pos="2242"/>
        </w:tabs>
        <w:ind w:left="2242" w:hanging="330"/>
      </w:pPr>
      <w:rPr>
        <w:rFonts w:ascii="Arial" w:eastAsia="Arial" w:hAnsi="Arial" w:cs="Arial"/>
        <w:position w:val="0"/>
        <w:sz w:val="22"/>
        <w:szCs w:val="22"/>
      </w:rPr>
    </w:lvl>
    <w:lvl w:ilvl="3">
      <w:start w:val="1"/>
      <w:numFmt w:val="bullet"/>
      <w:lvlText w:val="•"/>
      <w:lvlJc w:val="left"/>
      <w:pPr>
        <w:tabs>
          <w:tab w:val="num" w:pos="2962"/>
        </w:tabs>
        <w:ind w:left="4141" w:hanging="330"/>
      </w:pPr>
      <w:rPr>
        <w:rFonts w:ascii="Arial" w:eastAsia="Arial" w:hAnsi="Arial" w:cs="Arial"/>
        <w:position w:val="0"/>
        <w:sz w:val="22"/>
        <w:szCs w:val="22"/>
      </w:rPr>
    </w:lvl>
    <w:lvl w:ilvl="4">
      <w:start w:val="1"/>
      <w:numFmt w:val="bullet"/>
      <w:lvlText w:val="o"/>
      <w:lvlJc w:val="left"/>
      <w:pPr>
        <w:tabs>
          <w:tab w:val="num" w:pos="3682"/>
        </w:tabs>
        <w:ind w:left="3682" w:hanging="330"/>
      </w:pPr>
      <w:rPr>
        <w:rFonts w:ascii="Arial" w:eastAsia="Arial" w:hAnsi="Arial" w:cs="Arial"/>
        <w:position w:val="0"/>
        <w:sz w:val="22"/>
        <w:szCs w:val="22"/>
      </w:rPr>
    </w:lvl>
    <w:lvl w:ilvl="5">
      <w:start w:val="1"/>
      <w:numFmt w:val="bullet"/>
      <w:lvlText w:val="▪"/>
      <w:lvlJc w:val="left"/>
      <w:pPr>
        <w:tabs>
          <w:tab w:val="num" w:pos="4402"/>
        </w:tabs>
        <w:ind w:left="4402" w:hanging="330"/>
      </w:pPr>
      <w:rPr>
        <w:rFonts w:ascii="Arial" w:eastAsia="Arial" w:hAnsi="Arial" w:cs="Arial"/>
        <w:position w:val="0"/>
        <w:sz w:val="22"/>
        <w:szCs w:val="22"/>
      </w:rPr>
    </w:lvl>
    <w:lvl w:ilvl="6">
      <w:start w:val="1"/>
      <w:numFmt w:val="bullet"/>
      <w:lvlText w:val="•"/>
      <w:lvlJc w:val="left"/>
      <w:pPr>
        <w:tabs>
          <w:tab w:val="num" w:pos="5122"/>
        </w:tabs>
        <w:ind w:left="5122" w:hanging="330"/>
      </w:pPr>
      <w:rPr>
        <w:rFonts w:ascii="Arial" w:eastAsia="Arial" w:hAnsi="Arial" w:cs="Arial"/>
        <w:position w:val="0"/>
        <w:sz w:val="22"/>
        <w:szCs w:val="22"/>
      </w:rPr>
    </w:lvl>
    <w:lvl w:ilvl="7">
      <w:start w:val="1"/>
      <w:numFmt w:val="bullet"/>
      <w:lvlText w:val="o"/>
      <w:lvlJc w:val="left"/>
      <w:pPr>
        <w:tabs>
          <w:tab w:val="num" w:pos="5842"/>
        </w:tabs>
        <w:ind w:left="5842" w:hanging="330"/>
      </w:pPr>
      <w:rPr>
        <w:rFonts w:ascii="Arial" w:eastAsia="Arial" w:hAnsi="Arial" w:cs="Arial"/>
        <w:position w:val="0"/>
        <w:sz w:val="22"/>
        <w:szCs w:val="22"/>
      </w:rPr>
    </w:lvl>
    <w:lvl w:ilvl="8">
      <w:start w:val="1"/>
      <w:numFmt w:val="bullet"/>
      <w:lvlText w:val="▪"/>
      <w:lvlJc w:val="left"/>
      <w:pPr>
        <w:tabs>
          <w:tab w:val="num" w:pos="6562"/>
        </w:tabs>
        <w:ind w:left="7741" w:hanging="330"/>
      </w:pPr>
      <w:rPr>
        <w:rFonts w:ascii="Arial" w:eastAsia="Arial" w:hAnsi="Arial" w:cs="Arial"/>
        <w:position w:val="0"/>
        <w:sz w:val="22"/>
        <w:szCs w:val="22"/>
      </w:rPr>
    </w:lvl>
  </w:abstractNum>
  <w:abstractNum w:abstractNumId="11">
    <w:nsid w:val="349D2F3D"/>
    <w:multiLevelType w:val="multilevel"/>
    <w:tmpl w:val="F2A68612"/>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2">
    <w:nsid w:val="3F001715"/>
    <w:multiLevelType w:val="multilevel"/>
    <w:tmpl w:val="5B2ACA3A"/>
    <w:styleLink w:val="List27"/>
    <w:lvl w:ilvl="0">
      <w:start w:val="1"/>
      <w:numFmt w:val="bullet"/>
      <w:lvlText w:val="•"/>
      <w:lvlJc w:val="left"/>
      <w:pPr>
        <w:tabs>
          <w:tab w:val="num" w:pos="897"/>
        </w:tabs>
        <w:ind w:left="897" w:hanging="330"/>
      </w:pPr>
      <w:rPr>
        <w:rFonts w:ascii="Arial" w:eastAsia="Arial" w:hAnsi="Arial" w:cs="Arial"/>
        <w:position w:val="0"/>
        <w:sz w:val="22"/>
        <w:szCs w:val="22"/>
        <w:lang w:val="en-US"/>
      </w:rPr>
    </w:lvl>
    <w:lvl w:ilvl="1">
      <w:numFmt w:val="bullet"/>
      <w:lvlText w:val="-"/>
      <w:lvlJc w:val="left"/>
      <w:pPr>
        <w:tabs>
          <w:tab w:val="num" w:pos="709"/>
        </w:tabs>
        <w:ind w:left="709" w:hanging="426"/>
      </w:pPr>
      <w:rPr>
        <w:rFonts w:ascii="Arial" w:eastAsia="Arial" w:hAnsi="Arial" w:cs="Arial"/>
        <w:position w:val="0"/>
        <w:sz w:val="24"/>
        <w:szCs w:val="24"/>
        <w:lang w:val="en-US"/>
      </w:rPr>
    </w:lvl>
    <w:lvl w:ilvl="2">
      <w:start w:val="1"/>
      <w:numFmt w:val="bullet"/>
      <w:lvlText w:val="▪"/>
      <w:lvlJc w:val="left"/>
      <w:pPr>
        <w:tabs>
          <w:tab w:val="num" w:pos="2337"/>
        </w:tabs>
        <w:ind w:left="2337" w:hanging="330"/>
      </w:pPr>
      <w:rPr>
        <w:rFonts w:ascii="Arial" w:eastAsia="Arial" w:hAnsi="Arial" w:cs="Arial"/>
        <w:position w:val="0"/>
        <w:sz w:val="22"/>
        <w:szCs w:val="22"/>
        <w:lang w:val="en-US"/>
      </w:rPr>
    </w:lvl>
    <w:lvl w:ilvl="3">
      <w:start w:val="1"/>
      <w:numFmt w:val="bullet"/>
      <w:lvlText w:val="•"/>
      <w:lvlJc w:val="left"/>
      <w:pPr>
        <w:tabs>
          <w:tab w:val="num" w:pos="3057"/>
        </w:tabs>
        <w:ind w:left="3057" w:hanging="330"/>
      </w:pPr>
      <w:rPr>
        <w:rFonts w:ascii="Arial" w:eastAsia="Arial" w:hAnsi="Arial" w:cs="Arial"/>
        <w:position w:val="0"/>
        <w:sz w:val="22"/>
        <w:szCs w:val="22"/>
        <w:lang w:val="en-US"/>
      </w:rPr>
    </w:lvl>
    <w:lvl w:ilvl="4">
      <w:start w:val="1"/>
      <w:numFmt w:val="bullet"/>
      <w:lvlText w:val="o"/>
      <w:lvlJc w:val="left"/>
      <w:pPr>
        <w:tabs>
          <w:tab w:val="num" w:pos="3777"/>
        </w:tabs>
        <w:ind w:left="3777" w:hanging="330"/>
      </w:pPr>
      <w:rPr>
        <w:rFonts w:ascii="Arial" w:eastAsia="Arial" w:hAnsi="Arial" w:cs="Arial"/>
        <w:position w:val="0"/>
        <w:sz w:val="22"/>
        <w:szCs w:val="22"/>
        <w:lang w:val="en-US"/>
      </w:rPr>
    </w:lvl>
    <w:lvl w:ilvl="5">
      <w:start w:val="1"/>
      <w:numFmt w:val="bullet"/>
      <w:lvlText w:val="▪"/>
      <w:lvlJc w:val="left"/>
      <w:pPr>
        <w:tabs>
          <w:tab w:val="num" w:pos="4497"/>
        </w:tabs>
        <w:ind w:left="4497" w:hanging="330"/>
      </w:pPr>
      <w:rPr>
        <w:rFonts w:ascii="Arial" w:eastAsia="Arial" w:hAnsi="Arial" w:cs="Arial"/>
        <w:position w:val="0"/>
        <w:sz w:val="22"/>
        <w:szCs w:val="22"/>
        <w:lang w:val="en-US"/>
      </w:rPr>
    </w:lvl>
    <w:lvl w:ilvl="6">
      <w:start w:val="1"/>
      <w:numFmt w:val="bullet"/>
      <w:lvlText w:val="•"/>
      <w:lvlJc w:val="left"/>
      <w:pPr>
        <w:tabs>
          <w:tab w:val="num" w:pos="5217"/>
        </w:tabs>
        <w:ind w:left="5217" w:hanging="330"/>
      </w:pPr>
      <w:rPr>
        <w:rFonts w:ascii="Arial" w:eastAsia="Arial" w:hAnsi="Arial" w:cs="Arial"/>
        <w:position w:val="0"/>
        <w:sz w:val="22"/>
        <w:szCs w:val="22"/>
        <w:lang w:val="en-US"/>
      </w:rPr>
    </w:lvl>
    <w:lvl w:ilvl="7">
      <w:start w:val="1"/>
      <w:numFmt w:val="bullet"/>
      <w:lvlText w:val="o"/>
      <w:lvlJc w:val="left"/>
      <w:pPr>
        <w:tabs>
          <w:tab w:val="num" w:pos="5937"/>
        </w:tabs>
        <w:ind w:left="5937" w:hanging="330"/>
      </w:pPr>
      <w:rPr>
        <w:rFonts w:ascii="Arial" w:eastAsia="Arial" w:hAnsi="Arial" w:cs="Arial"/>
        <w:position w:val="0"/>
        <w:sz w:val="22"/>
        <w:szCs w:val="22"/>
        <w:lang w:val="en-US"/>
      </w:rPr>
    </w:lvl>
    <w:lvl w:ilvl="8">
      <w:start w:val="1"/>
      <w:numFmt w:val="bullet"/>
      <w:lvlText w:val="▪"/>
      <w:lvlJc w:val="left"/>
      <w:pPr>
        <w:tabs>
          <w:tab w:val="num" w:pos="6657"/>
        </w:tabs>
        <w:ind w:left="6657" w:hanging="330"/>
      </w:pPr>
      <w:rPr>
        <w:rFonts w:ascii="Arial" w:eastAsia="Arial" w:hAnsi="Arial" w:cs="Arial"/>
        <w:position w:val="0"/>
        <w:sz w:val="22"/>
        <w:szCs w:val="22"/>
        <w:lang w:val="en-US"/>
      </w:rPr>
    </w:lvl>
  </w:abstractNum>
  <w:abstractNum w:abstractNumId="13">
    <w:nsid w:val="408743AF"/>
    <w:multiLevelType w:val="multilevel"/>
    <w:tmpl w:val="AB4C190C"/>
    <w:styleLink w:val="List29"/>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14">
    <w:nsid w:val="42D82CC1"/>
    <w:multiLevelType w:val="multilevel"/>
    <w:tmpl w:val="347002CC"/>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5">
    <w:nsid w:val="497312D4"/>
    <w:multiLevelType w:val="multilevel"/>
    <w:tmpl w:val="F51CF0D8"/>
    <w:lvl w:ilvl="0">
      <w:start w:val="1"/>
      <w:numFmt w:val="decimal"/>
      <w:pStyle w:val="Heading4"/>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D517260"/>
    <w:multiLevelType w:val="multilevel"/>
    <w:tmpl w:val="430A63BA"/>
    <w:lvl w:ilvl="0">
      <w:numFmt w:val="bullet"/>
      <w:lvlText w:val="•"/>
      <w:lvlJc w:val="left"/>
      <w:pPr>
        <w:tabs>
          <w:tab w:val="num" w:pos="714"/>
        </w:tabs>
        <w:ind w:left="714" w:hanging="357"/>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7">
    <w:nsid w:val="518054EE"/>
    <w:multiLevelType w:val="hybridMultilevel"/>
    <w:tmpl w:val="0DA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A4E1C"/>
    <w:multiLevelType w:val="hybridMultilevel"/>
    <w:tmpl w:val="88E689AA"/>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nsid w:val="629C4AE5"/>
    <w:multiLevelType w:val="multilevel"/>
    <w:tmpl w:val="D4684B20"/>
    <w:styleLink w:val="List25"/>
    <w:lvl w:ilvl="0">
      <w:start w:val="1"/>
      <w:numFmt w:val="bullet"/>
      <w:lvlText w:val="•"/>
      <w:lvlJc w:val="left"/>
      <w:pPr>
        <w:tabs>
          <w:tab w:val="num" w:pos="897"/>
        </w:tabs>
        <w:ind w:left="897" w:hanging="330"/>
      </w:pPr>
      <w:rPr>
        <w:rFonts w:ascii="Cambria" w:eastAsia="Cambria" w:hAnsi="Cambria" w:cs="Cambria"/>
        <w:position w:val="0"/>
        <w:sz w:val="22"/>
        <w:szCs w:val="22"/>
        <w:rtl w:val="0"/>
        <w:lang w:val="en-US"/>
      </w:rPr>
    </w:lvl>
    <w:lvl w:ilvl="1">
      <w:numFmt w:val="bullet"/>
      <w:lvlText w:val="-"/>
      <w:lvlJc w:val="left"/>
      <w:pPr>
        <w:tabs>
          <w:tab w:val="num" w:pos="709"/>
        </w:tabs>
        <w:ind w:left="709" w:hanging="426"/>
      </w:pPr>
      <w:rPr>
        <w:rFonts w:ascii="Cambria" w:eastAsia="Cambria" w:hAnsi="Cambria" w:cs="Cambria"/>
        <w:position w:val="0"/>
        <w:sz w:val="24"/>
        <w:szCs w:val="24"/>
        <w:rtl w:val="0"/>
        <w:lang w:val="en-US"/>
      </w:rPr>
    </w:lvl>
    <w:lvl w:ilvl="2">
      <w:start w:val="1"/>
      <w:numFmt w:val="bullet"/>
      <w:lvlText w:val="▪"/>
      <w:lvlJc w:val="left"/>
      <w:pPr>
        <w:tabs>
          <w:tab w:val="num" w:pos="2337"/>
        </w:tabs>
        <w:ind w:left="2337" w:hanging="330"/>
      </w:pPr>
      <w:rPr>
        <w:rFonts w:ascii="Cambria" w:eastAsia="Cambria" w:hAnsi="Cambria" w:cs="Cambria"/>
        <w:position w:val="0"/>
        <w:sz w:val="22"/>
        <w:szCs w:val="22"/>
        <w:rtl w:val="0"/>
        <w:lang w:val="en-US"/>
      </w:rPr>
    </w:lvl>
    <w:lvl w:ilvl="3">
      <w:start w:val="1"/>
      <w:numFmt w:val="bullet"/>
      <w:lvlText w:val="•"/>
      <w:lvlJc w:val="left"/>
      <w:pPr>
        <w:tabs>
          <w:tab w:val="num" w:pos="3057"/>
        </w:tabs>
        <w:ind w:left="3057" w:hanging="330"/>
      </w:pPr>
      <w:rPr>
        <w:rFonts w:ascii="Cambria" w:eastAsia="Cambria" w:hAnsi="Cambria" w:cs="Cambria"/>
        <w:position w:val="0"/>
        <w:sz w:val="22"/>
        <w:szCs w:val="22"/>
        <w:rtl w:val="0"/>
        <w:lang w:val="en-US"/>
      </w:rPr>
    </w:lvl>
    <w:lvl w:ilvl="4">
      <w:start w:val="1"/>
      <w:numFmt w:val="bullet"/>
      <w:lvlText w:val="o"/>
      <w:lvlJc w:val="left"/>
      <w:pPr>
        <w:tabs>
          <w:tab w:val="num" w:pos="3777"/>
        </w:tabs>
        <w:ind w:left="3777" w:hanging="330"/>
      </w:pPr>
      <w:rPr>
        <w:rFonts w:ascii="Cambria" w:eastAsia="Cambria" w:hAnsi="Cambria" w:cs="Cambria"/>
        <w:position w:val="0"/>
        <w:sz w:val="22"/>
        <w:szCs w:val="22"/>
        <w:rtl w:val="0"/>
        <w:lang w:val="en-US"/>
      </w:rPr>
    </w:lvl>
    <w:lvl w:ilvl="5">
      <w:start w:val="1"/>
      <w:numFmt w:val="bullet"/>
      <w:lvlText w:val="▪"/>
      <w:lvlJc w:val="left"/>
      <w:pPr>
        <w:tabs>
          <w:tab w:val="num" w:pos="4497"/>
        </w:tabs>
        <w:ind w:left="4497" w:hanging="330"/>
      </w:pPr>
      <w:rPr>
        <w:rFonts w:ascii="Cambria" w:eastAsia="Cambria" w:hAnsi="Cambria" w:cs="Cambria"/>
        <w:position w:val="0"/>
        <w:sz w:val="22"/>
        <w:szCs w:val="22"/>
        <w:rtl w:val="0"/>
        <w:lang w:val="en-US"/>
      </w:rPr>
    </w:lvl>
    <w:lvl w:ilvl="6">
      <w:start w:val="1"/>
      <w:numFmt w:val="bullet"/>
      <w:lvlText w:val="•"/>
      <w:lvlJc w:val="left"/>
      <w:pPr>
        <w:tabs>
          <w:tab w:val="num" w:pos="5217"/>
        </w:tabs>
        <w:ind w:left="5217" w:hanging="330"/>
      </w:pPr>
      <w:rPr>
        <w:rFonts w:ascii="Cambria" w:eastAsia="Cambria" w:hAnsi="Cambria" w:cs="Cambria"/>
        <w:position w:val="0"/>
        <w:sz w:val="22"/>
        <w:szCs w:val="22"/>
        <w:rtl w:val="0"/>
        <w:lang w:val="en-US"/>
      </w:rPr>
    </w:lvl>
    <w:lvl w:ilvl="7">
      <w:start w:val="1"/>
      <w:numFmt w:val="bullet"/>
      <w:lvlText w:val="o"/>
      <w:lvlJc w:val="left"/>
      <w:pPr>
        <w:tabs>
          <w:tab w:val="num" w:pos="5937"/>
        </w:tabs>
        <w:ind w:left="5937" w:hanging="330"/>
      </w:pPr>
      <w:rPr>
        <w:rFonts w:ascii="Cambria" w:eastAsia="Cambria" w:hAnsi="Cambria" w:cs="Cambria"/>
        <w:position w:val="0"/>
        <w:sz w:val="22"/>
        <w:szCs w:val="22"/>
        <w:rtl w:val="0"/>
        <w:lang w:val="en-US"/>
      </w:rPr>
    </w:lvl>
    <w:lvl w:ilvl="8">
      <w:start w:val="1"/>
      <w:numFmt w:val="bullet"/>
      <w:lvlText w:val="▪"/>
      <w:lvlJc w:val="left"/>
      <w:pPr>
        <w:tabs>
          <w:tab w:val="num" w:pos="6657"/>
        </w:tabs>
        <w:ind w:left="6657" w:hanging="330"/>
      </w:pPr>
      <w:rPr>
        <w:rFonts w:ascii="Cambria" w:eastAsia="Cambria" w:hAnsi="Cambria" w:cs="Cambria"/>
        <w:position w:val="0"/>
        <w:sz w:val="22"/>
        <w:szCs w:val="22"/>
        <w:rtl w:val="0"/>
        <w:lang w:val="en-US"/>
      </w:rPr>
    </w:lvl>
  </w:abstractNum>
  <w:abstractNum w:abstractNumId="20">
    <w:nsid w:val="65C51593"/>
    <w:multiLevelType w:val="multilevel"/>
    <w:tmpl w:val="D9D6A1B0"/>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21">
    <w:nsid w:val="675F68A4"/>
    <w:multiLevelType w:val="hybridMultilevel"/>
    <w:tmpl w:val="6A92E90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nsid w:val="698B4FE0"/>
    <w:multiLevelType w:val="hybridMultilevel"/>
    <w:tmpl w:val="1084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7781E"/>
    <w:multiLevelType w:val="multilevel"/>
    <w:tmpl w:val="DBD4F680"/>
    <w:styleLink w:val="List6"/>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4">
    <w:nsid w:val="72310A75"/>
    <w:multiLevelType w:val="multilevel"/>
    <w:tmpl w:val="A85444A8"/>
    <w:lvl w:ilvl="0">
      <w:numFmt w:val="bullet"/>
      <w:lvlText w:val="•"/>
      <w:lvlJc w:val="left"/>
      <w:pPr>
        <w:tabs>
          <w:tab w:val="num" w:pos="714"/>
        </w:tabs>
        <w:ind w:left="714" w:hanging="357"/>
      </w:pPr>
      <w:rPr>
        <w:rFonts w:ascii="Cambria" w:eastAsia="Cambria" w:hAnsi="Cambria" w:cs="Cambria"/>
        <w:position w:val="0"/>
        <w:sz w:val="24"/>
        <w:szCs w:val="24"/>
        <w:rtl w:val="0"/>
        <w:lang w:val="en-US"/>
      </w:rPr>
    </w:lvl>
    <w:lvl w:ilvl="1">
      <w:start w:val="1"/>
      <w:numFmt w:val="bullet"/>
      <w:lvlText w:val="o"/>
      <w:lvlJc w:val="left"/>
      <w:pPr>
        <w:tabs>
          <w:tab w:val="num" w:pos="1410"/>
        </w:tabs>
        <w:ind w:left="1410" w:hanging="330"/>
      </w:pPr>
      <w:rPr>
        <w:rFonts w:ascii="Cambria" w:eastAsia="Cambria" w:hAnsi="Cambria" w:cs="Cambria"/>
        <w:position w:val="0"/>
        <w:sz w:val="22"/>
        <w:szCs w:val="22"/>
        <w:rtl w:val="0"/>
        <w:lang w:val="en-US"/>
      </w:rPr>
    </w:lvl>
    <w:lvl w:ilvl="2">
      <w:start w:val="1"/>
      <w:numFmt w:val="bullet"/>
      <w:lvlText w:val="▪"/>
      <w:lvlJc w:val="left"/>
      <w:pPr>
        <w:tabs>
          <w:tab w:val="num" w:pos="2130"/>
        </w:tabs>
        <w:ind w:left="2130" w:hanging="330"/>
      </w:pPr>
      <w:rPr>
        <w:rFonts w:ascii="Cambria" w:eastAsia="Cambria" w:hAnsi="Cambria" w:cs="Cambria"/>
        <w:position w:val="0"/>
        <w:sz w:val="22"/>
        <w:szCs w:val="22"/>
        <w:rtl w:val="0"/>
        <w:lang w:val="en-US"/>
      </w:rPr>
    </w:lvl>
    <w:lvl w:ilvl="3">
      <w:start w:val="1"/>
      <w:numFmt w:val="bullet"/>
      <w:lvlText w:val="•"/>
      <w:lvlJc w:val="left"/>
      <w:pPr>
        <w:tabs>
          <w:tab w:val="num" w:pos="2850"/>
        </w:tabs>
        <w:ind w:left="2850" w:hanging="330"/>
      </w:pPr>
      <w:rPr>
        <w:rFonts w:ascii="Cambria" w:eastAsia="Cambria" w:hAnsi="Cambria" w:cs="Cambria"/>
        <w:position w:val="0"/>
        <w:sz w:val="22"/>
        <w:szCs w:val="22"/>
        <w:rtl w:val="0"/>
        <w:lang w:val="en-US"/>
      </w:rPr>
    </w:lvl>
    <w:lvl w:ilvl="4">
      <w:start w:val="1"/>
      <w:numFmt w:val="bullet"/>
      <w:lvlText w:val="o"/>
      <w:lvlJc w:val="left"/>
      <w:pPr>
        <w:tabs>
          <w:tab w:val="num" w:pos="3570"/>
        </w:tabs>
        <w:ind w:left="3570" w:hanging="330"/>
      </w:pPr>
      <w:rPr>
        <w:rFonts w:ascii="Cambria" w:eastAsia="Cambria" w:hAnsi="Cambria" w:cs="Cambria"/>
        <w:position w:val="0"/>
        <w:sz w:val="22"/>
        <w:szCs w:val="22"/>
        <w:rtl w:val="0"/>
        <w:lang w:val="en-US"/>
      </w:rPr>
    </w:lvl>
    <w:lvl w:ilvl="5">
      <w:start w:val="1"/>
      <w:numFmt w:val="bullet"/>
      <w:lvlText w:val="▪"/>
      <w:lvlJc w:val="left"/>
      <w:pPr>
        <w:tabs>
          <w:tab w:val="num" w:pos="4290"/>
        </w:tabs>
        <w:ind w:left="4290" w:hanging="330"/>
      </w:pPr>
      <w:rPr>
        <w:rFonts w:ascii="Cambria" w:eastAsia="Cambria" w:hAnsi="Cambria" w:cs="Cambria"/>
        <w:position w:val="0"/>
        <w:sz w:val="22"/>
        <w:szCs w:val="22"/>
        <w:rtl w:val="0"/>
        <w:lang w:val="en-US"/>
      </w:rPr>
    </w:lvl>
    <w:lvl w:ilvl="6">
      <w:start w:val="1"/>
      <w:numFmt w:val="bullet"/>
      <w:lvlText w:val="•"/>
      <w:lvlJc w:val="left"/>
      <w:pPr>
        <w:tabs>
          <w:tab w:val="num" w:pos="5010"/>
        </w:tabs>
        <w:ind w:left="5010" w:hanging="330"/>
      </w:pPr>
      <w:rPr>
        <w:rFonts w:ascii="Cambria" w:eastAsia="Cambria" w:hAnsi="Cambria" w:cs="Cambria"/>
        <w:position w:val="0"/>
        <w:sz w:val="22"/>
        <w:szCs w:val="22"/>
        <w:rtl w:val="0"/>
        <w:lang w:val="en-US"/>
      </w:rPr>
    </w:lvl>
    <w:lvl w:ilvl="7">
      <w:start w:val="1"/>
      <w:numFmt w:val="bullet"/>
      <w:lvlText w:val="o"/>
      <w:lvlJc w:val="left"/>
      <w:pPr>
        <w:tabs>
          <w:tab w:val="num" w:pos="5730"/>
        </w:tabs>
        <w:ind w:left="5730" w:hanging="330"/>
      </w:pPr>
      <w:rPr>
        <w:rFonts w:ascii="Cambria" w:eastAsia="Cambria" w:hAnsi="Cambria" w:cs="Cambria"/>
        <w:position w:val="0"/>
        <w:sz w:val="22"/>
        <w:szCs w:val="22"/>
        <w:rtl w:val="0"/>
        <w:lang w:val="en-US"/>
      </w:rPr>
    </w:lvl>
    <w:lvl w:ilvl="8">
      <w:start w:val="1"/>
      <w:numFmt w:val="bullet"/>
      <w:lvlText w:val="▪"/>
      <w:lvlJc w:val="left"/>
      <w:pPr>
        <w:tabs>
          <w:tab w:val="num" w:pos="6450"/>
        </w:tabs>
        <w:ind w:left="6450" w:hanging="330"/>
      </w:pPr>
      <w:rPr>
        <w:rFonts w:ascii="Cambria" w:eastAsia="Cambria" w:hAnsi="Cambria" w:cs="Cambria"/>
        <w:position w:val="0"/>
        <w:sz w:val="22"/>
        <w:szCs w:val="22"/>
        <w:rtl w:val="0"/>
        <w:lang w:val="en-US"/>
      </w:rPr>
    </w:lvl>
  </w:abstractNum>
  <w:abstractNum w:abstractNumId="25">
    <w:nsid w:val="759C2ACD"/>
    <w:multiLevelType w:val="hybridMultilevel"/>
    <w:tmpl w:val="4BB2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C6AF8"/>
    <w:multiLevelType w:val="multilevel"/>
    <w:tmpl w:val="20468DE8"/>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5"/>
  </w:num>
  <w:num w:numId="3">
    <w:abstractNumId w:val="6"/>
  </w:num>
  <w:num w:numId="4">
    <w:abstractNumId w:val="1"/>
  </w:num>
  <w:num w:numId="5">
    <w:abstractNumId w:val="10"/>
  </w:num>
  <w:num w:numId="6">
    <w:abstractNumId w:val="22"/>
  </w:num>
  <w:num w:numId="7">
    <w:abstractNumId w:val="25"/>
  </w:num>
  <w:num w:numId="8">
    <w:abstractNumId w:val="2"/>
  </w:num>
  <w:num w:numId="9">
    <w:abstractNumId w:val="17"/>
  </w:num>
  <w:num w:numId="10">
    <w:abstractNumId w:val="19"/>
  </w:num>
  <w:num w:numId="11">
    <w:abstractNumId w:val="3"/>
  </w:num>
  <w:num w:numId="12">
    <w:abstractNumId w:val="12"/>
  </w:num>
  <w:num w:numId="13">
    <w:abstractNumId w:val="18"/>
  </w:num>
  <w:num w:numId="14">
    <w:abstractNumId w:val="21"/>
  </w:num>
  <w:num w:numId="15">
    <w:abstractNumId w:val="9"/>
  </w:num>
  <w:num w:numId="16">
    <w:abstractNumId w:val="4"/>
  </w:num>
  <w:num w:numId="17">
    <w:abstractNumId w:val="0"/>
  </w:num>
  <w:num w:numId="18">
    <w:abstractNumId w:val="14"/>
  </w:num>
  <w:num w:numId="19">
    <w:abstractNumId w:val="16"/>
  </w:num>
  <w:num w:numId="20">
    <w:abstractNumId w:val="11"/>
  </w:num>
  <w:num w:numId="21">
    <w:abstractNumId w:val="24"/>
  </w:num>
  <w:num w:numId="22">
    <w:abstractNumId w:val="7"/>
  </w:num>
  <w:num w:numId="23">
    <w:abstractNumId w:val="8"/>
  </w:num>
  <w:num w:numId="24">
    <w:abstractNumId w:val="20"/>
  </w:num>
  <w:num w:numId="25">
    <w:abstractNumId w:val="13"/>
  </w:num>
  <w:num w:numId="26">
    <w:abstractNumId w:val="23"/>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2EC5"/>
    <w:rsid w:val="000130B4"/>
    <w:rsid w:val="00014361"/>
    <w:rsid w:val="00015037"/>
    <w:rsid w:val="00023EB2"/>
    <w:rsid w:val="000474FB"/>
    <w:rsid w:val="00047A41"/>
    <w:rsid w:val="00052A34"/>
    <w:rsid w:val="00053A92"/>
    <w:rsid w:val="000557D0"/>
    <w:rsid w:val="0005605E"/>
    <w:rsid w:val="00057F36"/>
    <w:rsid w:val="00057FED"/>
    <w:rsid w:val="00066235"/>
    <w:rsid w:val="00072E06"/>
    <w:rsid w:val="000848A4"/>
    <w:rsid w:val="000855A1"/>
    <w:rsid w:val="000912B1"/>
    <w:rsid w:val="0009253D"/>
    <w:rsid w:val="000A1F30"/>
    <w:rsid w:val="000E6577"/>
    <w:rsid w:val="000E7A19"/>
    <w:rsid w:val="000F5279"/>
    <w:rsid w:val="00104A1B"/>
    <w:rsid w:val="001177DD"/>
    <w:rsid w:val="00120C28"/>
    <w:rsid w:val="00126F73"/>
    <w:rsid w:val="00130335"/>
    <w:rsid w:val="001308EB"/>
    <w:rsid w:val="00135780"/>
    <w:rsid w:val="001412D4"/>
    <w:rsid w:val="00144F64"/>
    <w:rsid w:val="00151567"/>
    <w:rsid w:val="00163E17"/>
    <w:rsid w:val="00166F9E"/>
    <w:rsid w:val="00180000"/>
    <w:rsid w:val="00185EAD"/>
    <w:rsid w:val="00187D5A"/>
    <w:rsid w:val="0019202D"/>
    <w:rsid w:val="001972D7"/>
    <w:rsid w:val="001A28F6"/>
    <w:rsid w:val="001A54E7"/>
    <w:rsid w:val="001A68E8"/>
    <w:rsid w:val="001A7D0E"/>
    <w:rsid w:val="001B16BE"/>
    <w:rsid w:val="001B2831"/>
    <w:rsid w:val="001C0493"/>
    <w:rsid w:val="001C28AD"/>
    <w:rsid w:val="001C2C23"/>
    <w:rsid w:val="001C5E60"/>
    <w:rsid w:val="001D7FCB"/>
    <w:rsid w:val="001E2B99"/>
    <w:rsid w:val="001E5FB4"/>
    <w:rsid w:val="001E68CB"/>
    <w:rsid w:val="001E69B6"/>
    <w:rsid w:val="001F4DBB"/>
    <w:rsid w:val="001F7C89"/>
    <w:rsid w:val="0020312D"/>
    <w:rsid w:val="0020495F"/>
    <w:rsid w:val="00206E33"/>
    <w:rsid w:val="002101B5"/>
    <w:rsid w:val="00210519"/>
    <w:rsid w:val="00210635"/>
    <w:rsid w:val="00226A04"/>
    <w:rsid w:val="00230CEF"/>
    <w:rsid w:val="00241420"/>
    <w:rsid w:val="00241B17"/>
    <w:rsid w:val="00241C81"/>
    <w:rsid w:val="00245F1F"/>
    <w:rsid w:val="00256392"/>
    <w:rsid w:val="00257A1C"/>
    <w:rsid w:val="00264BCF"/>
    <w:rsid w:val="00265917"/>
    <w:rsid w:val="00267D39"/>
    <w:rsid w:val="0027234C"/>
    <w:rsid w:val="00272E03"/>
    <w:rsid w:val="00281795"/>
    <w:rsid w:val="002850E3"/>
    <w:rsid w:val="00287E2F"/>
    <w:rsid w:val="002A0CD2"/>
    <w:rsid w:val="002A1948"/>
    <w:rsid w:val="002A2494"/>
    <w:rsid w:val="002C0877"/>
    <w:rsid w:val="002C2AE2"/>
    <w:rsid w:val="002D0DCE"/>
    <w:rsid w:val="002E2B10"/>
    <w:rsid w:val="002E3112"/>
    <w:rsid w:val="002F1502"/>
    <w:rsid w:val="002F169D"/>
    <w:rsid w:val="002F2069"/>
    <w:rsid w:val="002F6F92"/>
    <w:rsid w:val="002F7B23"/>
    <w:rsid w:val="003041AD"/>
    <w:rsid w:val="0031279F"/>
    <w:rsid w:val="00312D63"/>
    <w:rsid w:val="003160CE"/>
    <w:rsid w:val="00317903"/>
    <w:rsid w:val="00317C60"/>
    <w:rsid w:val="00327D05"/>
    <w:rsid w:val="00330DAA"/>
    <w:rsid w:val="00333517"/>
    <w:rsid w:val="00335EBD"/>
    <w:rsid w:val="00336D96"/>
    <w:rsid w:val="003410FA"/>
    <w:rsid w:val="00344F07"/>
    <w:rsid w:val="003469C8"/>
    <w:rsid w:val="00353EC8"/>
    <w:rsid w:val="00355EA4"/>
    <w:rsid w:val="00362B6D"/>
    <w:rsid w:val="003635BE"/>
    <w:rsid w:val="00366B5E"/>
    <w:rsid w:val="00371CF2"/>
    <w:rsid w:val="00372844"/>
    <w:rsid w:val="0037798D"/>
    <w:rsid w:val="0038560A"/>
    <w:rsid w:val="0039593E"/>
    <w:rsid w:val="003A5956"/>
    <w:rsid w:val="003B09EF"/>
    <w:rsid w:val="003B549F"/>
    <w:rsid w:val="003C31C9"/>
    <w:rsid w:val="003C48F1"/>
    <w:rsid w:val="003C4961"/>
    <w:rsid w:val="003C62E5"/>
    <w:rsid w:val="003C7C5D"/>
    <w:rsid w:val="003D0AD2"/>
    <w:rsid w:val="003D1960"/>
    <w:rsid w:val="003D3A25"/>
    <w:rsid w:val="003E4E7D"/>
    <w:rsid w:val="003E5D57"/>
    <w:rsid w:val="003F5913"/>
    <w:rsid w:val="004024F8"/>
    <w:rsid w:val="00403BA7"/>
    <w:rsid w:val="004055B4"/>
    <w:rsid w:val="0041159A"/>
    <w:rsid w:val="004210DF"/>
    <w:rsid w:val="00421B61"/>
    <w:rsid w:val="00421E72"/>
    <w:rsid w:val="004261F1"/>
    <w:rsid w:val="004305A8"/>
    <w:rsid w:val="00431E35"/>
    <w:rsid w:val="0043417A"/>
    <w:rsid w:val="00435F0E"/>
    <w:rsid w:val="00443CA0"/>
    <w:rsid w:val="00450E14"/>
    <w:rsid w:val="00460755"/>
    <w:rsid w:val="00462C65"/>
    <w:rsid w:val="00467B14"/>
    <w:rsid w:val="00467BBA"/>
    <w:rsid w:val="00472D28"/>
    <w:rsid w:val="00474EDA"/>
    <w:rsid w:val="0047536D"/>
    <w:rsid w:val="00476F94"/>
    <w:rsid w:val="00480DB0"/>
    <w:rsid w:val="004824FA"/>
    <w:rsid w:val="00484011"/>
    <w:rsid w:val="004841F1"/>
    <w:rsid w:val="00491F2A"/>
    <w:rsid w:val="004A1E3A"/>
    <w:rsid w:val="004B12A6"/>
    <w:rsid w:val="004B4EB5"/>
    <w:rsid w:val="004C2CBC"/>
    <w:rsid w:val="004C4AEA"/>
    <w:rsid w:val="004D3A18"/>
    <w:rsid w:val="004E003C"/>
    <w:rsid w:val="004E16EB"/>
    <w:rsid w:val="004E6665"/>
    <w:rsid w:val="004F0EE4"/>
    <w:rsid w:val="004F20CD"/>
    <w:rsid w:val="004F634E"/>
    <w:rsid w:val="004F67A8"/>
    <w:rsid w:val="00522A50"/>
    <w:rsid w:val="00527225"/>
    <w:rsid w:val="005316A5"/>
    <w:rsid w:val="00533E8E"/>
    <w:rsid w:val="0053557D"/>
    <w:rsid w:val="005463DE"/>
    <w:rsid w:val="00546DC2"/>
    <w:rsid w:val="005506FE"/>
    <w:rsid w:val="005542E8"/>
    <w:rsid w:val="00556630"/>
    <w:rsid w:val="0055686D"/>
    <w:rsid w:val="00573EB1"/>
    <w:rsid w:val="00574356"/>
    <w:rsid w:val="00574F06"/>
    <w:rsid w:val="005800EE"/>
    <w:rsid w:val="00581178"/>
    <w:rsid w:val="005869D6"/>
    <w:rsid w:val="00591E72"/>
    <w:rsid w:val="005A33F6"/>
    <w:rsid w:val="005A59E5"/>
    <w:rsid w:val="005A6BBF"/>
    <w:rsid w:val="005B60EA"/>
    <w:rsid w:val="005B7440"/>
    <w:rsid w:val="005C6E9D"/>
    <w:rsid w:val="005D3D26"/>
    <w:rsid w:val="005D6FF3"/>
    <w:rsid w:val="005E102E"/>
    <w:rsid w:val="005E2150"/>
    <w:rsid w:val="005E255D"/>
    <w:rsid w:val="005E2995"/>
    <w:rsid w:val="005E33AD"/>
    <w:rsid w:val="005F3FEF"/>
    <w:rsid w:val="005F68B1"/>
    <w:rsid w:val="005F6E0B"/>
    <w:rsid w:val="00601392"/>
    <w:rsid w:val="006075F6"/>
    <w:rsid w:val="00607F7C"/>
    <w:rsid w:val="006102DA"/>
    <w:rsid w:val="00613768"/>
    <w:rsid w:val="00621F93"/>
    <w:rsid w:val="006239DB"/>
    <w:rsid w:val="00627410"/>
    <w:rsid w:val="006315A3"/>
    <w:rsid w:val="00637CC1"/>
    <w:rsid w:val="006459B5"/>
    <w:rsid w:val="006466BA"/>
    <w:rsid w:val="00651EFB"/>
    <w:rsid w:val="006579A2"/>
    <w:rsid w:val="00664B45"/>
    <w:rsid w:val="00667C89"/>
    <w:rsid w:val="006711EE"/>
    <w:rsid w:val="00673F5A"/>
    <w:rsid w:val="006809BB"/>
    <w:rsid w:val="006809FD"/>
    <w:rsid w:val="006843A9"/>
    <w:rsid w:val="00684866"/>
    <w:rsid w:val="00691D1F"/>
    <w:rsid w:val="00697BAE"/>
    <w:rsid w:val="006A1BA6"/>
    <w:rsid w:val="006A2E4F"/>
    <w:rsid w:val="006A3D8C"/>
    <w:rsid w:val="006A53CC"/>
    <w:rsid w:val="006B4DDC"/>
    <w:rsid w:val="006B5E55"/>
    <w:rsid w:val="006D25A1"/>
    <w:rsid w:val="006D4953"/>
    <w:rsid w:val="006E14C6"/>
    <w:rsid w:val="006F2967"/>
    <w:rsid w:val="006F6856"/>
    <w:rsid w:val="00710EE5"/>
    <w:rsid w:val="0071190E"/>
    <w:rsid w:val="007145D0"/>
    <w:rsid w:val="00716F94"/>
    <w:rsid w:val="00717737"/>
    <w:rsid w:val="007228B3"/>
    <w:rsid w:val="00723449"/>
    <w:rsid w:val="00725006"/>
    <w:rsid w:val="00742758"/>
    <w:rsid w:val="00746CBC"/>
    <w:rsid w:val="00750822"/>
    <w:rsid w:val="0075546F"/>
    <w:rsid w:val="00760C9C"/>
    <w:rsid w:val="00760E12"/>
    <w:rsid w:val="00763CF3"/>
    <w:rsid w:val="00772293"/>
    <w:rsid w:val="00783A3C"/>
    <w:rsid w:val="00783C75"/>
    <w:rsid w:val="00784619"/>
    <w:rsid w:val="0078627B"/>
    <w:rsid w:val="007869FA"/>
    <w:rsid w:val="00794E32"/>
    <w:rsid w:val="007A2169"/>
    <w:rsid w:val="007B305A"/>
    <w:rsid w:val="007B4CF1"/>
    <w:rsid w:val="007E1CF8"/>
    <w:rsid w:val="007E2D3D"/>
    <w:rsid w:val="007E635C"/>
    <w:rsid w:val="007F1B9F"/>
    <w:rsid w:val="007F1C3C"/>
    <w:rsid w:val="007F31BF"/>
    <w:rsid w:val="007F411D"/>
    <w:rsid w:val="00800993"/>
    <w:rsid w:val="00815C7D"/>
    <w:rsid w:val="00817941"/>
    <w:rsid w:val="00817B4B"/>
    <w:rsid w:val="008261AB"/>
    <w:rsid w:val="00833B5E"/>
    <w:rsid w:val="00835CA7"/>
    <w:rsid w:val="008370D4"/>
    <w:rsid w:val="008414AD"/>
    <w:rsid w:val="008428D9"/>
    <w:rsid w:val="008442F4"/>
    <w:rsid w:val="0086186C"/>
    <w:rsid w:val="0086653A"/>
    <w:rsid w:val="00866FFC"/>
    <w:rsid w:val="00884DB9"/>
    <w:rsid w:val="00890801"/>
    <w:rsid w:val="0089676F"/>
    <w:rsid w:val="008B4637"/>
    <w:rsid w:val="008B63CF"/>
    <w:rsid w:val="008C0473"/>
    <w:rsid w:val="008C23EF"/>
    <w:rsid w:val="008C67D2"/>
    <w:rsid w:val="008C7D19"/>
    <w:rsid w:val="008E0683"/>
    <w:rsid w:val="008F6A7A"/>
    <w:rsid w:val="00902DD9"/>
    <w:rsid w:val="009069EB"/>
    <w:rsid w:val="00911486"/>
    <w:rsid w:val="009129CA"/>
    <w:rsid w:val="00914E8B"/>
    <w:rsid w:val="009206B6"/>
    <w:rsid w:val="009263C1"/>
    <w:rsid w:val="00931C02"/>
    <w:rsid w:val="00932065"/>
    <w:rsid w:val="009350EE"/>
    <w:rsid w:val="00935FFD"/>
    <w:rsid w:val="00941B4F"/>
    <w:rsid w:val="00946C21"/>
    <w:rsid w:val="00963CE3"/>
    <w:rsid w:val="00964F18"/>
    <w:rsid w:val="00974424"/>
    <w:rsid w:val="009759F3"/>
    <w:rsid w:val="00984B4F"/>
    <w:rsid w:val="00987F76"/>
    <w:rsid w:val="00991BF9"/>
    <w:rsid w:val="00991ED8"/>
    <w:rsid w:val="00993088"/>
    <w:rsid w:val="00993CF8"/>
    <w:rsid w:val="0099664F"/>
    <w:rsid w:val="00997D5D"/>
    <w:rsid w:val="009A0447"/>
    <w:rsid w:val="009B034F"/>
    <w:rsid w:val="009B4A51"/>
    <w:rsid w:val="009C28B1"/>
    <w:rsid w:val="009C61AD"/>
    <w:rsid w:val="009D373D"/>
    <w:rsid w:val="009D3780"/>
    <w:rsid w:val="009D77CD"/>
    <w:rsid w:val="009E1D05"/>
    <w:rsid w:val="009F7283"/>
    <w:rsid w:val="00A03F96"/>
    <w:rsid w:val="00A11B0C"/>
    <w:rsid w:val="00A305CE"/>
    <w:rsid w:val="00A33B35"/>
    <w:rsid w:val="00A36419"/>
    <w:rsid w:val="00A503D9"/>
    <w:rsid w:val="00A578C2"/>
    <w:rsid w:val="00A70EBC"/>
    <w:rsid w:val="00A72652"/>
    <w:rsid w:val="00A73F7B"/>
    <w:rsid w:val="00A75D1C"/>
    <w:rsid w:val="00A76A79"/>
    <w:rsid w:val="00A772F6"/>
    <w:rsid w:val="00A809AA"/>
    <w:rsid w:val="00A849B3"/>
    <w:rsid w:val="00A8510D"/>
    <w:rsid w:val="00A85566"/>
    <w:rsid w:val="00A86AF3"/>
    <w:rsid w:val="00A90BDC"/>
    <w:rsid w:val="00A95477"/>
    <w:rsid w:val="00A975A9"/>
    <w:rsid w:val="00AA3192"/>
    <w:rsid w:val="00AA56CB"/>
    <w:rsid w:val="00AB180F"/>
    <w:rsid w:val="00AB3608"/>
    <w:rsid w:val="00AC2C4D"/>
    <w:rsid w:val="00AC5C48"/>
    <w:rsid w:val="00AD5E53"/>
    <w:rsid w:val="00AF0CF4"/>
    <w:rsid w:val="00AF2252"/>
    <w:rsid w:val="00AF30AB"/>
    <w:rsid w:val="00B1129F"/>
    <w:rsid w:val="00B11D61"/>
    <w:rsid w:val="00B12F51"/>
    <w:rsid w:val="00B200B8"/>
    <w:rsid w:val="00B22AD1"/>
    <w:rsid w:val="00B2751E"/>
    <w:rsid w:val="00B27C76"/>
    <w:rsid w:val="00B30DE6"/>
    <w:rsid w:val="00B3650C"/>
    <w:rsid w:val="00B50A2B"/>
    <w:rsid w:val="00B64BFA"/>
    <w:rsid w:val="00B65C38"/>
    <w:rsid w:val="00B77E1A"/>
    <w:rsid w:val="00B8216F"/>
    <w:rsid w:val="00B853F1"/>
    <w:rsid w:val="00B85DE4"/>
    <w:rsid w:val="00B91A31"/>
    <w:rsid w:val="00BA1F1A"/>
    <w:rsid w:val="00BA2A1C"/>
    <w:rsid w:val="00BA3AB6"/>
    <w:rsid w:val="00BA52A6"/>
    <w:rsid w:val="00BA6DB4"/>
    <w:rsid w:val="00BC3F3C"/>
    <w:rsid w:val="00BC5BB2"/>
    <w:rsid w:val="00BC6896"/>
    <w:rsid w:val="00BD219A"/>
    <w:rsid w:val="00BD2FC1"/>
    <w:rsid w:val="00BD47AB"/>
    <w:rsid w:val="00BF3F54"/>
    <w:rsid w:val="00BF511E"/>
    <w:rsid w:val="00C00697"/>
    <w:rsid w:val="00C0376C"/>
    <w:rsid w:val="00C03F43"/>
    <w:rsid w:val="00C06D77"/>
    <w:rsid w:val="00C06DAA"/>
    <w:rsid w:val="00C07ADA"/>
    <w:rsid w:val="00C13E21"/>
    <w:rsid w:val="00C14BA6"/>
    <w:rsid w:val="00C244A1"/>
    <w:rsid w:val="00C347E7"/>
    <w:rsid w:val="00C3485C"/>
    <w:rsid w:val="00C420D4"/>
    <w:rsid w:val="00C45417"/>
    <w:rsid w:val="00C56DA3"/>
    <w:rsid w:val="00C73033"/>
    <w:rsid w:val="00C73487"/>
    <w:rsid w:val="00C84BCA"/>
    <w:rsid w:val="00C84DC3"/>
    <w:rsid w:val="00C8574B"/>
    <w:rsid w:val="00C91663"/>
    <w:rsid w:val="00C93822"/>
    <w:rsid w:val="00C97F1C"/>
    <w:rsid w:val="00CA2004"/>
    <w:rsid w:val="00CB334D"/>
    <w:rsid w:val="00CB56D5"/>
    <w:rsid w:val="00CB5D52"/>
    <w:rsid w:val="00CD0771"/>
    <w:rsid w:val="00CD118F"/>
    <w:rsid w:val="00CD1EA8"/>
    <w:rsid w:val="00CF0CE8"/>
    <w:rsid w:val="00CF5ABD"/>
    <w:rsid w:val="00CF63CE"/>
    <w:rsid w:val="00D0556B"/>
    <w:rsid w:val="00D056CA"/>
    <w:rsid w:val="00D067C1"/>
    <w:rsid w:val="00D13B13"/>
    <w:rsid w:val="00D16E78"/>
    <w:rsid w:val="00D201D3"/>
    <w:rsid w:val="00D22B27"/>
    <w:rsid w:val="00D26A64"/>
    <w:rsid w:val="00D27D04"/>
    <w:rsid w:val="00D328FA"/>
    <w:rsid w:val="00D34204"/>
    <w:rsid w:val="00D37DD9"/>
    <w:rsid w:val="00D411C5"/>
    <w:rsid w:val="00D4221A"/>
    <w:rsid w:val="00D52B9A"/>
    <w:rsid w:val="00D5367E"/>
    <w:rsid w:val="00D722DB"/>
    <w:rsid w:val="00D7285C"/>
    <w:rsid w:val="00D7598A"/>
    <w:rsid w:val="00D861ED"/>
    <w:rsid w:val="00D873E0"/>
    <w:rsid w:val="00D94F8B"/>
    <w:rsid w:val="00DA0791"/>
    <w:rsid w:val="00DA2159"/>
    <w:rsid w:val="00DA4EA9"/>
    <w:rsid w:val="00DA5988"/>
    <w:rsid w:val="00DB68AE"/>
    <w:rsid w:val="00DC317C"/>
    <w:rsid w:val="00DC4FF2"/>
    <w:rsid w:val="00DC79CC"/>
    <w:rsid w:val="00DD1EDC"/>
    <w:rsid w:val="00DD3FCD"/>
    <w:rsid w:val="00E01DAB"/>
    <w:rsid w:val="00E10D46"/>
    <w:rsid w:val="00E134F4"/>
    <w:rsid w:val="00E23568"/>
    <w:rsid w:val="00E245B5"/>
    <w:rsid w:val="00E24C20"/>
    <w:rsid w:val="00E27997"/>
    <w:rsid w:val="00E33E1B"/>
    <w:rsid w:val="00E34D3E"/>
    <w:rsid w:val="00E47353"/>
    <w:rsid w:val="00E62FC7"/>
    <w:rsid w:val="00E64150"/>
    <w:rsid w:val="00E76909"/>
    <w:rsid w:val="00E81C5E"/>
    <w:rsid w:val="00E83B3C"/>
    <w:rsid w:val="00E8736B"/>
    <w:rsid w:val="00E90275"/>
    <w:rsid w:val="00E925D4"/>
    <w:rsid w:val="00E97226"/>
    <w:rsid w:val="00EB5797"/>
    <w:rsid w:val="00EB63B3"/>
    <w:rsid w:val="00EC0D2C"/>
    <w:rsid w:val="00EC113A"/>
    <w:rsid w:val="00ED2716"/>
    <w:rsid w:val="00ED6878"/>
    <w:rsid w:val="00EE7C52"/>
    <w:rsid w:val="00EF0EC8"/>
    <w:rsid w:val="00EF33CD"/>
    <w:rsid w:val="00F16490"/>
    <w:rsid w:val="00F2267A"/>
    <w:rsid w:val="00F300CB"/>
    <w:rsid w:val="00F42C3A"/>
    <w:rsid w:val="00F43F4D"/>
    <w:rsid w:val="00F52BCC"/>
    <w:rsid w:val="00F5313F"/>
    <w:rsid w:val="00F57581"/>
    <w:rsid w:val="00F605F1"/>
    <w:rsid w:val="00F70CF1"/>
    <w:rsid w:val="00F7249C"/>
    <w:rsid w:val="00F725B5"/>
    <w:rsid w:val="00F81A48"/>
    <w:rsid w:val="00F82C19"/>
    <w:rsid w:val="00F92AE5"/>
    <w:rsid w:val="00F94BC6"/>
    <w:rsid w:val="00FC45A8"/>
    <w:rsid w:val="00FC5B1F"/>
    <w:rsid w:val="00FD17C9"/>
    <w:rsid w:val="00FD1EF0"/>
    <w:rsid w:val="00FD2A5B"/>
    <w:rsid w:val="00FD43B9"/>
    <w:rsid w:val="00FE0E1C"/>
    <w:rsid w:val="00FE5635"/>
    <w:rsid w:val="00FE6A5C"/>
    <w:rsid w:val="00FF02B5"/>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BF0D"/>
  <w15:docId w15:val="{AA3AD857-C4C2-476C-A5C4-0292F726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2"/>
      </w:numPr>
      <w:spacing w:after="120"/>
      <w:outlineLvl w:val="3"/>
    </w:pPr>
    <w:rPr>
      <w:b/>
      <w:bCs/>
    </w:rPr>
  </w:style>
  <w:style w:type="paragraph" w:styleId="Heading5">
    <w:name w:val="heading 5"/>
    <w:basedOn w:val="Normal"/>
    <w:next w:val="Normal"/>
    <w:link w:val="Heading5Char"/>
    <w:uiPriority w:val="9"/>
    <w:unhideWhenUsed/>
    <w:qFormat/>
    <w:rsid w:val="00E64150"/>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E64150"/>
    <w:pPr>
      <w:keepNext/>
      <w:keepLines/>
      <w:spacing w:before="20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Heading5Char">
    <w:name w:val="Heading 5 Char"/>
    <w:basedOn w:val="DefaultParagraphFont"/>
    <w:link w:val="Heading5"/>
    <w:uiPriority w:val="9"/>
    <w:rsid w:val="00E6415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64150"/>
    <w:rPr>
      <w:rFonts w:asciiTheme="majorHAnsi" w:eastAsiaTheme="majorEastAsia" w:hAnsiTheme="majorHAnsi" w:cstheme="majorBidi"/>
      <w:i/>
      <w:iCs/>
      <w:color w:val="243F60" w:themeColor="accent1" w:themeShade="7F"/>
    </w:rPr>
  </w:style>
  <w:style w:type="paragraph" w:customStyle="1" w:styleId="Body">
    <w:name w:val="Body"/>
    <w:rsid w:val="00BA1F1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GB" w:eastAsia="zh-CN"/>
    </w:rPr>
  </w:style>
  <w:style w:type="paragraph" w:customStyle="1" w:styleId="Intextformat">
    <w:name w:val="In text format"/>
    <w:link w:val="IntextformatChar"/>
    <w:qFormat/>
    <w:rsid w:val="00F82C19"/>
    <w:pPr>
      <w:widowControl w:val="0"/>
      <w:pBdr>
        <w:top w:val="nil"/>
        <w:left w:val="nil"/>
        <w:bottom w:val="nil"/>
        <w:right w:val="nil"/>
        <w:between w:val="nil"/>
        <w:bar w:val="nil"/>
      </w:pBdr>
      <w:spacing w:before="120" w:after="240"/>
    </w:pPr>
    <w:rPr>
      <w:rFonts w:ascii="Arial" w:eastAsia="Arial Unicode MS" w:hAnsi="Arial Unicode MS" w:cs="Arial Unicode MS"/>
      <w:color w:val="000000"/>
      <w:u w:color="000000"/>
      <w:bdr w:val="nil"/>
      <w:lang w:eastAsia="zh-CN"/>
    </w:rPr>
  </w:style>
  <w:style w:type="character" w:customStyle="1" w:styleId="IntextformatChar">
    <w:name w:val="In text format Char"/>
    <w:basedOn w:val="DefaultParagraphFont"/>
    <w:link w:val="Intextformat"/>
    <w:rsid w:val="00F82C19"/>
    <w:rPr>
      <w:rFonts w:ascii="Arial" w:eastAsia="Arial Unicode MS" w:hAnsi="Arial Unicode MS" w:cs="Arial Unicode MS"/>
      <w:color w:val="000000"/>
      <w:u w:color="000000"/>
      <w:bdr w:val="nil"/>
      <w:lang w:eastAsia="zh-CN"/>
    </w:rPr>
  </w:style>
  <w:style w:type="numbering" w:customStyle="1" w:styleId="List19">
    <w:name w:val="List 19"/>
    <w:basedOn w:val="NoList"/>
    <w:rsid w:val="00B77E1A"/>
    <w:pPr>
      <w:numPr>
        <w:numId w:val="5"/>
      </w:numPr>
    </w:pPr>
  </w:style>
  <w:style w:type="character" w:customStyle="1" w:styleId="ListParagraphChar">
    <w:name w:val="List Paragraph Char"/>
    <w:link w:val="ListParagraph"/>
    <w:uiPriority w:val="34"/>
    <w:rsid w:val="00A73F7B"/>
    <w:rPr>
      <w:rFonts w:asciiTheme="majorHAnsi" w:hAnsiTheme="majorHAnsi"/>
    </w:rPr>
  </w:style>
  <w:style w:type="numbering" w:customStyle="1" w:styleId="List25">
    <w:name w:val="List 25"/>
    <w:basedOn w:val="NoList"/>
    <w:rsid w:val="00A73F7B"/>
    <w:pPr>
      <w:numPr>
        <w:numId w:val="10"/>
      </w:numPr>
    </w:pPr>
  </w:style>
  <w:style w:type="numbering" w:customStyle="1" w:styleId="List26">
    <w:name w:val="List 26"/>
    <w:basedOn w:val="NoList"/>
    <w:rsid w:val="00A73F7B"/>
    <w:pPr>
      <w:numPr>
        <w:numId w:val="11"/>
      </w:numPr>
    </w:pPr>
  </w:style>
  <w:style w:type="numbering" w:customStyle="1" w:styleId="List27">
    <w:name w:val="List 27"/>
    <w:basedOn w:val="NoList"/>
    <w:rsid w:val="00A73F7B"/>
    <w:pPr>
      <w:numPr>
        <w:numId w:val="12"/>
      </w:numPr>
    </w:pPr>
  </w:style>
  <w:style w:type="numbering" w:customStyle="1" w:styleId="List29">
    <w:name w:val="List 29"/>
    <w:basedOn w:val="NoList"/>
    <w:rsid w:val="00FF02B5"/>
    <w:pPr>
      <w:numPr>
        <w:numId w:val="25"/>
      </w:numPr>
    </w:pPr>
  </w:style>
  <w:style w:type="numbering" w:customStyle="1" w:styleId="List6">
    <w:name w:val="List 6"/>
    <w:basedOn w:val="NoList"/>
    <w:rsid w:val="004C2CB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9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knust@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df72f382f9da8191d97c5ca722b9f8d">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a17bb7d3c104256e1cee32a6295b8c54"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d93aaffc-342a-4b23-8729-ced69610b0d9">
      <Url>https://esp.cdc.gov/sites/ostlts/pip/osc/Pages/Submission-Guidelines.aspx</Url>
      <Description>http://esp.cdc.gov/sites/ostlts/pip/OSC/Pages/Submission-Guidelines.aspx</Description>
    </Link>
    <_dlc_DocId xmlns="b5c0ca00-073d-4463-9985-b654f14791fe">OSTLTSDOC-716-15</_dlc_DocId>
    <_dlc_DocIdUrl xmlns="b5c0ca00-073d-4463-9985-b654f14791fe">
      <Url>https://esp.cdc.gov/sites/ostlts/pip/osc/_layouts/15/DocIdRedir.aspx?ID=OSTLTSDOC-716-15</Url>
      <Description>OSTLTSDOC-716-15</Description>
    </_dlc_DocIdUrl>
    <_Status xmlns="http://schemas.microsoft.com/sharepoint/v3/fields">Not Started</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2ED34-5FF8-4232-80B9-5EDB14027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6E839-BE5A-4752-9E3D-DB6696E6A21C}">
  <ds:schemaRefs>
    <ds:schemaRef ds:uri="http://schemas.microsoft.com/sharepoint/events"/>
  </ds:schemaRefs>
</ds:datastoreItem>
</file>

<file path=customXml/itemProps3.xml><?xml version="1.0" encoding="utf-8"?>
<ds:datastoreItem xmlns:ds="http://schemas.openxmlformats.org/officeDocument/2006/customXml" ds:itemID="{59DC181F-EE21-4245-96AC-97115DEAECAB}">
  <ds:schemaRefs>
    <ds:schemaRef ds:uri="http://schemas.microsoft.com/sharepoint/v3/contenttype/forms"/>
  </ds:schemaRefs>
</ds:datastoreItem>
</file>

<file path=customXml/itemProps4.xml><?xml version="1.0" encoding="utf-8"?>
<ds:datastoreItem xmlns:ds="http://schemas.openxmlformats.org/officeDocument/2006/customXml" ds:itemID="{A1C14040-FFF1-44FF-A4E3-468C686A5BA5}">
  <ds:schemaRefs>
    <ds:schemaRef ds:uri="http://schemas.microsoft.com/office/2006/metadata/properties"/>
    <ds:schemaRef ds:uri="http://schemas.microsoft.com/office/infopath/2007/PartnerControls"/>
    <ds:schemaRef ds:uri="d93aaffc-342a-4b23-8729-ced69610b0d9"/>
    <ds:schemaRef ds:uri="b5c0ca00-073d-4463-9985-b654f14791fe"/>
    <ds:schemaRef ds:uri="http://schemas.microsoft.com/sharepoint/v3/fields"/>
  </ds:schemaRefs>
</ds:datastoreItem>
</file>

<file path=customXml/itemProps5.xml><?xml version="1.0" encoding="utf-8"?>
<ds:datastoreItem xmlns:ds="http://schemas.openxmlformats.org/officeDocument/2006/customXml" ds:itemID="{32D989F2-9FF7-4555-9855-FFEC56FC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O2C2-Supporting-Statement-B-Template-CDCID-NICKNAME-SSB</vt:lpstr>
    </vt:vector>
  </TitlesOfParts>
  <Company>CDC</Company>
  <LinksUpToDate>false</LinksUpToDate>
  <CharactersWithSpaces>23530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O2C2-Supporting-Statement-B-Template-CDCID-NICKNAME-SSB</dc:title>
  <dc:creator>gel2</dc:creator>
  <cp:lastModifiedBy>Davis, Stephanie I. (CDC/ONDIEH/NCEH)</cp:lastModifiedBy>
  <cp:revision>29</cp:revision>
  <cp:lastPrinted>2011-06-07T15:53:00Z</cp:lastPrinted>
  <dcterms:created xsi:type="dcterms:W3CDTF">2015-05-14T17:11:00Z</dcterms:created>
  <dcterms:modified xsi:type="dcterms:W3CDTF">2015-05-18T18:39:00Z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vt:r8>
  </property>
  <property fmtid="{D5CDD505-2E9C-101B-9397-08002B2CF9AE}" pid="3" name="_dlc_DocIdItemGuid">
    <vt:lpwstr>835c1411-375c-43ca-8ed5-87ab8d2a5a08</vt:lpwstr>
  </property>
  <property fmtid="{D5CDD505-2E9C-101B-9397-08002B2CF9AE}" pid="4" name="ContentTypeId">
    <vt:lpwstr>0x0101005C2122E673479C4AB9B5735873DB5AE3</vt:lpwstr>
  </property>
</Properties>
</file>