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5A9DBA9D" w14:textId="79E4131B" w:rsidR="00BA1A0C" w:rsidRPr="000F7D85" w:rsidRDefault="009B3794" w:rsidP="00A71F21">
      <w:pPr>
        <w:tabs>
          <w:tab w:val="center" w:pos="4680"/>
        </w:tabs>
        <w:spacing w:after="120"/>
        <w:jc w:val="center"/>
        <w:rPr>
          <w:rFonts w:ascii="Arial" w:hAnsi="Arial" w:cs="Arial"/>
          <w:b/>
          <w:bCs/>
          <w:sz w:val="22"/>
          <w:szCs w:val="22"/>
        </w:rPr>
      </w:pPr>
      <w:r w:rsidRPr="000F7D85">
        <w:rPr>
          <w:rFonts w:ascii="Arial" w:hAnsi="Arial" w:cs="Arial"/>
          <w:b/>
          <w:bCs/>
          <w:sz w:val="22"/>
          <w:szCs w:val="22"/>
        </w:rPr>
        <w:t xml:space="preserve">Supporting Statement </w:t>
      </w:r>
      <w:r w:rsidR="00BA1A0C" w:rsidRPr="000F7D85">
        <w:rPr>
          <w:rFonts w:ascii="Arial" w:hAnsi="Arial" w:cs="Arial"/>
          <w:b/>
          <w:bCs/>
          <w:sz w:val="22"/>
          <w:szCs w:val="22"/>
        </w:rPr>
        <w:t>A</w:t>
      </w:r>
    </w:p>
    <w:p w14:paraId="700D0AEC" w14:textId="77777777" w:rsidR="009B3794" w:rsidRPr="000F7D85" w:rsidRDefault="00022BBF" w:rsidP="00A71F21">
      <w:pPr>
        <w:tabs>
          <w:tab w:val="center" w:pos="4680"/>
        </w:tabs>
        <w:spacing w:after="120"/>
        <w:jc w:val="center"/>
        <w:rPr>
          <w:rFonts w:ascii="Arial" w:hAnsi="Arial" w:cs="Arial"/>
          <w:b/>
          <w:bCs/>
          <w:sz w:val="22"/>
          <w:szCs w:val="22"/>
        </w:rPr>
      </w:pPr>
      <w:r w:rsidRPr="000F7D85">
        <w:rPr>
          <w:rFonts w:ascii="Arial" w:hAnsi="Arial" w:cs="Arial"/>
          <w:b/>
          <w:bCs/>
          <w:sz w:val="22"/>
          <w:szCs w:val="22"/>
        </w:rPr>
        <w:t>Partnerships for Care (P4C) Progress Reports</w:t>
      </w:r>
    </w:p>
    <w:p w14:paraId="3F690389" w14:textId="77777777" w:rsidR="00BA1A0C" w:rsidRPr="000F7D85" w:rsidRDefault="00BA1A0C" w:rsidP="00A71F21">
      <w:pPr>
        <w:tabs>
          <w:tab w:val="center" w:pos="4680"/>
        </w:tabs>
        <w:spacing w:after="120"/>
        <w:jc w:val="center"/>
        <w:rPr>
          <w:rFonts w:ascii="Arial" w:hAnsi="Arial" w:cs="Arial"/>
          <w:b/>
          <w:bCs/>
          <w:sz w:val="22"/>
          <w:szCs w:val="22"/>
        </w:rPr>
      </w:pPr>
      <w:r w:rsidRPr="000F7D85">
        <w:rPr>
          <w:rFonts w:ascii="Arial" w:hAnsi="Arial" w:cs="Arial"/>
          <w:b/>
          <w:bCs/>
          <w:sz w:val="22"/>
          <w:szCs w:val="22"/>
        </w:rPr>
        <w:t>OMB Control No. 09</w:t>
      </w:r>
      <w:r w:rsidR="00E34A1F" w:rsidRPr="000F7D85">
        <w:rPr>
          <w:rFonts w:ascii="Arial" w:hAnsi="Arial" w:cs="Arial"/>
          <w:b/>
          <w:bCs/>
          <w:sz w:val="22"/>
          <w:szCs w:val="22"/>
        </w:rPr>
        <w:t>15</w:t>
      </w:r>
      <w:r w:rsidRPr="000F7D85">
        <w:rPr>
          <w:rFonts w:ascii="Arial" w:hAnsi="Arial" w:cs="Arial"/>
          <w:b/>
          <w:bCs/>
          <w:sz w:val="22"/>
          <w:szCs w:val="22"/>
        </w:rPr>
        <w:t>-XXXX</w:t>
      </w:r>
    </w:p>
    <w:p w14:paraId="3AB965BA" w14:textId="77777777" w:rsidR="009B3794" w:rsidRPr="000F7D85" w:rsidRDefault="009B3794" w:rsidP="00A71F21">
      <w:pPr>
        <w:spacing w:after="120"/>
        <w:rPr>
          <w:rFonts w:ascii="Arial" w:hAnsi="Arial" w:cs="Arial"/>
          <w:b/>
          <w:bCs/>
          <w:sz w:val="22"/>
          <w:szCs w:val="22"/>
        </w:rPr>
      </w:pPr>
      <w:r w:rsidRPr="000F7D85">
        <w:rPr>
          <w:rFonts w:ascii="Arial" w:hAnsi="Arial" w:cs="Arial"/>
          <w:b/>
          <w:bCs/>
          <w:sz w:val="22"/>
          <w:szCs w:val="22"/>
        </w:rPr>
        <w:t>A.</w:t>
      </w:r>
      <w:r w:rsidRPr="000F7D85">
        <w:rPr>
          <w:rFonts w:ascii="Arial" w:hAnsi="Arial" w:cs="Arial"/>
          <w:b/>
          <w:bCs/>
          <w:sz w:val="22"/>
          <w:szCs w:val="22"/>
        </w:rPr>
        <w:tab/>
        <w:t>Justification</w:t>
      </w:r>
    </w:p>
    <w:p w14:paraId="75806AEE" w14:textId="77777777" w:rsidR="009B3794" w:rsidRPr="000F7D85" w:rsidRDefault="009B3794" w:rsidP="00A71F21">
      <w:pPr>
        <w:numPr>
          <w:ilvl w:val="0"/>
          <w:numId w:val="1"/>
        </w:numPr>
        <w:tabs>
          <w:tab w:val="num" w:pos="360"/>
        </w:tabs>
        <w:spacing w:after="120"/>
        <w:ind w:left="360"/>
        <w:rPr>
          <w:rFonts w:ascii="Arial" w:hAnsi="Arial" w:cs="Arial"/>
          <w:b/>
          <w:sz w:val="22"/>
          <w:szCs w:val="22"/>
        </w:rPr>
      </w:pPr>
      <w:r w:rsidRPr="000F7D85">
        <w:rPr>
          <w:rFonts w:ascii="Arial" w:hAnsi="Arial" w:cs="Arial"/>
          <w:b/>
          <w:sz w:val="22"/>
          <w:szCs w:val="22"/>
          <w:u w:val="single"/>
        </w:rPr>
        <w:t>Circumstances Making the Collection of Information Necessary</w:t>
      </w:r>
    </w:p>
    <w:p w14:paraId="5A932EE9" w14:textId="77777777" w:rsidR="00030F4E" w:rsidRPr="000F7D85" w:rsidRDefault="00DF4E9B" w:rsidP="00A71F21">
      <w:pPr>
        <w:spacing w:after="120"/>
        <w:rPr>
          <w:rFonts w:ascii="Arial" w:hAnsi="Arial" w:cs="Arial"/>
          <w:sz w:val="22"/>
          <w:szCs w:val="22"/>
        </w:rPr>
      </w:pPr>
      <w:r w:rsidRPr="000F7D85">
        <w:rPr>
          <w:rFonts w:ascii="Arial" w:hAnsi="Arial" w:cs="Arial"/>
          <w:sz w:val="22"/>
          <w:szCs w:val="22"/>
        </w:rPr>
        <w:t xml:space="preserve">This is a </w:t>
      </w:r>
      <w:r w:rsidR="009D7D01" w:rsidRPr="000F7D85">
        <w:rPr>
          <w:rFonts w:ascii="Arial" w:hAnsi="Arial" w:cs="Arial"/>
          <w:sz w:val="22"/>
          <w:szCs w:val="22"/>
        </w:rPr>
        <w:t xml:space="preserve">new </w:t>
      </w:r>
      <w:r w:rsidR="00F76621" w:rsidRPr="000F7D85">
        <w:rPr>
          <w:rFonts w:ascii="Arial" w:hAnsi="Arial" w:cs="Arial"/>
          <w:sz w:val="22"/>
          <w:szCs w:val="22"/>
        </w:rPr>
        <w:t>request for collection of</w:t>
      </w:r>
      <w:r w:rsidR="00990BF8" w:rsidRPr="000F7D85">
        <w:rPr>
          <w:rFonts w:ascii="Arial" w:hAnsi="Arial" w:cs="Arial"/>
          <w:sz w:val="22"/>
          <w:szCs w:val="22"/>
        </w:rPr>
        <w:t xml:space="preserve"> </w:t>
      </w:r>
      <w:r w:rsidR="00F41D2C">
        <w:rPr>
          <w:rFonts w:ascii="Arial" w:hAnsi="Arial" w:cs="Arial"/>
          <w:sz w:val="22"/>
          <w:szCs w:val="22"/>
        </w:rPr>
        <w:t xml:space="preserve">bi-annual </w:t>
      </w:r>
      <w:r w:rsidRPr="000F7D85">
        <w:rPr>
          <w:rFonts w:ascii="Arial" w:hAnsi="Arial" w:cs="Arial"/>
          <w:sz w:val="22"/>
          <w:szCs w:val="22"/>
        </w:rPr>
        <w:t xml:space="preserve">progress reports from </w:t>
      </w:r>
      <w:r w:rsidR="00990BF8" w:rsidRPr="000F7D85">
        <w:rPr>
          <w:rFonts w:ascii="Arial" w:hAnsi="Arial" w:cs="Arial"/>
          <w:sz w:val="22"/>
          <w:szCs w:val="22"/>
        </w:rPr>
        <w:t xml:space="preserve">22 </w:t>
      </w:r>
      <w:r w:rsidRPr="000F7D85">
        <w:rPr>
          <w:rFonts w:ascii="Arial" w:hAnsi="Arial" w:cs="Arial"/>
          <w:sz w:val="22"/>
          <w:szCs w:val="22"/>
        </w:rPr>
        <w:t xml:space="preserve">health centers funded under Section 330 of the Public Health Service (PHS) Act and receiving supplemental funding under a new project titled, </w:t>
      </w:r>
      <w:r w:rsidR="00D876BC" w:rsidRPr="000F7D85">
        <w:rPr>
          <w:rFonts w:ascii="Arial" w:hAnsi="Arial" w:cs="Arial"/>
          <w:sz w:val="22"/>
          <w:szCs w:val="22"/>
        </w:rPr>
        <w:t>“</w:t>
      </w:r>
      <w:r w:rsidR="00022BBF" w:rsidRPr="000F7D85">
        <w:rPr>
          <w:rFonts w:ascii="Arial" w:hAnsi="Arial" w:cs="Arial"/>
          <w:sz w:val="22"/>
          <w:szCs w:val="22"/>
        </w:rPr>
        <w:t>Partnerships for Care</w:t>
      </w:r>
      <w:r w:rsidR="009C2E58" w:rsidRPr="000F7D85">
        <w:rPr>
          <w:rFonts w:ascii="Arial" w:hAnsi="Arial" w:cs="Arial"/>
          <w:sz w:val="22"/>
          <w:szCs w:val="22"/>
        </w:rPr>
        <w:t xml:space="preserve">: </w:t>
      </w:r>
      <w:r w:rsidR="00022BBF" w:rsidRPr="000F7D85">
        <w:rPr>
          <w:rFonts w:ascii="Arial" w:hAnsi="Arial" w:cs="Arial"/>
          <w:sz w:val="22"/>
          <w:szCs w:val="22"/>
        </w:rPr>
        <w:t>Health Departments and Health Centers Collaborating to Improve HIV Health Outcomes</w:t>
      </w:r>
      <w:r w:rsidRPr="000F7D85">
        <w:rPr>
          <w:rFonts w:ascii="Arial" w:hAnsi="Arial" w:cs="Arial"/>
          <w:sz w:val="22"/>
          <w:szCs w:val="22"/>
        </w:rPr>
        <w:t>.</w:t>
      </w:r>
      <w:r w:rsidR="00D876BC" w:rsidRPr="000F7D85">
        <w:rPr>
          <w:rFonts w:ascii="Arial" w:hAnsi="Arial" w:cs="Arial"/>
          <w:sz w:val="22"/>
          <w:szCs w:val="22"/>
        </w:rPr>
        <w:t>”</w:t>
      </w:r>
    </w:p>
    <w:p w14:paraId="5B7B83A0" w14:textId="77777777" w:rsidR="00D876BC" w:rsidRPr="000F7D85" w:rsidRDefault="00D876BC" w:rsidP="00A71F21">
      <w:pPr>
        <w:spacing w:after="120"/>
        <w:rPr>
          <w:rFonts w:ascii="Arial" w:hAnsi="Arial" w:cs="Arial"/>
          <w:i/>
          <w:sz w:val="22"/>
          <w:szCs w:val="22"/>
        </w:rPr>
      </w:pPr>
      <w:r w:rsidRPr="000F7D85">
        <w:rPr>
          <w:rFonts w:ascii="Arial" w:hAnsi="Arial" w:cs="Arial"/>
          <w:i/>
          <w:sz w:val="22"/>
          <w:szCs w:val="22"/>
        </w:rPr>
        <w:t>Background</w:t>
      </w:r>
    </w:p>
    <w:p w14:paraId="2C7568F1" w14:textId="77777777" w:rsidR="009C2E58" w:rsidRPr="000F7D85" w:rsidRDefault="00DF4E9B" w:rsidP="00A71F21">
      <w:pPr>
        <w:spacing w:after="120"/>
        <w:rPr>
          <w:rFonts w:ascii="Arial" w:hAnsi="Arial" w:cs="Arial"/>
          <w:sz w:val="22"/>
          <w:szCs w:val="22"/>
        </w:rPr>
      </w:pPr>
      <w:r w:rsidRPr="000F7D85">
        <w:rPr>
          <w:rFonts w:ascii="Arial" w:hAnsi="Arial" w:cs="Arial"/>
          <w:sz w:val="22"/>
          <w:szCs w:val="22"/>
        </w:rPr>
        <w:t>The Health Resources and</w:t>
      </w:r>
      <w:r w:rsidR="0085080C" w:rsidRPr="000F7D85">
        <w:rPr>
          <w:rFonts w:ascii="Arial" w:hAnsi="Arial" w:cs="Arial"/>
          <w:sz w:val="22"/>
          <w:szCs w:val="22"/>
        </w:rPr>
        <w:t xml:space="preserve"> Services Administration, Bureau of Primary Health Care (</w:t>
      </w:r>
      <w:r w:rsidR="0080345E" w:rsidRPr="000F7D85">
        <w:rPr>
          <w:rFonts w:ascii="Arial" w:hAnsi="Arial" w:cs="Arial"/>
          <w:sz w:val="22"/>
          <w:szCs w:val="22"/>
        </w:rPr>
        <w:t>HRSA/</w:t>
      </w:r>
      <w:r w:rsidR="0085080C" w:rsidRPr="000F7D85">
        <w:rPr>
          <w:rFonts w:ascii="Arial" w:hAnsi="Arial" w:cs="Arial"/>
          <w:sz w:val="22"/>
          <w:szCs w:val="22"/>
        </w:rPr>
        <w:t xml:space="preserve">BPHC) </w:t>
      </w:r>
      <w:r w:rsidRPr="000F7D85">
        <w:rPr>
          <w:rFonts w:ascii="Arial" w:hAnsi="Arial" w:cs="Arial"/>
          <w:sz w:val="22"/>
          <w:szCs w:val="22"/>
        </w:rPr>
        <w:t>has responsibility for the administration of health center programs under Section 330.</w:t>
      </w:r>
      <w:r w:rsidR="009C2E58" w:rsidRPr="000F7D85">
        <w:rPr>
          <w:rFonts w:ascii="Arial" w:hAnsi="Arial" w:cs="Arial"/>
          <w:sz w:val="22"/>
          <w:szCs w:val="22"/>
        </w:rPr>
        <w:t xml:space="preserve"> A key component of success of the Health Center Program has been the ability to demonstrate to payers and patients the value of care delivered to those receiving health center services. The expansion of the Health Center Program and the resulting growth in the number of health center patients and services, along with provider incentive programs and technological advances, have underscored the importance </w:t>
      </w:r>
      <w:r w:rsidR="00377252" w:rsidRPr="000F7D85">
        <w:rPr>
          <w:rFonts w:ascii="Arial" w:hAnsi="Arial" w:cs="Arial"/>
          <w:sz w:val="22"/>
          <w:szCs w:val="22"/>
        </w:rPr>
        <w:t>of demonstrating health center provision of</w:t>
      </w:r>
      <w:r w:rsidR="009C2E58" w:rsidRPr="000F7D85">
        <w:rPr>
          <w:rFonts w:ascii="Arial" w:hAnsi="Arial" w:cs="Arial"/>
          <w:sz w:val="22"/>
          <w:szCs w:val="22"/>
        </w:rPr>
        <w:t xml:space="preserve"> high quality care to underserved populations.  This long-standing emphasis on demonstrating value is consistent with the Department of Health and Human Services (HHS) initiatives to increase transparency in health care and promote value-based purchasing; transparency and information technology are essential facilitators of increasing value in health care. </w:t>
      </w:r>
    </w:p>
    <w:p w14:paraId="2F47BAE5" w14:textId="77777777" w:rsidR="009C2E58" w:rsidRPr="000F7D85" w:rsidRDefault="009C2E58" w:rsidP="00A71F21">
      <w:pPr>
        <w:spacing w:after="120"/>
        <w:rPr>
          <w:rFonts w:ascii="Arial" w:hAnsi="Arial" w:cs="Arial"/>
          <w:sz w:val="22"/>
          <w:szCs w:val="22"/>
        </w:rPr>
      </w:pPr>
      <w:r w:rsidRPr="000F7D85">
        <w:rPr>
          <w:rFonts w:ascii="Arial" w:hAnsi="Arial" w:cs="Arial"/>
          <w:sz w:val="22"/>
          <w:szCs w:val="22"/>
        </w:rPr>
        <w:t xml:space="preserve">Recent advances in pharmacologic therapies for HIV have improved the safety, tolerability, and efficacy of treatments, leading to </w:t>
      </w:r>
      <w:r w:rsidR="00927CFD" w:rsidRPr="000F7D85">
        <w:rPr>
          <w:rFonts w:ascii="Arial" w:hAnsi="Arial" w:cs="Arial"/>
          <w:sz w:val="22"/>
          <w:szCs w:val="22"/>
        </w:rPr>
        <w:t xml:space="preserve">improved </w:t>
      </w:r>
      <w:r w:rsidRPr="000F7D85">
        <w:rPr>
          <w:rFonts w:ascii="Arial" w:hAnsi="Arial" w:cs="Arial"/>
          <w:sz w:val="22"/>
          <w:szCs w:val="22"/>
        </w:rPr>
        <w:t xml:space="preserve">adherence and health outcomes. These same advances enable more primary care practices, including health centers, to actively manage the care and treatment needs of </w:t>
      </w:r>
      <w:r w:rsidR="00377252" w:rsidRPr="000F7D85">
        <w:rPr>
          <w:rFonts w:ascii="Arial" w:hAnsi="Arial" w:cs="Arial"/>
          <w:sz w:val="22"/>
          <w:szCs w:val="22"/>
        </w:rPr>
        <w:t>people living with HIV (PLWH)</w:t>
      </w:r>
      <w:r w:rsidRPr="000F7D85">
        <w:rPr>
          <w:rFonts w:ascii="Arial" w:hAnsi="Arial" w:cs="Arial"/>
          <w:sz w:val="22"/>
          <w:szCs w:val="22"/>
        </w:rPr>
        <w:t>. To reduce AIDS-related mortality, guidelines recommend routine HIV testing and the provision of antiretroviral treatments soon after infection. This recommendation requires substantial increases in the availability, accessibility, and quality of HIV services. Health centers are well positioned to help meet this demand.</w:t>
      </w:r>
    </w:p>
    <w:p w14:paraId="6DD9B8C2" w14:textId="77777777" w:rsidR="00FD3B04" w:rsidRPr="000F7D85" w:rsidRDefault="009C2E58" w:rsidP="00A71F21">
      <w:pPr>
        <w:spacing w:after="120"/>
        <w:rPr>
          <w:rFonts w:ascii="Arial" w:hAnsi="Arial" w:cs="Arial"/>
          <w:sz w:val="22"/>
          <w:szCs w:val="22"/>
        </w:rPr>
      </w:pPr>
      <w:r w:rsidRPr="000F7D85">
        <w:rPr>
          <w:rFonts w:ascii="Arial" w:hAnsi="Arial" w:cs="Arial"/>
          <w:sz w:val="22"/>
          <w:szCs w:val="22"/>
        </w:rPr>
        <w:t>Partnerships for Care (</w:t>
      </w:r>
      <w:r w:rsidR="00DF4E9B" w:rsidRPr="000F7D85">
        <w:rPr>
          <w:rFonts w:ascii="Arial" w:hAnsi="Arial" w:cs="Arial"/>
          <w:sz w:val="22"/>
          <w:szCs w:val="22"/>
        </w:rPr>
        <w:t>P4C</w:t>
      </w:r>
      <w:r w:rsidRPr="000F7D85">
        <w:rPr>
          <w:rFonts w:ascii="Arial" w:hAnsi="Arial" w:cs="Arial"/>
          <w:sz w:val="22"/>
          <w:szCs w:val="22"/>
        </w:rPr>
        <w:t>)</w:t>
      </w:r>
      <w:r w:rsidR="00DF4E9B" w:rsidRPr="000F7D85">
        <w:rPr>
          <w:rFonts w:ascii="Arial" w:hAnsi="Arial" w:cs="Arial"/>
          <w:sz w:val="22"/>
          <w:szCs w:val="22"/>
        </w:rPr>
        <w:t xml:space="preserve"> </w:t>
      </w:r>
      <w:r w:rsidR="00022BBF" w:rsidRPr="000F7D85">
        <w:rPr>
          <w:rFonts w:ascii="Arial" w:hAnsi="Arial" w:cs="Arial"/>
          <w:sz w:val="22"/>
          <w:szCs w:val="22"/>
        </w:rPr>
        <w:t xml:space="preserve">is a three-year, multi-agency project </w:t>
      </w:r>
      <w:r w:rsidRPr="000F7D85">
        <w:rPr>
          <w:rFonts w:ascii="Arial" w:hAnsi="Arial" w:cs="Arial"/>
          <w:sz w:val="22"/>
          <w:szCs w:val="22"/>
        </w:rPr>
        <w:t xml:space="preserve">designed to support health centers in expanding their HIV service delivery. </w:t>
      </w:r>
      <w:r w:rsidR="001923FC" w:rsidRPr="000F7D85">
        <w:rPr>
          <w:rFonts w:ascii="Arial" w:hAnsi="Arial" w:cs="Arial"/>
          <w:sz w:val="22"/>
          <w:szCs w:val="22"/>
        </w:rPr>
        <w:t xml:space="preserve">HRSA/BPHC and the Centers for Disease Control and Prevention Division of HIV/AIDS Prevention (CDC/DHAP) are designated leads for project </w:t>
      </w:r>
      <w:r w:rsidR="0080345E" w:rsidRPr="000F7D85">
        <w:rPr>
          <w:rFonts w:ascii="Arial" w:hAnsi="Arial" w:cs="Arial"/>
          <w:sz w:val="22"/>
          <w:szCs w:val="22"/>
        </w:rPr>
        <w:t xml:space="preserve">leadership, </w:t>
      </w:r>
      <w:r w:rsidR="001923FC" w:rsidRPr="000F7D85">
        <w:rPr>
          <w:rFonts w:ascii="Arial" w:hAnsi="Arial" w:cs="Arial"/>
          <w:sz w:val="22"/>
          <w:szCs w:val="22"/>
        </w:rPr>
        <w:t>monitoring</w:t>
      </w:r>
      <w:r w:rsidR="0080345E" w:rsidRPr="000F7D85">
        <w:rPr>
          <w:rFonts w:ascii="Arial" w:hAnsi="Arial" w:cs="Arial"/>
          <w:sz w:val="22"/>
          <w:szCs w:val="22"/>
        </w:rPr>
        <w:t xml:space="preserve"> and reporting by the HHS Office of the Assistance Secretary of Health, Office of HIV/AIDS and Infectious Disease (OHAIDP)</w:t>
      </w:r>
      <w:r w:rsidR="001923FC" w:rsidRPr="000F7D85">
        <w:rPr>
          <w:rFonts w:ascii="Arial" w:hAnsi="Arial" w:cs="Arial"/>
          <w:sz w:val="22"/>
          <w:szCs w:val="22"/>
        </w:rPr>
        <w:t xml:space="preserve">. </w:t>
      </w:r>
      <w:r w:rsidRPr="000F7D85">
        <w:rPr>
          <w:rFonts w:ascii="Arial" w:hAnsi="Arial" w:cs="Arial"/>
          <w:sz w:val="22"/>
          <w:szCs w:val="22"/>
        </w:rPr>
        <w:t xml:space="preserve">P4C </w:t>
      </w:r>
      <w:r w:rsidR="006D734E" w:rsidRPr="000F7D85">
        <w:rPr>
          <w:rFonts w:ascii="Arial" w:hAnsi="Arial" w:cs="Arial"/>
          <w:sz w:val="22"/>
          <w:szCs w:val="22"/>
        </w:rPr>
        <w:t xml:space="preserve">is </w:t>
      </w:r>
      <w:r w:rsidR="00022BBF" w:rsidRPr="000F7D85">
        <w:rPr>
          <w:rFonts w:ascii="Arial" w:hAnsi="Arial" w:cs="Arial"/>
          <w:sz w:val="22"/>
          <w:szCs w:val="22"/>
        </w:rPr>
        <w:t xml:space="preserve">funded through the Secretary’s Minority AIDS Initiative Fund </w:t>
      </w:r>
      <w:r w:rsidRPr="000F7D85">
        <w:rPr>
          <w:rFonts w:ascii="Arial" w:hAnsi="Arial" w:cs="Arial"/>
          <w:sz w:val="22"/>
          <w:szCs w:val="22"/>
        </w:rPr>
        <w:t xml:space="preserve">(SMAIF) </w:t>
      </w:r>
      <w:r w:rsidR="00062593" w:rsidRPr="000F7D85">
        <w:rPr>
          <w:rFonts w:ascii="Arial" w:hAnsi="Arial" w:cs="Arial"/>
          <w:sz w:val="22"/>
          <w:szCs w:val="22"/>
        </w:rPr>
        <w:t xml:space="preserve">administered by </w:t>
      </w:r>
      <w:r w:rsidR="0080345E" w:rsidRPr="000F7D85">
        <w:rPr>
          <w:rFonts w:ascii="Arial" w:hAnsi="Arial" w:cs="Arial"/>
          <w:sz w:val="22"/>
          <w:szCs w:val="22"/>
        </w:rPr>
        <w:t xml:space="preserve">OHAIDP and the </w:t>
      </w:r>
      <w:r w:rsidR="00927CFD" w:rsidRPr="00927CFD">
        <w:rPr>
          <w:rFonts w:ascii="Arial" w:hAnsi="Arial" w:cs="Arial"/>
          <w:sz w:val="22"/>
          <w:szCs w:val="22"/>
        </w:rPr>
        <w:t>Community Health Center Fund established by section 10503 of the Affordable Care Act</w:t>
      </w:r>
      <w:r w:rsidR="00062593" w:rsidRPr="000F7D85">
        <w:rPr>
          <w:rFonts w:ascii="Arial" w:hAnsi="Arial" w:cs="Arial"/>
          <w:sz w:val="22"/>
          <w:szCs w:val="22"/>
        </w:rPr>
        <w:t xml:space="preserve">. </w:t>
      </w:r>
      <w:r w:rsidR="00022BBF" w:rsidRPr="000F7D85">
        <w:rPr>
          <w:rFonts w:ascii="Arial" w:hAnsi="Arial" w:cs="Arial"/>
          <w:sz w:val="22"/>
          <w:szCs w:val="22"/>
        </w:rPr>
        <w:t xml:space="preserve">The goals of the P4C project are to build sustainable partnerships </w:t>
      </w:r>
      <w:r w:rsidRPr="000F7D85">
        <w:rPr>
          <w:rFonts w:ascii="Arial" w:hAnsi="Arial" w:cs="Arial"/>
          <w:sz w:val="22"/>
          <w:szCs w:val="22"/>
        </w:rPr>
        <w:t>between</w:t>
      </w:r>
      <w:r w:rsidR="00022BBF" w:rsidRPr="000F7D85">
        <w:rPr>
          <w:rFonts w:ascii="Arial" w:hAnsi="Arial" w:cs="Arial"/>
          <w:sz w:val="22"/>
          <w:szCs w:val="22"/>
        </w:rPr>
        <w:t xml:space="preserve"> CDC-funded state health departments (including MA, NY, MD and FL) and HRSA-funded health centers </w:t>
      </w:r>
      <w:r w:rsidR="009303E2" w:rsidRPr="000F7D85">
        <w:rPr>
          <w:rFonts w:ascii="Arial" w:hAnsi="Arial" w:cs="Arial"/>
          <w:sz w:val="22"/>
          <w:szCs w:val="22"/>
        </w:rPr>
        <w:t xml:space="preserve">(22 across </w:t>
      </w:r>
      <w:r w:rsidR="0080345E" w:rsidRPr="000F7D85">
        <w:rPr>
          <w:rFonts w:ascii="Arial" w:hAnsi="Arial" w:cs="Arial"/>
          <w:sz w:val="22"/>
          <w:szCs w:val="22"/>
        </w:rPr>
        <w:t>the four-</w:t>
      </w:r>
      <w:r w:rsidR="009303E2" w:rsidRPr="000F7D85">
        <w:rPr>
          <w:rFonts w:ascii="Arial" w:hAnsi="Arial" w:cs="Arial"/>
          <w:sz w:val="22"/>
          <w:szCs w:val="22"/>
        </w:rPr>
        <w:t xml:space="preserve">funded states) </w:t>
      </w:r>
      <w:r w:rsidR="00022BBF" w:rsidRPr="000F7D85">
        <w:rPr>
          <w:rFonts w:ascii="Arial" w:hAnsi="Arial" w:cs="Arial"/>
          <w:sz w:val="22"/>
          <w:szCs w:val="22"/>
        </w:rPr>
        <w:t xml:space="preserve">to support expanded HIV service delivery </w:t>
      </w:r>
      <w:r w:rsidR="0048482E" w:rsidRPr="000F7D85">
        <w:rPr>
          <w:rFonts w:ascii="Arial" w:hAnsi="Arial" w:cs="Arial"/>
          <w:sz w:val="22"/>
          <w:szCs w:val="22"/>
        </w:rPr>
        <w:t xml:space="preserve">and improved coordination of care </w:t>
      </w:r>
      <w:r w:rsidR="00022BBF" w:rsidRPr="000F7D85">
        <w:rPr>
          <w:rFonts w:ascii="Arial" w:hAnsi="Arial" w:cs="Arial"/>
          <w:sz w:val="22"/>
          <w:szCs w:val="22"/>
        </w:rPr>
        <w:t>in communities highly impacted by HIV, especially</w:t>
      </w:r>
      <w:r w:rsidR="0048482E" w:rsidRPr="000F7D85">
        <w:rPr>
          <w:rFonts w:ascii="Arial" w:hAnsi="Arial" w:cs="Arial"/>
          <w:sz w:val="22"/>
          <w:szCs w:val="22"/>
        </w:rPr>
        <w:t xml:space="preserve"> among</w:t>
      </w:r>
      <w:r w:rsidR="00022BBF" w:rsidRPr="000F7D85">
        <w:rPr>
          <w:rFonts w:ascii="Arial" w:hAnsi="Arial" w:cs="Arial"/>
          <w:sz w:val="22"/>
          <w:szCs w:val="22"/>
        </w:rPr>
        <w:t xml:space="preserve"> racial/ethnic minorities. State health departments and health centers </w:t>
      </w:r>
      <w:r w:rsidR="00F41D2C">
        <w:rPr>
          <w:rFonts w:ascii="Arial" w:hAnsi="Arial" w:cs="Arial"/>
          <w:sz w:val="22"/>
          <w:szCs w:val="22"/>
        </w:rPr>
        <w:t>will work</w:t>
      </w:r>
      <w:r w:rsidR="00022BBF" w:rsidRPr="000F7D85">
        <w:rPr>
          <w:rFonts w:ascii="Arial" w:hAnsi="Arial" w:cs="Arial"/>
          <w:sz w:val="22"/>
          <w:szCs w:val="22"/>
        </w:rPr>
        <w:t xml:space="preserve"> together to increase the identification of undiagnosed HIV infection, establish new access points for HIV care and treatment, and improve HIV outcomes along the continuum of care for people living with HIV (PLWH) (see </w:t>
      </w:r>
      <w:r w:rsidR="00F41D2C">
        <w:rPr>
          <w:rFonts w:ascii="Arial" w:hAnsi="Arial" w:cs="Arial"/>
          <w:sz w:val="22"/>
          <w:szCs w:val="22"/>
        </w:rPr>
        <w:t xml:space="preserve">project website </w:t>
      </w:r>
      <w:hyperlink r:id="rId9" w:history="1">
        <w:r w:rsidR="00F41D2C" w:rsidRPr="006923A3">
          <w:rPr>
            <w:rStyle w:val="Hyperlink"/>
            <w:rFonts w:ascii="Arial" w:hAnsi="Arial" w:cs="Arial"/>
            <w:sz w:val="22"/>
            <w:szCs w:val="22"/>
          </w:rPr>
          <w:t>http://www.p4chivtac.com/</w:t>
        </w:r>
      </w:hyperlink>
      <w:r w:rsidR="00022BBF" w:rsidRPr="000F7D85">
        <w:rPr>
          <w:rFonts w:ascii="Arial" w:hAnsi="Arial" w:cs="Arial"/>
          <w:sz w:val="22"/>
          <w:szCs w:val="22"/>
        </w:rPr>
        <w:t>).</w:t>
      </w:r>
      <w:r w:rsidR="00F41D2C">
        <w:rPr>
          <w:rFonts w:ascii="Arial" w:hAnsi="Arial" w:cs="Arial"/>
          <w:sz w:val="22"/>
          <w:szCs w:val="22"/>
        </w:rPr>
        <w:t xml:space="preserve"> </w:t>
      </w:r>
      <w:r w:rsidR="00022BBF" w:rsidRPr="000F7D85">
        <w:rPr>
          <w:rFonts w:ascii="Arial" w:hAnsi="Arial" w:cs="Arial"/>
          <w:sz w:val="22"/>
          <w:szCs w:val="22"/>
        </w:rPr>
        <w:t xml:space="preserve"> </w:t>
      </w:r>
    </w:p>
    <w:p w14:paraId="5491D4F3" w14:textId="77777777" w:rsidR="00022BBF" w:rsidRPr="000F7D85" w:rsidRDefault="009303E2" w:rsidP="00A71F21">
      <w:pPr>
        <w:spacing w:after="120"/>
        <w:rPr>
          <w:rFonts w:ascii="Arial" w:hAnsi="Arial" w:cs="Arial"/>
          <w:sz w:val="22"/>
          <w:szCs w:val="22"/>
        </w:rPr>
      </w:pPr>
      <w:r w:rsidRPr="000F7D85">
        <w:rPr>
          <w:rFonts w:ascii="Arial" w:hAnsi="Arial" w:cs="Arial"/>
          <w:sz w:val="22"/>
          <w:szCs w:val="22"/>
        </w:rPr>
        <w:t>Participating</w:t>
      </w:r>
      <w:r w:rsidR="00022BBF" w:rsidRPr="000F7D85">
        <w:rPr>
          <w:rFonts w:ascii="Arial" w:hAnsi="Arial" w:cs="Arial"/>
          <w:sz w:val="22"/>
          <w:szCs w:val="22"/>
        </w:rPr>
        <w:t xml:space="preserve"> health center</w:t>
      </w:r>
      <w:r w:rsidRPr="000F7D85">
        <w:rPr>
          <w:rFonts w:ascii="Arial" w:hAnsi="Arial" w:cs="Arial"/>
          <w:sz w:val="22"/>
          <w:szCs w:val="22"/>
        </w:rPr>
        <w:t>s</w:t>
      </w:r>
      <w:r w:rsidR="00022BBF" w:rsidRPr="000F7D85">
        <w:rPr>
          <w:rFonts w:ascii="Arial" w:hAnsi="Arial" w:cs="Arial"/>
          <w:sz w:val="22"/>
          <w:szCs w:val="22"/>
        </w:rPr>
        <w:t xml:space="preserve"> will receive up to $500,000 annually in HRSA supplemental funding </w:t>
      </w:r>
      <w:r w:rsidR="00022BBF" w:rsidRPr="000F7D85">
        <w:rPr>
          <w:rFonts w:ascii="Arial" w:hAnsi="Arial" w:cs="Arial"/>
          <w:sz w:val="22"/>
          <w:szCs w:val="22"/>
        </w:rPr>
        <w:lastRenderedPageBreak/>
        <w:t xml:space="preserve">(totaling $33M across the three-year project period) to integrate high-quality, comprehensive HIV services into their primary care programs; and to work in collaboration with their state health department to (1) identify people with undiagnosed HIV infection, (2) link newly diagnosed individuals to care, and (3) retain patients living with HIV in care. Health centers must implement activities in </w:t>
      </w:r>
      <w:r w:rsidR="00022BBF" w:rsidRPr="00DD5632">
        <w:rPr>
          <w:rFonts w:ascii="Arial" w:hAnsi="Arial"/>
          <w:sz w:val="22"/>
        </w:rPr>
        <w:t>five focus areas, including workforce development, infrastructure development, HIV service delivery, partnership development, and quality improvement and evaluation.</w:t>
      </w:r>
      <w:r w:rsidR="00022BBF" w:rsidRPr="000F7D85">
        <w:rPr>
          <w:rFonts w:ascii="Arial" w:hAnsi="Arial" w:cs="Arial"/>
          <w:sz w:val="22"/>
          <w:szCs w:val="22"/>
        </w:rPr>
        <w:t xml:space="preserve"> </w:t>
      </w:r>
      <w:r w:rsidR="00080403" w:rsidRPr="000F7D85">
        <w:rPr>
          <w:rFonts w:ascii="Arial" w:hAnsi="Arial" w:cs="Arial"/>
          <w:sz w:val="22"/>
          <w:szCs w:val="22"/>
        </w:rPr>
        <w:t xml:space="preserve">As part of quality improvement and evaluation, health centers are required by the terms of the supplemental funding application </w:t>
      </w:r>
      <w:r w:rsidR="0080345E" w:rsidRPr="000F7D85">
        <w:rPr>
          <w:rFonts w:ascii="Arial" w:hAnsi="Arial" w:cs="Arial"/>
          <w:sz w:val="22"/>
          <w:szCs w:val="22"/>
        </w:rPr>
        <w:t xml:space="preserve">(see </w:t>
      </w:r>
      <w:hyperlink r:id="rId10" w:history="1">
        <w:r w:rsidR="0080345E" w:rsidRPr="000F7D85">
          <w:rPr>
            <w:rStyle w:val="Hyperlink"/>
            <w:rFonts w:ascii="Arial" w:hAnsi="Arial" w:cs="Arial"/>
            <w:sz w:val="22"/>
            <w:szCs w:val="22"/>
          </w:rPr>
          <w:t>http://www.hrsa.gov/grants/apply/assistance/bphchiv/supplementalinstructions.pdf</w:t>
        </w:r>
      </w:hyperlink>
      <w:r w:rsidR="0080345E" w:rsidRPr="000F7D85">
        <w:rPr>
          <w:rFonts w:ascii="Arial" w:hAnsi="Arial" w:cs="Arial"/>
          <w:sz w:val="22"/>
          <w:szCs w:val="22"/>
        </w:rPr>
        <w:t xml:space="preserve">) </w:t>
      </w:r>
      <w:r w:rsidR="00080403" w:rsidRPr="000F7D85">
        <w:rPr>
          <w:rFonts w:ascii="Arial" w:hAnsi="Arial" w:cs="Arial"/>
          <w:sz w:val="22"/>
          <w:szCs w:val="22"/>
        </w:rPr>
        <w:t>to</w:t>
      </w:r>
      <w:r w:rsidR="00FD3B04" w:rsidRPr="000F7D85">
        <w:rPr>
          <w:rFonts w:ascii="Arial" w:hAnsi="Arial" w:cs="Arial"/>
          <w:sz w:val="22"/>
          <w:szCs w:val="22"/>
        </w:rPr>
        <w:t xml:space="preserve"> </w:t>
      </w:r>
      <w:r w:rsidR="00022BBF" w:rsidRPr="000F7D85">
        <w:rPr>
          <w:rFonts w:ascii="Arial" w:hAnsi="Arial" w:cs="Arial"/>
          <w:sz w:val="22"/>
          <w:szCs w:val="22"/>
        </w:rPr>
        <w:t xml:space="preserve">demonstrate progress toward implementing all required P4C activities and improving health care outcomes across the HIV care continuum (see </w:t>
      </w:r>
      <w:hyperlink r:id="rId11" w:history="1">
        <w:r w:rsidR="00022BBF" w:rsidRPr="000F7D85">
          <w:rPr>
            <w:rStyle w:val="Hyperlink"/>
            <w:rFonts w:ascii="Arial" w:hAnsi="Arial" w:cs="Arial"/>
            <w:sz w:val="22"/>
            <w:szCs w:val="22"/>
          </w:rPr>
          <w:t>http://aids.gov/federal-resources/policies/care-continuum/</w:t>
        </w:r>
      </w:hyperlink>
      <w:r w:rsidR="00022BBF" w:rsidRPr="000F7D85">
        <w:rPr>
          <w:rFonts w:ascii="Arial" w:hAnsi="Arial" w:cs="Arial"/>
          <w:sz w:val="22"/>
          <w:szCs w:val="22"/>
        </w:rPr>
        <w:t>).</w:t>
      </w:r>
      <w:r w:rsidR="0048482E" w:rsidRPr="000F7D85">
        <w:rPr>
          <w:rFonts w:ascii="Arial" w:hAnsi="Arial" w:cs="Arial"/>
          <w:sz w:val="22"/>
          <w:szCs w:val="22"/>
        </w:rPr>
        <w:t xml:space="preserve"> </w:t>
      </w:r>
    </w:p>
    <w:p w14:paraId="79A34C76" w14:textId="77777777" w:rsidR="00D876BC" w:rsidRPr="000F7D85" w:rsidRDefault="00D876BC" w:rsidP="00A71F21">
      <w:pPr>
        <w:pStyle w:val="NormalWeb"/>
        <w:spacing w:before="0" w:after="120"/>
        <w:rPr>
          <w:rFonts w:ascii="Arial" w:hAnsi="Arial" w:cs="Arial"/>
          <w:i/>
          <w:sz w:val="22"/>
          <w:szCs w:val="22"/>
        </w:rPr>
      </w:pPr>
      <w:r w:rsidRPr="000F7D85">
        <w:rPr>
          <w:rFonts w:ascii="Arial" w:hAnsi="Arial" w:cs="Arial"/>
          <w:i/>
          <w:sz w:val="22"/>
          <w:szCs w:val="22"/>
        </w:rPr>
        <w:t>Need</w:t>
      </w:r>
    </w:p>
    <w:p w14:paraId="08B93113" w14:textId="77777777" w:rsidR="00034F7F" w:rsidRPr="000F7D85" w:rsidRDefault="0085080C" w:rsidP="00A71F21">
      <w:pPr>
        <w:pStyle w:val="NormalWeb"/>
        <w:spacing w:before="0" w:after="120"/>
        <w:rPr>
          <w:rFonts w:ascii="Arial" w:hAnsi="Arial" w:cs="Arial"/>
          <w:sz w:val="22"/>
          <w:szCs w:val="22"/>
        </w:rPr>
      </w:pPr>
      <w:r w:rsidRPr="000F7D85">
        <w:rPr>
          <w:rFonts w:ascii="Arial" w:hAnsi="Arial" w:cs="Arial"/>
          <w:sz w:val="22"/>
          <w:szCs w:val="22"/>
        </w:rPr>
        <w:t xml:space="preserve">The </w:t>
      </w:r>
      <w:r w:rsidR="001E48E1" w:rsidRPr="000F7D85">
        <w:rPr>
          <w:rFonts w:ascii="Arial" w:hAnsi="Arial" w:cs="Arial"/>
          <w:sz w:val="22"/>
          <w:szCs w:val="22"/>
        </w:rPr>
        <w:t xml:space="preserve">Uniform Data System (UDS) </w:t>
      </w:r>
      <w:r w:rsidRPr="000F7D85">
        <w:rPr>
          <w:rFonts w:ascii="Arial" w:hAnsi="Arial" w:cs="Arial"/>
          <w:sz w:val="22"/>
          <w:szCs w:val="22"/>
        </w:rPr>
        <w:t xml:space="preserve">annual reporting requirement for </w:t>
      </w:r>
      <w:r w:rsidR="00C253EF" w:rsidRPr="000F7D85">
        <w:rPr>
          <w:rFonts w:ascii="Arial" w:hAnsi="Arial" w:cs="Arial"/>
          <w:sz w:val="22"/>
          <w:szCs w:val="22"/>
        </w:rPr>
        <w:t xml:space="preserve">all </w:t>
      </w:r>
      <w:r w:rsidRPr="000F7D85">
        <w:rPr>
          <w:rFonts w:ascii="Arial" w:hAnsi="Arial" w:cs="Arial"/>
          <w:sz w:val="22"/>
          <w:szCs w:val="22"/>
        </w:rPr>
        <w:t>health centers</w:t>
      </w:r>
      <w:r w:rsidR="00C253EF" w:rsidRPr="000F7D85">
        <w:rPr>
          <w:rFonts w:ascii="Arial" w:hAnsi="Arial" w:cs="Arial"/>
          <w:sz w:val="22"/>
          <w:szCs w:val="22"/>
        </w:rPr>
        <w:t xml:space="preserve"> funded under Section 330</w:t>
      </w:r>
      <w:r w:rsidR="001E59B8" w:rsidRPr="000F7D85">
        <w:rPr>
          <w:rFonts w:ascii="Arial" w:hAnsi="Arial" w:cs="Arial"/>
          <w:sz w:val="22"/>
          <w:szCs w:val="22"/>
        </w:rPr>
        <w:t xml:space="preserve"> was approved under OMB No. 0915-0193 and expires on </w:t>
      </w:r>
      <w:r w:rsidR="00176177">
        <w:rPr>
          <w:rFonts w:ascii="Arial" w:hAnsi="Arial" w:cs="Arial"/>
          <w:sz w:val="22"/>
          <w:szCs w:val="22"/>
        </w:rPr>
        <w:t>2</w:t>
      </w:r>
      <w:r w:rsidR="001E59B8" w:rsidRPr="000F7D85">
        <w:rPr>
          <w:rFonts w:ascii="Arial" w:hAnsi="Arial" w:cs="Arial"/>
          <w:sz w:val="22"/>
          <w:szCs w:val="22"/>
        </w:rPr>
        <w:t>/</w:t>
      </w:r>
      <w:r w:rsidR="00176177">
        <w:rPr>
          <w:rFonts w:ascii="Arial" w:hAnsi="Arial" w:cs="Arial"/>
          <w:sz w:val="22"/>
          <w:szCs w:val="22"/>
        </w:rPr>
        <w:t>28</w:t>
      </w:r>
      <w:r w:rsidR="001E59B8" w:rsidRPr="000F7D85">
        <w:rPr>
          <w:rFonts w:ascii="Arial" w:hAnsi="Arial" w:cs="Arial"/>
          <w:sz w:val="22"/>
          <w:szCs w:val="22"/>
        </w:rPr>
        <w:t>/201</w:t>
      </w:r>
      <w:r w:rsidR="00176177">
        <w:rPr>
          <w:rFonts w:ascii="Arial" w:hAnsi="Arial" w:cs="Arial"/>
          <w:sz w:val="22"/>
          <w:szCs w:val="22"/>
        </w:rPr>
        <w:t>8</w:t>
      </w:r>
      <w:r w:rsidR="001E59B8" w:rsidRPr="000F7D85">
        <w:rPr>
          <w:rFonts w:ascii="Arial" w:hAnsi="Arial" w:cs="Arial"/>
          <w:sz w:val="22"/>
          <w:szCs w:val="22"/>
        </w:rPr>
        <w:t xml:space="preserve">. </w:t>
      </w:r>
      <w:r w:rsidR="006128CE" w:rsidRPr="000F7D85">
        <w:rPr>
          <w:rFonts w:ascii="Arial" w:hAnsi="Arial" w:cs="Arial"/>
          <w:sz w:val="22"/>
          <w:szCs w:val="22"/>
        </w:rPr>
        <w:t xml:space="preserve">UDS includes </w:t>
      </w:r>
      <w:r w:rsidR="001E59B8" w:rsidRPr="000F7D85">
        <w:rPr>
          <w:rFonts w:ascii="Arial" w:hAnsi="Arial" w:cs="Arial"/>
          <w:sz w:val="22"/>
          <w:szCs w:val="22"/>
        </w:rPr>
        <w:t>14 clinical co</w:t>
      </w:r>
      <w:r w:rsidR="00F41D2C">
        <w:rPr>
          <w:rFonts w:ascii="Arial" w:hAnsi="Arial" w:cs="Arial"/>
          <w:sz w:val="22"/>
          <w:szCs w:val="22"/>
        </w:rPr>
        <w:t>re measures as the basis for HRSA/BPHC</w:t>
      </w:r>
      <w:r w:rsidR="001E59B8" w:rsidRPr="000F7D85">
        <w:rPr>
          <w:rFonts w:ascii="Arial" w:hAnsi="Arial" w:cs="Arial"/>
          <w:sz w:val="22"/>
          <w:szCs w:val="22"/>
        </w:rPr>
        <w:t xml:space="preserve">-wide quality improvement initiative </w:t>
      </w:r>
      <w:r w:rsidR="00F41D2C">
        <w:rPr>
          <w:rFonts w:ascii="Arial" w:hAnsi="Arial" w:cs="Arial"/>
          <w:sz w:val="22"/>
          <w:szCs w:val="22"/>
        </w:rPr>
        <w:t>focused on</w:t>
      </w:r>
      <w:r w:rsidR="001E59B8" w:rsidRPr="000F7D85">
        <w:rPr>
          <w:rFonts w:ascii="Arial" w:hAnsi="Arial" w:cs="Arial"/>
          <w:sz w:val="22"/>
          <w:szCs w:val="22"/>
        </w:rPr>
        <w:t xml:space="preserve"> </w:t>
      </w:r>
      <w:r w:rsidR="0080345E" w:rsidRPr="000F7D85">
        <w:rPr>
          <w:rFonts w:ascii="Arial" w:hAnsi="Arial" w:cs="Arial"/>
          <w:sz w:val="22"/>
          <w:szCs w:val="22"/>
        </w:rPr>
        <w:t>health center</w:t>
      </w:r>
      <w:r w:rsidR="001E59B8" w:rsidRPr="000F7D85">
        <w:rPr>
          <w:rFonts w:ascii="Arial" w:hAnsi="Arial" w:cs="Arial"/>
          <w:sz w:val="22"/>
          <w:szCs w:val="22"/>
        </w:rPr>
        <w:t xml:space="preserve"> delivery sites that provide clinical care and/or provid</w:t>
      </w:r>
      <w:r w:rsidR="0048482E" w:rsidRPr="000F7D85">
        <w:rPr>
          <w:rFonts w:ascii="Arial" w:hAnsi="Arial" w:cs="Arial"/>
          <w:sz w:val="22"/>
          <w:szCs w:val="22"/>
        </w:rPr>
        <w:t>e referrals for clinical care. </w:t>
      </w:r>
      <w:r w:rsidR="006128CE" w:rsidRPr="000F7D85">
        <w:rPr>
          <w:rFonts w:ascii="Arial" w:hAnsi="Arial" w:cs="Arial"/>
          <w:sz w:val="22"/>
          <w:szCs w:val="22"/>
        </w:rPr>
        <w:t>M</w:t>
      </w:r>
      <w:r w:rsidR="001E59B8" w:rsidRPr="000F7D85">
        <w:rPr>
          <w:rFonts w:ascii="Arial" w:hAnsi="Arial" w:cs="Arial"/>
          <w:sz w:val="22"/>
          <w:szCs w:val="22"/>
        </w:rPr>
        <w:t>easures w</w:t>
      </w:r>
      <w:r w:rsidR="006128CE" w:rsidRPr="000F7D85">
        <w:rPr>
          <w:rFonts w:ascii="Arial" w:hAnsi="Arial" w:cs="Arial"/>
          <w:sz w:val="22"/>
          <w:szCs w:val="22"/>
        </w:rPr>
        <w:t>ere selected as a "starter set"</w:t>
      </w:r>
      <w:r w:rsidR="001E59B8" w:rsidRPr="000F7D85">
        <w:rPr>
          <w:rFonts w:ascii="Arial" w:hAnsi="Arial" w:cs="Arial"/>
          <w:sz w:val="22"/>
          <w:szCs w:val="22"/>
        </w:rPr>
        <w:t xml:space="preserve"> with the understanding that there are many other areas of importance to BPHC and the people and programs we serve. Most of the measures chosen are commonly used by Medicare and healthcare insurance/managed care organizations to assess the quality of healthcare services</w:t>
      </w:r>
      <w:r w:rsidR="0048482E" w:rsidRPr="000F7D85">
        <w:rPr>
          <w:rFonts w:ascii="Arial" w:hAnsi="Arial" w:cs="Arial"/>
          <w:sz w:val="22"/>
          <w:szCs w:val="22"/>
        </w:rPr>
        <w:t>. Q</w:t>
      </w:r>
      <w:r w:rsidR="001E59B8" w:rsidRPr="000F7D85">
        <w:rPr>
          <w:rFonts w:ascii="Arial" w:hAnsi="Arial" w:cs="Arial"/>
          <w:sz w:val="22"/>
          <w:szCs w:val="22"/>
        </w:rPr>
        <w:t>uality measures span the life cycle, represent clinically important conditions and services to program populations, and assess program impact.</w:t>
      </w:r>
      <w:r w:rsidR="006128CE" w:rsidRPr="000F7D85">
        <w:rPr>
          <w:rFonts w:ascii="Arial" w:hAnsi="Arial" w:cs="Arial"/>
          <w:sz w:val="22"/>
          <w:szCs w:val="22"/>
        </w:rPr>
        <w:t xml:space="preserve"> </w:t>
      </w:r>
    </w:p>
    <w:p w14:paraId="439C5016" w14:textId="77777777" w:rsidR="00325EEB" w:rsidRPr="000F7D85" w:rsidRDefault="006128CE" w:rsidP="00A71F21">
      <w:pPr>
        <w:pStyle w:val="NormalWeb"/>
        <w:spacing w:before="0" w:after="120"/>
        <w:rPr>
          <w:rFonts w:ascii="Arial" w:hAnsi="Arial" w:cs="Arial"/>
          <w:sz w:val="22"/>
          <w:szCs w:val="22"/>
        </w:rPr>
      </w:pPr>
      <w:r w:rsidRPr="000F7D85">
        <w:rPr>
          <w:rFonts w:ascii="Arial" w:hAnsi="Arial" w:cs="Arial"/>
          <w:sz w:val="22"/>
          <w:szCs w:val="22"/>
        </w:rPr>
        <w:t xml:space="preserve">UDS data </w:t>
      </w:r>
      <w:r w:rsidR="00AC07E5" w:rsidRPr="000F7D85">
        <w:rPr>
          <w:rFonts w:ascii="Arial" w:hAnsi="Arial" w:cs="Arial"/>
          <w:sz w:val="22"/>
          <w:szCs w:val="22"/>
        </w:rPr>
        <w:t xml:space="preserve">pertaining to HIV </w:t>
      </w:r>
      <w:r w:rsidR="0093219D" w:rsidRPr="000F7D85">
        <w:rPr>
          <w:rFonts w:ascii="Arial" w:hAnsi="Arial" w:cs="Arial"/>
          <w:sz w:val="22"/>
          <w:szCs w:val="22"/>
        </w:rPr>
        <w:t>are limited to the following</w:t>
      </w:r>
      <w:r w:rsidR="00AC07E5" w:rsidRPr="000F7D85">
        <w:rPr>
          <w:rFonts w:ascii="Arial" w:hAnsi="Arial" w:cs="Arial"/>
          <w:sz w:val="22"/>
          <w:szCs w:val="22"/>
        </w:rPr>
        <w:t>:</w:t>
      </w:r>
      <w:r w:rsidR="00C253EF" w:rsidRPr="000F7D85">
        <w:rPr>
          <w:rFonts w:ascii="Arial" w:hAnsi="Arial" w:cs="Arial"/>
          <w:sz w:val="22"/>
          <w:szCs w:val="22"/>
        </w:rPr>
        <w:t xml:space="preserve"> </w:t>
      </w:r>
      <w:r w:rsidR="0093219D" w:rsidRPr="000F7D85">
        <w:rPr>
          <w:rFonts w:ascii="Arial" w:hAnsi="Arial" w:cs="Arial"/>
          <w:sz w:val="22"/>
          <w:szCs w:val="22"/>
        </w:rPr>
        <w:t xml:space="preserve">1) </w:t>
      </w:r>
      <w:r w:rsidR="00C253EF" w:rsidRPr="000F7D85">
        <w:rPr>
          <w:rFonts w:ascii="Arial" w:hAnsi="Arial" w:cs="Arial"/>
          <w:sz w:val="22"/>
          <w:szCs w:val="22"/>
        </w:rPr>
        <w:t xml:space="preserve">patients newly diagnosed with HIV, </w:t>
      </w:r>
      <w:r w:rsidR="0093219D" w:rsidRPr="000F7D85">
        <w:rPr>
          <w:rFonts w:ascii="Arial" w:hAnsi="Arial" w:cs="Arial"/>
          <w:sz w:val="22"/>
          <w:szCs w:val="22"/>
        </w:rPr>
        <w:t xml:space="preserve">2) </w:t>
      </w:r>
      <w:r w:rsidR="00C253EF" w:rsidRPr="000F7D85">
        <w:rPr>
          <w:rFonts w:ascii="Arial" w:hAnsi="Arial" w:cs="Arial"/>
          <w:sz w:val="22"/>
          <w:szCs w:val="22"/>
        </w:rPr>
        <w:t xml:space="preserve">newly diagnosed </w:t>
      </w:r>
      <w:r w:rsidR="001E48E1" w:rsidRPr="000F7D85">
        <w:rPr>
          <w:rFonts w:ascii="Arial" w:hAnsi="Arial" w:cs="Arial"/>
          <w:sz w:val="22"/>
          <w:szCs w:val="22"/>
        </w:rPr>
        <w:t xml:space="preserve">patients </w:t>
      </w:r>
      <w:r w:rsidR="00C253EF" w:rsidRPr="000F7D85">
        <w:rPr>
          <w:rFonts w:ascii="Arial" w:hAnsi="Arial" w:cs="Arial"/>
          <w:sz w:val="22"/>
          <w:szCs w:val="22"/>
        </w:rPr>
        <w:t xml:space="preserve">who received follow-up care within 90 days, </w:t>
      </w:r>
      <w:r w:rsidR="0093219D" w:rsidRPr="000F7D85">
        <w:rPr>
          <w:rFonts w:ascii="Arial" w:hAnsi="Arial" w:cs="Arial"/>
          <w:sz w:val="22"/>
          <w:szCs w:val="22"/>
        </w:rPr>
        <w:t xml:space="preserve">3) </w:t>
      </w:r>
      <w:r w:rsidR="00DD3EEC" w:rsidRPr="000F7D85">
        <w:rPr>
          <w:rFonts w:ascii="Arial" w:hAnsi="Arial" w:cs="Arial"/>
          <w:sz w:val="22"/>
          <w:szCs w:val="22"/>
        </w:rPr>
        <w:t xml:space="preserve">HIV tests </w:t>
      </w:r>
      <w:r w:rsidR="00C253EF" w:rsidRPr="000F7D85">
        <w:rPr>
          <w:rFonts w:ascii="Arial" w:hAnsi="Arial" w:cs="Arial"/>
          <w:sz w:val="22"/>
          <w:szCs w:val="22"/>
        </w:rPr>
        <w:t xml:space="preserve">conducted by patients and visits, </w:t>
      </w:r>
      <w:r w:rsidR="0093219D" w:rsidRPr="000F7D85">
        <w:rPr>
          <w:rFonts w:ascii="Arial" w:hAnsi="Arial" w:cs="Arial"/>
          <w:sz w:val="22"/>
          <w:szCs w:val="22"/>
        </w:rPr>
        <w:t>4)</w:t>
      </w:r>
      <w:r w:rsidR="00C253EF" w:rsidRPr="000F7D85">
        <w:rPr>
          <w:rFonts w:ascii="Arial" w:hAnsi="Arial" w:cs="Arial"/>
          <w:sz w:val="22"/>
          <w:szCs w:val="22"/>
        </w:rPr>
        <w:t xml:space="preserve"> HIV/AIDS related diagnoses by patients and visits, and </w:t>
      </w:r>
      <w:r w:rsidR="0093219D" w:rsidRPr="000F7D85">
        <w:rPr>
          <w:rFonts w:ascii="Arial" w:hAnsi="Arial" w:cs="Arial"/>
          <w:sz w:val="22"/>
          <w:szCs w:val="22"/>
        </w:rPr>
        <w:t xml:space="preserve">5) </w:t>
      </w:r>
      <w:r w:rsidR="00C253EF" w:rsidRPr="000F7D85">
        <w:rPr>
          <w:rFonts w:ascii="Arial" w:hAnsi="Arial" w:cs="Arial"/>
          <w:sz w:val="22"/>
          <w:szCs w:val="22"/>
        </w:rPr>
        <w:t xml:space="preserve">pregnant women known to be positive. These data are not </w:t>
      </w:r>
      <w:r w:rsidR="00430A0A" w:rsidRPr="000F7D85">
        <w:rPr>
          <w:rFonts w:ascii="Arial" w:hAnsi="Arial" w:cs="Arial"/>
          <w:sz w:val="22"/>
          <w:szCs w:val="22"/>
        </w:rPr>
        <w:t xml:space="preserve">adequate to </w:t>
      </w:r>
      <w:r w:rsidR="00062593" w:rsidRPr="000F7D85">
        <w:rPr>
          <w:rFonts w:ascii="Arial" w:hAnsi="Arial" w:cs="Arial"/>
          <w:sz w:val="22"/>
          <w:szCs w:val="22"/>
        </w:rPr>
        <w:t xml:space="preserve">ensure participating health centers are in compliance </w:t>
      </w:r>
      <w:r w:rsidR="00176177">
        <w:rPr>
          <w:rFonts w:ascii="Arial" w:hAnsi="Arial" w:cs="Arial"/>
          <w:sz w:val="22"/>
          <w:szCs w:val="22"/>
        </w:rPr>
        <w:t xml:space="preserve">with </w:t>
      </w:r>
      <w:r w:rsidR="00062593" w:rsidRPr="000F7D85">
        <w:rPr>
          <w:rFonts w:ascii="Arial" w:hAnsi="Arial" w:cs="Arial"/>
          <w:sz w:val="22"/>
          <w:szCs w:val="22"/>
        </w:rPr>
        <w:t>P4C terms and requirements</w:t>
      </w:r>
      <w:r w:rsidR="00325EEB" w:rsidRPr="000F7D85">
        <w:rPr>
          <w:rFonts w:ascii="Arial" w:hAnsi="Arial" w:cs="Arial"/>
          <w:sz w:val="22"/>
          <w:szCs w:val="22"/>
        </w:rPr>
        <w:t xml:space="preserve">. </w:t>
      </w:r>
      <w:r w:rsidR="003C5C2A" w:rsidRPr="000F7D85">
        <w:rPr>
          <w:rFonts w:ascii="Arial" w:hAnsi="Arial" w:cs="Arial"/>
          <w:sz w:val="22"/>
          <w:szCs w:val="22"/>
        </w:rPr>
        <w:t xml:space="preserve">Additional data are needed to </w:t>
      </w:r>
      <w:r w:rsidR="006D734E" w:rsidRPr="000F7D85">
        <w:rPr>
          <w:rFonts w:ascii="Arial" w:hAnsi="Arial" w:cs="Arial"/>
          <w:sz w:val="22"/>
          <w:szCs w:val="22"/>
        </w:rPr>
        <w:t xml:space="preserve">make evidence-based statements about the impact of </w:t>
      </w:r>
      <w:r w:rsidR="003C5C2A" w:rsidRPr="000F7D85">
        <w:rPr>
          <w:rFonts w:ascii="Arial" w:hAnsi="Arial" w:cs="Arial"/>
          <w:sz w:val="22"/>
          <w:szCs w:val="22"/>
        </w:rPr>
        <w:t xml:space="preserve">the P4C project </w:t>
      </w:r>
      <w:r w:rsidR="006D734E" w:rsidRPr="000F7D85">
        <w:rPr>
          <w:rFonts w:ascii="Arial" w:hAnsi="Arial" w:cs="Arial"/>
          <w:sz w:val="22"/>
          <w:szCs w:val="22"/>
        </w:rPr>
        <w:t xml:space="preserve">on increasing access to HIV care and treatment and improving health outcomes for </w:t>
      </w:r>
      <w:r w:rsidR="003C5C2A" w:rsidRPr="000F7D85">
        <w:rPr>
          <w:rFonts w:ascii="Arial" w:hAnsi="Arial" w:cs="Arial"/>
          <w:sz w:val="22"/>
          <w:szCs w:val="22"/>
        </w:rPr>
        <w:t>PLWH in primary care settings</w:t>
      </w:r>
      <w:r w:rsidR="009303E2" w:rsidRPr="000F7D85">
        <w:rPr>
          <w:rFonts w:ascii="Arial" w:hAnsi="Arial" w:cs="Arial"/>
          <w:sz w:val="22"/>
          <w:szCs w:val="22"/>
        </w:rPr>
        <w:t>.</w:t>
      </w:r>
      <w:r w:rsidR="00C253EF" w:rsidRPr="000F7D85">
        <w:rPr>
          <w:rFonts w:ascii="Arial" w:hAnsi="Arial" w:cs="Arial"/>
          <w:sz w:val="22"/>
          <w:szCs w:val="22"/>
        </w:rPr>
        <w:t xml:space="preserve"> </w:t>
      </w:r>
    </w:p>
    <w:p w14:paraId="5EB93FF2" w14:textId="54E3F5D4" w:rsidR="00D876BC" w:rsidRPr="000F7D85" w:rsidRDefault="00D876BC" w:rsidP="00A71F21">
      <w:pPr>
        <w:spacing w:after="120"/>
        <w:rPr>
          <w:rFonts w:ascii="Arial" w:hAnsi="Arial" w:cs="Arial"/>
          <w:sz w:val="22"/>
          <w:szCs w:val="22"/>
        </w:rPr>
      </w:pPr>
      <w:r w:rsidRPr="000F7D85">
        <w:rPr>
          <w:rFonts w:ascii="Arial" w:hAnsi="Arial" w:cs="Arial"/>
          <w:sz w:val="22"/>
          <w:szCs w:val="22"/>
        </w:rPr>
        <w:t>H</w:t>
      </w:r>
      <w:r w:rsidR="00C54069">
        <w:rPr>
          <w:rFonts w:ascii="Arial" w:hAnsi="Arial" w:cs="Arial"/>
          <w:sz w:val="22"/>
          <w:szCs w:val="22"/>
        </w:rPr>
        <w:t>RSA/BPHC proposes submission of</w:t>
      </w:r>
      <w:r w:rsidR="00712858">
        <w:rPr>
          <w:rFonts w:ascii="Arial" w:hAnsi="Arial" w:cs="Arial"/>
          <w:sz w:val="22"/>
          <w:szCs w:val="22"/>
        </w:rPr>
        <w:t xml:space="preserve"> bi-annual</w:t>
      </w:r>
      <w:r w:rsidR="009C51CD" w:rsidRPr="000F7D85">
        <w:rPr>
          <w:rFonts w:ascii="Arial" w:hAnsi="Arial" w:cs="Arial"/>
          <w:sz w:val="22"/>
          <w:szCs w:val="22"/>
        </w:rPr>
        <w:t xml:space="preserve"> progress reports</w:t>
      </w:r>
      <w:r w:rsidRPr="000F7D85">
        <w:rPr>
          <w:rFonts w:ascii="Arial" w:hAnsi="Arial" w:cs="Arial"/>
          <w:sz w:val="22"/>
          <w:szCs w:val="22"/>
        </w:rPr>
        <w:t xml:space="preserve"> by the 22 health centers participating in the P4C project</w:t>
      </w:r>
      <w:r w:rsidR="00712858">
        <w:rPr>
          <w:rFonts w:ascii="Arial" w:hAnsi="Arial" w:cs="Arial"/>
          <w:sz w:val="22"/>
          <w:szCs w:val="22"/>
        </w:rPr>
        <w:t xml:space="preserve"> using two different forms</w:t>
      </w:r>
      <w:r w:rsidRPr="000F7D85">
        <w:rPr>
          <w:rFonts w:ascii="Arial" w:hAnsi="Arial" w:cs="Arial"/>
          <w:sz w:val="22"/>
          <w:szCs w:val="22"/>
        </w:rPr>
        <w:t xml:space="preserve">. The first </w:t>
      </w:r>
      <w:r w:rsidR="00712858">
        <w:rPr>
          <w:rFonts w:ascii="Arial" w:hAnsi="Arial" w:cs="Arial"/>
          <w:sz w:val="22"/>
          <w:szCs w:val="22"/>
        </w:rPr>
        <w:t>form</w:t>
      </w:r>
      <w:r w:rsidR="00712858" w:rsidRPr="000F7D85">
        <w:rPr>
          <w:rFonts w:ascii="Arial" w:hAnsi="Arial" w:cs="Arial"/>
          <w:sz w:val="22"/>
          <w:szCs w:val="22"/>
        </w:rPr>
        <w:t xml:space="preserve"> </w:t>
      </w:r>
      <w:r w:rsidRPr="000F7D85">
        <w:rPr>
          <w:rFonts w:ascii="Arial" w:hAnsi="Arial" w:cs="Arial"/>
          <w:sz w:val="22"/>
          <w:szCs w:val="22"/>
        </w:rPr>
        <w:t xml:space="preserve">will request information on </w:t>
      </w:r>
      <w:r w:rsidR="009C51CD" w:rsidRPr="000F7D85">
        <w:rPr>
          <w:rFonts w:ascii="Arial" w:hAnsi="Arial" w:cs="Arial"/>
          <w:sz w:val="22"/>
          <w:szCs w:val="22"/>
        </w:rPr>
        <w:t xml:space="preserve">project implementation, including </w:t>
      </w:r>
      <w:r w:rsidR="007E4A95" w:rsidRPr="000F7D85">
        <w:rPr>
          <w:rFonts w:ascii="Arial" w:hAnsi="Arial" w:cs="Arial"/>
          <w:sz w:val="22"/>
          <w:szCs w:val="22"/>
        </w:rPr>
        <w:t>work plan progress</w:t>
      </w:r>
      <w:r w:rsidR="00C54069">
        <w:rPr>
          <w:rFonts w:ascii="Arial" w:hAnsi="Arial" w:cs="Arial"/>
          <w:sz w:val="22"/>
          <w:szCs w:val="22"/>
        </w:rPr>
        <w:t xml:space="preserve"> in each of the project’s five focus areas</w:t>
      </w:r>
      <w:r w:rsidR="007E4A95" w:rsidRPr="000F7D85">
        <w:rPr>
          <w:rFonts w:ascii="Arial" w:hAnsi="Arial" w:cs="Arial"/>
          <w:sz w:val="22"/>
          <w:szCs w:val="22"/>
        </w:rPr>
        <w:t xml:space="preserve">; budget modifications; established </w:t>
      </w:r>
      <w:r w:rsidR="002A42C9">
        <w:rPr>
          <w:rFonts w:ascii="Arial" w:hAnsi="Arial" w:cs="Arial"/>
          <w:sz w:val="22"/>
          <w:szCs w:val="22"/>
        </w:rPr>
        <w:t xml:space="preserve">and actual </w:t>
      </w:r>
      <w:r w:rsidR="007E4A95" w:rsidRPr="000F7D85">
        <w:rPr>
          <w:rFonts w:ascii="Arial" w:hAnsi="Arial" w:cs="Arial"/>
          <w:sz w:val="22"/>
          <w:szCs w:val="22"/>
        </w:rPr>
        <w:t>projections for service delivery, workforce development and partnership development; successes or promising practices; and training and technical assistance needs</w:t>
      </w:r>
      <w:r w:rsidRPr="000F7D85">
        <w:rPr>
          <w:rFonts w:ascii="Arial" w:hAnsi="Arial" w:cs="Arial"/>
          <w:sz w:val="22"/>
          <w:szCs w:val="22"/>
        </w:rPr>
        <w:t xml:space="preserve">. The second </w:t>
      </w:r>
      <w:r w:rsidR="003E1C7F">
        <w:rPr>
          <w:rFonts w:ascii="Arial" w:hAnsi="Arial" w:cs="Arial"/>
          <w:sz w:val="22"/>
          <w:szCs w:val="22"/>
        </w:rPr>
        <w:t>form</w:t>
      </w:r>
      <w:r w:rsidR="003E1C7F" w:rsidRPr="000F7D85">
        <w:rPr>
          <w:rFonts w:ascii="Arial" w:hAnsi="Arial" w:cs="Arial"/>
          <w:sz w:val="22"/>
          <w:szCs w:val="22"/>
        </w:rPr>
        <w:t xml:space="preserve"> </w:t>
      </w:r>
      <w:r w:rsidR="009C51CD" w:rsidRPr="000F7D85">
        <w:rPr>
          <w:rFonts w:ascii="Arial" w:hAnsi="Arial" w:cs="Arial"/>
          <w:sz w:val="22"/>
          <w:szCs w:val="22"/>
        </w:rPr>
        <w:t xml:space="preserve">will request information on both project implementation and outcomes, including the implementation information requested in the first </w:t>
      </w:r>
      <w:r w:rsidR="00C54069">
        <w:rPr>
          <w:rFonts w:ascii="Arial" w:hAnsi="Arial" w:cs="Arial"/>
          <w:sz w:val="22"/>
          <w:szCs w:val="22"/>
        </w:rPr>
        <w:t>form</w:t>
      </w:r>
      <w:r w:rsidR="009C51CD" w:rsidRPr="000F7D85">
        <w:rPr>
          <w:rFonts w:ascii="Arial" w:hAnsi="Arial" w:cs="Arial"/>
          <w:sz w:val="22"/>
          <w:szCs w:val="22"/>
        </w:rPr>
        <w:t xml:space="preserve"> along with </w:t>
      </w:r>
      <w:r w:rsidRPr="000F7D85">
        <w:rPr>
          <w:rFonts w:ascii="Arial" w:hAnsi="Arial" w:cs="Arial"/>
          <w:sz w:val="22"/>
          <w:szCs w:val="22"/>
        </w:rPr>
        <w:t xml:space="preserve">reporting of 14 </w:t>
      </w:r>
      <w:r w:rsidR="003C5C2A" w:rsidRPr="000F7D85">
        <w:rPr>
          <w:rFonts w:ascii="Arial" w:hAnsi="Arial" w:cs="Arial"/>
          <w:sz w:val="22"/>
          <w:szCs w:val="22"/>
        </w:rPr>
        <w:t xml:space="preserve">HIV </w:t>
      </w:r>
      <w:r w:rsidRPr="000F7D85">
        <w:rPr>
          <w:rFonts w:ascii="Arial" w:hAnsi="Arial" w:cs="Arial"/>
          <w:sz w:val="22"/>
          <w:szCs w:val="22"/>
        </w:rPr>
        <w:t>outcome measures</w:t>
      </w:r>
      <w:r w:rsidR="002C21E0">
        <w:rPr>
          <w:rFonts w:ascii="Arial" w:hAnsi="Arial" w:cs="Arial"/>
          <w:sz w:val="22"/>
          <w:szCs w:val="22"/>
        </w:rPr>
        <w:t xml:space="preserve"> listed below. </w:t>
      </w:r>
    </w:p>
    <w:p w14:paraId="03D70C99" w14:textId="77777777" w:rsidR="00D876BC" w:rsidRPr="000F7D85" w:rsidRDefault="00D876BC" w:rsidP="00A71F21">
      <w:pPr>
        <w:pStyle w:val="ListParagraph"/>
        <w:numPr>
          <w:ilvl w:val="0"/>
          <w:numId w:val="11"/>
        </w:numPr>
        <w:spacing w:after="120"/>
        <w:rPr>
          <w:rFonts w:ascii="Arial" w:hAnsi="Arial" w:cs="Arial"/>
          <w:sz w:val="22"/>
          <w:szCs w:val="22"/>
        </w:rPr>
      </w:pPr>
      <w:r w:rsidRPr="000F7D85">
        <w:rPr>
          <w:rFonts w:ascii="Arial" w:hAnsi="Arial" w:cs="Arial"/>
          <w:sz w:val="22"/>
          <w:szCs w:val="22"/>
        </w:rPr>
        <w:t>Percent of medical patients aged 15-65 years seen during the reporting period who had at least one HIV test in their lifetime by race/ethnicity and gender</w:t>
      </w:r>
    </w:p>
    <w:p w14:paraId="6C0AE959" w14:textId="77777777" w:rsidR="00D876BC" w:rsidRPr="000F7D85" w:rsidRDefault="00D876BC" w:rsidP="00A71F21">
      <w:pPr>
        <w:pStyle w:val="Default"/>
        <w:numPr>
          <w:ilvl w:val="0"/>
          <w:numId w:val="11"/>
        </w:numPr>
        <w:spacing w:after="120"/>
        <w:rPr>
          <w:rFonts w:ascii="Arial" w:hAnsi="Arial" w:cs="Arial"/>
          <w:sz w:val="22"/>
          <w:szCs w:val="22"/>
        </w:rPr>
      </w:pPr>
      <w:r w:rsidRPr="000F7D85">
        <w:rPr>
          <w:rFonts w:ascii="Arial" w:hAnsi="Arial" w:cs="Arial"/>
          <w:sz w:val="22"/>
          <w:szCs w:val="22"/>
        </w:rPr>
        <w:t xml:space="preserve">Percent of medical patients aged 15-65 years in need of HIV testing who were tested for HIV as part of a medical care visit during the reporting period </w:t>
      </w:r>
    </w:p>
    <w:p w14:paraId="79A6FC21" w14:textId="77777777" w:rsidR="00D876BC" w:rsidRPr="000F7D85" w:rsidRDefault="00D876BC" w:rsidP="00A71F21">
      <w:pPr>
        <w:pStyle w:val="Default"/>
        <w:numPr>
          <w:ilvl w:val="0"/>
          <w:numId w:val="11"/>
        </w:numPr>
        <w:spacing w:after="120"/>
        <w:rPr>
          <w:rFonts w:ascii="Arial" w:hAnsi="Arial" w:cs="Arial"/>
          <w:sz w:val="22"/>
          <w:szCs w:val="22"/>
        </w:rPr>
      </w:pPr>
      <w:r w:rsidRPr="000F7D85">
        <w:rPr>
          <w:rFonts w:ascii="Arial" w:hAnsi="Arial" w:cs="Arial"/>
          <w:sz w:val="22"/>
          <w:szCs w:val="22"/>
        </w:rPr>
        <w:t xml:space="preserve">Percent of medical patients aged 15-65 years in need of HIV testing who were tested for HIV as part of a non-medical care visit during the reporting period </w:t>
      </w:r>
    </w:p>
    <w:p w14:paraId="1623877C" w14:textId="77777777" w:rsidR="00D876BC" w:rsidRPr="000F7D85" w:rsidRDefault="00D876BC" w:rsidP="00A71F21">
      <w:pPr>
        <w:pStyle w:val="Default"/>
        <w:numPr>
          <w:ilvl w:val="0"/>
          <w:numId w:val="11"/>
        </w:numPr>
        <w:spacing w:after="120"/>
        <w:rPr>
          <w:rFonts w:ascii="Arial" w:hAnsi="Arial" w:cs="Arial"/>
          <w:sz w:val="22"/>
          <w:szCs w:val="22"/>
        </w:rPr>
      </w:pPr>
      <w:r w:rsidRPr="000F7D85">
        <w:rPr>
          <w:rFonts w:ascii="Arial" w:hAnsi="Arial" w:cs="Arial"/>
          <w:sz w:val="22"/>
          <w:szCs w:val="22"/>
        </w:rPr>
        <w:t xml:space="preserve">Percent of medical patients aged 15-65 years and tested for HIV who had a new, confirmed diagnosis of HIV during the reporting period </w:t>
      </w:r>
    </w:p>
    <w:p w14:paraId="6C115F82" w14:textId="77777777" w:rsidR="00D876BC" w:rsidRPr="000F7D85" w:rsidRDefault="00D876BC" w:rsidP="00A71F21">
      <w:pPr>
        <w:pStyle w:val="Default"/>
        <w:numPr>
          <w:ilvl w:val="0"/>
          <w:numId w:val="11"/>
        </w:numPr>
        <w:spacing w:after="120"/>
        <w:rPr>
          <w:rFonts w:ascii="Arial" w:hAnsi="Arial" w:cs="Arial"/>
          <w:sz w:val="22"/>
          <w:szCs w:val="22"/>
        </w:rPr>
      </w:pPr>
      <w:r w:rsidRPr="000F7D85">
        <w:rPr>
          <w:rFonts w:ascii="Arial" w:hAnsi="Arial" w:cs="Arial"/>
          <w:sz w:val="22"/>
          <w:szCs w:val="22"/>
        </w:rPr>
        <w:lastRenderedPageBreak/>
        <w:t xml:space="preserve">Percent of medical patients tested for HIV between October 1st of the previous reporting period and September 30th of the current reporting period who had a new, confirmed diagnosis of HIV </w:t>
      </w:r>
    </w:p>
    <w:p w14:paraId="7189F8A8" w14:textId="77777777" w:rsidR="00D876BC" w:rsidRPr="000F7D85" w:rsidRDefault="00D876BC" w:rsidP="00A71F21">
      <w:pPr>
        <w:pStyle w:val="Default"/>
        <w:numPr>
          <w:ilvl w:val="0"/>
          <w:numId w:val="11"/>
        </w:numPr>
        <w:spacing w:after="120"/>
        <w:rPr>
          <w:rFonts w:ascii="Arial" w:hAnsi="Arial" w:cs="Arial"/>
          <w:sz w:val="22"/>
          <w:szCs w:val="22"/>
        </w:rPr>
      </w:pPr>
      <w:r w:rsidRPr="000F7D85">
        <w:rPr>
          <w:rFonts w:ascii="Arial" w:hAnsi="Arial" w:cs="Arial"/>
          <w:sz w:val="22"/>
          <w:szCs w:val="22"/>
        </w:rPr>
        <w:t xml:space="preserve">Percent of medical patients with a new, confirmed diagnosis of HIV between October 1st of the previous reporting period and September 30th of the current reporting period who received HIV medical care within 90 days after HIV diagnosis </w:t>
      </w:r>
    </w:p>
    <w:p w14:paraId="55153DBD" w14:textId="77777777" w:rsidR="00D876BC" w:rsidRPr="000F7D85" w:rsidRDefault="00D876BC" w:rsidP="00A71F21">
      <w:pPr>
        <w:pStyle w:val="Default"/>
        <w:numPr>
          <w:ilvl w:val="0"/>
          <w:numId w:val="11"/>
        </w:numPr>
        <w:spacing w:after="120"/>
        <w:rPr>
          <w:rFonts w:ascii="Arial" w:hAnsi="Arial" w:cs="Arial"/>
          <w:sz w:val="22"/>
          <w:szCs w:val="22"/>
        </w:rPr>
      </w:pPr>
      <w:r w:rsidRPr="000F7D85">
        <w:rPr>
          <w:rFonts w:ascii="Arial" w:hAnsi="Arial" w:cs="Arial"/>
          <w:sz w:val="22"/>
          <w:szCs w:val="22"/>
        </w:rPr>
        <w:t xml:space="preserve">Percent of medical patients with a new, confirmed diagnosis of HIV between October 1st of the previous reporting period and September 30th of the current reporting period who were provided HIV risk reduction screening/counseling within 90 days after HIV diagnosis </w:t>
      </w:r>
    </w:p>
    <w:p w14:paraId="2AEE6D7A" w14:textId="77777777" w:rsidR="00D876BC" w:rsidRPr="000F7D85" w:rsidRDefault="00D876BC" w:rsidP="00A71F21">
      <w:pPr>
        <w:pStyle w:val="Default"/>
        <w:numPr>
          <w:ilvl w:val="0"/>
          <w:numId w:val="11"/>
        </w:numPr>
        <w:spacing w:after="120"/>
        <w:rPr>
          <w:rFonts w:ascii="Arial" w:hAnsi="Arial" w:cs="Arial"/>
          <w:sz w:val="22"/>
          <w:szCs w:val="22"/>
        </w:rPr>
      </w:pPr>
      <w:r w:rsidRPr="000F7D85">
        <w:rPr>
          <w:rFonts w:ascii="Arial" w:hAnsi="Arial" w:cs="Arial"/>
          <w:sz w:val="22"/>
          <w:szCs w:val="22"/>
        </w:rPr>
        <w:t xml:space="preserve">Percent of medical patients with a new, confirmed diagnosis of HIV between October 1st of the previous reporting period and September 30th of the current reporting period who were screened for chlamydial infection and gonorrhea and syphilis within 90 days of HIV diagnosis </w:t>
      </w:r>
    </w:p>
    <w:p w14:paraId="17EAB7CA" w14:textId="77777777" w:rsidR="00D876BC" w:rsidRPr="000F7D85" w:rsidRDefault="00D876BC" w:rsidP="00A71F21">
      <w:pPr>
        <w:pStyle w:val="Default"/>
        <w:numPr>
          <w:ilvl w:val="0"/>
          <w:numId w:val="11"/>
        </w:numPr>
        <w:spacing w:after="120"/>
        <w:rPr>
          <w:rFonts w:ascii="Arial" w:hAnsi="Arial" w:cs="Arial"/>
          <w:sz w:val="22"/>
          <w:szCs w:val="22"/>
        </w:rPr>
      </w:pPr>
      <w:r w:rsidRPr="000F7D85">
        <w:rPr>
          <w:rFonts w:ascii="Arial" w:hAnsi="Arial" w:cs="Arial"/>
          <w:sz w:val="22"/>
          <w:szCs w:val="22"/>
        </w:rPr>
        <w:t>Percent of HIV-positive medical patients during the previous reporting period who had at least one HIV medical care visit during each half of the current reporting period at least 60 days apart by race/ethnicity and gender</w:t>
      </w:r>
    </w:p>
    <w:p w14:paraId="22998B63" w14:textId="77777777" w:rsidR="00D876BC" w:rsidRPr="000F7D85" w:rsidRDefault="00D876BC" w:rsidP="00A71F21">
      <w:pPr>
        <w:pStyle w:val="Default"/>
        <w:numPr>
          <w:ilvl w:val="0"/>
          <w:numId w:val="11"/>
        </w:numPr>
        <w:spacing w:after="120"/>
        <w:rPr>
          <w:rFonts w:ascii="Arial" w:hAnsi="Arial" w:cs="Arial"/>
          <w:sz w:val="22"/>
          <w:szCs w:val="22"/>
        </w:rPr>
      </w:pPr>
      <w:r w:rsidRPr="000F7D85">
        <w:rPr>
          <w:rFonts w:ascii="Arial" w:hAnsi="Arial" w:cs="Arial"/>
          <w:sz w:val="22"/>
          <w:szCs w:val="22"/>
        </w:rPr>
        <w:t xml:space="preserve">Percent of HIV-positive medical patients during the reporting period who were prescribed ART </w:t>
      </w:r>
    </w:p>
    <w:p w14:paraId="778527FB" w14:textId="77777777" w:rsidR="00D876BC" w:rsidRPr="000F7D85" w:rsidRDefault="00D876BC" w:rsidP="00A71F21">
      <w:pPr>
        <w:pStyle w:val="Default"/>
        <w:numPr>
          <w:ilvl w:val="0"/>
          <w:numId w:val="11"/>
        </w:numPr>
        <w:spacing w:after="120"/>
        <w:rPr>
          <w:rFonts w:ascii="Arial" w:hAnsi="Arial" w:cs="Arial"/>
          <w:sz w:val="22"/>
          <w:szCs w:val="22"/>
        </w:rPr>
      </w:pPr>
      <w:r w:rsidRPr="000F7D85">
        <w:rPr>
          <w:rFonts w:ascii="Arial" w:hAnsi="Arial" w:cs="Arial"/>
          <w:sz w:val="22"/>
          <w:szCs w:val="22"/>
        </w:rPr>
        <w:t>Percent of HIV-positive medical patients during the reporting period who had a viral load &lt;200 copies/mL at most recent test by race/ethnicity and gender</w:t>
      </w:r>
    </w:p>
    <w:p w14:paraId="4A5BD247" w14:textId="77777777" w:rsidR="00D876BC" w:rsidRPr="000F7D85" w:rsidRDefault="00D876BC" w:rsidP="00A71F21">
      <w:pPr>
        <w:pStyle w:val="Default"/>
        <w:numPr>
          <w:ilvl w:val="0"/>
          <w:numId w:val="11"/>
        </w:numPr>
        <w:spacing w:after="120"/>
        <w:rPr>
          <w:rFonts w:ascii="Arial" w:hAnsi="Arial" w:cs="Arial"/>
          <w:sz w:val="22"/>
          <w:szCs w:val="22"/>
        </w:rPr>
      </w:pPr>
      <w:r w:rsidRPr="000F7D85">
        <w:rPr>
          <w:rFonts w:ascii="Arial" w:hAnsi="Arial" w:cs="Arial"/>
          <w:sz w:val="22"/>
          <w:szCs w:val="22"/>
        </w:rPr>
        <w:t xml:space="preserve">Percent of HIV-positive medical patients during the reporting period who had a viral load &lt;75 copies/mL at most recent test </w:t>
      </w:r>
    </w:p>
    <w:p w14:paraId="3F9EBEA4" w14:textId="77777777" w:rsidR="00D876BC" w:rsidRPr="000F7D85" w:rsidRDefault="00D876BC" w:rsidP="00A71F21">
      <w:pPr>
        <w:pStyle w:val="Default"/>
        <w:numPr>
          <w:ilvl w:val="0"/>
          <w:numId w:val="11"/>
        </w:numPr>
        <w:spacing w:after="120"/>
        <w:rPr>
          <w:rFonts w:ascii="Arial" w:hAnsi="Arial" w:cs="Arial"/>
          <w:sz w:val="22"/>
          <w:szCs w:val="22"/>
        </w:rPr>
      </w:pPr>
      <w:r w:rsidRPr="000F7D85">
        <w:rPr>
          <w:rFonts w:ascii="Arial" w:hAnsi="Arial" w:cs="Arial"/>
          <w:sz w:val="22"/>
          <w:szCs w:val="22"/>
        </w:rPr>
        <w:t xml:space="preserve">Percent of HIV-positive patients during the reporting period who had at least one HIV medical care visit at the health center during the reporting period </w:t>
      </w:r>
    </w:p>
    <w:p w14:paraId="4804730B" w14:textId="77777777" w:rsidR="00D876BC" w:rsidRPr="000F7D85" w:rsidRDefault="00D876BC" w:rsidP="00A71F21">
      <w:pPr>
        <w:pStyle w:val="Default"/>
        <w:numPr>
          <w:ilvl w:val="0"/>
          <w:numId w:val="11"/>
        </w:numPr>
        <w:spacing w:after="120"/>
        <w:rPr>
          <w:rFonts w:ascii="Arial" w:hAnsi="Arial" w:cs="Arial"/>
          <w:sz w:val="22"/>
          <w:szCs w:val="22"/>
        </w:rPr>
      </w:pPr>
      <w:r w:rsidRPr="000F7D85">
        <w:rPr>
          <w:rFonts w:ascii="Arial" w:hAnsi="Arial" w:cs="Arial"/>
          <w:sz w:val="22"/>
          <w:szCs w:val="22"/>
        </w:rPr>
        <w:t xml:space="preserve">Percent of medical patients aged 15-65 years seen during the reporting period who were known to be HIV-positive </w:t>
      </w:r>
    </w:p>
    <w:p w14:paraId="6DBE4230" w14:textId="77777777" w:rsidR="00D71E3B" w:rsidRPr="000F7D85" w:rsidRDefault="00D71E3B" w:rsidP="00A71F21">
      <w:pPr>
        <w:spacing w:after="120"/>
        <w:rPr>
          <w:rFonts w:ascii="Arial" w:hAnsi="Arial" w:cs="Arial"/>
          <w:sz w:val="22"/>
          <w:szCs w:val="22"/>
        </w:rPr>
      </w:pPr>
      <w:r w:rsidRPr="000F7D85">
        <w:rPr>
          <w:rFonts w:ascii="Arial" w:hAnsi="Arial" w:cs="Arial"/>
          <w:sz w:val="22"/>
          <w:szCs w:val="22"/>
        </w:rPr>
        <w:t xml:space="preserve">Proposed outcome measures are intrinsically tied to P4C goals and objectives, and closely align with HIV measures established by other federal programs or </w:t>
      </w:r>
      <w:r w:rsidR="003C5C2A" w:rsidRPr="000F7D85">
        <w:rPr>
          <w:rFonts w:ascii="Arial" w:hAnsi="Arial" w:cs="Arial"/>
          <w:sz w:val="22"/>
          <w:szCs w:val="22"/>
        </w:rPr>
        <w:t xml:space="preserve">through </w:t>
      </w:r>
      <w:r w:rsidRPr="000F7D85">
        <w:rPr>
          <w:rFonts w:ascii="Arial" w:hAnsi="Arial" w:cs="Arial"/>
          <w:sz w:val="22"/>
          <w:szCs w:val="22"/>
        </w:rPr>
        <w:t xml:space="preserve">national, consensus-driven efforts, including: </w:t>
      </w:r>
    </w:p>
    <w:p w14:paraId="36FE196F" w14:textId="77777777" w:rsidR="003C5C2A" w:rsidRPr="000F7D85" w:rsidRDefault="003C5C2A" w:rsidP="00A71F21">
      <w:pPr>
        <w:pStyle w:val="ListParagraph"/>
        <w:numPr>
          <w:ilvl w:val="0"/>
          <w:numId w:val="9"/>
        </w:numPr>
        <w:spacing w:after="120"/>
        <w:rPr>
          <w:rFonts w:ascii="Arial" w:hAnsi="Arial" w:cs="Arial"/>
          <w:sz w:val="22"/>
          <w:szCs w:val="22"/>
        </w:rPr>
      </w:pPr>
      <w:r w:rsidRPr="000F7D85">
        <w:rPr>
          <w:rFonts w:ascii="Arial" w:hAnsi="Arial" w:cs="Arial"/>
          <w:sz w:val="22"/>
          <w:szCs w:val="22"/>
        </w:rPr>
        <w:t>Ryan White HIV/AIDS Program use of performance measures for program evaluation (</w:t>
      </w:r>
      <w:hyperlink r:id="rId12" w:history="1">
        <w:r w:rsidRPr="000F7D85">
          <w:rPr>
            <w:rStyle w:val="Hyperlink"/>
            <w:rFonts w:ascii="Arial" w:hAnsi="Arial" w:cs="Arial"/>
            <w:sz w:val="22"/>
            <w:szCs w:val="22"/>
          </w:rPr>
          <w:t>http://hab.hrsa.gov/deliverhivaidscare/habperformmeasures.html</w:t>
        </w:r>
      </w:hyperlink>
      <w:r w:rsidRPr="000F7D85">
        <w:rPr>
          <w:rFonts w:ascii="Arial" w:hAnsi="Arial" w:cs="Arial"/>
          <w:sz w:val="22"/>
          <w:szCs w:val="22"/>
        </w:rPr>
        <w:t xml:space="preserve">), </w:t>
      </w:r>
    </w:p>
    <w:p w14:paraId="4D2283AD" w14:textId="77777777" w:rsidR="00D71E3B" w:rsidRPr="000F7D85" w:rsidRDefault="00D71E3B" w:rsidP="00A71F21">
      <w:pPr>
        <w:pStyle w:val="ListParagraph"/>
        <w:numPr>
          <w:ilvl w:val="0"/>
          <w:numId w:val="9"/>
        </w:numPr>
        <w:spacing w:after="120"/>
        <w:rPr>
          <w:rFonts w:ascii="Arial" w:hAnsi="Arial" w:cs="Arial"/>
          <w:sz w:val="22"/>
          <w:szCs w:val="22"/>
        </w:rPr>
      </w:pPr>
      <w:r w:rsidRPr="000F7D85">
        <w:rPr>
          <w:rFonts w:ascii="Arial" w:hAnsi="Arial" w:cs="Arial"/>
          <w:sz w:val="22"/>
          <w:szCs w:val="22"/>
        </w:rPr>
        <w:t xml:space="preserve">HHS efforts to streamline HIV data collection and reporting and establish core HIV indicators (see </w:t>
      </w:r>
      <w:hyperlink r:id="rId13" w:history="1">
        <w:r w:rsidRPr="000F7D85">
          <w:rPr>
            <w:rStyle w:val="Hyperlink"/>
            <w:rFonts w:ascii="Arial" w:hAnsi="Arial" w:cs="Arial"/>
            <w:sz w:val="22"/>
            <w:szCs w:val="22"/>
          </w:rPr>
          <w:t>http://blog.aids.gov/2012/08/secretary-sebelius-approves-indicators-for-monitoring-hhs-funded-hiv-services.html</w:t>
        </w:r>
      </w:hyperlink>
      <w:r w:rsidRPr="000F7D85">
        <w:rPr>
          <w:rFonts w:ascii="Arial" w:hAnsi="Arial" w:cs="Arial"/>
          <w:sz w:val="22"/>
          <w:szCs w:val="22"/>
        </w:rPr>
        <w:t xml:space="preserve">), </w:t>
      </w:r>
    </w:p>
    <w:p w14:paraId="40226135" w14:textId="77777777" w:rsidR="00D71E3B" w:rsidRPr="000F7D85" w:rsidRDefault="00D71E3B" w:rsidP="00A71F21">
      <w:pPr>
        <w:pStyle w:val="ListParagraph"/>
        <w:numPr>
          <w:ilvl w:val="0"/>
          <w:numId w:val="9"/>
        </w:numPr>
        <w:spacing w:after="120"/>
        <w:rPr>
          <w:rFonts w:ascii="Arial" w:hAnsi="Arial" w:cs="Arial"/>
          <w:sz w:val="22"/>
          <w:szCs w:val="22"/>
        </w:rPr>
      </w:pPr>
      <w:r w:rsidRPr="000F7D85">
        <w:rPr>
          <w:rFonts w:ascii="Arial" w:hAnsi="Arial" w:cs="Arial"/>
          <w:sz w:val="22"/>
          <w:szCs w:val="22"/>
        </w:rPr>
        <w:t xml:space="preserve">National Quality Forum (NQF) review and endorsement of measures (see </w:t>
      </w:r>
      <w:hyperlink r:id="rId14" w:history="1">
        <w:r w:rsidRPr="000F7D85">
          <w:rPr>
            <w:rStyle w:val="Hyperlink"/>
            <w:rFonts w:ascii="Arial" w:hAnsi="Arial" w:cs="Arial"/>
            <w:sz w:val="22"/>
            <w:szCs w:val="22"/>
          </w:rPr>
          <w:t>http://www.qualityforum.org/News_And_Resources/Press_Releases/2013/NQF_Endorses_Infectious_Disease_Measures.aspx</w:t>
        </w:r>
      </w:hyperlink>
      <w:r w:rsidRPr="000F7D85">
        <w:rPr>
          <w:rFonts w:ascii="Arial" w:hAnsi="Arial" w:cs="Arial"/>
          <w:sz w:val="22"/>
          <w:szCs w:val="22"/>
        </w:rPr>
        <w:t>).</w:t>
      </w:r>
    </w:p>
    <w:p w14:paraId="01F81489" w14:textId="77777777" w:rsidR="00D71E3B" w:rsidRPr="000F7D85" w:rsidRDefault="00D71E3B" w:rsidP="00A71F21">
      <w:pPr>
        <w:spacing w:after="120"/>
        <w:rPr>
          <w:rFonts w:ascii="Arial" w:hAnsi="Arial" w:cs="Arial"/>
          <w:sz w:val="22"/>
          <w:szCs w:val="22"/>
        </w:rPr>
      </w:pPr>
      <w:r w:rsidRPr="000F7D85">
        <w:rPr>
          <w:rFonts w:ascii="Arial" w:hAnsi="Arial" w:cs="Arial"/>
          <w:sz w:val="22"/>
          <w:szCs w:val="22"/>
        </w:rPr>
        <w:t xml:space="preserve">Proposed </w:t>
      </w:r>
      <w:r w:rsidR="00990BF8" w:rsidRPr="000F7D85">
        <w:rPr>
          <w:rFonts w:ascii="Arial" w:hAnsi="Arial" w:cs="Arial"/>
          <w:sz w:val="22"/>
          <w:szCs w:val="22"/>
        </w:rPr>
        <w:t xml:space="preserve">outcome </w:t>
      </w:r>
      <w:r w:rsidRPr="000F7D85">
        <w:rPr>
          <w:rFonts w:ascii="Arial" w:hAnsi="Arial" w:cs="Arial"/>
          <w:sz w:val="22"/>
          <w:szCs w:val="22"/>
        </w:rPr>
        <w:t>measures also align with and support the goals of the following</w:t>
      </w:r>
      <w:r w:rsidR="003C5C2A" w:rsidRPr="000F7D85">
        <w:rPr>
          <w:rFonts w:ascii="Arial" w:hAnsi="Arial" w:cs="Arial"/>
          <w:sz w:val="22"/>
          <w:szCs w:val="22"/>
        </w:rPr>
        <w:t xml:space="preserve"> federal initiatives:</w:t>
      </w:r>
    </w:p>
    <w:p w14:paraId="25387CED" w14:textId="77777777" w:rsidR="00D71E3B" w:rsidRPr="000F7D85" w:rsidRDefault="00D71E3B" w:rsidP="00A71F21">
      <w:pPr>
        <w:pStyle w:val="ListParagraph"/>
        <w:numPr>
          <w:ilvl w:val="0"/>
          <w:numId w:val="10"/>
        </w:numPr>
        <w:spacing w:after="120"/>
        <w:rPr>
          <w:rFonts w:ascii="Arial" w:hAnsi="Arial" w:cs="Arial"/>
          <w:sz w:val="22"/>
          <w:szCs w:val="22"/>
        </w:rPr>
      </w:pPr>
      <w:r w:rsidRPr="000F7D85">
        <w:rPr>
          <w:rFonts w:ascii="Arial" w:hAnsi="Arial" w:cs="Arial"/>
          <w:sz w:val="22"/>
          <w:szCs w:val="22"/>
        </w:rPr>
        <w:t>The National HIV/AIDS Strategy</w:t>
      </w:r>
      <w:r w:rsidR="006D2040" w:rsidRPr="000F7D85">
        <w:rPr>
          <w:rFonts w:ascii="Arial" w:hAnsi="Arial" w:cs="Arial"/>
          <w:sz w:val="22"/>
          <w:szCs w:val="22"/>
        </w:rPr>
        <w:t xml:space="preserve"> (NHAS)</w:t>
      </w:r>
      <w:r w:rsidRPr="000F7D85">
        <w:rPr>
          <w:rFonts w:ascii="Arial" w:hAnsi="Arial" w:cs="Arial"/>
          <w:sz w:val="22"/>
          <w:szCs w:val="22"/>
        </w:rPr>
        <w:t>, which calls for federal implementation of activities to prevent new HIV infections, provide access to high quality care for people living with HIV/AIDS (PLWH), and reduce HIV-related health disparities.</w:t>
      </w:r>
    </w:p>
    <w:p w14:paraId="031D4993" w14:textId="77777777" w:rsidR="00D71E3B" w:rsidRPr="000F7D85" w:rsidRDefault="00D71E3B" w:rsidP="00A71F21">
      <w:pPr>
        <w:pStyle w:val="ListParagraph"/>
        <w:numPr>
          <w:ilvl w:val="0"/>
          <w:numId w:val="10"/>
        </w:numPr>
        <w:spacing w:after="120"/>
        <w:rPr>
          <w:rFonts w:ascii="Arial" w:hAnsi="Arial" w:cs="Arial"/>
          <w:sz w:val="22"/>
          <w:szCs w:val="22"/>
        </w:rPr>
      </w:pPr>
      <w:r w:rsidRPr="000F7D85">
        <w:rPr>
          <w:rFonts w:ascii="Arial" w:hAnsi="Arial" w:cs="Arial"/>
          <w:sz w:val="22"/>
          <w:szCs w:val="22"/>
        </w:rPr>
        <w:lastRenderedPageBreak/>
        <w:t xml:space="preserve">The Minority AIDS Initiative (MAI), which </w:t>
      </w:r>
      <w:r w:rsidRPr="000F7D85">
        <w:rPr>
          <w:rFonts w:ascii="Arial" w:hAnsi="Arial" w:cs="Arial"/>
          <w:color w:val="333333"/>
          <w:sz w:val="22"/>
          <w:szCs w:val="22"/>
        </w:rPr>
        <w:t xml:space="preserve">was established in 1999 in response to growing concern about the impact of HIV/AIDS on racial and ethnic minorities in the United States. MAI provides resources intended to complement, rather than replace, other Federal HIV/AIDS funding and programs (see </w:t>
      </w:r>
      <w:hyperlink r:id="rId15" w:history="1">
        <w:r w:rsidRPr="000F7D85">
          <w:rPr>
            <w:rStyle w:val="Hyperlink"/>
            <w:rFonts w:ascii="Arial" w:hAnsi="Arial" w:cs="Arial"/>
            <w:sz w:val="22"/>
            <w:szCs w:val="22"/>
          </w:rPr>
          <w:t>https://blog.aids.gov/2011/05/evolutions-in-the-minority-aids-initiative-secretary%E2%80%99s-fund.html</w:t>
        </w:r>
      </w:hyperlink>
      <w:r w:rsidRPr="000F7D85">
        <w:rPr>
          <w:rFonts w:ascii="Arial" w:hAnsi="Arial" w:cs="Arial"/>
          <w:color w:val="333333"/>
          <w:sz w:val="22"/>
          <w:szCs w:val="22"/>
        </w:rPr>
        <w:t xml:space="preserve">). </w:t>
      </w:r>
    </w:p>
    <w:p w14:paraId="159C3CBC" w14:textId="77777777" w:rsidR="00D71E3B" w:rsidRPr="000F7D85" w:rsidRDefault="00D71E3B" w:rsidP="00A71F21">
      <w:pPr>
        <w:pStyle w:val="ListParagraph"/>
        <w:numPr>
          <w:ilvl w:val="0"/>
          <w:numId w:val="10"/>
        </w:numPr>
        <w:spacing w:after="120"/>
        <w:rPr>
          <w:rFonts w:ascii="Arial" w:hAnsi="Arial" w:cs="Arial"/>
          <w:sz w:val="22"/>
          <w:szCs w:val="22"/>
        </w:rPr>
      </w:pPr>
      <w:r w:rsidRPr="000F7D85">
        <w:rPr>
          <w:rFonts w:ascii="Arial" w:hAnsi="Arial" w:cs="Arial"/>
          <w:sz w:val="22"/>
          <w:szCs w:val="22"/>
        </w:rPr>
        <w:t xml:space="preserve">Secretary’s Minority AIDS Initiative Fund (SMAIF), which is administered and allocated by the HHS Office of HIV/AIDS and Infectious Disease Policy (OHAIDP) to federal agencies to support the goals of NHAS within racial and ethnic minority communities (see </w:t>
      </w:r>
      <w:hyperlink r:id="rId16" w:history="1">
        <w:r w:rsidRPr="000F7D85">
          <w:rPr>
            <w:rStyle w:val="Hyperlink"/>
            <w:rFonts w:ascii="Arial" w:hAnsi="Arial" w:cs="Arial"/>
            <w:sz w:val="22"/>
            <w:szCs w:val="22"/>
          </w:rPr>
          <w:t>http://www.hhs.gov/ash/ohaidp/initiatives/</w:t>
        </w:r>
      </w:hyperlink>
      <w:r w:rsidRPr="000F7D85">
        <w:rPr>
          <w:rFonts w:ascii="Arial" w:hAnsi="Arial" w:cs="Arial"/>
          <w:sz w:val="22"/>
          <w:szCs w:val="22"/>
        </w:rPr>
        <w:t xml:space="preserve">). </w:t>
      </w:r>
    </w:p>
    <w:p w14:paraId="25D2B1D9" w14:textId="06CCCF25" w:rsidR="009B3794" w:rsidRPr="000F7D85" w:rsidRDefault="009B3794" w:rsidP="00A71F21">
      <w:pPr>
        <w:numPr>
          <w:ilvl w:val="0"/>
          <w:numId w:val="1"/>
        </w:numPr>
        <w:tabs>
          <w:tab w:val="num" w:pos="360"/>
        </w:tabs>
        <w:spacing w:after="120"/>
        <w:ind w:left="360"/>
        <w:rPr>
          <w:rFonts w:ascii="Arial" w:hAnsi="Arial" w:cs="Arial"/>
          <w:b/>
          <w:sz w:val="22"/>
          <w:szCs w:val="22"/>
        </w:rPr>
      </w:pPr>
      <w:r w:rsidRPr="000F7D85">
        <w:rPr>
          <w:rFonts w:ascii="Arial" w:hAnsi="Arial" w:cs="Arial"/>
          <w:b/>
          <w:sz w:val="22"/>
          <w:szCs w:val="22"/>
          <w:u w:val="single"/>
        </w:rPr>
        <w:t>Purpose and Use of Information Collection</w:t>
      </w:r>
    </w:p>
    <w:p w14:paraId="1EFD8922" w14:textId="77777777" w:rsidR="00034F7F" w:rsidRPr="000F7D85" w:rsidRDefault="00990BF8" w:rsidP="00A71F21">
      <w:pPr>
        <w:spacing w:after="120"/>
        <w:rPr>
          <w:rFonts w:ascii="Arial" w:hAnsi="Arial" w:cs="Arial"/>
          <w:sz w:val="22"/>
          <w:szCs w:val="22"/>
        </w:rPr>
      </w:pPr>
      <w:r w:rsidRPr="000F7D85">
        <w:rPr>
          <w:rFonts w:ascii="Arial" w:hAnsi="Arial" w:cs="Arial"/>
          <w:sz w:val="22"/>
          <w:szCs w:val="22"/>
        </w:rPr>
        <w:t>P4C progress reports</w:t>
      </w:r>
      <w:r w:rsidR="00375A91" w:rsidRPr="000F7D85">
        <w:rPr>
          <w:rFonts w:ascii="Arial" w:hAnsi="Arial" w:cs="Arial"/>
          <w:sz w:val="22"/>
          <w:szCs w:val="22"/>
        </w:rPr>
        <w:t xml:space="preserve"> </w:t>
      </w:r>
      <w:r w:rsidRPr="000F7D85">
        <w:rPr>
          <w:rFonts w:ascii="Arial" w:hAnsi="Arial" w:cs="Arial"/>
          <w:sz w:val="22"/>
          <w:szCs w:val="22"/>
        </w:rPr>
        <w:t xml:space="preserve">will be used to </w:t>
      </w:r>
      <w:r w:rsidR="00034F7F" w:rsidRPr="000F7D85">
        <w:rPr>
          <w:rFonts w:ascii="Arial" w:hAnsi="Arial" w:cs="Arial"/>
          <w:sz w:val="22"/>
          <w:szCs w:val="22"/>
        </w:rPr>
        <w:t xml:space="preserve">monitor </w:t>
      </w:r>
      <w:r w:rsidR="001923FC" w:rsidRPr="000F7D85">
        <w:rPr>
          <w:rFonts w:ascii="Arial" w:hAnsi="Arial" w:cs="Arial"/>
          <w:sz w:val="22"/>
          <w:szCs w:val="22"/>
        </w:rPr>
        <w:t xml:space="preserve">and report </w:t>
      </w:r>
      <w:r w:rsidR="00034F7F" w:rsidRPr="000F7D85">
        <w:rPr>
          <w:rFonts w:ascii="Arial" w:hAnsi="Arial" w:cs="Arial"/>
          <w:sz w:val="22"/>
          <w:szCs w:val="22"/>
        </w:rPr>
        <w:t xml:space="preserve">progress toward meeting </w:t>
      </w:r>
      <w:r w:rsidR="00375A91" w:rsidRPr="000F7D85">
        <w:rPr>
          <w:rFonts w:ascii="Arial" w:hAnsi="Arial" w:cs="Arial"/>
          <w:sz w:val="22"/>
          <w:szCs w:val="22"/>
        </w:rPr>
        <w:t>established</w:t>
      </w:r>
      <w:r w:rsidR="00034F7F" w:rsidRPr="000F7D85">
        <w:rPr>
          <w:rFonts w:ascii="Arial" w:hAnsi="Arial" w:cs="Arial"/>
          <w:sz w:val="22"/>
          <w:szCs w:val="22"/>
        </w:rPr>
        <w:t xml:space="preserve"> goals and objectives</w:t>
      </w:r>
      <w:r w:rsidR="001923FC" w:rsidRPr="000F7D85">
        <w:rPr>
          <w:rFonts w:ascii="Arial" w:hAnsi="Arial" w:cs="Arial"/>
          <w:sz w:val="22"/>
          <w:szCs w:val="22"/>
        </w:rPr>
        <w:t>, including</w:t>
      </w:r>
      <w:r w:rsidR="00375A91" w:rsidRPr="000F7D85">
        <w:rPr>
          <w:rFonts w:ascii="Arial" w:hAnsi="Arial" w:cs="Arial"/>
          <w:sz w:val="22"/>
          <w:szCs w:val="22"/>
        </w:rPr>
        <w:t>: (1)</w:t>
      </w:r>
      <w:r w:rsidR="001923FC" w:rsidRPr="000F7D85">
        <w:rPr>
          <w:rFonts w:ascii="Arial" w:hAnsi="Arial" w:cs="Arial"/>
          <w:sz w:val="22"/>
          <w:szCs w:val="22"/>
        </w:rPr>
        <w:t xml:space="preserve"> the provision of HIV services and the improvement of health outcomes across the HIV care continuum;</w:t>
      </w:r>
      <w:r w:rsidR="00034F7F" w:rsidRPr="000F7D85">
        <w:rPr>
          <w:rFonts w:ascii="Arial" w:hAnsi="Arial" w:cs="Arial"/>
          <w:sz w:val="22"/>
          <w:szCs w:val="22"/>
        </w:rPr>
        <w:t xml:space="preserve"> </w:t>
      </w:r>
      <w:r w:rsidR="00375A91" w:rsidRPr="000F7D85">
        <w:rPr>
          <w:rFonts w:ascii="Arial" w:hAnsi="Arial" w:cs="Arial"/>
          <w:sz w:val="22"/>
          <w:szCs w:val="22"/>
        </w:rPr>
        <w:t>(2) the</w:t>
      </w:r>
      <w:r w:rsidR="00034F7F" w:rsidRPr="000F7D85">
        <w:rPr>
          <w:rFonts w:ascii="Arial" w:hAnsi="Arial" w:cs="Arial"/>
          <w:sz w:val="22"/>
          <w:szCs w:val="22"/>
        </w:rPr>
        <w:t xml:space="preserve"> use of patient data</w:t>
      </w:r>
      <w:r w:rsidR="00E07877" w:rsidRPr="000F7D85">
        <w:rPr>
          <w:rFonts w:ascii="Arial" w:hAnsi="Arial" w:cs="Arial"/>
          <w:sz w:val="22"/>
          <w:szCs w:val="22"/>
        </w:rPr>
        <w:t xml:space="preserve"> to improve quality of HIV care;</w:t>
      </w:r>
      <w:r w:rsidR="00375A91" w:rsidRPr="000F7D85">
        <w:rPr>
          <w:rFonts w:ascii="Arial" w:hAnsi="Arial" w:cs="Arial"/>
          <w:sz w:val="22"/>
          <w:szCs w:val="22"/>
        </w:rPr>
        <w:t xml:space="preserve"> (3)</w:t>
      </w:r>
      <w:r w:rsidR="00034F7F" w:rsidRPr="000F7D85">
        <w:rPr>
          <w:rFonts w:ascii="Arial" w:hAnsi="Arial" w:cs="Arial"/>
          <w:sz w:val="22"/>
          <w:szCs w:val="22"/>
        </w:rPr>
        <w:t xml:space="preserve"> </w:t>
      </w:r>
      <w:r w:rsidR="00375A91" w:rsidRPr="000F7D85">
        <w:rPr>
          <w:rFonts w:ascii="Arial" w:hAnsi="Arial" w:cs="Arial"/>
          <w:sz w:val="22"/>
          <w:szCs w:val="22"/>
        </w:rPr>
        <w:t>the identification of</w:t>
      </w:r>
      <w:r w:rsidR="00E07877" w:rsidRPr="000F7D85">
        <w:rPr>
          <w:rFonts w:ascii="Arial" w:hAnsi="Arial" w:cs="Arial"/>
          <w:sz w:val="22"/>
          <w:szCs w:val="22"/>
        </w:rPr>
        <w:t xml:space="preserve"> </w:t>
      </w:r>
      <w:r w:rsidR="00034F7F" w:rsidRPr="000F7D85">
        <w:rPr>
          <w:rFonts w:ascii="Arial" w:hAnsi="Arial" w:cs="Arial"/>
          <w:sz w:val="22"/>
          <w:szCs w:val="22"/>
        </w:rPr>
        <w:t>effective models and promising practices for the integration of HIV services into primary care</w:t>
      </w:r>
      <w:r w:rsidR="00E07877" w:rsidRPr="000F7D85">
        <w:rPr>
          <w:rFonts w:ascii="Arial" w:hAnsi="Arial" w:cs="Arial"/>
          <w:sz w:val="22"/>
          <w:szCs w:val="22"/>
        </w:rPr>
        <w:t xml:space="preserve"> that can be disseminated for use across the </w:t>
      </w:r>
      <w:r w:rsidR="00375A91" w:rsidRPr="000F7D85">
        <w:rPr>
          <w:rFonts w:ascii="Arial" w:hAnsi="Arial" w:cs="Arial"/>
          <w:sz w:val="22"/>
          <w:szCs w:val="22"/>
        </w:rPr>
        <w:t>public health and primary care safety net</w:t>
      </w:r>
      <w:r w:rsidR="001923FC" w:rsidRPr="000F7D85">
        <w:rPr>
          <w:rFonts w:ascii="Arial" w:hAnsi="Arial" w:cs="Arial"/>
          <w:sz w:val="22"/>
          <w:szCs w:val="22"/>
        </w:rPr>
        <w:t xml:space="preserve">; and </w:t>
      </w:r>
      <w:r w:rsidR="00375A91" w:rsidRPr="000F7D85">
        <w:rPr>
          <w:rFonts w:ascii="Arial" w:hAnsi="Arial" w:cs="Arial"/>
          <w:sz w:val="22"/>
          <w:szCs w:val="22"/>
        </w:rPr>
        <w:t xml:space="preserve">(4) </w:t>
      </w:r>
      <w:r w:rsidR="00B56CFE" w:rsidRPr="000F7D85">
        <w:rPr>
          <w:rFonts w:ascii="Arial" w:hAnsi="Arial" w:cs="Arial"/>
          <w:sz w:val="22"/>
          <w:szCs w:val="22"/>
        </w:rPr>
        <w:t xml:space="preserve">the </w:t>
      </w:r>
      <w:r w:rsidR="001923FC" w:rsidRPr="000F7D85">
        <w:rPr>
          <w:rFonts w:ascii="Arial" w:hAnsi="Arial" w:cs="Arial"/>
          <w:sz w:val="22"/>
          <w:szCs w:val="22"/>
        </w:rPr>
        <w:t>appropriate stewardship of federal funds</w:t>
      </w:r>
      <w:r w:rsidR="00034F7F" w:rsidRPr="000F7D85">
        <w:rPr>
          <w:rFonts w:ascii="Arial" w:hAnsi="Arial" w:cs="Arial"/>
          <w:sz w:val="22"/>
          <w:szCs w:val="22"/>
        </w:rPr>
        <w:t xml:space="preserve">. </w:t>
      </w:r>
    </w:p>
    <w:p w14:paraId="7F8292C6" w14:textId="77777777" w:rsidR="003C5C2A" w:rsidRPr="000F7D85" w:rsidRDefault="007F358C" w:rsidP="00A71F21">
      <w:pPr>
        <w:spacing w:after="120"/>
        <w:rPr>
          <w:rFonts w:ascii="Arial" w:hAnsi="Arial" w:cs="Arial"/>
          <w:color w:val="000000"/>
          <w:sz w:val="22"/>
          <w:szCs w:val="22"/>
        </w:rPr>
      </w:pPr>
      <w:r w:rsidRPr="000F7D85">
        <w:rPr>
          <w:rFonts w:ascii="Arial" w:hAnsi="Arial" w:cs="Arial"/>
          <w:color w:val="000000"/>
          <w:sz w:val="22"/>
          <w:szCs w:val="22"/>
        </w:rPr>
        <w:t xml:space="preserve">Data and information received through </w:t>
      </w:r>
      <w:r w:rsidR="00990BF8" w:rsidRPr="000F7D85">
        <w:rPr>
          <w:rFonts w:ascii="Arial" w:hAnsi="Arial" w:cs="Arial"/>
          <w:color w:val="000000"/>
          <w:sz w:val="22"/>
          <w:szCs w:val="22"/>
        </w:rPr>
        <w:t>P4C</w:t>
      </w:r>
      <w:r w:rsidRPr="000F7D85">
        <w:rPr>
          <w:rFonts w:ascii="Arial" w:hAnsi="Arial" w:cs="Arial"/>
          <w:color w:val="000000"/>
          <w:sz w:val="22"/>
          <w:szCs w:val="22"/>
        </w:rPr>
        <w:t xml:space="preserve"> progress reports</w:t>
      </w:r>
      <w:r w:rsidR="00375A91" w:rsidRPr="000F7D85">
        <w:rPr>
          <w:rFonts w:ascii="Arial" w:hAnsi="Arial" w:cs="Arial"/>
          <w:color w:val="000000"/>
          <w:sz w:val="22"/>
          <w:szCs w:val="22"/>
        </w:rPr>
        <w:t xml:space="preserve"> will be reported to </w:t>
      </w:r>
      <w:r w:rsidR="00927CFD">
        <w:rPr>
          <w:rFonts w:ascii="Arial" w:hAnsi="Arial" w:cs="Arial"/>
          <w:color w:val="000000"/>
          <w:sz w:val="22"/>
          <w:szCs w:val="22"/>
        </w:rPr>
        <w:t>OHAIDP</w:t>
      </w:r>
      <w:r w:rsidR="00375A91" w:rsidRPr="000F7D85">
        <w:rPr>
          <w:rFonts w:ascii="Arial" w:hAnsi="Arial" w:cs="Arial"/>
          <w:color w:val="000000"/>
          <w:sz w:val="22"/>
          <w:szCs w:val="22"/>
        </w:rPr>
        <w:t xml:space="preserve"> to ensure fulfillment of Section 2686 of the Public Health Service Act which mandates a Government Accountability Office (GAO) report “describing MAI activities across the Department of Health and Human Services... Such report shall include a history of program activities within each relevant agency and a description of activities conducted, people served and types of grantees funded, and shall collect and describe best practices in community outreach and capacity-building of community based organizations serving the communities that are disproportionately affected by HIV/AIDS.” </w:t>
      </w:r>
    </w:p>
    <w:p w14:paraId="4F45A353" w14:textId="77777777" w:rsidR="00375A91" w:rsidRPr="000F7D85" w:rsidRDefault="00375A91" w:rsidP="00A71F21">
      <w:pPr>
        <w:spacing w:after="120"/>
        <w:rPr>
          <w:rFonts w:ascii="Arial" w:hAnsi="Arial" w:cs="Arial"/>
          <w:color w:val="000000"/>
          <w:sz w:val="22"/>
          <w:szCs w:val="22"/>
        </w:rPr>
      </w:pPr>
      <w:r w:rsidRPr="000F7D85">
        <w:rPr>
          <w:rFonts w:ascii="Arial" w:hAnsi="Arial" w:cs="Arial"/>
          <w:color w:val="000000"/>
          <w:sz w:val="22"/>
          <w:szCs w:val="22"/>
        </w:rPr>
        <w:t>Furthermore, Public Law 111-87, Section 2(f)(3) also requires that “not later than 6 months after the publication of the Government Accountability Office Report on the Minority AIDS Initiative described in section 2686, the Secretary of Health and Human Services shall submit to the appropriate committees of Congress a Departmental plan for using funding under section 2693 of the Public Health Service Act in all relevant agencies to build capacity, taking into consideration the best practices included in such Report.”</w:t>
      </w:r>
      <w:r w:rsidR="006D2040" w:rsidRPr="000F7D85">
        <w:rPr>
          <w:rFonts w:ascii="Arial" w:hAnsi="Arial" w:cs="Arial"/>
          <w:color w:val="000000"/>
          <w:sz w:val="22"/>
          <w:szCs w:val="22"/>
        </w:rPr>
        <w:t xml:space="preserve"> Additional federal reports requiring information about this project include the annual HIV Testing Report to Congress and annual reports regarding NHAS.</w:t>
      </w:r>
    </w:p>
    <w:p w14:paraId="3D97887C" w14:textId="77777777" w:rsidR="004F4DC7" w:rsidRPr="000F7D85" w:rsidRDefault="00990BF8" w:rsidP="00A71F21">
      <w:pPr>
        <w:spacing w:after="120"/>
        <w:rPr>
          <w:rFonts w:ascii="Arial" w:hAnsi="Arial" w:cs="Arial"/>
          <w:color w:val="000000"/>
          <w:sz w:val="22"/>
          <w:szCs w:val="22"/>
        </w:rPr>
      </w:pPr>
      <w:r w:rsidRPr="000F7D85">
        <w:rPr>
          <w:rFonts w:ascii="Arial" w:hAnsi="Arial" w:cs="Arial"/>
          <w:color w:val="000000"/>
          <w:sz w:val="22"/>
          <w:szCs w:val="22"/>
        </w:rPr>
        <w:t>P4C</w:t>
      </w:r>
      <w:r w:rsidR="00E07877" w:rsidRPr="000F7D85">
        <w:rPr>
          <w:rFonts w:ascii="Arial" w:hAnsi="Arial" w:cs="Arial"/>
          <w:color w:val="000000"/>
          <w:sz w:val="22"/>
          <w:szCs w:val="22"/>
        </w:rPr>
        <w:t xml:space="preserve"> </w:t>
      </w:r>
      <w:r w:rsidR="007F358C" w:rsidRPr="000F7D85">
        <w:rPr>
          <w:rFonts w:ascii="Arial" w:hAnsi="Arial" w:cs="Arial"/>
          <w:color w:val="000000"/>
          <w:sz w:val="22"/>
          <w:szCs w:val="22"/>
        </w:rPr>
        <w:t>progress reports</w:t>
      </w:r>
      <w:r w:rsidR="00E07877" w:rsidRPr="000F7D85">
        <w:rPr>
          <w:rFonts w:ascii="Arial" w:hAnsi="Arial" w:cs="Arial"/>
          <w:color w:val="000000"/>
          <w:sz w:val="22"/>
          <w:szCs w:val="22"/>
        </w:rPr>
        <w:t xml:space="preserve"> also </w:t>
      </w:r>
      <w:r w:rsidRPr="000F7D85">
        <w:rPr>
          <w:rFonts w:ascii="Arial" w:hAnsi="Arial" w:cs="Arial"/>
          <w:color w:val="000000"/>
          <w:sz w:val="22"/>
          <w:szCs w:val="22"/>
        </w:rPr>
        <w:t xml:space="preserve">will </w:t>
      </w:r>
      <w:r w:rsidR="007F358C" w:rsidRPr="000F7D85">
        <w:rPr>
          <w:rFonts w:ascii="Arial" w:hAnsi="Arial" w:cs="Arial"/>
          <w:color w:val="000000"/>
          <w:sz w:val="22"/>
          <w:szCs w:val="22"/>
        </w:rPr>
        <w:t>assist in meeting</w:t>
      </w:r>
      <w:r w:rsidR="00E07877" w:rsidRPr="000F7D85">
        <w:rPr>
          <w:rFonts w:ascii="Arial" w:hAnsi="Arial" w:cs="Arial"/>
          <w:color w:val="000000"/>
          <w:sz w:val="22"/>
          <w:szCs w:val="22"/>
        </w:rPr>
        <w:t xml:space="preserve"> broader reporting requirements </w:t>
      </w:r>
      <w:r w:rsidR="00375A91" w:rsidRPr="000F7D85">
        <w:rPr>
          <w:rFonts w:ascii="Arial" w:hAnsi="Arial" w:cs="Arial"/>
          <w:color w:val="000000"/>
          <w:sz w:val="22"/>
          <w:szCs w:val="22"/>
        </w:rPr>
        <w:t>under</w:t>
      </w:r>
      <w:r w:rsidR="00E07877" w:rsidRPr="000F7D85">
        <w:rPr>
          <w:rFonts w:ascii="Arial" w:hAnsi="Arial" w:cs="Arial"/>
          <w:color w:val="000000"/>
          <w:sz w:val="22"/>
          <w:szCs w:val="22"/>
        </w:rPr>
        <w:t xml:space="preserve"> </w:t>
      </w:r>
      <w:r w:rsidR="00375A91" w:rsidRPr="000F7D85">
        <w:rPr>
          <w:rFonts w:ascii="Arial" w:hAnsi="Arial" w:cs="Arial"/>
          <w:color w:val="000000"/>
          <w:sz w:val="22"/>
          <w:szCs w:val="22"/>
        </w:rPr>
        <w:t>Section 330</w:t>
      </w:r>
      <w:r w:rsidR="00375A91" w:rsidRPr="000F7D85">
        <w:rPr>
          <w:rFonts w:ascii="Arial" w:hAnsi="Arial" w:cs="Arial"/>
          <w:bCs/>
          <w:sz w:val="22"/>
          <w:szCs w:val="22"/>
        </w:rPr>
        <w:t>(r)(3)</w:t>
      </w:r>
      <w:r w:rsidR="00375A91" w:rsidRPr="000F7D85">
        <w:rPr>
          <w:rFonts w:ascii="Arial" w:hAnsi="Arial" w:cs="Arial"/>
          <w:color w:val="000000"/>
          <w:sz w:val="22"/>
          <w:szCs w:val="22"/>
        </w:rPr>
        <w:t xml:space="preserve"> of the Public Health Service Act </w:t>
      </w:r>
      <w:r w:rsidRPr="000F7D85">
        <w:rPr>
          <w:rFonts w:ascii="Arial" w:hAnsi="Arial" w:cs="Arial"/>
          <w:color w:val="000000"/>
          <w:sz w:val="22"/>
          <w:szCs w:val="22"/>
        </w:rPr>
        <w:t>for</w:t>
      </w:r>
      <w:r w:rsidR="00E07877" w:rsidRPr="000F7D85">
        <w:rPr>
          <w:rFonts w:ascii="Arial" w:hAnsi="Arial" w:cs="Arial"/>
          <w:color w:val="000000"/>
          <w:sz w:val="22"/>
          <w:szCs w:val="22"/>
        </w:rPr>
        <w:t xml:space="preserve"> the annual preparation and submission to Congress </w:t>
      </w:r>
      <w:r w:rsidRPr="000F7D85">
        <w:rPr>
          <w:rFonts w:ascii="Arial" w:hAnsi="Arial" w:cs="Arial"/>
          <w:color w:val="000000"/>
          <w:sz w:val="22"/>
          <w:szCs w:val="22"/>
        </w:rPr>
        <w:t xml:space="preserve">of </w:t>
      </w:r>
      <w:r w:rsidR="00E07877" w:rsidRPr="000F7D85">
        <w:rPr>
          <w:rFonts w:ascii="Arial" w:hAnsi="Arial" w:cs="Arial"/>
          <w:color w:val="000000"/>
          <w:sz w:val="22"/>
          <w:szCs w:val="22"/>
        </w:rPr>
        <w:t>“a report concerning the distribution of funds under this section that are provided to meet the health care needs of medically underserv</w:t>
      </w:r>
      <w:r w:rsidR="004F4DC7" w:rsidRPr="000F7D85">
        <w:rPr>
          <w:rFonts w:ascii="Arial" w:hAnsi="Arial" w:cs="Arial"/>
          <w:color w:val="000000"/>
          <w:sz w:val="22"/>
          <w:szCs w:val="22"/>
        </w:rPr>
        <w:t>ed populations</w:t>
      </w:r>
      <w:r w:rsidR="00E07877" w:rsidRPr="000F7D85">
        <w:rPr>
          <w:rFonts w:ascii="Arial" w:hAnsi="Arial" w:cs="Arial"/>
          <w:color w:val="000000"/>
          <w:sz w:val="22"/>
          <w:szCs w:val="22"/>
        </w:rPr>
        <w:t>,</w:t>
      </w:r>
      <w:r w:rsidR="004F4DC7" w:rsidRPr="000F7D85">
        <w:rPr>
          <w:rFonts w:ascii="Arial" w:hAnsi="Arial" w:cs="Arial"/>
          <w:color w:val="000000"/>
          <w:sz w:val="22"/>
          <w:szCs w:val="22"/>
        </w:rPr>
        <w:t>…</w:t>
      </w:r>
      <w:r w:rsidR="00E07877" w:rsidRPr="000F7D85">
        <w:rPr>
          <w:rFonts w:ascii="Arial" w:hAnsi="Arial" w:cs="Arial"/>
          <w:color w:val="000000"/>
          <w:sz w:val="22"/>
          <w:szCs w:val="22"/>
        </w:rPr>
        <w:t xml:space="preserve"> and the appropriateness of the delivery systems involved in responding to the needs of the particular populations. Such report shall include an assessment of the relative health care access needs of the targeted populations and the rationale for any substantial changes in the distribution of funds.” </w:t>
      </w:r>
    </w:p>
    <w:p w14:paraId="795BD502" w14:textId="77777777" w:rsidR="00E07877" w:rsidRPr="000F7D85" w:rsidRDefault="004F4DC7" w:rsidP="00A71F21">
      <w:pPr>
        <w:spacing w:after="120"/>
        <w:rPr>
          <w:rFonts w:ascii="Arial" w:hAnsi="Arial" w:cs="Arial"/>
          <w:sz w:val="22"/>
          <w:szCs w:val="22"/>
        </w:rPr>
      </w:pPr>
      <w:r w:rsidRPr="000F7D85">
        <w:rPr>
          <w:rFonts w:ascii="Arial" w:hAnsi="Arial" w:cs="Arial"/>
          <w:color w:val="000000"/>
          <w:sz w:val="22"/>
          <w:szCs w:val="22"/>
        </w:rPr>
        <w:t>Finally,</w:t>
      </w:r>
      <w:r w:rsidR="00B56CFE" w:rsidRPr="000F7D85">
        <w:rPr>
          <w:rFonts w:ascii="Arial" w:hAnsi="Arial" w:cs="Arial"/>
          <w:color w:val="000000"/>
          <w:sz w:val="22"/>
          <w:szCs w:val="22"/>
        </w:rPr>
        <w:t xml:space="preserve"> </w:t>
      </w:r>
      <w:r w:rsidR="00990BF8" w:rsidRPr="000F7D85">
        <w:rPr>
          <w:rFonts w:ascii="Arial" w:hAnsi="Arial" w:cs="Arial"/>
          <w:color w:val="000000"/>
          <w:sz w:val="22"/>
          <w:szCs w:val="22"/>
        </w:rPr>
        <w:t xml:space="preserve">P4C </w:t>
      </w:r>
      <w:r w:rsidR="007F358C" w:rsidRPr="000F7D85">
        <w:rPr>
          <w:rFonts w:ascii="Arial" w:hAnsi="Arial" w:cs="Arial"/>
          <w:color w:val="000000"/>
          <w:sz w:val="22"/>
          <w:szCs w:val="22"/>
        </w:rPr>
        <w:t>progress reports</w:t>
      </w:r>
      <w:r w:rsidRPr="000F7D85">
        <w:rPr>
          <w:rFonts w:ascii="Arial" w:hAnsi="Arial" w:cs="Arial"/>
          <w:color w:val="000000"/>
          <w:sz w:val="22"/>
          <w:szCs w:val="22"/>
        </w:rPr>
        <w:t xml:space="preserve"> will be used </w:t>
      </w:r>
      <w:r w:rsidR="00E07877" w:rsidRPr="000F7D85">
        <w:rPr>
          <w:rFonts w:ascii="Arial" w:hAnsi="Arial" w:cs="Arial"/>
          <w:sz w:val="22"/>
          <w:szCs w:val="22"/>
        </w:rPr>
        <w:t>to demonstrate to payers and patients the value of care delivered to those receiving services</w:t>
      </w:r>
      <w:r w:rsidRPr="000F7D85">
        <w:rPr>
          <w:rFonts w:ascii="Arial" w:hAnsi="Arial" w:cs="Arial"/>
          <w:sz w:val="22"/>
          <w:szCs w:val="22"/>
        </w:rPr>
        <w:t xml:space="preserve"> under the Health Center Program</w:t>
      </w:r>
      <w:r w:rsidR="00E07877" w:rsidRPr="000F7D85">
        <w:rPr>
          <w:rFonts w:ascii="Arial" w:hAnsi="Arial" w:cs="Arial"/>
          <w:sz w:val="22"/>
          <w:szCs w:val="22"/>
        </w:rPr>
        <w:t xml:space="preserve">. The expansion of the Health Center Program and the resulting growth in the number of health center patients and services, along with provider incentive programs and technological advances, have underscored the importance of demonstrating health centers’ high quality care to underserved populations. This long-standing emphasis on demonstrating value is consistent with the </w:t>
      </w:r>
      <w:r w:rsidRPr="000F7D85">
        <w:rPr>
          <w:rFonts w:ascii="Arial" w:hAnsi="Arial" w:cs="Arial"/>
          <w:sz w:val="22"/>
          <w:szCs w:val="22"/>
        </w:rPr>
        <w:t>HHS</w:t>
      </w:r>
      <w:r w:rsidR="00E07877" w:rsidRPr="000F7D85">
        <w:rPr>
          <w:rFonts w:ascii="Arial" w:hAnsi="Arial" w:cs="Arial"/>
          <w:sz w:val="22"/>
          <w:szCs w:val="22"/>
        </w:rPr>
        <w:t xml:space="preserve"> initiatives to increase transparency in health care and promote value-based purchasing; transparency and information technology are essential facilitators of increasing value in health care.  </w:t>
      </w:r>
    </w:p>
    <w:p w14:paraId="5307B75E" w14:textId="77777777" w:rsidR="00BA0327" w:rsidRPr="000F7D85" w:rsidRDefault="00BA0327" w:rsidP="00A71F21">
      <w:pPr>
        <w:spacing w:after="120"/>
        <w:rPr>
          <w:rFonts w:ascii="Arial" w:hAnsi="Arial" w:cs="Arial"/>
          <w:sz w:val="22"/>
          <w:szCs w:val="22"/>
        </w:rPr>
      </w:pPr>
      <w:r w:rsidRPr="000F7D85">
        <w:rPr>
          <w:rFonts w:ascii="Arial" w:hAnsi="Arial" w:cs="Arial"/>
          <w:sz w:val="22"/>
          <w:szCs w:val="22"/>
        </w:rPr>
        <w:lastRenderedPageBreak/>
        <w:t>If OMB approves the P4C progress reports, then HRSA will:</w:t>
      </w:r>
    </w:p>
    <w:p w14:paraId="6A1284E9" w14:textId="77777777" w:rsidR="00BA0327" w:rsidRPr="000F7D85" w:rsidRDefault="00BA0327" w:rsidP="00A71F21">
      <w:pPr>
        <w:numPr>
          <w:ilvl w:val="0"/>
          <w:numId w:val="14"/>
        </w:numPr>
        <w:autoSpaceDE/>
        <w:autoSpaceDN/>
        <w:adjustRightInd/>
        <w:spacing w:after="120"/>
        <w:rPr>
          <w:rFonts w:ascii="Arial" w:hAnsi="Arial" w:cs="Arial"/>
          <w:sz w:val="22"/>
          <w:szCs w:val="22"/>
        </w:rPr>
      </w:pPr>
      <w:r w:rsidRPr="000F7D85">
        <w:rPr>
          <w:rFonts w:ascii="Arial" w:hAnsi="Arial" w:cs="Arial"/>
          <w:sz w:val="22"/>
          <w:szCs w:val="22"/>
        </w:rPr>
        <w:t>Officially notify 22 health centers of the approval.</w:t>
      </w:r>
    </w:p>
    <w:p w14:paraId="6381D0D5" w14:textId="7918B2BB" w:rsidR="00BA0327" w:rsidRPr="000F7D85" w:rsidRDefault="00BA0327" w:rsidP="00A71F21">
      <w:pPr>
        <w:numPr>
          <w:ilvl w:val="0"/>
          <w:numId w:val="14"/>
        </w:numPr>
        <w:autoSpaceDE/>
        <w:autoSpaceDN/>
        <w:adjustRightInd/>
        <w:spacing w:after="120"/>
        <w:rPr>
          <w:rFonts w:ascii="Arial" w:hAnsi="Arial" w:cs="Arial"/>
          <w:sz w:val="22"/>
          <w:szCs w:val="22"/>
        </w:rPr>
      </w:pPr>
      <w:r w:rsidRPr="000F7D85">
        <w:rPr>
          <w:rFonts w:ascii="Arial" w:hAnsi="Arial" w:cs="Arial"/>
          <w:sz w:val="22"/>
          <w:szCs w:val="22"/>
        </w:rPr>
        <w:t xml:space="preserve">Disseminate P4C progress report </w:t>
      </w:r>
      <w:r w:rsidR="002A42C9">
        <w:rPr>
          <w:rFonts w:ascii="Arial" w:hAnsi="Arial" w:cs="Arial"/>
          <w:sz w:val="22"/>
          <w:szCs w:val="22"/>
        </w:rPr>
        <w:t>forms</w:t>
      </w:r>
      <w:r w:rsidRPr="000F7D85">
        <w:rPr>
          <w:rFonts w:ascii="Arial" w:hAnsi="Arial" w:cs="Arial"/>
          <w:sz w:val="22"/>
          <w:szCs w:val="22"/>
        </w:rPr>
        <w:t xml:space="preserve"> to health centers via email and EHB. </w:t>
      </w:r>
    </w:p>
    <w:p w14:paraId="063574B1" w14:textId="438D9CCE" w:rsidR="00BA0327" w:rsidRPr="000F7D85" w:rsidRDefault="00BA0327" w:rsidP="00A71F21">
      <w:pPr>
        <w:numPr>
          <w:ilvl w:val="0"/>
          <w:numId w:val="14"/>
        </w:numPr>
        <w:autoSpaceDE/>
        <w:autoSpaceDN/>
        <w:adjustRightInd/>
        <w:spacing w:after="120"/>
        <w:rPr>
          <w:rFonts w:ascii="Arial" w:hAnsi="Arial" w:cs="Arial"/>
          <w:sz w:val="22"/>
          <w:szCs w:val="22"/>
        </w:rPr>
      </w:pPr>
      <w:r w:rsidRPr="000F7D85">
        <w:rPr>
          <w:rFonts w:ascii="Arial" w:hAnsi="Arial" w:cs="Arial"/>
          <w:sz w:val="22"/>
          <w:szCs w:val="22"/>
        </w:rPr>
        <w:t xml:space="preserve">Review the P4C progress report </w:t>
      </w:r>
      <w:r w:rsidR="002A42C9">
        <w:rPr>
          <w:rFonts w:ascii="Arial" w:hAnsi="Arial" w:cs="Arial"/>
          <w:sz w:val="22"/>
          <w:szCs w:val="22"/>
        </w:rPr>
        <w:t>forms</w:t>
      </w:r>
      <w:r w:rsidRPr="000F7D85">
        <w:rPr>
          <w:rFonts w:ascii="Arial" w:hAnsi="Arial" w:cs="Arial"/>
          <w:sz w:val="22"/>
          <w:szCs w:val="22"/>
        </w:rPr>
        <w:t xml:space="preserve"> during a remote web-based training that will include a question and answer period in which health centers can pose specific questions. The training will be archived for future viewing.</w:t>
      </w:r>
    </w:p>
    <w:p w14:paraId="4BCA60B3" w14:textId="77777777" w:rsidR="00BA0327" w:rsidRDefault="00BA0327" w:rsidP="00A71F21">
      <w:pPr>
        <w:numPr>
          <w:ilvl w:val="0"/>
          <w:numId w:val="14"/>
        </w:numPr>
        <w:autoSpaceDE/>
        <w:autoSpaceDN/>
        <w:adjustRightInd/>
        <w:spacing w:after="120"/>
        <w:rPr>
          <w:rFonts w:ascii="Arial" w:hAnsi="Arial" w:cs="Arial"/>
          <w:sz w:val="22"/>
          <w:szCs w:val="22"/>
        </w:rPr>
      </w:pPr>
      <w:r w:rsidRPr="000F7D85">
        <w:rPr>
          <w:rFonts w:ascii="Arial" w:hAnsi="Arial" w:cs="Arial"/>
          <w:sz w:val="22"/>
          <w:szCs w:val="22"/>
        </w:rPr>
        <w:t>Monitor a designated inbox for P4C related questions (</w:t>
      </w:r>
      <w:hyperlink r:id="rId17" w:history="1">
        <w:r w:rsidRPr="000F7D85">
          <w:rPr>
            <w:rStyle w:val="Hyperlink"/>
            <w:rFonts w:ascii="Arial" w:hAnsi="Arial" w:cs="Arial"/>
            <w:sz w:val="22"/>
            <w:szCs w:val="22"/>
          </w:rPr>
          <w:t>bphcp4c@hrsa.gov</w:t>
        </w:r>
      </w:hyperlink>
      <w:r w:rsidRPr="000F7D85">
        <w:rPr>
          <w:rFonts w:ascii="Arial" w:hAnsi="Arial" w:cs="Arial"/>
          <w:sz w:val="22"/>
          <w:szCs w:val="22"/>
        </w:rPr>
        <w:t xml:space="preserve">) and respond within 48 hours to all inquiries. </w:t>
      </w:r>
    </w:p>
    <w:p w14:paraId="2DEC87EC" w14:textId="77777777" w:rsidR="00657F21" w:rsidRPr="000F7D85" w:rsidRDefault="00657F21" w:rsidP="001D301E">
      <w:pPr>
        <w:autoSpaceDE/>
        <w:autoSpaceDN/>
        <w:adjustRightInd/>
        <w:spacing w:after="120"/>
        <w:rPr>
          <w:rFonts w:ascii="Arial" w:hAnsi="Arial" w:cs="Arial"/>
          <w:sz w:val="22"/>
          <w:szCs w:val="22"/>
        </w:rPr>
      </w:pPr>
      <w:r>
        <w:rPr>
          <w:rFonts w:ascii="Arial" w:hAnsi="Arial" w:cs="Arial"/>
          <w:sz w:val="22"/>
          <w:szCs w:val="22"/>
        </w:rPr>
        <w:t>If OMB does not approve the P4C progress reports, the</w:t>
      </w:r>
      <w:r w:rsidR="001D301E">
        <w:rPr>
          <w:rFonts w:ascii="Arial" w:hAnsi="Arial" w:cs="Arial"/>
          <w:sz w:val="22"/>
          <w:szCs w:val="22"/>
        </w:rPr>
        <w:t>n</w:t>
      </w:r>
      <w:r>
        <w:rPr>
          <w:rFonts w:ascii="Arial" w:hAnsi="Arial" w:cs="Arial"/>
          <w:sz w:val="22"/>
          <w:szCs w:val="22"/>
        </w:rPr>
        <w:t xml:space="preserve"> HRSA’s ability to </w:t>
      </w:r>
      <w:r w:rsidR="00C54069">
        <w:rPr>
          <w:rFonts w:ascii="Arial" w:hAnsi="Arial" w:cs="Arial"/>
          <w:sz w:val="22"/>
          <w:szCs w:val="22"/>
        </w:rPr>
        <w:t xml:space="preserve">monitor and report progress </w:t>
      </w:r>
      <w:r w:rsidR="002A42C9">
        <w:rPr>
          <w:rFonts w:ascii="Arial" w:hAnsi="Arial" w:cs="Arial"/>
          <w:sz w:val="22"/>
          <w:szCs w:val="22"/>
        </w:rPr>
        <w:t xml:space="preserve">and understand the impact of the P4C project will </w:t>
      </w:r>
      <w:r w:rsidR="001D301E">
        <w:rPr>
          <w:rFonts w:ascii="Arial" w:hAnsi="Arial" w:cs="Arial"/>
          <w:sz w:val="22"/>
          <w:szCs w:val="22"/>
        </w:rPr>
        <w:t>be compromised</w:t>
      </w:r>
      <w:r w:rsidR="002A42C9">
        <w:rPr>
          <w:rFonts w:ascii="Arial" w:hAnsi="Arial" w:cs="Arial"/>
          <w:sz w:val="22"/>
          <w:szCs w:val="22"/>
        </w:rPr>
        <w:t xml:space="preserve"> due to a lack of relevant and comparable information across all participating health centers.</w:t>
      </w:r>
    </w:p>
    <w:p w14:paraId="66273ADB" w14:textId="77777777" w:rsidR="009B3794" w:rsidRPr="000F7D85" w:rsidRDefault="009B3794" w:rsidP="00A71F21">
      <w:pPr>
        <w:numPr>
          <w:ilvl w:val="0"/>
          <w:numId w:val="1"/>
        </w:numPr>
        <w:tabs>
          <w:tab w:val="num" w:pos="360"/>
        </w:tabs>
        <w:spacing w:after="120"/>
        <w:ind w:left="360"/>
        <w:rPr>
          <w:rFonts w:ascii="Arial" w:hAnsi="Arial" w:cs="Arial"/>
          <w:b/>
          <w:sz w:val="22"/>
          <w:szCs w:val="22"/>
          <w:u w:val="single"/>
        </w:rPr>
      </w:pPr>
      <w:r w:rsidRPr="000F7D85">
        <w:rPr>
          <w:rFonts w:ascii="Arial" w:hAnsi="Arial" w:cs="Arial"/>
          <w:b/>
          <w:sz w:val="22"/>
          <w:szCs w:val="22"/>
          <w:u w:val="single"/>
        </w:rPr>
        <w:t>Use of Improved Information Technology and Burden Reduction</w:t>
      </w:r>
    </w:p>
    <w:p w14:paraId="0A09C066" w14:textId="77777777" w:rsidR="00EF6D66" w:rsidRPr="000F7D85" w:rsidRDefault="004F4DC7" w:rsidP="00A71F21">
      <w:pPr>
        <w:spacing w:after="120"/>
        <w:rPr>
          <w:rFonts w:ascii="Arial" w:hAnsi="Arial" w:cs="Arial"/>
          <w:color w:val="000000"/>
          <w:sz w:val="22"/>
          <w:szCs w:val="22"/>
        </w:rPr>
      </w:pPr>
      <w:r w:rsidRPr="000F7D85">
        <w:rPr>
          <w:rFonts w:ascii="Arial" w:hAnsi="Arial" w:cs="Arial"/>
          <w:sz w:val="22"/>
          <w:szCs w:val="22"/>
        </w:rPr>
        <w:t>Advancements in Electronic Health Record (EHR) technology have be</w:t>
      </w:r>
      <w:r w:rsidR="002C21E0">
        <w:rPr>
          <w:rFonts w:ascii="Arial" w:hAnsi="Arial" w:cs="Arial"/>
          <w:sz w:val="22"/>
          <w:szCs w:val="22"/>
        </w:rPr>
        <w:t xml:space="preserve">en proceeding at a rapid pace.  </w:t>
      </w:r>
      <w:r w:rsidRPr="000F7D85">
        <w:rPr>
          <w:rFonts w:ascii="Arial" w:hAnsi="Arial" w:cs="Arial"/>
          <w:sz w:val="22"/>
          <w:szCs w:val="22"/>
        </w:rPr>
        <w:t xml:space="preserve">EHRs can help grantees achieve larger quality and efficiency goals, and the use of EHR can also streamline and simplify health center reporting to UDS measures. </w:t>
      </w:r>
      <w:r w:rsidR="007F358C" w:rsidRPr="000F7D85">
        <w:rPr>
          <w:rFonts w:ascii="Arial" w:hAnsi="Arial" w:cs="Arial"/>
          <w:color w:val="000000"/>
          <w:sz w:val="22"/>
          <w:szCs w:val="22"/>
        </w:rPr>
        <w:t xml:space="preserve">The 14 </w:t>
      </w:r>
      <w:r w:rsidR="006D2040" w:rsidRPr="000F7D85">
        <w:rPr>
          <w:rFonts w:ascii="Arial" w:hAnsi="Arial" w:cs="Arial"/>
          <w:color w:val="000000"/>
          <w:sz w:val="22"/>
          <w:szCs w:val="22"/>
        </w:rPr>
        <w:t xml:space="preserve">HIV </w:t>
      </w:r>
      <w:r w:rsidR="007F358C" w:rsidRPr="000F7D85">
        <w:rPr>
          <w:rFonts w:ascii="Arial" w:hAnsi="Arial" w:cs="Arial"/>
          <w:color w:val="000000"/>
          <w:sz w:val="22"/>
          <w:szCs w:val="22"/>
        </w:rPr>
        <w:t>outcome measures</w:t>
      </w:r>
      <w:r w:rsidR="00EF6D66" w:rsidRPr="000F7D85">
        <w:rPr>
          <w:rFonts w:ascii="Arial" w:hAnsi="Arial" w:cs="Arial"/>
          <w:color w:val="000000"/>
          <w:sz w:val="22"/>
          <w:szCs w:val="22"/>
        </w:rPr>
        <w:t xml:space="preserve"> </w:t>
      </w:r>
      <w:r w:rsidR="00990BF8" w:rsidRPr="000F7D85">
        <w:rPr>
          <w:rFonts w:ascii="Arial" w:hAnsi="Arial" w:cs="Arial"/>
          <w:color w:val="000000"/>
          <w:sz w:val="22"/>
          <w:szCs w:val="22"/>
        </w:rPr>
        <w:t xml:space="preserve">included in the </w:t>
      </w:r>
      <w:r w:rsidR="009C51CD" w:rsidRPr="000F7D85">
        <w:rPr>
          <w:rFonts w:ascii="Arial" w:hAnsi="Arial" w:cs="Arial"/>
          <w:color w:val="000000"/>
          <w:sz w:val="22"/>
          <w:szCs w:val="22"/>
        </w:rPr>
        <w:t>Outcomes Report</w:t>
      </w:r>
      <w:r w:rsidR="00EF6D66" w:rsidRPr="000F7D85">
        <w:rPr>
          <w:rFonts w:ascii="Arial" w:hAnsi="Arial" w:cs="Arial"/>
          <w:color w:val="000000"/>
          <w:sz w:val="22"/>
          <w:szCs w:val="22"/>
        </w:rPr>
        <w:t xml:space="preserve"> are tied to ICD-9, CPT and other standard codes and fields utilized by most EHRs, with few exceptions (i.e., new diagnosis of HIV</w:t>
      </w:r>
      <w:r w:rsidR="006D2040" w:rsidRPr="000F7D85">
        <w:rPr>
          <w:rFonts w:ascii="Arial" w:hAnsi="Arial" w:cs="Arial"/>
          <w:color w:val="000000"/>
          <w:sz w:val="22"/>
          <w:szCs w:val="22"/>
        </w:rPr>
        <w:t xml:space="preserve"> for which no ICD-9 code currently exists</w:t>
      </w:r>
      <w:r w:rsidR="00EF6D66" w:rsidRPr="000F7D85">
        <w:rPr>
          <w:rFonts w:ascii="Arial" w:hAnsi="Arial" w:cs="Arial"/>
          <w:color w:val="000000"/>
          <w:sz w:val="22"/>
          <w:szCs w:val="22"/>
        </w:rPr>
        <w:t xml:space="preserve">). </w:t>
      </w:r>
    </w:p>
    <w:p w14:paraId="3326BE8E" w14:textId="485ABA61" w:rsidR="007051D8" w:rsidRPr="000F7D85" w:rsidRDefault="004F4DC7" w:rsidP="00A71F21">
      <w:pPr>
        <w:spacing w:after="120"/>
        <w:rPr>
          <w:rFonts w:ascii="Arial" w:hAnsi="Arial" w:cs="Arial"/>
          <w:sz w:val="22"/>
          <w:szCs w:val="22"/>
        </w:rPr>
      </w:pPr>
      <w:r w:rsidRPr="000F7D85">
        <w:rPr>
          <w:rFonts w:ascii="Arial" w:hAnsi="Arial" w:cs="Arial"/>
          <w:color w:val="000000"/>
          <w:sz w:val="22"/>
          <w:szCs w:val="22"/>
        </w:rPr>
        <w:t xml:space="preserve">One of the eligibility criteria for health center participation in the P4C project was use of EHR across all health center service delivery sites. </w:t>
      </w:r>
      <w:r w:rsidR="007051D8" w:rsidRPr="000F7D85">
        <w:rPr>
          <w:rFonts w:ascii="Arial" w:hAnsi="Arial" w:cs="Arial"/>
          <w:color w:val="000000"/>
          <w:sz w:val="22"/>
          <w:szCs w:val="22"/>
        </w:rPr>
        <w:t>Health centers can use P4C supplemental funding as needed to build report templates that can extract data from their</w:t>
      </w:r>
      <w:r w:rsidRPr="000F7D85">
        <w:rPr>
          <w:rFonts w:ascii="Arial" w:hAnsi="Arial" w:cs="Arial"/>
          <w:color w:val="000000"/>
          <w:sz w:val="22"/>
          <w:szCs w:val="22"/>
        </w:rPr>
        <w:t xml:space="preserve"> EHR</w:t>
      </w:r>
      <w:r w:rsidR="00EF6D66" w:rsidRPr="000F7D85">
        <w:rPr>
          <w:rFonts w:ascii="Arial" w:hAnsi="Arial" w:cs="Arial"/>
          <w:color w:val="000000"/>
          <w:sz w:val="22"/>
          <w:szCs w:val="22"/>
        </w:rPr>
        <w:t xml:space="preserve"> to provide requested data</w:t>
      </w:r>
      <w:r w:rsidR="007051D8" w:rsidRPr="000F7D85">
        <w:rPr>
          <w:rFonts w:ascii="Arial" w:hAnsi="Arial" w:cs="Arial"/>
          <w:color w:val="000000"/>
          <w:sz w:val="22"/>
          <w:szCs w:val="22"/>
        </w:rPr>
        <w:t>. These data can be</w:t>
      </w:r>
      <w:r w:rsidRPr="000F7D85">
        <w:rPr>
          <w:rFonts w:ascii="Arial" w:hAnsi="Arial" w:cs="Arial"/>
          <w:color w:val="000000"/>
          <w:sz w:val="22"/>
          <w:szCs w:val="22"/>
        </w:rPr>
        <w:t xml:space="preserve"> entered into tables </w:t>
      </w:r>
      <w:r w:rsidR="007051D8" w:rsidRPr="000F7D85">
        <w:rPr>
          <w:rFonts w:ascii="Arial" w:hAnsi="Arial" w:cs="Arial"/>
          <w:color w:val="000000"/>
          <w:sz w:val="22"/>
          <w:szCs w:val="22"/>
        </w:rPr>
        <w:t xml:space="preserve">appearing in the proposed </w:t>
      </w:r>
      <w:r w:rsidR="00E14B27" w:rsidRPr="000F7D85">
        <w:rPr>
          <w:rFonts w:ascii="Arial" w:hAnsi="Arial" w:cs="Arial"/>
          <w:color w:val="000000"/>
          <w:sz w:val="22"/>
          <w:szCs w:val="22"/>
        </w:rPr>
        <w:t>Outcomes Report</w:t>
      </w:r>
      <w:r w:rsidR="007051D8" w:rsidRPr="000F7D85">
        <w:rPr>
          <w:rFonts w:ascii="Arial" w:hAnsi="Arial" w:cs="Arial"/>
          <w:color w:val="000000"/>
          <w:sz w:val="22"/>
          <w:szCs w:val="22"/>
        </w:rPr>
        <w:t xml:space="preserve"> and </w:t>
      </w:r>
      <w:r w:rsidR="007051D8" w:rsidRPr="000F7D85">
        <w:rPr>
          <w:rFonts w:ascii="Arial" w:hAnsi="Arial" w:cs="Arial"/>
          <w:sz w:val="22"/>
          <w:szCs w:val="22"/>
        </w:rPr>
        <w:t>submitted</w:t>
      </w:r>
      <w:r w:rsidR="00927CFD">
        <w:rPr>
          <w:rFonts w:ascii="Arial" w:hAnsi="Arial" w:cs="Arial"/>
          <w:sz w:val="22"/>
          <w:szCs w:val="22"/>
        </w:rPr>
        <w:t xml:space="preserve"> to HRSA/BPHC</w:t>
      </w:r>
      <w:r w:rsidR="007051D8" w:rsidRPr="000F7D85">
        <w:rPr>
          <w:rFonts w:ascii="Arial" w:hAnsi="Arial" w:cs="Arial"/>
          <w:sz w:val="22"/>
          <w:szCs w:val="22"/>
        </w:rPr>
        <w:t xml:space="preserve"> through the Electronic Handbook (EHB), the mechanism for grantee reporting of all required data and documentation. </w:t>
      </w:r>
    </w:p>
    <w:p w14:paraId="70691B95" w14:textId="77777777" w:rsidR="009B3794" w:rsidRPr="000F7D85" w:rsidRDefault="006D2040" w:rsidP="00A71F21">
      <w:pPr>
        <w:spacing w:after="120"/>
        <w:rPr>
          <w:rFonts w:ascii="Arial" w:hAnsi="Arial" w:cs="Arial"/>
          <w:sz w:val="22"/>
          <w:szCs w:val="22"/>
        </w:rPr>
      </w:pPr>
      <w:r w:rsidRPr="000F7D85">
        <w:rPr>
          <w:rFonts w:ascii="Arial" w:hAnsi="Arial" w:cs="Arial"/>
          <w:sz w:val="22"/>
          <w:szCs w:val="22"/>
        </w:rPr>
        <w:t>The BPHC Help Desk has a toll-free hot</w:t>
      </w:r>
      <w:r w:rsidR="007051D8" w:rsidRPr="000F7D85">
        <w:rPr>
          <w:rFonts w:ascii="Arial" w:hAnsi="Arial" w:cs="Arial"/>
          <w:sz w:val="22"/>
          <w:szCs w:val="22"/>
        </w:rPr>
        <w:t xml:space="preserve">line to address questions and provide assistance, including EHB concerns and constraints. </w:t>
      </w:r>
      <w:r w:rsidRPr="000F7D85">
        <w:rPr>
          <w:rFonts w:ascii="Arial" w:hAnsi="Arial" w:cs="Arial"/>
          <w:sz w:val="22"/>
          <w:szCs w:val="22"/>
        </w:rPr>
        <w:t xml:space="preserve">Health centers can reach the help desk </w:t>
      </w:r>
      <w:r w:rsidR="002C21E0">
        <w:rPr>
          <w:rFonts w:ascii="Arial" w:hAnsi="Arial" w:cs="Arial"/>
          <w:sz w:val="22"/>
          <w:szCs w:val="22"/>
        </w:rPr>
        <w:t xml:space="preserve">on-line at </w:t>
      </w:r>
      <w:hyperlink r:id="rId18" w:history="1">
        <w:r w:rsidR="00E66919" w:rsidRPr="006923A3">
          <w:rPr>
            <w:rStyle w:val="Hyperlink"/>
            <w:rFonts w:ascii="Arial" w:hAnsi="Arial" w:cs="Arial"/>
            <w:sz w:val="22"/>
            <w:szCs w:val="22"/>
          </w:rPr>
          <w:t>http://www.hrsa.gov/about/contact/bphc.aspx</w:t>
        </w:r>
      </w:hyperlink>
      <w:r w:rsidR="00E66919">
        <w:rPr>
          <w:rFonts w:ascii="Arial" w:hAnsi="Arial" w:cs="Arial"/>
          <w:sz w:val="22"/>
          <w:szCs w:val="22"/>
        </w:rPr>
        <w:t xml:space="preserve"> or </w:t>
      </w:r>
      <w:r w:rsidRPr="000F7D85">
        <w:rPr>
          <w:rFonts w:ascii="Arial" w:hAnsi="Arial" w:cs="Arial"/>
          <w:sz w:val="22"/>
          <w:szCs w:val="22"/>
        </w:rPr>
        <w:t xml:space="preserve">by </w:t>
      </w:r>
      <w:r w:rsidRPr="000F7D85">
        <w:rPr>
          <w:rFonts w:ascii="Arial" w:hAnsi="Arial" w:cs="Arial"/>
          <w:sz w:val="22"/>
          <w:szCs w:val="22"/>
          <w:lang w:val="en"/>
        </w:rPr>
        <w:t>phone at (</w:t>
      </w:r>
      <w:r w:rsidR="007051D8" w:rsidRPr="000F7D85">
        <w:rPr>
          <w:rFonts w:ascii="Arial" w:hAnsi="Arial" w:cs="Arial"/>
          <w:sz w:val="22"/>
          <w:szCs w:val="22"/>
          <w:lang w:val="en"/>
        </w:rPr>
        <w:t>877</w:t>
      </w:r>
      <w:r w:rsidRPr="000F7D85">
        <w:rPr>
          <w:rFonts w:ascii="Arial" w:hAnsi="Arial" w:cs="Arial"/>
          <w:sz w:val="22"/>
          <w:szCs w:val="22"/>
          <w:lang w:val="en"/>
        </w:rPr>
        <w:t>)</w:t>
      </w:r>
      <w:r w:rsidR="00E66919">
        <w:rPr>
          <w:rFonts w:ascii="Arial" w:hAnsi="Arial" w:cs="Arial"/>
          <w:sz w:val="22"/>
          <w:szCs w:val="22"/>
          <w:lang w:val="en"/>
        </w:rPr>
        <w:t>-974-2742</w:t>
      </w:r>
      <w:r w:rsidR="007051D8" w:rsidRPr="000F7D85">
        <w:rPr>
          <w:rFonts w:ascii="Arial" w:hAnsi="Arial" w:cs="Arial"/>
          <w:sz w:val="22"/>
          <w:szCs w:val="22"/>
          <w:lang w:val="en"/>
        </w:rPr>
        <w:t xml:space="preserve"> Monday through Friday (except federal holidays) </w:t>
      </w:r>
      <w:r w:rsidR="00A71F21" w:rsidRPr="000F7D85">
        <w:rPr>
          <w:rFonts w:ascii="Arial" w:hAnsi="Arial" w:cs="Arial"/>
          <w:sz w:val="22"/>
          <w:szCs w:val="22"/>
          <w:lang w:val="en"/>
        </w:rPr>
        <w:t xml:space="preserve">from </w:t>
      </w:r>
      <w:r w:rsidR="007051D8" w:rsidRPr="000F7D85">
        <w:rPr>
          <w:rFonts w:ascii="Arial" w:hAnsi="Arial" w:cs="Arial"/>
          <w:sz w:val="22"/>
          <w:szCs w:val="22"/>
          <w:lang w:val="en"/>
        </w:rPr>
        <w:t xml:space="preserve">8:30 AM to 5:30 PM (ET). </w:t>
      </w:r>
      <w:r w:rsidR="007051D8" w:rsidRPr="000F7D85">
        <w:rPr>
          <w:rFonts w:ascii="Arial" w:hAnsi="Arial" w:cs="Arial"/>
          <w:sz w:val="22"/>
          <w:szCs w:val="22"/>
        </w:rPr>
        <w:t xml:space="preserve">In addition, health centers have a HRSA/BPHC assigned project officer </w:t>
      </w:r>
      <w:r w:rsidR="00EF6D66" w:rsidRPr="000F7D85">
        <w:rPr>
          <w:rFonts w:ascii="Arial" w:hAnsi="Arial" w:cs="Arial"/>
          <w:sz w:val="22"/>
          <w:szCs w:val="22"/>
        </w:rPr>
        <w:t xml:space="preserve">involved in the development of the progress report </w:t>
      </w:r>
      <w:r w:rsidR="007051D8" w:rsidRPr="000F7D85">
        <w:rPr>
          <w:rFonts w:ascii="Arial" w:hAnsi="Arial" w:cs="Arial"/>
          <w:sz w:val="22"/>
          <w:szCs w:val="22"/>
        </w:rPr>
        <w:t xml:space="preserve">who can address questions regarding </w:t>
      </w:r>
      <w:r w:rsidR="00EF6D66" w:rsidRPr="000F7D85">
        <w:rPr>
          <w:rFonts w:ascii="Arial" w:hAnsi="Arial" w:cs="Arial"/>
          <w:sz w:val="22"/>
          <w:szCs w:val="22"/>
        </w:rPr>
        <w:t>report completion.</w:t>
      </w:r>
    </w:p>
    <w:p w14:paraId="0B5426B5" w14:textId="77777777" w:rsidR="009B3794" w:rsidRPr="000F7D85" w:rsidRDefault="000260AC" w:rsidP="00A71F21">
      <w:pPr>
        <w:numPr>
          <w:ilvl w:val="0"/>
          <w:numId w:val="1"/>
        </w:numPr>
        <w:tabs>
          <w:tab w:val="num" w:pos="360"/>
        </w:tabs>
        <w:spacing w:after="120"/>
        <w:ind w:left="360"/>
        <w:rPr>
          <w:rFonts w:ascii="Arial" w:hAnsi="Arial" w:cs="Arial"/>
          <w:b/>
          <w:sz w:val="22"/>
          <w:szCs w:val="22"/>
          <w:u w:val="single"/>
        </w:rPr>
      </w:pPr>
      <w:r w:rsidRPr="000F7D85">
        <w:rPr>
          <w:rFonts w:ascii="Arial" w:hAnsi="Arial" w:cs="Arial"/>
          <w:b/>
          <w:sz w:val="22"/>
          <w:szCs w:val="22"/>
          <w:u w:val="single"/>
        </w:rPr>
        <w:t>Efforts to</w:t>
      </w:r>
      <w:r w:rsidR="009B3794" w:rsidRPr="000F7D85">
        <w:rPr>
          <w:rFonts w:ascii="Arial" w:hAnsi="Arial" w:cs="Arial"/>
          <w:b/>
          <w:sz w:val="22"/>
          <w:szCs w:val="22"/>
          <w:u w:val="single"/>
        </w:rPr>
        <w:t xml:space="preserve"> Identify Duplication and Use of Similar Information</w:t>
      </w:r>
    </w:p>
    <w:p w14:paraId="365D9FBB" w14:textId="77777777" w:rsidR="00D879CB" w:rsidRPr="000F7D85" w:rsidRDefault="00990BF8" w:rsidP="00A71F21">
      <w:pPr>
        <w:spacing w:after="120"/>
        <w:rPr>
          <w:rFonts w:ascii="Arial" w:hAnsi="Arial" w:cs="Arial"/>
          <w:color w:val="000000"/>
          <w:sz w:val="22"/>
          <w:szCs w:val="22"/>
        </w:rPr>
      </w:pPr>
      <w:r w:rsidRPr="000F7D85">
        <w:rPr>
          <w:rFonts w:ascii="Arial" w:hAnsi="Arial" w:cs="Arial"/>
          <w:color w:val="000000"/>
          <w:sz w:val="22"/>
          <w:szCs w:val="22"/>
        </w:rPr>
        <w:t>Data and information included in P4C progress reports are</w:t>
      </w:r>
      <w:r w:rsidR="00CE104C" w:rsidRPr="000F7D85">
        <w:rPr>
          <w:rFonts w:ascii="Arial" w:hAnsi="Arial" w:cs="Arial"/>
          <w:color w:val="000000"/>
          <w:sz w:val="22"/>
          <w:szCs w:val="22"/>
        </w:rPr>
        <w:t xml:space="preserve"> not </w:t>
      </w:r>
      <w:r w:rsidR="00D879CB" w:rsidRPr="000F7D85">
        <w:rPr>
          <w:rFonts w:ascii="Arial" w:hAnsi="Arial" w:cs="Arial"/>
          <w:color w:val="000000"/>
          <w:sz w:val="22"/>
          <w:szCs w:val="22"/>
        </w:rPr>
        <w:t xml:space="preserve">consistently </w:t>
      </w:r>
      <w:r w:rsidR="00CE104C" w:rsidRPr="000F7D85">
        <w:rPr>
          <w:rFonts w:ascii="Arial" w:hAnsi="Arial" w:cs="Arial"/>
          <w:color w:val="000000"/>
          <w:sz w:val="22"/>
          <w:szCs w:val="22"/>
        </w:rPr>
        <w:t xml:space="preserve">captured </w:t>
      </w:r>
      <w:r w:rsidR="00176177">
        <w:rPr>
          <w:rFonts w:ascii="Arial" w:hAnsi="Arial" w:cs="Arial"/>
          <w:color w:val="000000"/>
          <w:sz w:val="22"/>
          <w:szCs w:val="22"/>
        </w:rPr>
        <w:t xml:space="preserve">by any other existing source </w:t>
      </w:r>
      <w:r w:rsidR="00D879CB" w:rsidRPr="000F7D85">
        <w:rPr>
          <w:rFonts w:ascii="Arial" w:hAnsi="Arial" w:cs="Arial"/>
          <w:color w:val="000000"/>
          <w:sz w:val="22"/>
          <w:szCs w:val="22"/>
        </w:rPr>
        <w:t xml:space="preserve">for </w:t>
      </w:r>
      <w:r w:rsidR="000E7868">
        <w:rPr>
          <w:rFonts w:ascii="Arial" w:hAnsi="Arial" w:cs="Arial"/>
          <w:color w:val="000000"/>
          <w:sz w:val="22"/>
          <w:szCs w:val="22"/>
        </w:rPr>
        <w:t>all</w:t>
      </w:r>
      <w:r w:rsidR="00D879CB" w:rsidRPr="000F7D85">
        <w:rPr>
          <w:rFonts w:ascii="Arial" w:hAnsi="Arial" w:cs="Arial"/>
          <w:color w:val="000000"/>
          <w:sz w:val="22"/>
          <w:szCs w:val="22"/>
        </w:rPr>
        <w:t xml:space="preserve"> 22 health centers participating in the project</w:t>
      </w:r>
      <w:r w:rsidR="009C51CD" w:rsidRPr="000F7D85">
        <w:rPr>
          <w:rFonts w:ascii="Arial" w:hAnsi="Arial" w:cs="Arial"/>
          <w:color w:val="000000"/>
          <w:sz w:val="22"/>
          <w:szCs w:val="22"/>
        </w:rPr>
        <w:t>,</w:t>
      </w:r>
      <w:r w:rsidR="00CE104C" w:rsidRPr="000F7D85">
        <w:rPr>
          <w:rFonts w:ascii="Arial" w:hAnsi="Arial" w:cs="Arial"/>
          <w:color w:val="000000"/>
          <w:sz w:val="22"/>
          <w:szCs w:val="22"/>
        </w:rPr>
        <w:t xml:space="preserve"> as determined through </w:t>
      </w:r>
      <w:r w:rsidRPr="000F7D85">
        <w:rPr>
          <w:rFonts w:ascii="Arial" w:hAnsi="Arial" w:cs="Arial"/>
          <w:color w:val="000000"/>
          <w:sz w:val="22"/>
          <w:szCs w:val="22"/>
        </w:rPr>
        <w:t xml:space="preserve">review of current Health Center Program reporting requirements and in </w:t>
      </w:r>
      <w:r w:rsidR="00CE104C" w:rsidRPr="000F7D85">
        <w:rPr>
          <w:rFonts w:ascii="Arial" w:hAnsi="Arial" w:cs="Arial"/>
          <w:color w:val="000000"/>
          <w:sz w:val="22"/>
          <w:szCs w:val="22"/>
        </w:rPr>
        <w:t xml:space="preserve">consultation with other HHS agencies. </w:t>
      </w:r>
      <w:r w:rsidR="00927CFD">
        <w:rPr>
          <w:rFonts w:ascii="Arial" w:hAnsi="Arial" w:cs="Arial"/>
          <w:color w:val="000000"/>
          <w:sz w:val="22"/>
          <w:szCs w:val="22"/>
        </w:rPr>
        <w:t>Two</w:t>
      </w:r>
      <w:r w:rsidR="00AD184E" w:rsidRPr="000F7D85">
        <w:rPr>
          <w:rFonts w:ascii="Arial" w:hAnsi="Arial" w:cs="Arial"/>
          <w:color w:val="000000"/>
          <w:sz w:val="22"/>
          <w:szCs w:val="22"/>
        </w:rPr>
        <w:t xml:space="preserve"> exception</w:t>
      </w:r>
      <w:r w:rsidR="00927CFD">
        <w:rPr>
          <w:rFonts w:ascii="Arial" w:hAnsi="Arial" w:cs="Arial"/>
          <w:color w:val="000000"/>
          <w:sz w:val="22"/>
          <w:szCs w:val="22"/>
        </w:rPr>
        <w:t>s include</w:t>
      </w:r>
      <w:r w:rsidR="00AD184E" w:rsidRPr="000F7D85">
        <w:rPr>
          <w:rFonts w:ascii="Arial" w:hAnsi="Arial" w:cs="Arial"/>
          <w:color w:val="000000"/>
          <w:sz w:val="22"/>
          <w:szCs w:val="22"/>
        </w:rPr>
        <w:t xml:space="preserve"> reporting of proposed outcome measure</w:t>
      </w:r>
      <w:r w:rsidR="00927CFD">
        <w:rPr>
          <w:rFonts w:ascii="Arial" w:hAnsi="Arial" w:cs="Arial"/>
          <w:color w:val="000000"/>
          <w:sz w:val="22"/>
          <w:szCs w:val="22"/>
        </w:rPr>
        <w:t>s #5 and</w:t>
      </w:r>
      <w:r w:rsidR="00AD184E" w:rsidRPr="000F7D85">
        <w:rPr>
          <w:rFonts w:ascii="Arial" w:hAnsi="Arial" w:cs="Arial"/>
          <w:color w:val="000000"/>
          <w:sz w:val="22"/>
          <w:szCs w:val="22"/>
        </w:rPr>
        <w:t xml:space="preserve"> #6 regarding </w:t>
      </w:r>
      <w:r w:rsidR="00927CFD">
        <w:rPr>
          <w:rFonts w:ascii="Arial" w:hAnsi="Arial" w:cs="Arial"/>
          <w:color w:val="000000"/>
          <w:sz w:val="22"/>
          <w:szCs w:val="22"/>
        </w:rPr>
        <w:t xml:space="preserve">newly diagnosed patients and </w:t>
      </w:r>
      <w:r w:rsidR="00AD184E" w:rsidRPr="000F7D85">
        <w:rPr>
          <w:rFonts w:ascii="Arial" w:hAnsi="Arial" w:cs="Arial"/>
          <w:color w:val="000000"/>
          <w:sz w:val="22"/>
          <w:szCs w:val="22"/>
        </w:rPr>
        <w:t>linkage to HIV care</w:t>
      </w:r>
      <w:r w:rsidR="00A71F21" w:rsidRPr="000F7D85">
        <w:rPr>
          <w:rFonts w:ascii="Arial" w:hAnsi="Arial" w:cs="Arial"/>
          <w:color w:val="000000"/>
          <w:sz w:val="22"/>
          <w:szCs w:val="22"/>
        </w:rPr>
        <w:t xml:space="preserve"> (see S</w:t>
      </w:r>
      <w:r w:rsidR="00513E37" w:rsidRPr="000F7D85">
        <w:rPr>
          <w:rFonts w:ascii="Arial" w:hAnsi="Arial" w:cs="Arial"/>
          <w:color w:val="000000"/>
          <w:sz w:val="22"/>
          <w:szCs w:val="22"/>
        </w:rPr>
        <w:t xml:space="preserve">ection </w:t>
      </w:r>
      <w:r w:rsidR="00A71F21" w:rsidRPr="000F7D85">
        <w:rPr>
          <w:rFonts w:ascii="Arial" w:hAnsi="Arial" w:cs="Arial"/>
          <w:color w:val="000000"/>
          <w:sz w:val="22"/>
          <w:szCs w:val="22"/>
        </w:rPr>
        <w:t>#</w:t>
      </w:r>
      <w:r w:rsidR="00513E37" w:rsidRPr="000F7D85">
        <w:rPr>
          <w:rFonts w:ascii="Arial" w:hAnsi="Arial" w:cs="Arial"/>
          <w:color w:val="000000"/>
          <w:sz w:val="22"/>
          <w:szCs w:val="22"/>
        </w:rPr>
        <w:t>1 above)</w:t>
      </w:r>
      <w:r w:rsidR="003D464B">
        <w:rPr>
          <w:rFonts w:ascii="Arial" w:hAnsi="Arial" w:cs="Arial"/>
          <w:color w:val="000000"/>
          <w:sz w:val="22"/>
          <w:szCs w:val="22"/>
        </w:rPr>
        <w:t xml:space="preserve">. </w:t>
      </w:r>
      <w:r w:rsidR="00927CFD">
        <w:rPr>
          <w:rFonts w:ascii="Arial" w:hAnsi="Arial" w:cs="Arial"/>
          <w:color w:val="000000"/>
          <w:sz w:val="22"/>
          <w:szCs w:val="22"/>
        </w:rPr>
        <w:t>These</w:t>
      </w:r>
      <w:r w:rsidR="003D464B">
        <w:rPr>
          <w:rFonts w:ascii="Arial" w:hAnsi="Arial" w:cs="Arial"/>
          <w:color w:val="000000"/>
          <w:sz w:val="22"/>
          <w:szCs w:val="22"/>
        </w:rPr>
        <w:t xml:space="preserve"> </w:t>
      </w:r>
      <w:r w:rsidR="00E66919">
        <w:rPr>
          <w:rFonts w:ascii="Arial" w:hAnsi="Arial" w:cs="Arial"/>
          <w:color w:val="000000"/>
          <w:sz w:val="22"/>
          <w:szCs w:val="22"/>
        </w:rPr>
        <w:t>measure</w:t>
      </w:r>
      <w:r w:rsidR="00927CFD">
        <w:rPr>
          <w:rFonts w:ascii="Arial" w:hAnsi="Arial" w:cs="Arial"/>
          <w:color w:val="000000"/>
          <w:sz w:val="22"/>
          <w:szCs w:val="22"/>
        </w:rPr>
        <w:t>s</w:t>
      </w:r>
      <w:r w:rsidR="00AD184E" w:rsidRPr="000F7D85">
        <w:rPr>
          <w:rFonts w:ascii="Arial" w:hAnsi="Arial" w:cs="Arial"/>
          <w:color w:val="000000"/>
          <w:sz w:val="22"/>
          <w:szCs w:val="22"/>
        </w:rPr>
        <w:t xml:space="preserve"> </w:t>
      </w:r>
      <w:r w:rsidR="00A71F21" w:rsidRPr="000F7D85">
        <w:rPr>
          <w:rFonts w:ascii="Arial" w:hAnsi="Arial" w:cs="Arial"/>
          <w:color w:val="000000"/>
          <w:sz w:val="22"/>
          <w:szCs w:val="22"/>
        </w:rPr>
        <w:t xml:space="preserve">also </w:t>
      </w:r>
      <w:r w:rsidR="00927CFD">
        <w:rPr>
          <w:rFonts w:ascii="Arial" w:hAnsi="Arial" w:cs="Arial"/>
          <w:color w:val="000000"/>
          <w:sz w:val="22"/>
          <w:szCs w:val="22"/>
        </w:rPr>
        <w:t>are</w:t>
      </w:r>
      <w:r w:rsidR="00AD184E" w:rsidRPr="000F7D85">
        <w:rPr>
          <w:rFonts w:ascii="Arial" w:hAnsi="Arial" w:cs="Arial"/>
          <w:color w:val="000000"/>
          <w:sz w:val="22"/>
          <w:szCs w:val="22"/>
        </w:rPr>
        <w:t xml:space="preserve"> reported to UDS; however, </w:t>
      </w:r>
      <w:r w:rsidR="00637122" w:rsidRPr="00637122">
        <w:rPr>
          <w:rFonts w:ascii="Arial" w:hAnsi="Arial" w:cs="Arial"/>
          <w:color w:val="000000"/>
          <w:sz w:val="22"/>
          <w:szCs w:val="22"/>
        </w:rPr>
        <w:t xml:space="preserve">the data do not become available for programmatic use until four to six months after the information is needed for project monitoring due to UDS data </w:t>
      </w:r>
      <w:r w:rsidR="00637122">
        <w:rPr>
          <w:rFonts w:ascii="Arial" w:hAnsi="Arial" w:cs="Arial"/>
          <w:color w:val="000000"/>
          <w:sz w:val="22"/>
          <w:szCs w:val="22"/>
        </w:rPr>
        <w:t xml:space="preserve">aggregation, </w:t>
      </w:r>
      <w:r w:rsidR="00637122" w:rsidRPr="00637122">
        <w:rPr>
          <w:rFonts w:ascii="Arial" w:hAnsi="Arial" w:cs="Arial"/>
          <w:color w:val="000000"/>
          <w:sz w:val="22"/>
          <w:szCs w:val="22"/>
        </w:rPr>
        <w:t>cleaning and validation efforts</w:t>
      </w:r>
      <w:r w:rsidR="00637122">
        <w:rPr>
          <w:rFonts w:ascii="Arial" w:hAnsi="Arial" w:cs="Arial"/>
          <w:color w:val="000000"/>
          <w:sz w:val="22"/>
          <w:szCs w:val="22"/>
        </w:rPr>
        <w:t xml:space="preserve"> </w:t>
      </w:r>
      <w:r w:rsidR="00927CFD">
        <w:rPr>
          <w:rFonts w:ascii="Arial" w:hAnsi="Arial" w:cs="Arial"/>
          <w:color w:val="000000"/>
          <w:sz w:val="22"/>
          <w:szCs w:val="22"/>
        </w:rPr>
        <w:t>for</w:t>
      </w:r>
      <w:r w:rsidR="00637122">
        <w:rPr>
          <w:rFonts w:ascii="Arial" w:hAnsi="Arial" w:cs="Arial"/>
          <w:color w:val="000000"/>
          <w:sz w:val="22"/>
          <w:szCs w:val="22"/>
        </w:rPr>
        <w:t xml:space="preserve"> the entire UDS report </w:t>
      </w:r>
      <w:r w:rsidR="00927CFD">
        <w:rPr>
          <w:rFonts w:ascii="Arial" w:hAnsi="Arial" w:cs="Arial"/>
          <w:color w:val="000000"/>
          <w:sz w:val="22"/>
          <w:szCs w:val="22"/>
        </w:rPr>
        <w:t>across over</w:t>
      </w:r>
      <w:r w:rsidR="00637122">
        <w:rPr>
          <w:rFonts w:ascii="Arial" w:hAnsi="Arial" w:cs="Arial"/>
          <w:color w:val="000000"/>
          <w:sz w:val="22"/>
          <w:szCs w:val="22"/>
        </w:rPr>
        <w:t xml:space="preserve"> 1,300 health centers</w:t>
      </w:r>
      <w:r w:rsidR="00637122" w:rsidRPr="00637122">
        <w:rPr>
          <w:rFonts w:ascii="Arial" w:hAnsi="Arial" w:cs="Arial"/>
          <w:color w:val="000000"/>
          <w:sz w:val="22"/>
          <w:szCs w:val="22"/>
        </w:rPr>
        <w:t xml:space="preserve">. </w:t>
      </w:r>
      <w:r w:rsidR="00637122">
        <w:rPr>
          <w:rFonts w:ascii="Arial" w:hAnsi="Arial" w:cs="Arial"/>
          <w:color w:val="000000"/>
          <w:sz w:val="22"/>
          <w:szCs w:val="22"/>
        </w:rPr>
        <w:t>T</w:t>
      </w:r>
      <w:r w:rsidR="00E66919">
        <w:rPr>
          <w:rFonts w:ascii="Arial" w:hAnsi="Arial" w:cs="Arial"/>
          <w:color w:val="000000"/>
          <w:sz w:val="22"/>
          <w:szCs w:val="22"/>
        </w:rPr>
        <w:t>he</w:t>
      </w:r>
      <w:r w:rsidR="00927CFD">
        <w:rPr>
          <w:rFonts w:ascii="Arial" w:hAnsi="Arial" w:cs="Arial"/>
          <w:color w:val="000000"/>
          <w:sz w:val="22"/>
          <w:szCs w:val="22"/>
        </w:rPr>
        <w:t>se two</w:t>
      </w:r>
      <w:r w:rsidR="00513E37" w:rsidRPr="000F7D85">
        <w:rPr>
          <w:rFonts w:ascii="Arial" w:hAnsi="Arial" w:cs="Arial"/>
          <w:color w:val="000000"/>
          <w:sz w:val="22"/>
          <w:szCs w:val="22"/>
        </w:rPr>
        <w:t xml:space="preserve"> </w:t>
      </w:r>
      <w:r w:rsidR="00513E37" w:rsidRPr="00E66919">
        <w:rPr>
          <w:rFonts w:ascii="Arial" w:hAnsi="Arial" w:cs="Arial"/>
          <w:color w:val="000000"/>
          <w:sz w:val="22"/>
          <w:szCs w:val="22"/>
        </w:rPr>
        <w:t>measure</w:t>
      </w:r>
      <w:r w:rsidR="00927CFD">
        <w:rPr>
          <w:rFonts w:ascii="Arial" w:hAnsi="Arial" w:cs="Arial"/>
          <w:color w:val="000000"/>
          <w:sz w:val="22"/>
          <w:szCs w:val="22"/>
        </w:rPr>
        <w:t>s</w:t>
      </w:r>
      <w:r w:rsidR="00513E37" w:rsidRPr="00E66919">
        <w:rPr>
          <w:rFonts w:ascii="Arial" w:hAnsi="Arial" w:cs="Arial"/>
          <w:color w:val="000000"/>
          <w:sz w:val="22"/>
          <w:szCs w:val="22"/>
        </w:rPr>
        <w:t xml:space="preserve"> in the </w:t>
      </w:r>
      <w:r w:rsidR="009C51CD" w:rsidRPr="00E66919">
        <w:rPr>
          <w:rFonts w:ascii="Arial" w:hAnsi="Arial" w:cs="Arial"/>
          <w:color w:val="000000"/>
          <w:sz w:val="22"/>
          <w:szCs w:val="22"/>
        </w:rPr>
        <w:t>Outcomes Report</w:t>
      </w:r>
      <w:r w:rsidR="00513E37" w:rsidRPr="000F7D85">
        <w:rPr>
          <w:rFonts w:ascii="Arial" w:hAnsi="Arial" w:cs="Arial"/>
          <w:color w:val="000000"/>
          <w:sz w:val="22"/>
          <w:szCs w:val="22"/>
        </w:rPr>
        <w:t xml:space="preserve"> </w:t>
      </w:r>
      <w:r w:rsidR="00927CFD">
        <w:rPr>
          <w:rFonts w:ascii="Arial" w:hAnsi="Arial" w:cs="Arial"/>
          <w:color w:val="000000"/>
          <w:sz w:val="22"/>
          <w:szCs w:val="22"/>
        </w:rPr>
        <w:t>are</w:t>
      </w:r>
      <w:r w:rsidR="00513E37" w:rsidRPr="000F7D85">
        <w:rPr>
          <w:rFonts w:ascii="Arial" w:hAnsi="Arial" w:cs="Arial"/>
          <w:color w:val="000000"/>
          <w:sz w:val="22"/>
          <w:szCs w:val="22"/>
        </w:rPr>
        <w:t xml:space="preserve"> identical to the </w:t>
      </w:r>
      <w:r w:rsidR="00A71F21" w:rsidRPr="000F7D85">
        <w:rPr>
          <w:rFonts w:ascii="Arial" w:hAnsi="Arial" w:cs="Arial"/>
          <w:color w:val="000000"/>
          <w:sz w:val="22"/>
          <w:szCs w:val="22"/>
        </w:rPr>
        <w:t xml:space="preserve">corresponding </w:t>
      </w:r>
      <w:r w:rsidR="00513E37" w:rsidRPr="000F7D85">
        <w:rPr>
          <w:rFonts w:ascii="Arial" w:hAnsi="Arial" w:cs="Arial"/>
          <w:color w:val="000000"/>
          <w:sz w:val="22"/>
          <w:szCs w:val="22"/>
        </w:rPr>
        <w:t>measure</w:t>
      </w:r>
      <w:r w:rsidR="00927CFD">
        <w:rPr>
          <w:rFonts w:ascii="Arial" w:hAnsi="Arial" w:cs="Arial"/>
          <w:color w:val="000000"/>
          <w:sz w:val="22"/>
          <w:szCs w:val="22"/>
        </w:rPr>
        <w:t>s in UDS and do</w:t>
      </w:r>
      <w:r w:rsidR="00513E37" w:rsidRPr="000F7D85">
        <w:rPr>
          <w:rFonts w:ascii="Arial" w:hAnsi="Arial" w:cs="Arial"/>
          <w:color w:val="000000"/>
          <w:sz w:val="22"/>
          <w:szCs w:val="22"/>
        </w:rPr>
        <w:t xml:space="preserve"> not require any additional hours to calculate.</w:t>
      </w:r>
    </w:p>
    <w:p w14:paraId="40C5A8B1" w14:textId="2E9A7AD5" w:rsidR="009B3794" w:rsidRPr="000F7D85" w:rsidRDefault="009B3794" w:rsidP="00A71F21">
      <w:pPr>
        <w:numPr>
          <w:ilvl w:val="0"/>
          <w:numId w:val="1"/>
        </w:numPr>
        <w:tabs>
          <w:tab w:val="num" w:pos="360"/>
        </w:tabs>
        <w:spacing w:after="120"/>
        <w:ind w:left="360"/>
        <w:rPr>
          <w:rFonts w:ascii="Arial" w:hAnsi="Arial" w:cs="Arial"/>
          <w:b/>
          <w:sz w:val="22"/>
          <w:szCs w:val="22"/>
          <w:u w:val="single"/>
        </w:rPr>
      </w:pPr>
      <w:r w:rsidRPr="000F7D85">
        <w:rPr>
          <w:rFonts w:ascii="Arial" w:hAnsi="Arial" w:cs="Arial"/>
          <w:b/>
          <w:sz w:val="22"/>
          <w:szCs w:val="22"/>
          <w:u w:val="single"/>
        </w:rPr>
        <w:t>Impact on Small Businesses or Other Small Entities</w:t>
      </w:r>
    </w:p>
    <w:p w14:paraId="79E56D62" w14:textId="2AC561D4" w:rsidR="00B56CFE" w:rsidRPr="000F7D85" w:rsidRDefault="00B56CFE" w:rsidP="00A71F21">
      <w:pPr>
        <w:spacing w:after="120"/>
        <w:rPr>
          <w:rFonts w:ascii="Arial" w:hAnsi="Arial" w:cs="Arial"/>
          <w:sz w:val="22"/>
          <w:szCs w:val="22"/>
        </w:rPr>
      </w:pPr>
      <w:r w:rsidRPr="000F7D85">
        <w:rPr>
          <w:rFonts w:ascii="Arial" w:hAnsi="Arial" w:cs="Arial"/>
          <w:sz w:val="22"/>
          <w:szCs w:val="22"/>
        </w:rPr>
        <w:t xml:space="preserve">Every effort has been made to ensure that proposed </w:t>
      </w:r>
      <w:r w:rsidR="00037122" w:rsidRPr="000F7D85">
        <w:rPr>
          <w:rFonts w:ascii="Arial" w:hAnsi="Arial" w:cs="Arial"/>
          <w:sz w:val="22"/>
          <w:szCs w:val="22"/>
        </w:rPr>
        <w:t>P4C progress reports</w:t>
      </w:r>
      <w:r w:rsidR="00986440" w:rsidRPr="000F7D85">
        <w:rPr>
          <w:rFonts w:ascii="Arial" w:hAnsi="Arial" w:cs="Arial"/>
          <w:sz w:val="22"/>
          <w:szCs w:val="22"/>
        </w:rPr>
        <w:t xml:space="preserve"> contain</w:t>
      </w:r>
      <w:r w:rsidRPr="000F7D85">
        <w:rPr>
          <w:rFonts w:ascii="Arial" w:hAnsi="Arial" w:cs="Arial"/>
          <w:sz w:val="22"/>
          <w:szCs w:val="22"/>
        </w:rPr>
        <w:t xml:space="preserve"> the minimum amount of data </w:t>
      </w:r>
      <w:r w:rsidR="00037122" w:rsidRPr="000F7D85">
        <w:rPr>
          <w:rFonts w:ascii="Arial" w:hAnsi="Arial" w:cs="Arial"/>
          <w:sz w:val="22"/>
          <w:szCs w:val="22"/>
        </w:rPr>
        <w:t xml:space="preserve">and information </w:t>
      </w:r>
      <w:r w:rsidRPr="000F7D85">
        <w:rPr>
          <w:rFonts w:ascii="Arial" w:hAnsi="Arial" w:cs="Arial"/>
          <w:sz w:val="22"/>
          <w:szCs w:val="22"/>
        </w:rPr>
        <w:t xml:space="preserve">necessary to meet monitoring and reporting requirements. </w:t>
      </w:r>
      <w:r w:rsidR="00000492">
        <w:rPr>
          <w:rFonts w:ascii="Arial" w:hAnsi="Arial" w:cs="Arial"/>
          <w:sz w:val="22"/>
          <w:szCs w:val="22"/>
        </w:rPr>
        <w:lastRenderedPageBreak/>
        <w:t>P</w:t>
      </w:r>
      <w:r w:rsidRPr="000F7D85">
        <w:rPr>
          <w:rFonts w:ascii="Arial" w:hAnsi="Arial" w:cs="Arial"/>
          <w:sz w:val="22"/>
          <w:szCs w:val="22"/>
        </w:rPr>
        <w:t xml:space="preserve">roposed </w:t>
      </w:r>
      <w:r w:rsidR="00A71F21" w:rsidRPr="000F7D85">
        <w:rPr>
          <w:rFonts w:ascii="Arial" w:hAnsi="Arial" w:cs="Arial"/>
          <w:sz w:val="22"/>
          <w:szCs w:val="22"/>
        </w:rPr>
        <w:t xml:space="preserve">HIV </w:t>
      </w:r>
      <w:r w:rsidR="00513E37" w:rsidRPr="000F7D85">
        <w:rPr>
          <w:rFonts w:ascii="Arial" w:hAnsi="Arial" w:cs="Arial"/>
          <w:sz w:val="22"/>
          <w:szCs w:val="22"/>
        </w:rPr>
        <w:t xml:space="preserve">outcome </w:t>
      </w:r>
      <w:r w:rsidRPr="000F7D85">
        <w:rPr>
          <w:rFonts w:ascii="Arial" w:hAnsi="Arial" w:cs="Arial"/>
          <w:sz w:val="22"/>
          <w:szCs w:val="22"/>
        </w:rPr>
        <w:t xml:space="preserve">measures </w:t>
      </w:r>
      <w:r w:rsidR="00513E37" w:rsidRPr="000F7D85">
        <w:rPr>
          <w:rFonts w:ascii="Arial" w:hAnsi="Arial" w:cs="Arial"/>
          <w:sz w:val="22"/>
          <w:szCs w:val="22"/>
        </w:rPr>
        <w:t xml:space="preserve">build on </w:t>
      </w:r>
      <w:r w:rsidRPr="000F7D85">
        <w:rPr>
          <w:rFonts w:ascii="Arial" w:hAnsi="Arial" w:cs="Arial"/>
          <w:sz w:val="22"/>
          <w:szCs w:val="22"/>
        </w:rPr>
        <w:t xml:space="preserve">data currently collected and maintained by health centers for internal administrative and clinical needs. </w:t>
      </w:r>
      <w:r w:rsidR="00000492">
        <w:rPr>
          <w:rFonts w:ascii="Arial" w:hAnsi="Arial" w:cs="Arial"/>
          <w:sz w:val="22"/>
          <w:szCs w:val="22"/>
        </w:rPr>
        <w:t xml:space="preserve">In addition, </w:t>
      </w:r>
      <w:r w:rsidR="00000492">
        <w:rPr>
          <w:rFonts w:ascii="Arial" w:hAnsi="Arial" w:cs="Arial"/>
          <w:color w:val="000000"/>
          <w:sz w:val="22"/>
          <w:szCs w:val="22"/>
        </w:rPr>
        <w:t>o</w:t>
      </w:r>
      <w:r w:rsidR="00000492" w:rsidRPr="000F7D85">
        <w:rPr>
          <w:rFonts w:ascii="Arial" w:hAnsi="Arial" w:cs="Arial"/>
          <w:color w:val="000000"/>
          <w:sz w:val="22"/>
          <w:szCs w:val="22"/>
        </w:rPr>
        <w:t>ne of the eligibility criteria for health center participation in the P4C project was use of EHR across all health center service delivery sites.</w:t>
      </w:r>
      <w:r w:rsidR="00000492" w:rsidRPr="002719DA">
        <w:rPr>
          <w:rFonts w:ascii="Arial" w:hAnsi="Arial"/>
          <w:color w:val="000000"/>
          <w:sz w:val="22"/>
        </w:rPr>
        <w:t xml:space="preserve"> </w:t>
      </w:r>
      <w:r w:rsidRPr="000F7D85">
        <w:rPr>
          <w:rFonts w:ascii="Arial" w:hAnsi="Arial" w:cs="Arial"/>
          <w:sz w:val="22"/>
          <w:szCs w:val="22"/>
        </w:rPr>
        <w:t xml:space="preserve"> </w:t>
      </w:r>
    </w:p>
    <w:p w14:paraId="71A235B2" w14:textId="77777777" w:rsidR="009B3794" w:rsidRPr="000F7D85" w:rsidRDefault="009B3794" w:rsidP="00A71F21">
      <w:pPr>
        <w:numPr>
          <w:ilvl w:val="0"/>
          <w:numId w:val="1"/>
        </w:numPr>
        <w:tabs>
          <w:tab w:val="num" w:pos="360"/>
        </w:tabs>
        <w:spacing w:after="120"/>
        <w:ind w:left="360"/>
        <w:rPr>
          <w:rFonts w:ascii="Arial" w:hAnsi="Arial" w:cs="Arial"/>
          <w:b/>
          <w:sz w:val="22"/>
          <w:szCs w:val="22"/>
          <w:u w:val="single"/>
        </w:rPr>
      </w:pPr>
      <w:r w:rsidRPr="000F7D85">
        <w:rPr>
          <w:rFonts w:ascii="Arial" w:hAnsi="Arial" w:cs="Arial"/>
          <w:b/>
          <w:sz w:val="22"/>
          <w:szCs w:val="22"/>
          <w:u w:val="single"/>
        </w:rPr>
        <w:t>Consequences of Collecting the Information Less Frequent</w:t>
      </w:r>
      <w:r w:rsidR="001325B2" w:rsidRPr="000F7D85">
        <w:rPr>
          <w:rFonts w:ascii="Arial" w:hAnsi="Arial" w:cs="Arial"/>
          <w:b/>
          <w:sz w:val="22"/>
          <w:szCs w:val="22"/>
          <w:u w:val="single"/>
        </w:rPr>
        <w:t>ly</w:t>
      </w:r>
    </w:p>
    <w:p w14:paraId="76F2D97C" w14:textId="77777777" w:rsidR="00037122" w:rsidRPr="000F7D85" w:rsidRDefault="00037122" w:rsidP="00A71F21">
      <w:pPr>
        <w:widowControl/>
        <w:autoSpaceDE/>
        <w:autoSpaceDN/>
        <w:adjustRightInd/>
        <w:spacing w:after="120"/>
        <w:rPr>
          <w:rFonts w:ascii="Arial" w:hAnsi="Arial" w:cs="Arial"/>
          <w:sz w:val="22"/>
          <w:szCs w:val="22"/>
        </w:rPr>
      </w:pPr>
      <w:r w:rsidRPr="000F7D85">
        <w:rPr>
          <w:rFonts w:ascii="Arial" w:hAnsi="Arial" w:cs="Arial"/>
          <w:sz w:val="22"/>
          <w:szCs w:val="22"/>
        </w:rPr>
        <w:t>P4C supplemental funding is awarded annually</w:t>
      </w:r>
      <w:r w:rsidR="00CC653D" w:rsidRPr="000F7D85">
        <w:rPr>
          <w:rFonts w:ascii="Arial" w:hAnsi="Arial" w:cs="Arial"/>
          <w:sz w:val="22"/>
          <w:szCs w:val="22"/>
        </w:rPr>
        <w:t>. If P4C progress reports are collected less frequently, the ability to identify poor performance and intervene through increased monitoring, training and technical assistance, or termination of funding will be compromised</w:t>
      </w:r>
      <w:r w:rsidRPr="000F7D85">
        <w:rPr>
          <w:rFonts w:ascii="Arial" w:hAnsi="Arial" w:cs="Arial"/>
          <w:sz w:val="22"/>
          <w:szCs w:val="22"/>
        </w:rPr>
        <w:t xml:space="preserve">. </w:t>
      </w:r>
      <w:r w:rsidR="00CC653D" w:rsidRPr="000F7D85">
        <w:rPr>
          <w:rFonts w:ascii="Arial" w:hAnsi="Arial" w:cs="Arial"/>
          <w:sz w:val="22"/>
          <w:szCs w:val="22"/>
        </w:rPr>
        <w:t>Information regarding project implementation is collected in both the Implementation and Outcomes Reports to ensure</w:t>
      </w:r>
      <w:r w:rsidR="00927CFD">
        <w:rPr>
          <w:rFonts w:ascii="Arial" w:hAnsi="Arial" w:cs="Arial"/>
          <w:sz w:val="22"/>
          <w:szCs w:val="22"/>
        </w:rPr>
        <w:t xml:space="preserve"> ongoing</w:t>
      </w:r>
      <w:r w:rsidR="00CC653D" w:rsidRPr="000F7D85">
        <w:rPr>
          <w:rFonts w:ascii="Arial" w:hAnsi="Arial" w:cs="Arial"/>
          <w:sz w:val="22"/>
          <w:szCs w:val="22"/>
        </w:rPr>
        <w:t xml:space="preserve"> compliance with P4C requirements and appropriate stewardship of federal funds. </w:t>
      </w:r>
      <w:r w:rsidR="00777F19">
        <w:rPr>
          <w:rFonts w:ascii="Arial" w:hAnsi="Arial" w:cs="Arial"/>
          <w:sz w:val="22"/>
          <w:szCs w:val="22"/>
        </w:rPr>
        <w:t>Information regarding the 14 outcome measures collected in t</w:t>
      </w:r>
      <w:r w:rsidR="005361B3" w:rsidRPr="000F7D85">
        <w:rPr>
          <w:rFonts w:ascii="Arial" w:hAnsi="Arial" w:cs="Arial"/>
          <w:sz w:val="22"/>
          <w:szCs w:val="22"/>
        </w:rPr>
        <w:t xml:space="preserve">he Outcomes Report is </w:t>
      </w:r>
      <w:r w:rsidRPr="000F7D85">
        <w:rPr>
          <w:rFonts w:ascii="Arial" w:hAnsi="Arial" w:cs="Arial"/>
          <w:sz w:val="22"/>
          <w:szCs w:val="22"/>
        </w:rPr>
        <w:t>required to monitor program performance</w:t>
      </w:r>
      <w:r w:rsidR="00986440" w:rsidRPr="000F7D85">
        <w:rPr>
          <w:rFonts w:ascii="Arial" w:hAnsi="Arial" w:cs="Arial"/>
          <w:sz w:val="22"/>
          <w:szCs w:val="22"/>
        </w:rPr>
        <w:t xml:space="preserve"> </w:t>
      </w:r>
      <w:r w:rsidR="00A71F21" w:rsidRPr="000F7D85">
        <w:rPr>
          <w:rFonts w:ascii="Arial" w:hAnsi="Arial" w:cs="Arial"/>
          <w:sz w:val="22"/>
          <w:szCs w:val="22"/>
        </w:rPr>
        <w:t xml:space="preserve">and ensure improvement in outcomes </w:t>
      </w:r>
      <w:r w:rsidR="00986440" w:rsidRPr="000F7D85">
        <w:rPr>
          <w:rFonts w:ascii="Arial" w:hAnsi="Arial" w:cs="Arial"/>
          <w:sz w:val="22"/>
          <w:szCs w:val="22"/>
        </w:rPr>
        <w:t>along the HIV care continuum</w:t>
      </w:r>
      <w:r w:rsidR="00454251">
        <w:rPr>
          <w:rFonts w:ascii="Arial" w:hAnsi="Arial" w:cs="Arial"/>
          <w:sz w:val="22"/>
          <w:szCs w:val="22"/>
        </w:rPr>
        <w:t xml:space="preserve"> during each year of the project</w:t>
      </w:r>
      <w:r w:rsidRPr="000F7D85">
        <w:rPr>
          <w:rFonts w:ascii="Arial" w:hAnsi="Arial" w:cs="Arial"/>
          <w:sz w:val="22"/>
          <w:szCs w:val="22"/>
        </w:rPr>
        <w:t xml:space="preserve">. </w:t>
      </w:r>
    </w:p>
    <w:p w14:paraId="5D8E5292" w14:textId="77777777" w:rsidR="009B3794" w:rsidRPr="000F7D85" w:rsidRDefault="009B3794" w:rsidP="00A71F21">
      <w:pPr>
        <w:numPr>
          <w:ilvl w:val="0"/>
          <w:numId w:val="1"/>
        </w:numPr>
        <w:tabs>
          <w:tab w:val="num" w:pos="360"/>
        </w:tabs>
        <w:spacing w:after="120"/>
        <w:ind w:left="360"/>
        <w:rPr>
          <w:rFonts w:ascii="Arial" w:hAnsi="Arial" w:cs="Arial"/>
          <w:b/>
          <w:sz w:val="22"/>
          <w:szCs w:val="22"/>
          <w:u w:val="single"/>
        </w:rPr>
      </w:pPr>
      <w:r w:rsidRPr="000F7D85">
        <w:rPr>
          <w:rFonts w:ascii="Arial" w:hAnsi="Arial" w:cs="Arial"/>
          <w:b/>
          <w:sz w:val="22"/>
          <w:szCs w:val="22"/>
          <w:u w:val="single"/>
        </w:rPr>
        <w:t>Special Circumstances Relating to the Guidelines of 5 CFR 1320.5</w:t>
      </w:r>
    </w:p>
    <w:p w14:paraId="380293DD" w14:textId="77777777" w:rsidR="00986440" w:rsidRPr="000F7D85" w:rsidRDefault="00986440" w:rsidP="00A71F21">
      <w:pPr>
        <w:spacing w:after="120"/>
        <w:rPr>
          <w:rFonts w:ascii="Arial" w:hAnsi="Arial" w:cs="Arial"/>
          <w:sz w:val="22"/>
          <w:szCs w:val="22"/>
        </w:rPr>
      </w:pPr>
      <w:r w:rsidRPr="000F7D85">
        <w:rPr>
          <w:rFonts w:ascii="Arial" w:hAnsi="Arial" w:cs="Arial"/>
          <w:sz w:val="22"/>
          <w:szCs w:val="22"/>
        </w:rPr>
        <w:t>The data are collected in a manner consistent with guidelines contained in 5 CFR 1320.5(d)(2).</w:t>
      </w:r>
    </w:p>
    <w:p w14:paraId="55EF638B" w14:textId="77777777" w:rsidR="009B3794" w:rsidRPr="000F7D85" w:rsidRDefault="009B3794" w:rsidP="00A71F21">
      <w:pPr>
        <w:numPr>
          <w:ilvl w:val="0"/>
          <w:numId w:val="1"/>
        </w:numPr>
        <w:tabs>
          <w:tab w:val="num" w:pos="360"/>
        </w:tabs>
        <w:spacing w:after="120"/>
        <w:ind w:left="360"/>
        <w:rPr>
          <w:rFonts w:ascii="Arial" w:hAnsi="Arial" w:cs="Arial"/>
          <w:b/>
          <w:sz w:val="22"/>
          <w:szCs w:val="22"/>
          <w:u w:val="single"/>
        </w:rPr>
      </w:pPr>
      <w:r w:rsidRPr="000F7D85">
        <w:rPr>
          <w:rFonts w:ascii="Arial" w:hAnsi="Arial" w:cs="Arial"/>
          <w:b/>
          <w:sz w:val="22"/>
          <w:szCs w:val="22"/>
          <w:u w:val="single"/>
        </w:rPr>
        <w:t>Comments in Response to the Federal Register Notice/Outside Consultation</w:t>
      </w:r>
    </w:p>
    <w:p w14:paraId="5BCAB8AA" w14:textId="77777777" w:rsidR="00DE3A45" w:rsidRPr="000F7D85" w:rsidRDefault="004C2C4B" w:rsidP="00A71F21">
      <w:pPr>
        <w:spacing w:after="120"/>
        <w:rPr>
          <w:rFonts w:ascii="Arial" w:hAnsi="Arial" w:cs="Arial"/>
          <w:b/>
          <w:i/>
          <w:color w:val="000000"/>
          <w:sz w:val="22"/>
          <w:szCs w:val="22"/>
        </w:rPr>
      </w:pPr>
      <w:r w:rsidRPr="000F7D85">
        <w:rPr>
          <w:rFonts w:ascii="Arial" w:hAnsi="Arial" w:cs="Arial"/>
          <w:b/>
          <w:i/>
          <w:color w:val="000000"/>
          <w:sz w:val="22"/>
          <w:szCs w:val="22"/>
        </w:rPr>
        <w:t>Section 8A</w:t>
      </w:r>
    </w:p>
    <w:p w14:paraId="0B1B448D" w14:textId="77777777" w:rsidR="009B3794" w:rsidRPr="000F7D85" w:rsidRDefault="009B3794" w:rsidP="00A71F21">
      <w:pPr>
        <w:spacing w:after="120"/>
        <w:rPr>
          <w:rFonts w:ascii="Arial" w:hAnsi="Arial" w:cs="Arial"/>
          <w:color w:val="000000"/>
          <w:sz w:val="22"/>
          <w:szCs w:val="22"/>
        </w:rPr>
      </w:pPr>
      <w:r w:rsidRPr="000F7D85">
        <w:rPr>
          <w:rFonts w:ascii="Arial" w:hAnsi="Arial" w:cs="Arial"/>
          <w:color w:val="000000"/>
          <w:sz w:val="22"/>
          <w:szCs w:val="22"/>
        </w:rPr>
        <w:t xml:space="preserve">A 60-day Federal Register Notice was published in the Federal Register on </w:t>
      </w:r>
      <w:r w:rsidR="00291620" w:rsidRPr="000F7D85">
        <w:rPr>
          <w:rFonts w:ascii="Arial" w:hAnsi="Arial" w:cs="Arial"/>
          <w:color w:val="000000"/>
          <w:sz w:val="22"/>
          <w:szCs w:val="22"/>
        </w:rPr>
        <w:t>October</w:t>
      </w:r>
      <w:r w:rsidRPr="000F7D85">
        <w:rPr>
          <w:rFonts w:ascii="Arial" w:hAnsi="Arial" w:cs="Arial"/>
          <w:color w:val="000000"/>
          <w:sz w:val="22"/>
          <w:szCs w:val="22"/>
        </w:rPr>
        <w:t xml:space="preserve"> </w:t>
      </w:r>
      <w:r w:rsidR="00291620" w:rsidRPr="000F7D85">
        <w:rPr>
          <w:rFonts w:ascii="Arial" w:hAnsi="Arial" w:cs="Arial"/>
          <w:color w:val="000000"/>
          <w:sz w:val="22"/>
          <w:szCs w:val="22"/>
        </w:rPr>
        <w:t>23</w:t>
      </w:r>
      <w:r w:rsidRPr="000F7D85">
        <w:rPr>
          <w:rFonts w:ascii="Arial" w:hAnsi="Arial" w:cs="Arial"/>
          <w:color w:val="000000"/>
          <w:sz w:val="22"/>
          <w:szCs w:val="22"/>
        </w:rPr>
        <w:t>, 2</w:t>
      </w:r>
      <w:r w:rsidR="00CE5AA9" w:rsidRPr="000F7D85">
        <w:rPr>
          <w:rFonts w:ascii="Arial" w:hAnsi="Arial" w:cs="Arial"/>
          <w:color w:val="000000"/>
          <w:sz w:val="22"/>
          <w:szCs w:val="22"/>
        </w:rPr>
        <w:t>0</w:t>
      </w:r>
      <w:r w:rsidR="00291620" w:rsidRPr="000F7D85">
        <w:rPr>
          <w:rFonts w:ascii="Arial" w:hAnsi="Arial" w:cs="Arial"/>
          <w:color w:val="000000"/>
          <w:sz w:val="22"/>
          <w:szCs w:val="22"/>
        </w:rPr>
        <w:t>14</w:t>
      </w:r>
      <w:r w:rsidRPr="000F7D85">
        <w:rPr>
          <w:rFonts w:ascii="Arial" w:hAnsi="Arial" w:cs="Arial"/>
          <w:color w:val="000000"/>
          <w:sz w:val="22"/>
          <w:szCs w:val="22"/>
        </w:rPr>
        <w:t xml:space="preserve">, vol. </w:t>
      </w:r>
      <w:r w:rsidR="00291620" w:rsidRPr="000F7D85">
        <w:rPr>
          <w:rFonts w:ascii="Arial" w:hAnsi="Arial" w:cs="Arial"/>
          <w:color w:val="000000"/>
          <w:sz w:val="22"/>
          <w:szCs w:val="22"/>
        </w:rPr>
        <w:t>79</w:t>
      </w:r>
      <w:r w:rsidRPr="000F7D85">
        <w:rPr>
          <w:rFonts w:ascii="Arial" w:hAnsi="Arial" w:cs="Arial"/>
          <w:color w:val="000000"/>
          <w:sz w:val="22"/>
          <w:szCs w:val="22"/>
        </w:rPr>
        <w:t>, No.</w:t>
      </w:r>
      <w:r w:rsidR="00CE5AA9" w:rsidRPr="000F7D85">
        <w:rPr>
          <w:rFonts w:ascii="Arial" w:hAnsi="Arial" w:cs="Arial"/>
          <w:color w:val="000000"/>
          <w:sz w:val="22"/>
          <w:szCs w:val="22"/>
        </w:rPr>
        <w:t xml:space="preserve"> </w:t>
      </w:r>
      <w:r w:rsidR="00291620" w:rsidRPr="000F7D85">
        <w:rPr>
          <w:rFonts w:ascii="Arial" w:hAnsi="Arial" w:cs="Arial"/>
          <w:color w:val="000000"/>
          <w:sz w:val="22"/>
          <w:szCs w:val="22"/>
        </w:rPr>
        <w:t>205</w:t>
      </w:r>
      <w:r w:rsidRPr="000F7D85">
        <w:rPr>
          <w:rFonts w:ascii="Arial" w:hAnsi="Arial" w:cs="Arial"/>
          <w:color w:val="000000"/>
          <w:sz w:val="22"/>
          <w:szCs w:val="22"/>
        </w:rPr>
        <w:t xml:space="preserve">; pp. </w:t>
      </w:r>
      <w:r w:rsidR="00291620" w:rsidRPr="000F7D85">
        <w:rPr>
          <w:rFonts w:ascii="Arial" w:hAnsi="Arial" w:cs="Arial"/>
          <w:color w:val="000000"/>
          <w:sz w:val="22"/>
          <w:szCs w:val="22"/>
        </w:rPr>
        <w:t>63408</w:t>
      </w:r>
      <w:r w:rsidRPr="000F7D85">
        <w:rPr>
          <w:rFonts w:ascii="Arial" w:hAnsi="Arial" w:cs="Arial"/>
          <w:color w:val="000000"/>
          <w:sz w:val="22"/>
          <w:szCs w:val="22"/>
        </w:rPr>
        <w:t>-</w:t>
      </w:r>
      <w:r w:rsidR="00291620" w:rsidRPr="000F7D85">
        <w:rPr>
          <w:rFonts w:ascii="Arial" w:hAnsi="Arial" w:cs="Arial"/>
          <w:color w:val="000000"/>
          <w:sz w:val="22"/>
          <w:szCs w:val="22"/>
        </w:rPr>
        <w:t>09</w:t>
      </w:r>
      <w:r w:rsidRPr="000F7D85">
        <w:rPr>
          <w:rFonts w:ascii="Arial" w:hAnsi="Arial" w:cs="Arial"/>
          <w:color w:val="000000"/>
          <w:sz w:val="22"/>
          <w:szCs w:val="22"/>
        </w:rPr>
        <w:t>. There were/were no public comments.</w:t>
      </w:r>
    </w:p>
    <w:p w14:paraId="30219331" w14:textId="77777777" w:rsidR="00DE3A45" w:rsidRPr="000F7D85" w:rsidRDefault="004C2C4B" w:rsidP="00A71F21">
      <w:pPr>
        <w:spacing w:after="120"/>
        <w:rPr>
          <w:rFonts w:ascii="Arial" w:hAnsi="Arial" w:cs="Arial"/>
          <w:b/>
          <w:i/>
          <w:color w:val="000000"/>
          <w:sz w:val="22"/>
          <w:szCs w:val="22"/>
        </w:rPr>
      </w:pPr>
      <w:r w:rsidRPr="000F7D85">
        <w:rPr>
          <w:rFonts w:ascii="Arial" w:hAnsi="Arial" w:cs="Arial"/>
          <w:b/>
          <w:i/>
          <w:color w:val="000000"/>
          <w:sz w:val="22"/>
          <w:szCs w:val="22"/>
        </w:rPr>
        <w:t>Section 8B</w:t>
      </w:r>
    </w:p>
    <w:p w14:paraId="13187A99" w14:textId="77777777" w:rsidR="00CD5D05" w:rsidRPr="000F7D85" w:rsidRDefault="00291620" w:rsidP="00A71F21">
      <w:pPr>
        <w:spacing w:after="120"/>
        <w:rPr>
          <w:rFonts w:ascii="Arial" w:hAnsi="Arial" w:cs="Arial"/>
          <w:color w:val="000000"/>
          <w:sz w:val="22"/>
          <w:szCs w:val="22"/>
        </w:rPr>
      </w:pPr>
      <w:r w:rsidRPr="000F7D85">
        <w:rPr>
          <w:rFonts w:ascii="Arial" w:hAnsi="Arial" w:cs="Arial"/>
          <w:color w:val="000000"/>
          <w:sz w:val="22"/>
          <w:szCs w:val="22"/>
        </w:rPr>
        <w:t xml:space="preserve">To develop an initial set of measures, HRSA/BPHC worked in collaboration with CDC/DHAP (co-lead on the P4C project) and </w:t>
      </w:r>
      <w:r w:rsidR="00C97C34" w:rsidRPr="000F7D85">
        <w:rPr>
          <w:rFonts w:ascii="Arial" w:hAnsi="Arial" w:cs="Arial"/>
          <w:color w:val="000000"/>
          <w:sz w:val="22"/>
          <w:szCs w:val="22"/>
        </w:rPr>
        <w:t>in consultation with the HRSA HIV/AIDS Bureau to develop and refine outcome measures for the P4C project. Weekly</w:t>
      </w:r>
      <w:r w:rsidR="00A71F21" w:rsidRPr="000F7D85">
        <w:rPr>
          <w:rFonts w:ascii="Arial" w:hAnsi="Arial" w:cs="Arial"/>
          <w:color w:val="000000"/>
          <w:sz w:val="22"/>
          <w:szCs w:val="22"/>
        </w:rPr>
        <w:t xml:space="preserve"> meetings were held over a five-</w:t>
      </w:r>
      <w:r w:rsidR="00C97C34" w:rsidRPr="000F7D85">
        <w:rPr>
          <w:rFonts w:ascii="Arial" w:hAnsi="Arial" w:cs="Arial"/>
          <w:color w:val="000000"/>
          <w:sz w:val="22"/>
          <w:szCs w:val="22"/>
        </w:rPr>
        <w:t xml:space="preserve">month period to review and confirm the purpose of </w:t>
      </w:r>
      <w:r w:rsidR="00A71F21" w:rsidRPr="000F7D85">
        <w:rPr>
          <w:rFonts w:ascii="Arial" w:hAnsi="Arial" w:cs="Arial"/>
          <w:color w:val="000000"/>
          <w:sz w:val="22"/>
          <w:szCs w:val="22"/>
        </w:rPr>
        <w:t xml:space="preserve">the </w:t>
      </w:r>
      <w:r w:rsidR="00C97C34" w:rsidRPr="000F7D85">
        <w:rPr>
          <w:rFonts w:ascii="Arial" w:hAnsi="Arial" w:cs="Arial"/>
          <w:color w:val="000000"/>
          <w:sz w:val="22"/>
          <w:szCs w:val="22"/>
        </w:rPr>
        <w:t xml:space="preserve">proposed data collection, establish guiding questions of interest, review existing HIV-related measures and their specifications, identify gaps in available data, discuss potential measures, align and streamline measure language and specifications, and refine a final set of draft measures. </w:t>
      </w:r>
    </w:p>
    <w:p w14:paraId="2D23F11C" w14:textId="43EBBE1E" w:rsidR="00AC7A86" w:rsidRPr="000F7D85" w:rsidRDefault="00E66919" w:rsidP="00A71F21">
      <w:pPr>
        <w:spacing w:after="120"/>
        <w:rPr>
          <w:rFonts w:ascii="Arial" w:hAnsi="Arial" w:cs="Arial"/>
          <w:color w:val="000000"/>
          <w:sz w:val="22"/>
          <w:szCs w:val="22"/>
        </w:rPr>
      </w:pPr>
      <w:r>
        <w:rPr>
          <w:rFonts w:ascii="Arial" w:hAnsi="Arial" w:cs="Arial"/>
          <w:color w:val="000000"/>
          <w:sz w:val="22"/>
          <w:szCs w:val="22"/>
        </w:rPr>
        <w:t>In December 2014</w:t>
      </w:r>
      <w:r w:rsidR="00B727EE" w:rsidRPr="000F7D85">
        <w:rPr>
          <w:rFonts w:ascii="Arial" w:hAnsi="Arial" w:cs="Arial"/>
          <w:color w:val="000000"/>
          <w:sz w:val="22"/>
          <w:szCs w:val="22"/>
        </w:rPr>
        <w:t>, HRSA/BPHC and CDC</w:t>
      </w:r>
      <w:r w:rsidR="00A71F21" w:rsidRPr="000F7D85">
        <w:rPr>
          <w:rFonts w:ascii="Arial" w:hAnsi="Arial" w:cs="Arial"/>
          <w:color w:val="000000"/>
          <w:sz w:val="22"/>
          <w:szCs w:val="22"/>
        </w:rPr>
        <w:t>/DHAP</w:t>
      </w:r>
      <w:r w:rsidR="00B727EE" w:rsidRPr="000F7D85">
        <w:rPr>
          <w:rFonts w:ascii="Arial" w:hAnsi="Arial" w:cs="Arial"/>
          <w:color w:val="000000"/>
          <w:sz w:val="22"/>
          <w:szCs w:val="22"/>
        </w:rPr>
        <w:t xml:space="preserve"> shared draft </w:t>
      </w:r>
      <w:r w:rsidR="00A71F21" w:rsidRPr="000F7D85">
        <w:rPr>
          <w:rFonts w:ascii="Arial" w:hAnsi="Arial" w:cs="Arial"/>
          <w:color w:val="000000"/>
          <w:sz w:val="22"/>
          <w:szCs w:val="22"/>
        </w:rPr>
        <w:t xml:space="preserve">HIV </w:t>
      </w:r>
      <w:r w:rsidR="00B727EE" w:rsidRPr="000F7D85">
        <w:rPr>
          <w:rFonts w:ascii="Arial" w:hAnsi="Arial" w:cs="Arial"/>
          <w:color w:val="000000"/>
          <w:sz w:val="22"/>
          <w:szCs w:val="22"/>
        </w:rPr>
        <w:t>outcome measures with all 22 health centers funded under the P4C project</w:t>
      </w:r>
      <w:r w:rsidR="00CD5D05" w:rsidRPr="000F7D85">
        <w:rPr>
          <w:rFonts w:ascii="Arial" w:hAnsi="Arial" w:cs="Arial"/>
          <w:color w:val="000000"/>
          <w:sz w:val="22"/>
          <w:szCs w:val="22"/>
        </w:rPr>
        <w:t xml:space="preserve"> </w:t>
      </w:r>
      <w:r w:rsidR="00B727EE" w:rsidRPr="000F7D85">
        <w:rPr>
          <w:rFonts w:ascii="Arial" w:hAnsi="Arial" w:cs="Arial"/>
          <w:color w:val="000000"/>
          <w:sz w:val="22"/>
          <w:szCs w:val="22"/>
        </w:rPr>
        <w:t xml:space="preserve">and invited their </w:t>
      </w:r>
      <w:r w:rsidR="00A71F21" w:rsidRPr="000F7D85">
        <w:rPr>
          <w:rFonts w:ascii="Arial" w:hAnsi="Arial" w:cs="Arial"/>
          <w:color w:val="000000"/>
          <w:sz w:val="22"/>
          <w:szCs w:val="22"/>
        </w:rPr>
        <w:t>feedback</w:t>
      </w:r>
      <w:r w:rsidR="00B727EE" w:rsidRPr="000F7D85">
        <w:rPr>
          <w:rFonts w:ascii="Arial" w:hAnsi="Arial" w:cs="Arial"/>
          <w:color w:val="000000"/>
          <w:sz w:val="22"/>
          <w:szCs w:val="22"/>
        </w:rPr>
        <w:t xml:space="preserve"> regarding measure clarity, utility and feasibility.</w:t>
      </w:r>
      <w:r w:rsidR="004C2C4B" w:rsidRPr="000F7D85">
        <w:rPr>
          <w:rFonts w:ascii="Arial" w:hAnsi="Arial" w:cs="Arial"/>
          <w:color w:val="000000"/>
          <w:sz w:val="22"/>
          <w:szCs w:val="22"/>
        </w:rPr>
        <w:t xml:space="preserve"> </w:t>
      </w:r>
      <w:r w:rsidR="00CD5D05" w:rsidRPr="000F7D85">
        <w:rPr>
          <w:rFonts w:ascii="Arial" w:hAnsi="Arial" w:cs="Arial"/>
          <w:color w:val="000000"/>
          <w:sz w:val="22"/>
          <w:szCs w:val="22"/>
        </w:rPr>
        <w:t xml:space="preserve"> </w:t>
      </w:r>
      <w:r w:rsidR="00B727EE" w:rsidRPr="000F7D85">
        <w:rPr>
          <w:rFonts w:ascii="Arial" w:hAnsi="Arial" w:cs="Arial"/>
          <w:color w:val="000000"/>
          <w:sz w:val="22"/>
          <w:szCs w:val="22"/>
        </w:rPr>
        <w:t>D</w:t>
      </w:r>
      <w:r w:rsidR="00291620" w:rsidRPr="000F7D85">
        <w:rPr>
          <w:rFonts w:ascii="Arial" w:hAnsi="Arial" w:cs="Arial"/>
          <w:color w:val="000000"/>
          <w:sz w:val="22"/>
          <w:szCs w:val="22"/>
        </w:rPr>
        <w:t xml:space="preserve">uring </w:t>
      </w:r>
      <w:r w:rsidR="00C97C34" w:rsidRPr="000F7D85">
        <w:rPr>
          <w:rFonts w:ascii="Arial" w:hAnsi="Arial" w:cs="Arial"/>
          <w:color w:val="000000"/>
          <w:sz w:val="22"/>
          <w:szCs w:val="22"/>
        </w:rPr>
        <w:t xml:space="preserve">the first </w:t>
      </w:r>
      <w:r w:rsidR="00CD5D05" w:rsidRPr="000F7D85">
        <w:rPr>
          <w:rFonts w:ascii="Arial" w:hAnsi="Arial" w:cs="Arial"/>
          <w:color w:val="000000"/>
          <w:sz w:val="22"/>
          <w:szCs w:val="22"/>
        </w:rPr>
        <w:t>P4C All Partners Meeting</w:t>
      </w:r>
      <w:r w:rsidR="00291620" w:rsidRPr="000F7D85">
        <w:rPr>
          <w:rFonts w:ascii="Arial" w:hAnsi="Arial" w:cs="Arial"/>
          <w:color w:val="000000"/>
          <w:sz w:val="22"/>
          <w:szCs w:val="22"/>
        </w:rPr>
        <w:t xml:space="preserve"> in January 2015</w:t>
      </w:r>
      <w:r w:rsidR="00B727EE" w:rsidRPr="000F7D85">
        <w:rPr>
          <w:rFonts w:ascii="Arial" w:hAnsi="Arial" w:cs="Arial"/>
          <w:color w:val="000000"/>
          <w:sz w:val="22"/>
          <w:szCs w:val="22"/>
        </w:rPr>
        <w:t xml:space="preserve">, </w:t>
      </w:r>
      <w:r w:rsidR="00CD5D05" w:rsidRPr="000F7D85">
        <w:rPr>
          <w:rFonts w:ascii="Arial" w:hAnsi="Arial" w:cs="Arial"/>
          <w:color w:val="000000"/>
          <w:sz w:val="22"/>
          <w:szCs w:val="22"/>
        </w:rPr>
        <w:t>HRSA/BP</w:t>
      </w:r>
      <w:r w:rsidR="00472C7F" w:rsidRPr="000F7D85">
        <w:rPr>
          <w:rFonts w:ascii="Arial" w:hAnsi="Arial" w:cs="Arial"/>
          <w:color w:val="000000"/>
          <w:sz w:val="22"/>
          <w:szCs w:val="22"/>
        </w:rPr>
        <w:t>HC and CDC</w:t>
      </w:r>
      <w:r w:rsidR="00A71F21" w:rsidRPr="000F7D85">
        <w:rPr>
          <w:rFonts w:ascii="Arial" w:hAnsi="Arial" w:cs="Arial"/>
          <w:color w:val="000000"/>
          <w:sz w:val="22"/>
          <w:szCs w:val="22"/>
        </w:rPr>
        <w:t>/DHAP</w:t>
      </w:r>
      <w:r w:rsidR="00472C7F" w:rsidRPr="000F7D85">
        <w:rPr>
          <w:rFonts w:ascii="Arial" w:hAnsi="Arial" w:cs="Arial"/>
          <w:color w:val="000000"/>
          <w:sz w:val="22"/>
          <w:szCs w:val="22"/>
        </w:rPr>
        <w:t xml:space="preserve"> used part of the two-</w:t>
      </w:r>
      <w:r w:rsidR="00CD5D05" w:rsidRPr="000F7D85">
        <w:rPr>
          <w:rFonts w:ascii="Arial" w:hAnsi="Arial" w:cs="Arial"/>
          <w:color w:val="000000"/>
          <w:sz w:val="22"/>
          <w:szCs w:val="22"/>
        </w:rPr>
        <w:t>day meeting to review and facilitate discussion of draft measures.</w:t>
      </w:r>
      <w:r w:rsidR="00472C7F" w:rsidRPr="000F7D85">
        <w:rPr>
          <w:rFonts w:ascii="Arial" w:hAnsi="Arial" w:cs="Arial"/>
          <w:color w:val="000000"/>
          <w:sz w:val="22"/>
          <w:szCs w:val="22"/>
        </w:rPr>
        <w:t xml:space="preserve"> In addition to the 22 health centers, the meeting was also attended by </w:t>
      </w:r>
      <w:r w:rsidR="00CD5D05" w:rsidRPr="000F7D85">
        <w:rPr>
          <w:rFonts w:ascii="Arial" w:hAnsi="Arial" w:cs="Arial"/>
          <w:color w:val="000000"/>
          <w:sz w:val="22"/>
          <w:szCs w:val="22"/>
        </w:rPr>
        <w:t>the four state health departments</w:t>
      </w:r>
      <w:r w:rsidR="00472C7F" w:rsidRPr="000F7D85">
        <w:rPr>
          <w:rFonts w:ascii="Arial" w:hAnsi="Arial" w:cs="Arial"/>
          <w:color w:val="000000"/>
          <w:sz w:val="22"/>
          <w:szCs w:val="22"/>
        </w:rPr>
        <w:t xml:space="preserve"> funded under the P4C project</w:t>
      </w:r>
      <w:r w:rsidR="00CD5D05" w:rsidRPr="000F7D85">
        <w:rPr>
          <w:rFonts w:ascii="Arial" w:hAnsi="Arial" w:cs="Arial"/>
          <w:color w:val="000000"/>
          <w:sz w:val="22"/>
          <w:szCs w:val="22"/>
        </w:rPr>
        <w:t xml:space="preserve">; two HRSA-funded health center controlled networks (see </w:t>
      </w:r>
      <w:hyperlink r:id="rId19" w:history="1">
        <w:r w:rsidR="00CD5D05" w:rsidRPr="000F7D85">
          <w:rPr>
            <w:rStyle w:val="Hyperlink"/>
            <w:rFonts w:ascii="Arial" w:hAnsi="Arial" w:cs="Arial"/>
            <w:sz w:val="22"/>
            <w:szCs w:val="22"/>
          </w:rPr>
          <w:t>http://www.hrsa.gov/healthit/networkguide/</w:t>
        </w:r>
      </w:hyperlink>
      <w:r w:rsidR="00CD5D05" w:rsidRPr="000F7D85">
        <w:rPr>
          <w:rFonts w:ascii="Arial" w:hAnsi="Arial" w:cs="Arial"/>
          <w:color w:val="000000"/>
          <w:sz w:val="22"/>
          <w:szCs w:val="22"/>
        </w:rPr>
        <w:t>)</w:t>
      </w:r>
      <w:r w:rsidR="00472C7F" w:rsidRPr="000F7D85">
        <w:rPr>
          <w:rFonts w:ascii="Arial" w:hAnsi="Arial" w:cs="Arial"/>
          <w:color w:val="000000"/>
          <w:sz w:val="22"/>
          <w:szCs w:val="22"/>
        </w:rPr>
        <w:t xml:space="preserve">; </w:t>
      </w:r>
      <w:r w:rsidR="00CD5D05" w:rsidRPr="000F7D85">
        <w:rPr>
          <w:rFonts w:ascii="Arial" w:hAnsi="Arial" w:cs="Arial"/>
          <w:color w:val="000000"/>
          <w:sz w:val="22"/>
          <w:szCs w:val="22"/>
        </w:rPr>
        <w:t xml:space="preserve">and </w:t>
      </w:r>
      <w:r w:rsidR="00472C7F" w:rsidRPr="000F7D85">
        <w:rPr>
          <w:rFonts w:ascii="Arial" w:hAnsi="Arial" w:cs="Arial"/>
          <w:color w:val="000000"/>
          <w:sz w:val="22"/>
          <w:szCs w:val="22"/>
        </w:rPr>
        <w:t xml:space="preserve">a </w:t>
      </w:r>
      <w:r w:rsidR="00CD5D05" w:rsidRPr="000F7D85">
        <w:rPr>
          <w:rFonts w:ascii="Arial" w:hAnsi="Arial" w:cs="Arial"/>
          <w:color w:val="000000"/>
          <w:sz w:val="22"/>
          <w:szCs w:val="22"/>
        </w:rPr>
        <w:t>federa</w:t>
      </w:r>
      <w:r w:rsidR="00472C7F" w:rsidRPr="000F7D85">
        <w:rPr>
          <w:rFonts w:ascii="Arial" w:hAnsi="Arial" w:cs="Arial"/>
          <w:color w:val="000000"/>
          <w:sz w:val="22"/>
          <w:szCs w:val="22"/>
        </w:rPr>
        <w:t>l official</w:t>
      </w:r>
      <w:r w:rsidR="00CD5D05" w:rsidRPr="000F7D85">
        <w:rPr>
          <w:rFonts w:ascii="Arial" w:hAnsi="Arial" w:cs="Arial"/>
          <w:color w:val="000000"/>
          <w:sz w:val="22"/>
          <w:szCs w:val="22"/>
        </w:rPr>
        <w:t xml:space="preserve"> </w:t>
      </w:r>
      <w:r w:rsidR="00472C7F" w:rsidRPr="000F7D85">
        <w:rPr>
          <w:rFonts w:ascii="Arial" w:hAnsi="Arial" w:cs="Arial"/>
          <w:color w:val="000000"/>
          <w:sz w:val="22"/>
          <w:szCs w:val="22"/>
        </w:rPr>
        <w:t xml:space="preserve">from </w:t>
      </w:r>
      <w:r w:rsidR="00CD5D05" w:rsidRPr="000F7D85">
        <w:rPr>
          <w:rFonts w:ascii="Arial" w:hAnsi="Arial" w:cs="Arial"/>
          <w:color w:val="000000"/>
          <w:sz w:val="22"/>
          <w:szCs w:val="22"/>
        </w:rPr>
        <w:t>OHAIDP</w:t>
      </w:r>
      <w:r w:rsidR="002A42C9">
        <w:rPr>
          <w:rFonts w:ascii="Arial" w:hAnsi="Arial" w:cs="Arial"/>
          <w:color w:val="000000"/>
          <w:sz w:val="22"/>
          <w:szCs w:val="22"/>
        </w:rPr>
        <w:t xml:space="preserve"> (t</w:t>
      </w:r>
      <w:r w:rsidR="00EE58A1" w:rsidRPr="000F7D85">
        <w:rPr>
          <w:rFonts w:ascii="Arial" w:hAnsi="Arial" w:cs="Arial"/>
          <w:color w:val="000000"/>
          <w:sz w:val="22"/>
          <w:szCs w:val="22"/>
        </w:rPr>
        <w:t>he name</w:t>
      </w:r>
      <w:r w:rsidR="00562535" w:rsidRPr="000F7D85">
        <w:rPr>
          <w:rFonts w:ascii="Arial" w:hAnsi="Arial" w:cs="Arial"/>
          <w:color w:val="000000"/>
          <w:sz w:val="22"/>
          <w:szCs w:val="22"/>
        </w:rPr>
        <w:t>s</w:t>
      </w:r>
      <w:r w:rsidR="00EE58A1" w:rsidRPr="000F7D85">
        <w:rPr>
          <w:rFonts w:ascii="Arial" w:hAnsi="Arial" w:cs="Arial"/>
          <w:color w:val="000000"/>
          <w:sz w:val="22"/>
          <w:szCs w:val="22"/>
        </w:rPr>
        <w:t>, organization</w:t>
      </w:r>
      <w:r w:rsidR="00562535" w:rsidRPr="000F7D85">
        <w:rPr>
          <w:rFonts w:ascii="Arial" w:hAnsi="Arial" w:cs="Arial"/>
          <w:color w:val="000000"/>
          <w:sz w:val="22"/>
          <w:szCs w:val="22"/>
        </w:rPr>
        <w:t>s,</w:t>
      </w:r>
      <w:r w:rsidR="00EE58A1" w:rsidRPr="000F7D85">
        <w:rPr>
          <w:rFonts w:ascii="Arial" w:hAnsi="Arial" w:cs="Arial"/>
          <w:color w:val="000000"/>
          <w:sz w:val="22"/>
          <w:szCs w:val="22"/>
        </w:rPr>
        <w:t xml:space="preserve"> and email addresses of those participating in the January 2015 all partners meeting </w:t>
      </w:r>
      <w:r w:rsidR="002A42C9">
        <w:rPr>
          <w:rFonts w:ascii="Arial" w:hAnsi="Arial" w:cs="Arial"/>
          <w:color w:val="000000"/>
          <w:sz w:val="22"/>
          <w:szCs w:val="22"/>
        </w:rPr>
        <w:t xml:space="preserve">were provided with this statement </w:t>
      </w:r>
      <w:r w:rsidR="009E5C66">
        <w:rPr>
          <w:rFonts w:ascii="Arial" w:hAnsi="Arial" w:cs="Arial"/>
          <w:color w:val="000000"/>
          <w:sz w:val="22"/>
          <w:szCs w:val="22"/>
        </w:rPr>
        <w:t>in a</w:t>
      </w:r>
      <w:r w:rsidR="002A42C9">
        <w:rPr>
          <w:rFonts w:ascii="Arial" w:hAnsi="Arial" w:cs="Arial"/>
          <w:color w:val="000000"/>
          <w:sz w:val="22"/>
          <w:szCs w:val="22"/>
        </w:rPr>
        <w:t xml:space="preserve"> separate document)</w:t>
      </w:r>
      <w:r w:rsidR="00EE58A1" w:rsidRPr="000F7D85">
        <w:rPr>
          <w:rFonts w:ascii="Arial" w:hAnsi="Arial" w:cs="Arial"/>
          <w:color w:val="000000"/>
          <w:sz w:val="22"/>
          <w:szCs w:val="22"/>
        </w:rPr>
        <w:t>. HRSA/BPHC and CDC</w:t>
      </w:r>
      <w:r w:rsidR="00562535" w:rsidRPr="000F7D85">
        <w:rPr>
          <w:rFonts w:ascii="Arial" w:hAnsi="Arial" w:cs="Arial"/>
          <w:color w:val="000000"/>
          <w:sz w:val="22"/>
          <w:szCs w:val="22"/>
        </w:rPr>
        <w:t>/DHAP</w:t>
      </w:r>
      <w:r w:rsidR="00EE58A1" w:rsidRPr="000F7D85">
        <w:rPr>
          <w:rFonts w:ascii="Arial" w:hAnsi="Arial" w:cs="Arial"/>
          <w:color w:val="000000"/>
          <w:sz w:val="22"/>
          <w:szCs w:val="22"/>
        </w:rPr>
        <w:t xml:space="preserve"> used feedback to further refine proposed measures. </w:t>
      </w:r>
      <w:r w:rsidR="00AC7A86" w:rsidRPr="000F7D85">
        <w:rPr>
          <w:rFonts w:ascii="Arial" w:hAnsi="Arial" w:cs="Arial"/>
          <w:color w:val="000000"/>
          <w:sz w:val="22"/>
          <w:szCs w:val="22"/>
        </w:rPr>
        <w:t>Prior to finalizing measures in March 2015, HRSA/BPHC and CDC</w:t>
      </w:r>
      <w:r w:rsidR="00562535" w:rsidRPr="000F7D85">
        <w:rPr>
          <w:rFonts w:ascii="Arial" w:hAnsi="Arial" w:cs="Arial"/>
          <w:color w:val="000000"/>
          <w:sz w:val="22"/>
          <w:szCs w:val="22"/>
        </w:rPr>
        <w:t>/DHAP</w:t>
      </w:r>
      <w:r w:rsidR="00AC7A86" w:rsidRPr="000F7D85">
        <w:rPr>
          <w:rFonts w:ascii="Arial" w:hAnsi="Arial" w:cs="Arial"/>
          <w:color w:val="000000"/>
          <w:sz w:val="22"/>
          <w:szCs w:val="22"/>
        </w:rPr>
        <w:t xml:space="preserve"> requested OHAIDP’s review and approval.</w:t>
      </w:r>
      <w:r w:rsidR="00562535" w:rsidRPr="000F7D85">
        <w:rPr>
          <w:rFonts w:ascii="Arial" w:hAnsi="Arial" w:cs="Arial"/>
          <w:color w:val="000000"/>
          <w:sz w:val="22"/>
          <w:szCs w:val="22"/>
        </w:rPr>
        <w:t xml:space="preserve"> </w:t>
      </w:r>
      <w:r w:rsidR="009960F2" w:rsidRPr="000F7D85">
        <w:rPr>
          <w:rFonts w:ascii="Arial" w:hAnsi="Arial" w:cs="Arial"/>
          <w:color w:val="000000"/>
          <w:sz w:val="22"/>
          <w:szCs w:val="22"/>
        </w:rPr>
        <w:t>M</w:t>
      </w:r>
      <w:r w:rsidR="00472C7F" w:rsidRPr="000F7D85">
        <w:rPr>
          <w:rFonts w:ascii="Arial" w:hAnsi="Arial" w:cs="Arial"/>
          <w:color w:val="000000"/>
          <w:sz w:val="22"/>
          <w:szCs w:val="22"/>
        </w:rPr>
        <w:t>ajor comments received during the consultation process</w:t>
      </w:r>
      <w:r w:rsidR="00AC7A86" w:rsidRPr="000F7D85">
        <w:rPr>
          <w:rFonts w:ascii="Arial" w:hAnsi="Arial" w:cs="Arial"/>
          <w:color w:val="000000"/>
          <w:sz w:val="22"/>
          <w:szCs w:val="22"/>
        </w:rPr>
        <w:t xml:space="preserve"> are summarized in </w:t>
      </w:r>
      <w:r w:rsidR="00562535" w:rsidRPr="000F7D85">
        <w:rPr>
          <w:rFonts w:ascii="Arial" w:hAnsi="Arial" w:cs="Arial"/>
          <w:color w:val="000000"/>
          <w:sz w:val="22"/>
          <w:szCs w:val="22"/>
        </w:rPr>
        <w:t>Table 1</w:t>
      </w:r>
      <w:r w:rsidR="00AC7A86" w:rsidRPr="000F7D85">
        <w:rPr>
          <w:rFonts w:ascii="Arial" w:hAnsi="Arial" w:cs="Arial"/>
          <w:color w:val="000000"/>
          <w:sz w:val="22"/>
          <w:szCs w:val="22"/>
        </w:rPr>
        <w:t xml:space="preserve"> below.</w:t>
      </w:r>
    </w:p>
    <w:p w14:paraId="56E59B7C" w14:textId="77777777" w:rsidR="00914A56" w:rsidRPr="000F7D85" w:rsidRDefault="00914A56" w:rsidP="00A71F21">
      <w:pPr>
        <w:spacing w:after="120"/>
        <w:rPr>
          <w:rFonts w:ascii="Arial" w:hAnsi="Arial" w:cs="Arial"/>
          <w:color w:val="000000"/>
          <w:sz w:val="22"/>
          <w:szCs w:val="22"/>
        </w:rPr>
      </w:pPr>
    </w:p>
    <w:tbl>
      <w:tblPr>
        <w:tblStyle w:val="TableGrid"/>
        <w:tblW w:w="0" w:type="auto"/>
        <w:tblCellMar>
          <w:top w:w="29" w:type="dxa"/>
          <w:left w:w="115" w:type="dxa"/>
          <w:bottom w:w="29" w:type="dxa"/>
          <w:right w:w="115" w:type="dxa"/>
        </w:tblCellMar>
        <w:tblLook w:val="04A0" w:firstRow="1" w:lastRow="0" w:firstColumn="1" w:lastColumn="0" w:noHBand="0" w:noVBand="1"/>
      </w:tblPr>
      <w:tblGrid>
        <w:gridCol w:w="1490"/>
        <w:gridCol w:w="3305"/>
        <w:gridCol w:w="4795"/>
      </w:tblGrid>
      <w:tr w:rsidR="00562535" w:rsidRPr="000F7D85" w14:paraId="01618DA0" w14:textId="77777777" w:rsidTr="00D56422">
        <w:trPr>
          <w:cantSplit/>
          <w:tblHeader/>
        </w:trPr>
        <w:tc>
          <w:tcPr>
            <w:tcW w:w="9590" w:type="dxa"/>
            <w:gridSpan w:val="3"/>
            <w:tcBorders>
              <w:bottom w:val="single" w:sz="4" w:space="0" w:color="auto"/>
            </w:tcBorders>
          </w:tcPr>
          <w:p w14:paraId="418AB57F" w14:textId="77777777" w:rsidR="00562535" w:rsidRPr="000F7D85" w:rsidRDefault="00562535" w:rsidP="00562535">
            <w:pPr>
              <w:rPr>
                <w:rFonts w:ascii="Arial" w:hAnsi="Arial" w:cs="Arial"/>
                <w:color w:val="000000"/>
                <w:sz w:val="22"/>
                <w:szCs w:val="22"/>
              </w:rPr>
            </w:pPr>
            <w:r w:rsidRPr="000F7D85">
              <w:rPr>
                <w:rFonts w:ascii="Arial" w:hAnsi="Arial" w:cs="Arial"/>
                <w:color w:val="000000"/>
                <w:sz w:val="22"/>
                <w:szCs w:val="22"/>
              </w:rPr>
              <w:t xml:space="preserve">Table 1. Summary of Comments Received Regarding Draft HIV Outcome Measures Proposed for the P4C Project </w:t>
            </w:r>
          </w:p>
        </w:tc>
      </w:tr>
      <w:tr w:rsidR="00914A56" w:rsidRPr="000F7D85" w14:paraId="76866AD2" w14:textId="77777777" w:rsidTr="000F7D85">
        <w:trPr>
          <w:cantSplit/>
          <w:tblHeader/>
        </w:trPr>
        <w:tc>
          <w:tcPr>
            <w:tcW w:w="1490" w:type="dxa"/>
            <w:tcBorders>
              <w:bottom w:val="single" w:sz="4" w:space="0" w:color="auto"/>
            </w:tcBorders>
            <w:shd w:val="clear" w:color="auto" w:fill="D9D9D9" w:themeFill="background1" w:themeFillShade="D9"/>
          </w:tcPr>
          <w:p w14:paraId="1682E75A" w14:textId="77777777" w:rsidR="00914A56" w:rsidRPr="000F7D85" w:rsidRDefault="00562535" w:rsidP="00562535">
            <w:pPr>
              <w:rPr>
                <w:rFonts w:ascii="Arial" w:hAnsi="Arial" w:cs="Arial"/>
                <w:color w:val="000000"/>
                <w:sz w:val="22"/>
                <w:szCs w:val="22"/>
              </w:rPr>
            </w:pPr>
            <w:r w:rsidRPr="000F7D85">
              <w:rPr>
                <w:rFonts w:ascii="Arial" w:hAnsi="Arial" w:cs="Arial"/>
                <w:color w:val="000000"/>
                <w:sz w:val="22"/>
                <w:szCs w:val="22"/>
              </w:rPr>
              <w:t>Area</w:t>
            </w:r>
          </w:p>
        </w:tc>
        <w:tc>
          <w:tcPr>
            <w:tcW w:w="3305" w:type="dxa"/>
            <w:shd w:val="clear" w:color="auto" w:fill="D9D9D9" w:themeFill="background1" w:themeFillShade="D9"/>
          </w:tcPr>
          <w:p w14:paraId="36F23253" w14:textId="77777777" w:rsidR="00914A56" w:rsidRPr="000F7D85" w:rsidRDefault="009960F2" w:rsidP="00562535">
            <w:pPr>
              <w:rPr>
                <w:rFonts w:ascii="Arial" w:hAnsi="Arial" w:cs="Arial"/>
                <w:color w:val="000000"/>
                <w:sz w:val="22"/>
                <w:szCs w:val="22"/>
              </w:rPr>
            </w:pPr>
            <w:r w:rsidRPr="000F7D85">
              <w:rPr>
                <w:rFonts w:ascii="Arial" w:hAnsi="Arial" w:cs="Arial"/>
                <w:color w:val="000000"/>
                <w:sz w:val="22"/>
                <w:szCs w:val="22"/>
              </w:rPr>
              <w:t>Comment</w:t>
            </w:r>
          </w:p>
        </w:tc>
        <w:tc>
          <w:tcPr>
            <w:tcW w:w="4795" w:type="dxa"/>
            <w:shd w:val="clear" w:color="auto" w:fill="D9D9D9" w:themeFill="background1" w:themeFillShade="D9"/>
          </w:tcPr>
          <w:p w14:paraId="04817C33" w14:textId="77777777" w:rsidR="00914A56" w:rsidRPr="000F7D85" w:rsidRDefault="00914A56" w:rsidP="00562535">
            <w:pPr>
              <w:rPr>
                <w:rFonts w:ascii="Arial" w:hAnsi="Arial" w:cs="Arial"/>
                <w:color w:val="000000"/>
                <w:sz w:val="22"/>
                <w:szCs w:val="22"/>
              </w:rPr>
            </w:pPr>
            <w:r w:rsidRPr="000F7D85">
              <w:rPr>
                <w:rFonts w:ascii="Arial" w:hAnsi="Arial" w:cs="Arial"/>
                <w:color w:val="000000"/>
                <w:sz w:val="22"/>
                <w:szCs w:val="22"/>
              </w:rPr>
              <w:t>Federal Response</w:t>
            </w:r>
          </w:p>
        </w:tc>
      </w:tr>
      <w:tr w:rsidR="009328D2" w:rsidRPr="000F7D85" w14:paraId="585B52FB" w14:textId="77777777" w:rsidTr="000F7D85">
        <w:trPr>
          <w:cantSplit/>
        </w:trPr>
        <w:tc>
          <w:tcPr>
            <w:tcW w:w="1490" w:type="dxa"/>
            <w:tcBorders>
              <w:bottom w:val="nil"/>
            </w:tcBorders>
          </w:tcPr>
          <w:p w14:paraId="1DBCE045" w14:textId="77777777" w:rsidR="001261F8" w:rsidRPr="000F7D85" w:rsidRDefault="001261F8" w:rsidP="00562535">
            <w:pPr>
              <w:rPr>
                <w:rFonts w:ascii="Arial" w:hAnsi="Arial" w:cs="Arial"/>
                <w:color w:val="000000"/>
                <w:sz w:val="22"/>
                <w:szCs w:val="22"/>
              </w:rPr>
            </w:pPr>
            <w:r w:rsidRPr="000F7D85">
              <w:rPr>
                <w:rFonts w:ascii="Arial" w:hAnsi="Arial" w:cs="Arial"/>
                <w:color w:val="000000"/>
                <w:sz w:val="22"/>
                <w:szCs w:val="22"/>
              </w:rPr>
              <w:lastRenderedPageBreak/>
              <w:t>Alignment with UDS</w:t>
            </w:r>
          </w:p>
        </w:tc>
        <w:tc>
          <w:tcPr>
            <w:tcW w:w="3305" w:type="dxa"/>
          </w:tcPr>
          <w:p w14:paraId="71F472C8" w14:textId="77777777" w:rsidR="001261F8" w:rsidRPr="000F7D85" w:rsidRDefault="002F36B6"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Aligning measures with ICD-9 and CPT codes will enhance clarity.  Specifying all applicable codes is not necessary. Referencing established measures and guidance is sufficient and preferable (e.g., UDS, National Quality Forum, Ryan White HIV/AIDS Program).</w:t>
            </w:r>
          </w:p>
        </w:tc>
        <w:tc>
          <w:tcPr>
            <w:tcW w:w="4795" w:type="dxa"/>
          </w:tcPr>
          <w:p w14:paraId="49E459F1" w14:textId="77777777" w:rsidR="001261F8" w:rsidRPr="000F7D85" w:rsidRDefault="00EA2809"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P4C outcome measure specifications are tied to ICD-9 and CPT codes where possible. References to established measures will be included in progress report templates.</w:t>
            </w:r>
          </w:p>
        </w:tc>
      </w:tr>
      <w:tr w:rsidR="009328D2" w:rsidRPr="000F7D85" w14:paraId="6463F0CF" w14:textId="77777777" w:rsidTr="000F7D85">
        <w:trPr>
          <w:cantSplit/>
        </w:trPr>
        <w:tc>
          <w:tcPr>
            <w:tcW w:w="1490" w:type="dxa"/>
            <w:tcBorders>
              <w:top w:val="nil"/>
            </w:tcBorders>
          </w:tcPr>
          <w:p w14:paraId="428B5E9F" w14:textId="77777777" w:rsidR="001261F8" w:rsidRPr="000F7D85" w:rsidRDefault="001261F8" w:rsidP="00562535">
            <w:pPr>
              <w:rPr>
                <w:rFonts w:ascii="Arial" w:hAnsi="Arial" w:cs="Arial"/>
                <w:color w:val="000000"/>
                <w:sz w:val="22"/>
                <w:szCs w:val="22"/>
              </w:rPr>
            </w:pPr>
          </w:p>
        </w:tc>
        <w:tc>
          <w:tcPr>
            <w:tcW w:w="3305" w:type="dxa"/>
          </w:tcPr>
          <w:p w14:paraId="77B9C1C4" w14:textId="77777777" w:rsidR="001261F8" w:rsidRPr="000F7D85" w:rsidRDefault="001261F8"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Similar to UDS, focus measures on patients that have at least one medical care visit at the health center during the reporting period</w:t>
            </w:r>
          </w:p>
        </w:tc>
        <w:tc>
          <w:tcPr>
            <w:tcW w:w="4795" w:type="dxa"/>
          </w:tcPr>
          <w:p w14:paraId="2C4B6B66" w14:textId="77777777" w:rsidR="001261F8" w:rsidRPr="000F7D85" w:rsidRDefault="00EA2809"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All measures focus on health center medical patients, with one exception</w:t>
            </w:r>
            <w:r w:rsidR="00D22D09" w:rsidRPr="000F7D85">
              <w:rPr>
                <w:rFonts w:ascii="Arial" w:hAnsi="Arial" w:cs="Arial"/>
                <w:color w:val="000000"/>
                <w:sz w:val="22"/>
                <w:szCs w:val="22"/>
              </w:rPr>
              <w:t xml:space="preserve"> which requires reporting of all </w:t>
            </w:r>
            <w:r w:rsidRPr="000F7D85">
              <w:rPr>
                <w:rFonts w:ascii="Arial" w:hAnsi="Arial" w:cs="Arial"/>
                <w:color w:val="000000"/>
                <w:sz w:val="22"/>
                <w:szCs w:val="22"/>
              </w:rPr>
              <w:t xml:space="preserve">HIV positive patients seen at the health center for any reason. This measure helps to quantify health center capacity to provide HIV </w:t>
            </w:r>
            <w:r w:rsidR="00D22D09" w:rsidRPr="000F7D85">
              <w:rPr>
                <w:rFonts w:ascii="Arial" w:hAnsi="Arial" w:cs="Arial"/>
                <w:color w:val="000000"/>
                <w:sz w:val="22"/>
                <w:szCs w:val="22"/>
              </w:rPr>
              <w:t>medical care services to people living with HIV</w:t>
            </w:r>
            <w:r w:rsidRPr="000F7D85">
              <w:rPr>
                <w:rFonts w:ascii="Arial" w:hAnsi="Arial" w:cs="Arial"/>
                <w:color w:val="000000"/>
                <w:sz w:val="22"/>
                <w:szCs w:val="22"/>
              </w:rPr>
              <w:t>.</w:t>
            </w:r>
          </w:p>
        </w:tc>
      </w:tr>
      <w:tr w:rsidR="009328D2" w:rsidRPr="000F7D85" w14:paraId="129D2D87" w14:textId="77777777" w:rsidTr="000F7D85">
        <w:trPr>
          <w:cantSplit/>
        </w:trPr>
        <w:tc>
          <w:tcPr>
            <w:tcW w:w="1490" w:type="dxa"/>
            <w:tcBorders>
              <w:bottom w:val="nil"/>
            </w:tcBorders>
          </w:tcPr>
          <w:p w14:paraId="691A1D59" w14:textId="77777777" w:rsidR="001261F8" w:rsidRPr="000F7D85" w:rsidRDefault="001261F8" w:rsidP="00562535">
            <w:pPr>
              <w:rPr>
                <w:rFonts w:ascii="Arial" w:hAnsi="Arial" w:cs="Arial"/>
                <w:color w:val="000000"/>
                <w:sz w:val="22"/>
                <w:szCs w:val="22"/>
              </w:rPr>
            </w:pPr>
            <w:r w:rsidRPr="000F7D85">
              <w:rPr>
                <w:rFonts w:ascii="Arial" w:hAnsi="Arial" w:cs="Arial"/>
                <w:color w:val="000000"/>
                <w:sz w:val="22"/>
                <w:szCs w:val="22"/>
              </w:rPr>
              <w:t>EHR</w:t>
            </w:r>
            <w:r w:rsidR="004063FF" w:rsidRPr="000F7D85">
              <w:rPr>
                <w:rFonts w:ascii="Arial" w:hAnsi="Arial" w:cs="Arial"/>
                <w:color w:val="000000"/>
                <w:sz w:val="22"/>
                <w:szCs w:val="22"/>
              </w:rPr>
              <w:t xml:space="preserve"> Complexities</w:t>
            </w:r>
          </w:p>
        </w:tc>
        <w:tc>
          <w:tcPr>
            <w:tcW w:w="3305" w:type="dxa"/>
          </w:tcPr>
          <w:p w14:paraId="29E4CB9B" w14:textId="77777777" w:rsidR="001261F8" w:rsidRPr="000F7D85" w:rsidRDefault="001261F8"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 xml:space="preserve">Concerns expressed regarding the best ways to modify EHRs and build templates to support data extraction and reporting. </w:t>
            </w:r>
          </w:p>
        </w:tc>
        <w:tc>
          <w:tcPr>
            <w:tcW w:w="4795" w:type="dxa"/>
          </w:tcPr>
          <w:p w14:paraId="4963BED8" w14:textId="77777777" w:rsidR="001261F8" w:rsidRPr="000F7D85" w:rsidRDefault="001261F8"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 xml:space="preserve">Through the technical assistance contractor funded under the P4C project, </w:t>
            </w:r>
            <w:r w:rsidR="00387AB4" w:rsidRPr="000F7D85">
              <w:rPr>
                <w:rFonts w:ascii="Arial" w:hAnsi="Arial" w:cs="Arial"/>
                <w:color w:val="000000"/>
                <w:sz w:val="22"/>
                <w:szCs w:val="22"/>
              </w:rPr>
              <w:t>a series of webinars will be held for health centers providing additional insights into the use of different EHR platforms for P4C reporting and quality improvement efforts. In addition, the technical assistance contractor will partner with HRSA-funded health center controlled networks to facilitate opportunities for additional support.</w:t>
            </w:r>
          </w:p>
        </w:tc>
      </w:tr>
      <w:tr w:rsidR="001261F8" w:rsidRPr="000F7D85" w14:paraId="2369838A" w14:textId="77777777" w:rsidTr="000F7D85">
        <w:trPr>
          <w:cantSplit/>
        </w:trPr>
        <w:tc>
          <w:tcPr>
            <w:tcW w:w="1490" w:type="dxa"/>
            <w:tcBorders>
              <w:top w:val="nil"/>
              <w:bottom w:val="nil"/>
            </w:tcBorders>
          </w:tcPr>
          <w:p w14:paraId="32E84B57" w14:textId="77777777" w:rsidR="001261F8" w:rsidRPr="000F7D85" w:rsidRDefault="001261F8" w:rsidP="00562535">
            <w:pPr>
              <w:rPr>
                <w:rFonts w:ascii="Arial" w:hAnsi="Arial" w:cs="Arial"/>
                <w:color w:val="000000"/>
                <w:sz w:val="22"/>
                <w:szCs w:val="22"/>
              </w:rPr>
            </w:pPr>
          </w:p>
        </w:tc>
        <w:tc>
          <w:tcPr>
            <w:tcW w:w="3305" w:type="dxa"/>
          </w:tcPr>
          <w:p w14:paraId="149F2465" w14:textId="77777777" w:rsidR="001261F8" w:rsidRPr="000F7D85" w:rsidRDefault="001261F8"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 xml:space="preserve">EHR reporting templates may not allow federal officials to </w:t>
            </w:r>
            <w:r w:rsidR="00387AB4" w:rsidRPr="000F7D85">
              <w:rPr>
                <w:rFonts w:ascii="Arial" w:hAnsi="Arial" w:cs="Arial"/>
                <w:color w:val="000000"/>
                <w:sz w:val="22"/>
                <w:szCs w:val="22"/>
              </w:rPr>
              <w:t>interchange</w:t>
            </w:r>
            <w:r w:rsidRPr="000F7D85">
              <w:rPr>
                <w:rFonts w:ascii="Arial" w:hAnsi="Arial" w:cs="Arial"/>
                <w:color w:val="000000"/>
                <w:sz w:val="22"/>
                <w:szCs w:val="22"/>
              </w:rPr>
              <w:t xml:space="preserve"> denominators across measures. Be sure that outcome measure numerators and denominators are specified for what is needed. </w:t>
            </w:r>
          </w:p>
        </w:tc>
        <w:tc>
          <w:tcPr>
            <w:tcW w:w="4795" w:type="dxa"/>
          </w:tcPr>
          <w:p w14:paraId="3843FDB9" w14:textId="77777777" w:rsidR="001261F8" w:rsidRPr="000F7D85" w:rsidRDefault="00387AB4"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All P4C outcome measure numerators and denominators have been specified and include all applicable inclusion and exclusion criteria. In calculating percentages for performance measures, federal officials will not interchange reported denominators.</w:t>
            </w:r>
          </w:p>
        </w:tc>
      </w:tr>
      <w:tr w:rsidR="001261F8" w:rsidRPr="000F7D85" w14:paraId="38AF8965" w14:textId="77777777" w:rsidTr="00454251">
        <w:trPr>
          <w:cantSplit/>
        </w:trPr>
        <w:tc>
          <w:tcPr>
            <w:tcW w:w="1490" w:type="dxa"/>
            <w:tcBorders>
              <w:top w:val="nil"/>
              <w:bottom w:val="single" w:sz="4" w:space="0" w:color="auto"/>
            </w:tcBorders>
          </w:tcPr>
          <w:p w14:paraId="21E81D1A" w14:textId="77777777" w:rsidR="001261F8" w:rsidRPr="000F7D85" w:rsidRDefault="001261F8" w:rsidP="00562535">
            <w:pPr>
              <w:rPr>
                <w:rFonts w:ascii="Arial" w:hAnsi="Arial" w:cs="Arial"/>
                <w:color w:val="000000"/>
                <w:sz w:val="22"/>
                <w:szCs w:val="22"/>
              </w:rPr>
            </w:pPr>
          </w:p>
        </w:tc>
        <w:tc>
          <w:tcPr>
            <w:tcW w:w="3305" w:type="dxa"/>
          </w:tcPr>
          <w:p w14:paraId="60B12B5C" w14:textId="77777777" w:rsidR="001261F8" w:rsidRPr="000F7D85" w:rsidRDefault="001261F8"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Using measures that have been e-specified or endorsed is useful for building report templates. Reference established measures where possible to support measure specifications</w:t>
            </w:r>
            <w:r w:rsidR="002F36B6" w:rsidRPr="000F7D85">
              <w:rPr>
                <w:rFonts w:ascii="Arial" w:hAnsi="Arial" w:cs="Arial"/>
                <w:color w:val="000000"/>
                <w:sz w:val="22"/>
                <w:szCs w:val="22"/>
              </w:rPr>
              <w:t xml:space="preserve">. </w:t>
            </w:r>
          </w:p>
        </w:tc>
        <w:tc>
          <w:tcPr>
            <w:tcW w:w="4795" w:type="dxa"/>
          </w:tcPr>
          <w:p w14:paraId="07D95C1D" w14:textId="77777777" w:rsidR="001261F8" w:rsidRPr="000F7D85" w:rsidRDefault="002F36B6"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Comparisons to existing measure will be provided throughout the progress report, where applicable.</w:t>
            </w:r>
          </w:p>
        </w:tc>
      </w:tr>
      <w:tr w:rsidR="00914A56" w:rsidRPr="000F7D85" w14:paraId="0ED55460" w14:textId="77777777" w:rsidTr="00454251">
        <w:trPr>
          <w:cantSplit/>
        </w:trPr>
        <w:tc>
          <w:tcPr>
            <w:tcW w:w="1490" w:type="dxa"/>
            <w:tcBorders>
              <w:bottom w:val="nil"/>
            </w:tcBorders>
          </w:tcPr>
          <w:p w14:paraId="4136BEC2" w14:textId="77777777" w:rsidR="00914A56" w:rsidRPr="000F7D85" w:rsidRDefault="00914A56" w:rsidP="00562535">
            <w:pPr>
              <w:rPr>
                <w:rFonts w:ascii="Arial" w:hAnsi="Arial" w:cs="Arial"/>
                <w:color w:val="000000"/>
                <w:sz w:val="22"/>
                <w:szCs w:val="22"/>
              </w:rPr>
            </w:pPr>
            <w:r w:rsidRPr="000F7D85">
              <w:rPr>
                <w:rFonts w:ascii="Arial" w:hAnsi="Arial" w:cs="Arial"/>
                <w:color w:val="000000"/>
                <w:sz w:val="22"/>
                <w:szCs w:val="22"/>
              </w:rPr>
              <w:t>Routine testing</w:t>
            </w:r>
          </w:p>
          <w:p w14:paraId="6C40F4DC" w14:textId="77777777" w:rsidR="00914A56" w:rsidRPr="000F7D85" w:rsidRDefault="00914A56" w:rsidP="00562535">
            <w:pPr>
              <w:rPr>
                <w:rFonts w:ascii="Arial" w:hAnsi="Arial" w:cs="Arial"/>
                <w:color w:val="000000"/>
                <w:sz w:val="22"/>
                <w:szCs w:val="22"/>
              </w:rPr>
            </w:pPr>
          </w:p>
        </w:tc>
        <w:tc>
          <w:tcPr>
            <w:tcW w:w="3305" w:type="dxa"/>
          </w:tcPr>
          <w:p w14:paraId="12FE9AB4" w14:textId="77777777" w:rsidR="00E003DA" w:rsidRPr="000F7D85" w:rsidRDefault="00E003DA"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 xml:space="preserve">Clarification </w:t>
            </w:r>
            <w:r w:rsidR="009960F2" w:rsidRPr="000F7D85">
              <w:rPr>
                <w:rFonts w:ascii="Arial" w:hAnsi="Arial" w:cs="Arial"/>
                <w:color w:val="000000"/>
                <w:sz w:val="22"/>
                <w:szCs w:val="22"/>
              </w:rPr>
              <w:t>requested regarding what types of</w:t>
            </w:r>
            <w:r w:rsidR="009328D2" w:rsidRPr="000F7D85">
              <w:rPr>
                <w:rFonts w:ascii="Arial" w:hAnsi="Arial" w:cs="Arial"/>
                <w:color w:val="000000"/>
                <w:sz w:val="22"/>
                <w:szCs w:val="22"/>
              </w:rPr>
              <w:t xml:space="preserve"> HIV</w:t>
            </w:r>
            <w:r w:rsidR="009960F2" w:rsidRPr="000F7D85">
              <w:rPr>
                <w:rFonts w:ascii="Arial" w:hAnsi="Arial" w:cs="Arial"/>
                <w:color w:val="000000"/>
                <w:sz w:val="22"/>
                <w:szCs w:val="22"/>
              </w:rPr>
              <w:t xml:space="preserve"> tests </w:t>
            </w:r>
            <w:r w:rsidR="009328D2" w:rsidRPr="000F7D85">
              <w:rPr>
                <w:rFonts w:ascii="Arial" w:hAnsi="Arial" w:cs="Arial"/>
                <w:color w:val="000000"/>
                <w:sz w:val="22"/>
                <w:szCs w:val="22"/>
              </w:rPr>
              <w:t xml:space="preserve">must </w:t>
            </w:r>
            <w:r w:rsidR="009960F2" w:rsidRPr="000F7D85">
              <w:rPr>
                <w:rFonts w:ascii="Arial" w:hAnsi="Arial" w:cs="Arial"/>
                <w:color w:val="000000"/>
                <w:sz w:val="22"/>
                <w:szCs w:val="22"/>
              </w:rPr>
              <w:t xml:space="preserve">be reported under the measure. </w:t>
            </w:r>
          </w:p>
        </w:tc>
        <w:tc>
          <w:tcPr>
            <w:tcW w:w="4795" w:type="dxa"/>
          </w:tcPr>
          <w:p w14:paraId="4C81ABC1" w14:textId="77777777" w:rsidR="009328D2" w:rsidRPr="000F7D85" w:rsidRDefault="009328D2"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 xml:space="preserve">P4C outcome measures require reporting of HIV tests conducted among patients aged 15 to 65 years using any and all types of test devices or technologies, including laboratory-based tests and rapid tests. </w:t>
            </w:r>
          </w:p>
          <w:p w14:paraId="25A6E614" w14:textId="77777777" w:rsidR="00E003DA" w:rsidRPr="000F7D85" w:rsidRDefault="009328D2"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 xml:space="preserve">Due to greater accuracy and cost-effectiveness, health centers are strongly encouraged to develop the capacity for laboratory based HIV testing. </w:t>
            </w:r>
          </w:p>
        </w:tc>
      </w:tr>
      <w:tr w:rsidR="009960F2" w:rsidRPr="000F7D85" w14:paraId="0C20E665" w14:textId="77777777" w:rsidTr="00454251">
        <w:trPr>
          <w:cantSplit/>
        </w:trPr>
        <w:tc>
          <w:tcPr>
            <w:tcW w:w="1490" w:type="dxa"/>
            <w:tcBorders>
              <w:top w:val="nil"/>
            </w:tcBorders>
          </w:tcPr>
          <w:p w14:paraId="2912A8D0" w14:textId="77777777" w:rsidR="009960F2" w:rsidRPr="000F7D85" w:rsidRDefault="009960F2" w:rsidP="00562535">
            <w:pPr>
              <w:rPr>
                <w:rFonts w:ascii="Arial" w:hAnsi="Arial" w:cs="Arial"/>
                <w:color w:val="000000"/>
                <w:sz w:val="22"/>
                <w:szCs w:val="22"/>
              </w:rPr>
            </w:pPr>
          </w:p>
        </w:tc>
        <w:tc>
          <w:tcPr>
            <w:tcW w:w="3305" w:type="dxa"/>
          </w:tcPr>
          <w:p w14:paraId="4BE30768" w14:textId="77777777" w:rsidR="009960F2" w:rsidRPr="000F7D85" w:rsidRDefault="009960F2"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 xml:space="preserve">Concerns expressed regarding limiting reporting of routine </w:t>
            </w:r>
            <w:r w:rsidR="009941E2" w:rsidRPr="000F7D85">
              <w:rPr>
                <w:rFonts w:ascii="Arial" w:hAnsi="Arial" w:cs="Arial"/>
                <w:color w:val="000000"/>
                <w:sz w:val="22"/>
                <w:szCs w:val="22"/>
              </w:rPr>
              <w:t>testing to those tested</w:t>
            </w:r>
            <w:r w:rsidRPr="000F7D85">
              <w:rPr>
                <w:rFonts w:ascii="Arial" w:hAnsi="Arial" w:cs="Arial"/>
                <w:color w:val="000000"/>
                <w:sz w:val="22"/>
                <w:szCs w:val="22"/>
              </w:rPr>
              <w:t xml:space="preserve"> conducted </w:t>
            </w:r>
            <w:r w:rsidR="009941E2" w:rsidRPr="000F7D85">
              <w:rPr>
                <w:rFonts w:ascii="Arial" w:hAnsi="Arial" w:cs="Arial"/>
                <w:color w:val="000000"/>
                <w:sz w:val="22"/>
                <w:szCs w:val="22"/>
              </w:rPr>
              <w:t>among</w:t>
            </w:r>
            <w:r w:rsidRPr="000F7D85">
              <w:rPr>
                <w:rFonts w:ascii="Arial" w:hAnsi="Arial" w:cs="Arial"/>
                <w:color w:val="000000"/>
                <w:sz w:val="22"/>
                <w:szCs w:val="22"/>
              </w:rPr>
              <w:t xml:space="preserve"> patients aged 15-65 years</w:t>
            </w:r>
            <w:r w:rsidR="009941E2" w:rsidRPr="000F7D85">
              <w:rPr>
                <w:rFonts w:ascii="Arial" w:hAnsi="Arial" w:cs="Arial"/>
                <w:color w:val="000000"/>
                <w:sz w:val="22"/>
                <w:szCs w:val="22"/>
              </w:rPr>
              <w:t>. Ignores tests that may be conducted among those outside the age group in need of testing.</w:t>
            </w:r>
          </w:p>
        </w:tc>
        <w:tc>
          <w:tcPr>
            <w:tcW w:w="4795" w:type="dxa"/>
          </w:tcPr>
          <w:p w14:paraId="5FA0046F" w14:textId="77777777" w:rsidR="009960F2" w:rsidRPr="000F7D85" w:rsidRDefault="009941E2"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 xml:space="preserve">According to US Preventive Services Task Force Recommendations, the population recommended for routine screening (i.e., at least once in a lifetime screening) are patients aged 15 to 65 years.  Patients under 15 and over 65 are recommended for testing if at risk for infection (i.e., targeted testing). P4C outcome measures are limited to reporting of data that is most useful for assessing implementation of routine testing. </w:t>
            </w:r>
          </w:p>
          <w:p w14:paraId="18D7067F" w14:textId="77777777" w:rsidR="009941E2" w:rsidRPr="000F7D85" w:rsidRDefault="009941E2"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UDS currently captures all patients receiving HIV testing regardless of age.</w:t>
            </w:r>
          </w:p>
        </w:tc>
      </w:tr>
      <w:tr w:rsidR="00137BD8" w:rsidRPr="000F7D85" w14:paraId="624D0614" w14:textId="77777777" w:rsidTr="000F7D85">
        <w:trPr>
          <w:cantSplit/>
        </w:trPr>
        <w:tc>
          <w:tcPr>
            <w:tcW w:w="1490" w:type="dxa"/>
            <w:tcBorders>
              <w:bottom w:val="nil"/>
            </w:tcBorders>
          </w:tcPr>
          <w:p w14:paraId="65336344" w14:textId="77777777" w:rsidR="00137BD8" w:rsidRPr="000F7D85" w:rsidRDefault="00EE6316" w:rsidP="00562535">
            <w:pPr>
              <w:rPr>
                <w:rFonts w:ascii="Arial" w:hAnsi="Arial" w:cs="Arial"/>
                <w:color w:val="000000"/>
                <w:sz w:val="22"/>
                <w:szCs w:val="22"/>
              </w:rPr>
            </w:pPr>
            <w:r w:rsidRPr="000F7D85">
              <w:rPr>
                <w:rFonts w:ascii="Arial" w:hAnsi="Arial" w:cs="Arial"/>
                <w:color w:val="000000"/>
                <w:sz w:val="22"/>
                <w:szCs w:val="22"/>
              </w:rPr>
              <w:t>Services Rendered</w:t>
            </w:r>
          </w:p>
        </w:tc>
        <w:tc>
          <w:tcPr>
            <w:tcW w:w="3305" w:type="dxa"/>
          </w:tcPr>
          <w:p w14:paraId="7F7418D7" w14:textId="77777777" w:rsidR="00137BD8" w:rsidRPr="000F7D85" w:rsidRDefault="00137BD8" w:rsidP="00E66919">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Sinc</w:t>
            </w:r>
            <w:r w:rsidR="002F36B6" w:rsidRPr="000F7D85">
              <w:rPr>
                <w:rFonts w:ascii="Arial" w:hAnsi="Arial" w:cs="Arial"/>
                <w:color w:val="000000"/>
                <w:sz w:val="22"/>
                <w:szCs w:val="22"/>
              </w:rPr>
              <w:t>e it is not likely that all HIV positive patients will</w:t>
            </w:r>
            <w:r w:rsidRPr="000F7D85">
              <w:rPr>
                <w:rFonts w:ascii="Arial" w:hAnsi="Arial" w:cs="Arial"/>
                <w:color w:val="000000"/>
                <w:sz w:val="22"/>
                <w:szCs w:val="22"/>
              </w:rPr>
              <w:t xml:space="preserve"> require risk reduction counseling, </w:t>
            </w:r>
            <w:r w:rsidR="002F36B6" w:rsidRPr="000F7D85">
              <w:rPr>
                <w:rFonts w:ascii="Arial" w:hAnsi="Arial" w:cs="Arial"/>
                <w:color w:val="000000"/>
                <w:sz w:val="22"/>
                <w:szCs w:val="22"/>
              </w:rPr>
              <w:t xml:space="preserve">measuring </w:t>
            </w:r>
            <w:r w:rsidRPr="000F7D85">
              <w:rPr>
                <w:rFonts w:ascii="Arial" w:hAnsi="Arial" w:cs="Arial"/>
                <w:color w:val="000000"/>
                <w:sz w:val="22"/>
                <w:szCs w:val="22"/>
              </w:rPr>
              <w:t>b</w:t>
            </w:r>
            <w:r w:rsidR="002F36B6" w:rsidRPr="000F7D85">
              <w:rPr>
                <w:rFonts w:ascii="Arial" w:hAnsi="Arial" w:cs="Arial"/>
                <w:color w:val="000000"/>
                <w:sz w:val="22"/>
                <w:szCs w:val="22"/>
              </w:rPr>
              <w:t>ehavioral risk screenings alone</w:t>
            </w:r>
            <w:r w:rsidRPr="000F7D85">
              <w:rPr>
                <w:rFonts w:ascii="Arial" w:hAnsi="Arial" w:cs="Arial"/>
                <w:color w:val="000000"/>
                <w:sz w:val="22"/>
                <w:szCs w:val="22"/>
              </w:rPr>
              <w:t xml:space="preserve"> or </w:t>
            </w:r>
            <w:r w:rsidR="002F36B6" w:rsidRPr="000F7D85">
              <w:rPr>
                <w:rFonts w:ascii="Arial" w:hAnsi="Arial" w:cs="Arial"/>
                <w:color w:val="000000"/>
                <w:sz w:val="22"/>
                <w:szCs w:val="22"/>
              </w:rPr>
              <w:t xml:space="preserve">in combination with </w:t>
            </w:r>
            <w:r w:rsidRPr="000F7D85">
              <w:rPr>
                <w:rFonts w:ascii="Arial" w:hAnsi="Arial" w:cs="Arial"/>
                <w:color w:val="000000"/>
                <w:sz w:val="22"/>
                <w:szCs w:val="22"/>
              </w:rPr>
              <w:t>risk reduction counseling</w:t>
            </w:r>
            <w:r w:rsidR="002F36B6" w:rsidRPr="000F7D85">
              <w:rPr>
                <w:rFonts w:ascii="Arial" w:hAnsi="Arial" w:cs="Arial"/>
                <w:color w:val="000000"/>
                <w:sz w:val="22"/>
                <w:szCs w:val="22"/>
              </w:rPr>
              <w:t xml:space="preserve"> is preferable.</w:t>
            </w:r>
          </w:p>
        </w:tc>
        <w:tc>
          <w:tcPr>
            <w:tcW w:w="4795" w:type="dxa"/>
          </w:tcPr>
          <w:p w14:paraId="23E9FAF3" w14:textId="77777777" w:rsidR="00137BD8" w:rsidRPr="000F7D85" w:rsidRDefault="002F36B6"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 xml:space="preserve">P4C outcome measure pertaining to risk reduction includes both screening and counseling to ensure that an assessment is used to guide the provision of </w:t>
            </w:r>
            <w:r w:rsidR="00345299" w:rsidRPr="000F7D85">
              <w:rPr>
                <w:rFonts w:ascii="Arial" w:hAnsi="Arial" w:cs="Arial"/>
                <w:color w:val="000000"/>
                <w:sz w:val="22"/>
                <w:szCs w:val="22"/>
              </w:rPr>
              <w:t>appropriate interventions as needed</w:t>
            </w:r>
            <w:r w:rsidRPr="000F7D85">
              <w:rPr>
                <w:rFonts w:ascii="Arial" w:hAnsi="Arial" w:cs="Arial"/>
                <w:color w:val="000000"/>
                <w:sz w:val="22"/>
                <w:szCs w:val="22"/>
              </w:rPr>
              <w:t>.</w:t>
            </w:r>
          </w:p>
        </w:tc>
      </w:tr>
      <w:tr w:rsidR="009328D2" w:rsidRPr="000F7D85" w14:paraId="7D756639" w14:textId="77777777" w:rsidTr="000F7D85">
        <w:trPr>
          <w:cantSplit/>
        </w:trPr>
        <w:tc>
          <w:tcPr>
            <w:tcW w:w="1490" w:type="dxa"/>
            <w:tcBorders>
              <w:top w:val="nil"/>
              <w:bottom w:val="nil"/>
            </w:tcBorders>
          </w:tcPr>
          <w:p w14:paraId="3FEF2A3F" w14:textId="77777777" w:rsidR="00EE6316" w:rsidRPr="000F7D85" w:rsidRDefault="00EE6316" w:rsidP="00562535">
            <w:pPr>
              <w:rPr>
                <w:rFonts w:ascii="Arial" w:hAnsi="Arial" w:cs="Arial"/>
                <w:color w:val="000000"/>
                <w:sz w:val="22"/>
                <w:szCs w:val="22"/>
              </w:rPr>
            </w:pPr>
          </w:p>
        </w:tc>
        <w:tc>
          <w:tcPr>
            <w:tcW w:w="3305" w:type="dxa"/>
          </w:tcPr>
          <w:p w14:paraId="55348BD3" w14:textId="77777777" w:rsidR="00EE6316" w:rsidRPr="000F7D85" w:rsidRDefault="00EE6316"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STI screening measure does not include hepatitis C or tuberculosis which or common co-occurring illnesses.</w:t>
            </w:r>
          </w:p>
        </w:tc>
        <w:tc>
          <w:tcPr>
            <w:tcW w:w="4795" w:type="dxa"/>
          </w:tcPr>
          <w:p w14:paraId="5BE50ECB" w14:textId="77777777" w:rsidR="00EE6316" w:rsidRPr="000F7D85" w:rsidRDefault="00345299"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 xml:space="preserve">P4C outcome measure pertaining to STIs is limited to those that contribute to the </w:t>
            </w:r>
            <w:r w:rsidR="00EE6316" w:rsidRPr="000F7D85">
              <w:rPr>
                <w:rFonts w:ascii="Arial" w:hAnsi="Arial" w:cs="Arial"/>
                <w:color w:val="000000"/>
                <w:sz w:val="22"/>
                <w:szCs w:val="22"/>
              </w:rPr>
              <w:t>transmission or acquisition of HIV</w:t>
            </w:r>
            <w:r w:rsidRPr="000F7D85">
              <w:rPr>
                <w:rFonts w:ascii="Arial" w:hAnsi="Arial" w:cs="Arial"/>
                <w:color w:val="000000"/>
                <w:sz w:val="22"/>
                <w:szCs w:val="22"/>
              </w:rPr>
              <w:t xml:space="preserve"> infection. In addition, this measure is aligned with the Ryan White HIV/AIDS Program and the National Quality Forum’s endorsed measures for HIV.</w:t>
            </w:r>
          </w:p>
        </w:tc>
      </w:tr>
      <w:tr w:rsidR="009941E2" w:rsidRPr="000F7D85" w14:paraId="3FF4E48E" w14:textId="77777777" w:rsidTr="000F7D85">
        <w:trPr>
          <w:cantSplit/>
        </w:trPr>
        <w:tc>
          <w:tcPr>
            <w:tcW w:w="1490" w:type="dxa"/>
            <w:tcBorders>
              <w:top w:val="nil"/>
              <w:bottom w:val="nil"/>
            </w:tcBorders>
          </w:tcPr>
          <w:p w14:paraId="1BDF88CD" w14:textId="77777777" w:rsidR="009941E2" w:rsidRPr="000F7D85" w:rsidRDefault="009941E2" w:rsidP="00562535">
            <w:pPr>
              <w:rPr>
                <w:rFonts w:ascii="Arial" w:hAnsi="Arial" w:cs="Arial"/>
                <w:color w:val="000000"/>
                <w:sz w:val="22"/>
                <w:szCs w:val="22"/>
              </w:rPr>
            </w:pPr>
          </w:p>
        </w:tc>
        <w:tc>
          <w:tcPr>
            <w:tcW w:w="3305" w:type="dxa"/>
          </w:tcPr>
          <w:p w14:paraId="698FF01F" w14:textId="77777777" w:rsidR="009941E2" w:rsidRPr="000F7D85" w:rsidRDefault="009941E2"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When determining the</w:t>
            </w:r>
            <w:r w:rsidR="00345299" w:rsidRPr="000F7D85">
              <w:rPr>
                <w:rFonts w:ascii="Arial" w:hAnsi="Arial" w:cs="Arial"/>
                <w:color w:val="000000"/>
                <w:sz w:val="22"/>
                <w:szCs w:val="22"/>
              </w:rPr>
              <w:t xml:space="preserve"> start date for the</w:t>
            </w:r>
            <w:r w:rsidRPr="000F7D85">
              <w:rPr>
                <w:rFonts w:ascii="Arial" w:hAnsi="Arial" w:cs="Arial"/>
                <w:color w:val="000000"/>
                <w:sz w:val="22"/>
                <w:szCs w:val="22"/>
              </w:rPr>
              <w:t xml:space="preserve"> 90 day window during which linkage to HIV medical care must occur</w:t>
            </w:r>
            <w:r w:rsidR="00345299" w:rsidRPr="000F7D85">
              <w:rPr>
                <w:rFonts w:ascii="Arial" w:hAnsi="Arial" w:cs="Arial"/>
                <w:color w:val="000000"/>
                <w:sz w:val="22"/>
                <w:szCs w:val="22"/>
              </w:rPr>
              <w:t xml:space="preserve"> for newly diagnosed patients</w:t>
            </w:r>
            <w:r w:rsidRPr="000F7D85">
              <w:rPr>
                <w:rFonts w:ascii="Arial" w:hAnsi="Arial" w:cs="Arial"/>
                <w:color w:val="000000"/>
                <w:sz w:val="22"/>
                <w:szCs w:val="22"/>
              </w:rPr>
              <w:t xml:space="preserve">, consider using a surveillance-based measure or guidance (e.g., date of first specimen collection). </w:t>
            </w:r>
          </w:p>
        </w:tc>
        <w:tc>
          <w:tcPr>
            <w:tcW w:w="4795" w:type="dxa"/>
          </w:tcPr>
          <w:p w14:paraId="51FBB252" w14:textId="77777777" w:rsidR="009941E2" w:rsidRPr="000F7D85" w:rsidRDefault="00345299"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 xml:space="preserve">P4C outcome measure pertaining to linkage to care will use date of specimen collection to establish the start date for the 90 day linkage to care window. </w:t>
            </w:r>
          </w:p>
        </w:tc>
      </w:tr>
      <w:tr w:rsidR="009328D2" w:rsidRPr="000F7D85" w14:paraId="5ECD650D" w14:textId="77777777" w:rsidTr="000F7D85">
        <w:trPr>
          <w:cantSplit/>
        </w:trPr>
        <w:tc>
          <w:tcPr>
            <w:tcW w:w="1490" w:type="dxa"/>
            <w:tcBorders>
              <w:top w:val="nil"/>
              <w:bottom w:val="single" w:sz="4" w:space="0" w:color="auto"/>
            </w:tcBorders>
          </w:tcPr>
          <w:p w14:paraId="30F10396" w14:textId="77777777" w:rsidR="001261F8" w:rsidRPr="000F7D85" w:rsidRDefault="001261F8" w:rsidP="00562535">
            <w:pPr>
              <w:rPr>
                <w:rFonts w:ascii="Arial" w:hAnsi="Arial" w:cs="Arial"/>
                <w:color w:val="000000"/>
                <w:sz w:val="22"/>
                <w:szCs w:val="22"/>
              </w:rPr>
            </w:pPr>
          </w:p>
        </w:tc>
        <w:tc>
          <w:tcPr>
            <w:tcW w:w="3305" w:type="dxa"/>
          </w:tcPr>
          <w:p w14:paraId="29236FD4" w14:textId="77777777" w:rsidR="001261F8" w:rsidRPr="000F7D85" w:rsidRDefault="001261F8"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Additional guidance needed regarding what constitutes an HIV medical care visit</w:t>
            </w:r>
            <w:r w:rsidR="00345299" w:rsidRPr="000F7D85">
              <w:rPr>
                <w:rFonts w:ascii="Arial" w:hAnsi="Arial" w:cs="Arial"/>
                <w:color w:val="000000"/>
                <w:sz w:val="22"/>
                <w:szCs w:val="22"/>
              </w:rPr>
              <w:t>.</w:t>
            </w:r>
          </w:p>
        </w:tc>
        <w:tc>
          <w:tcPr>
            <w:tcW w:w="4795" w:type="dxa"/>
          </w:tcPr>
          <w:p w14:paraId="4F85E5CA" w14:textId="77777777" w:rsidR="001261F8" w:rsidRPr="000F7D85" w:rsidRDefault="00345299"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 xml:space="preserve">For applicable P4C outcome measures, HIV medical care visit is determined by the type of provider rendering the service. Applicable measures require that services be provided by a medical provider who provides comprehensive HIV care at the health center as determined by a health center established list. In addition, HIV medical care can include services rendered through a formal written agreement or contract, or as determined by health department follow-up. </w:t>
            </w:r>
          </w:p>
        </w:tc>
      </w:tr>
      <w:tr w:rsidR="00914A56" w:rsidRPr="000F7D85" w14:paraId="4F839CD0" w14:textId="77777777" w:rsidTr="000F7D85">
        <w:trPr>
          <w:cantSplit/>
        </w:trPr>
        <w:tc>
          <w:tcPr>
            <w:tcW w:w="1490" w:type="dxa"/>
            <w:tcBorders>
              <w:bottom w:val="single" w:sz="4" w:space="0" w:color="auto"/>
            </w:tcBorders>
          </w:tcPr>
          <w:p w14:paraId="08AA886E" w14:textId="77777777" w:rsidR="00914A56" w:rsidRPr="000F7D85" w:rsidRDefault="00914A56" w:rsidP="00562535">
            <w:pPr>
              <w:rPr>
                <w:rFonts w:ascii="Arial" w:hAnsi="Arial" w:cs="Arial"/>
                <w:color w:val="000000"/>
                <w:sz w:val="22"/>
                <w:szCs w:val="22"/>
              </w:rPr>
            </w:pPr>
            <w:r w:rsidRPr="000F7D85">
              <w:rPr>
                <w:rFonts w:ascii="Arial" w:hAnsi="Arial" w:cs="Arial"/>
                <w:color w:val="000000"/>
                <w:sz w:val="22"/>
                <w:szCs w:val="22"/>
              </w:rPr>
              <w:t xml:space="preserve">Viral </w:t>
            </w:r>
            <w:r w:rsidR="00345299" w:rsidRPr="000F7D85">
              <w:rPr>
                <w:rFonts w:ascii="Arial" w:hAnsi="Arial" w:cs="Arial"/>
                <w:color w:val="000000"/>
                <w:sz w:val="22"/>
                <w:szCs w:val="22"/>
              </w:rPr>
              <w:t>Suppression</w:t>
            </w:r>
          </w:p>
        </w:tc>
        <w:tc>
          <w:tcPr>
            <w:tcW w:w="3305" w:type="dxa"/>
          </w:tcPr>
          <w:p w14:paraId="11409C3C" w14:textId="77777777" w:rsidR="00914A56" w:rsidRPr="000F7D85" w:rsidRDefault="00914A56"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 xml:space="preserve">Consider changing viral suppression threshold from &lt;200 copies to &lt;75 copies to </w:t>
            </w:r>
            <w:r w:rsidR="003707B6" w:rsidRPr="000F7D85">
              <w:rPr>
                <w:rFonts w:ascii="Arial" w:hAnsi="Arial" w:cs="Arial"/>
                <w:color w:val="000000"/>
                <w:sz w:val="22"/>
                <w:szCs w:val="22"/>
              </w:rPr>
              <w:t>mirror</w:t>
            </w:r>
            <w:r w:rsidRPr="000F7D85">
              <w:rPr>
                <w:rFonts w:ascii="Arial" w:hAnsi="Arial" w:cs="Arial"/>
                <w:color w:val="000000"/>
                <w:sz w:val="22"/>
                <w:szCs w:val="22"/>
              </w:rPr>
              <w:t xml:space="preserve"> what is </w:t>
            </w:r>
            <w:r w:rsidR="003707B6" w:rsidRPr="000F7D85">
              <w:rPr>
                <w:rFonts w:ascii="Arial" w:hAnsi="Arial" w:cs="Arial"/>
                <w:color w:val="000000"/>
                <w:sz w:val="22"/>
                <w:szCs w:val="22"/>
              </w:rPr>
              <w:t>being</w:t>
            </w:r>
            <w:r w:rsidRPr="000F7D85">
              <w:rPr>
                <w:rFonts w:ascii="Arial" w:hAnsi="Arial" w:cs="Arial"/>
                <w:color w:val="000000"/>
                <w:sz w:val="22"/>
                <w:szCs w:val="22"/>
              </w:rPr>
              <w:t xml:space="preserve"> used in the field</w:t>
            </w:r>
            <w:r w:rsidR="003707B6" w:rsidRPr="000F7D85">
              <w:rPr>
                <w:rFonts w:ascii="Arial" w:hAnsi="Arial" w:cs="Arial"/>
                <w:color w:val="000000"/>
                <w:sz w:val="22"/>
                <w:szCs w:val="22"/>
              </w:rPr>
              <w:t>.</w:t>
            </w:r>
          </w:p>
        </w:tc>
        <w:tc>
          <w:tcPr>
            <w:tcW w:w="4795" w:type="dxa"/>
          </w:tcPr>
          <w:p w14:paraId="76B66D14" w14:textId="77777777" w:rsidR="00914A56" w:rsidRPr="000F7D85" w:rsidRDefault="003707B6" w:rsidP="00562535">
            <w:pPr>
              <w:pStyle w:val="ListParagraph"/>
              <w:numPr>
                <w:ilvl w:val="0"/>
                <w:numId w:val="12"/>
              </w:numPr>
              <w:ind w:left="342" w:hanging="270"/>
              <w:rPr>
                <w:rFonts w:ascii="Arial" w:hAnsi="Arial" w:cs="Arial"/>
                <w:color w:val="000000"/>
                <w:sz w:val="22"/>
                <w:szCs w:val="22"/>
              </w:rPr>
            </w:pPr>
            <w:r w:rsidRPr="000F7D85">
              <w:rPr>
                <w:rFonts w:ascii="Arial" w:hAnsi="Arial" w:cs="Arial"/>
                <w:color w:val="000000"/>
                <w:sz w:val="22"/>
                <w:szCs w:val="22"/>
              </w:rPr>
              <w:t xml:space="preserve">P4C outcome measures will include two viral suppression measures to capture both what is required under the DHHS approved core measures for HIV reporting (viral load &lt;200 copies/mL) and what is commonly used in the field for clinical decision making (viral load &lt;75 copies/mL). </w:t>
            </w:r>
          </w:p>
        </w:tc>
      </w:tr>
    </w:tbl>
    <w:p w14:paraId="0723BDD8" w14:textId="77777777" w:rsidR="00AC7A86" w:rsidRPr="000F7D85" w:rsidRDefault="00AC7A86" w:rsidP="00A71F21">
      <w:pPr>
        <w:spacing w:after="120"/>
        <w:rPr>
          <w:rFonts w:ascii="Arial" w:hAnsi="Arial" w:cs="Arial"/>
          <w:color w:val="000000"/>
          <w:sz w:val="22"/>
          <w:szCs w:val="22"/>
        </w:rPr>
      </w:pPr>
    </w:p>
    <w:p w14:paraId="0136B8A0" w14:textId="77777777" w:rsidR="009B3794" w:rsidRPr="000F7D85" w:rsidRDefault="009B3794" w:rsidP="00A71F21">
      <w:pPr>
        <w:numPr>
          <w:ilvl w:val="0"/>
          <w:numId w:val="1"/>
        </w:numPr>
        <w:tabs>
          <w:tab w:val="num" w:pos="360"/>
        </w:tabs>
        <w:spacing w:after="120"/>
        <w:ind w:left="360"/>
        <w:rPr>
          <w:rFonts w:ascii="Arial" w:hAnsi="Arial" w:cs="Arial"/>
          <w:b/>
          <w:sz w:val="22"/>
          <w:szCs w:val="22"/>
          <w:u w:val="single"/>
        </w:rPr>
      </w:pPr>
      <w:r w:rsidRPr="000F7D85">
        <w:rPr>
          <w:rFonts w:ascii="Arial" w:hAnsi="Arial" w:cs="Arial"/>
          <w:b/>
          <w:sz w:val="22"/>
          <w:szCs w:val="22"/>
          <w:u w:val="single"/>
        </w:rPr>
        <w:t>Explanation of any Payment/Gift to Respondents</w:t>
      </w:r>
    </w:p>
    <w:p w14:paraId="2B558B99" w14:textId="77777777" w:rsidR="00631251" w:rsidRPr="000F7D85" w:rsidRDefault="00631251" w:rsidP="00A71F21">
      <w:pPr>
        <w:spacing w:after="120"/>
        <w:rPr>
          <w:rFonts w:ascii="Arial" w:hAnsi="Arial" w:cs="Arial"/>
          <w:sz w:val="22"/>
          <w:szCs w:val="22"/>
        </w:rPr>
      </w:pPr>
      <w:r w:rsidRPr="000F7D85">
        <w:rPr>
          <w:rFonts w:ascii="Arial" w:hAnsi="Arial" w:cs="Arial"/>
          <w:sz w:val="22"/>
          <w:szCs w:val="22"/>
        </w:rPr>
        <w:t>Respondents will not receive any payments or gifts.</w:t>
      </w:r>
    </w:p>
    <w:p w14:paraId="0BD92C47" w14:textId="77777777" w:rsidR="009B3794" w:rsidRPr="000F7D85" w:rsidRDefault="009B3794" w:rsidP="00A71F21">
      <w:pPr>
        <w:numPr>
          <w:ilvl w:val="0"/>
          <w:numId w:val="1"/>
        </w:numPr>
        <w:tabs>
          <w:tab w:val="num" w:pos="360"/>
        </w:tabs>
        <w:spacing w:after="120"/>
        <w:ind w:left="360"/>
        <w:rPr>
          <w:rFonts w:ascii="Arial" w:hAnsi="Arial" w:cs="Arial"/>
          <w:b/>
          <w:sz w:val="22"/>
          <w:szCs w:val="22"/>
          <w:u w:val="single"/>
        </w:rPr>
      </w:pPr>
      <w:r w:rsidRPr="000F7D85">
        <w:rPr>
          <w:rFonts w:ascii="Arial" w:hAnsi="Arial" w:cs="Arial"/>
          <w:b/>
          <w:sz w:val="22"/>
          <w:szCs w:val="22"/>
          <w:u w:val="single"/>
        </w:rPr>
        <w:t>Assurance of Confidentiality Provided to Respondents</w:t>
      </w:r>
    </w:p>
    <w:p w14:paraId="2584478B" w14:textId="77777777" w:rsidR="00631251" w:rsidRPr="000F7D85" w:rsidRDefault="00631251" w:rsidP="00A71F21">
      <w:pPr>
        <w:spacing w:after="120"/>
        <w:rPr>
          <w:rFonts w:ascii="Arial" w:hAnsi="Arial" w:cs="Arial"/>
          <w:sz w:val="22"/>
          <w:szCs w:val="22"/>
        </w:rPr>
      </w:pPr>
      <w:r w:rsidRPr="000F7D85">
        <w:rPr>
          <w:rFonts w:ascii="Arial" w:hAnsi="Arial" w:cs="Arial"/>
          <w:sz w:val="22"/>
          <w:szCs w:val="22"/>
        </w:rPr>
        <w:t xml:space="preserve">P4C progress reports do not involve the reporting of any </w:t>
      </w:r>
      <w:r w:rsidR="00562535" w:rsidRPr="000F7D85">
        <w:rPr>
          <w:rFonts w:ascii="Arial" w:hAnsi="Arial" w:cs="Arial"/>
          <w:sz w:val="22"/>
          <w:szCs w:val="22"/>
        </w:rPr>
        <w:t>personally-</w:t>
      </w:r>
      <w:r w:rsidRPr="000F7D85">
        <w:rPr>
          <w:rFonts w:ascii="Arial" w:hAnsi="Arial" w:cs="Arial"/>
          <w:sz w:val="22"/>
          <w:szCs w:val="22"/>
        </w:rPr>
        <w:t xml:space="preserve">identifiable information about individuals.  The </w:t>
      </w:r>
      <w:r w:rsidR="001742A1" w:rsidRPr="000F7D85">
        <w:rPr>
          <w:rFonts w:ascii="Arial" w:hAnsi="Arial" w:cs="Arial"/>
          <w:sz w:val="22"/>
          <w:szCs w:val="22"/>
        </w:rPr>
        <w:t>Outcomes Report</w:t>
      </w:r>
      <w:r w:rsidRPr="000F7D85">
        <w:rPr>
          <w:rFonts w:ascii="Arial" w:hAnsi="Arial" w:cs="Arial"/>
          <w:sz w:val="22"/>
          <w:szCs w:val="22"/>
        </w:rPr>
        <w:t xml:space="preserve"> </w:t>
      </w:r>
      <w:r w:rsidR="001742A1" w:rsidRPr="000F7D85">
        <w:rPr>
          <w:rFonts w:ascii="Arial" w:hAnsi="Arial" w:cs="Arial"/>
          <w:sz w:val="22"/>
          <w:szCs w:val="22"/>
        </w:rPr>
        <w:t>requires</w:t>
      </w:r>
      <w:r w:rsidRPr="000F7D85">
        <w:rPr>
          <w:rFonts w:ascii="Arial" w:hAnsi="Arial" w:cs="Arial"/>
          <w:sz w:val="22"/>
          <w:szCs w:val="22"/>
        </w:rPr>
        <w:t xml:space="preserve"> the reporting of </w:t>
      </w:r>
      <w:r w:rsidRPr="000F7D85">
        <w:rPr>
          <w:rFonts w:ascii="Arial" w:hAnsi="Arial" w:cs="Arial"/>
          <w:sz w:val="22"/>
          <w:szCs w:val="22"/>
          <w:u w:val="single"/>
        </w:rPr>
        <w:t>aggregate</w:t>
      </w:r>
      <w:r w:rsidRPr="000F7D85">
        <w:rPr>
          <w:rFonts w:ascii="Arial" w:hAnsi="Arial" w:cs="Arial"/>
          <w:sz w:val="22"/>
          <w:szCs w:val="22"/>
        </w:rPr>
        <w:t xml:space="preserve"> data only.  Data will be </w:t>
      </w:r>
      <w:r w:rsidR="00562535" w:rsidRPr="000F7D85">
        <w:rPr>
          <w:rFonts w:ascii="Arial" w:hAnsi="Arial" w:cs="Arial"/>
          <w:sz w:val="22"/>
          <w:szCs w:val="22"/>
        </w:rPr>
        <w:t>reported in aggregate</w:t>
      </w:r>
      <w:r w:rsidRPr="000F7D85">
        <w:rPr>
          <w:rFonts w:ascii="Arial" w:hAnsi="Arial" w:cs="Arial"/>
          <w:sz w:val="22"/>
          <w:szCs w:val="22"/>
        </w:rPr>
        <w:t xml:space="preserve"> across all patients and service delivery sites for each </w:t>
      </w:r>
      <w:r w:rsidR="001742A1" w:rsidRPr="000F7D85">
        <w:rPr>
          <w:rFonts w:ascii="Arial" w:hAnsi="Arial" w:cs="Arial"/>
          <w:sz w:val="22"/>
          <w:szCs w:val="22"/>
        </w:rPr>
        <w:t xml:space="preserve">responding </w:t>
      </w:r>
      <w:r w:rsidRPr="000F7D85">
        <w:rPr>
          <w:rFonts w:ascii="Arial" w:hAnsi="Arial" w:cs="Arial"/>
          <w:sz w:val="22"/>
          <w:szCs w:val="22"/>
        </w:rPr>
        <w:lastRenderedPageBreak/>
        <w:t>health center.</w:t>
      </w:r>
    </w:p>
    <w:p w14:paraId="5EB973FA" w14:textId="77777777" w:rsidR="009B3794" w:rsidRPr="000F7D85" w:rsidRDefault="009B3794" w:rsidP="00A71F21">
      <w:pPr>
        <w:numPr>
          <w:ilvl w:val="0"/>
          <w:numId w:val="1"/>
        </w:numPr>
        <w:tabs>
          <w:tab w:val="num" w:pos="360"/>
        </w:tabs>
        <w:spacing w:after="120"/>
        <w:ind w:left="360"/>
        <w:rPr>
          <w:rFonts w:ascii="Arial" w:hAnsi="Arial" w:cs="Arial"/>
          <w:b/>
          <w:sz w:val="22"/>
          <w:szCs w:val="22"/>
          <w:u w:val="single"/>
        </w:rPr>
      </w:pPr>
      <w:r w:rsidRPr="000F7D85">
        <w:rPr>
          <w:rFonts w:ascii="Arial" w:hAnsi="Arial" w:cs="Arial"/>
          <w:b/>
          <w:sz w:val="22"/>
          <w:szCs w:val="22"/>
          <w:u w:val="single"/>
        </w:rPr>
        <w:t>Justification for Sensitive Questions</w:t>
      </w:r>
    </w:p>
    <w:p w14:paraId="0BA3232A" w14:textId="4608BF5A" w:rsidR="009B3794" w:rsidRPr="000F7D85" w:rsidRDefault="00631251" w:rsidP="00A71F21">
      <w:pPr>
        <w:widowControl/>
        <w:spacing w:after="120"/>
        <w:rPr>
          <w:rFonts w:ascii="Arial" w:hAnsi="Arial" w:cs="Arial"/>
          <w:sz w:val="22"/>
          <w:szCs w:val="22"/>
        </w:rPr>
      </w:pPr>
      <w:r w:rsidRPr="00454251">
        <w:rPr>
          <w:rFonts w:ascii="Arial" w:hAnsi="Arial" w:cs="Arial"/>
          <w:sz w:val="22"/>
          <w:szCs w:val="22"/>
        </w:rPr>
        <w:t xml:space="preserve">There are no questions of a sensitive nature. </w:t>
      </w:r>
      <w:r w:rsidR="00562535" w:rsidRPr="00454251">
        <w:rPr>
          <w:rFonts w:ascii="Arial" w:hAnsi="Arial" w:cs="Arial"/>
          <w:sz w:val="22"/>
          <w:szCs w:val="22"/>
        </w:rPr>
        <w:t xml:space="preserve">All information is reported in </w:t>
      </w:r>
      <w:r w:rsidR="00D57C78" w:rsidRPr="00454251">
        <w:rPr>
          <w:rFonts w:ascii="Arial" w:hAnsi="Arial" w:cs="Arial"/>
          <w:sz w:val="22"/>
          <w:szCs w:val="22"/>
        </w:rPr>
        <w:t>aggregate</w:t>
      </w:r>
      <w:r w:rsidR="001F29A0">
        <w:rPr>
          <w:rFonts w:ascii="Arial" w:hAnsi="Arial" w:cs="Arial"/>
          <w:sz w:val="22"/>
          <w:szCs w:val="22"/>
        </w:rPr>
        <w:t xml:space="preserve"> across all patients and service delivery sites</w:t>
      </w:r>
      <w:r w:rsidR="00D57C78" w:rsidRPr="00454251">
        <w:rPr>
          <w:rFonts w:ascii="Arial" w:hAnsi="Arial" w:cs="Arial"/>
          <w:sz w:val="22"/>
          <w:szCs w:val="22"/>
        </w:rPr>
        <w:t xml:space="preserve">.  Individual patients </w:t>
      </w:r>
      <w:r w:rsidRPr="00454251">
        <w:rPr>
          <w:rFonts w:ascii="Arial" w:hAnsi="Arial" w:cs="Arial"/>
          <w:sz w:val="22"/>
          <w:szCs w:val="22"/>
        </w:rPr>
        <w:t xml:space="preserve">cannot be identified based on these aggregate totals. </w:t>
      </w:r>
      <w:r w:rsidR="001F29A0">
        <w:rPr>
          <w:rFonts w:ascii="Arial" w:hAnsi="Arial" w:cs="Arial"/>
          <w:sz w:val="22"/>
          <w:szCs w:val="22"/>
        </w:rPr>
        <w:t>When reporting results from this project, HRSA</w:t>
      </w:r>
      <w:r w:rsidR="00344B98">
        <w:rPr>
          <w:rFonts w:ascii="Arial" w:hAnsi="Arial" w:cs="Arial"/>
          <w:sz w:val="22"/>
          <w:szCs w:val="22"/>
        </w:rPr>
        <w:t xml:space="preserve"> </w:t>
      </w:r>
      <w:r w:rsidR="001F29A0">
        <w:rPr>
          <w:rFonts w:ascii="Arial" w:hAnsi="Arial" w:cs="Arial"/>
          <w:sz w:val="22"/>
          <w:szCs w:val="22"/>
        </w:rPr>
        <w:t xml:space="preserve">will use </w:t>
      </w:r>
      <w:r w:rsidR="00454251" w:rsidRPr="00454251">
        <w:rPr>
          <w:rFonts w:ascii="Arial" w:hAnsi="Arial" w:cs="Arial"/>
          <w:sz w:val="22"/>
          <w:szCs w:val="22"/>
        </w:rPr>
        <w:t>“</w:t>
      </w:r>
      <w:r w:rsidR="001F29A0">
        <w:rPr>
          <w:rFonts w:ascii="Arial" w:hAnsi="Arial" w:cs="Arial"/>
          <w:sz w:val="22"/>
          <w:szCs w:val="22"/>
        </w:rPr>
        <w:t>fewer</w:t>
      </w:r>
      <w:r w:rsidR="00454251" w:rsidRPr="00454251">
        <w:rPr>
          <w:rFonts w:ascii="Arial" w:hAnsi="Arial" w:cs="Arial"/>
          <w:sz w:val="22"/>
          <w:szCs w:val="22"/>
        </w:rPr>
        <w:t xml:space="preserve"> than 10” </w:t>
      </w:r>
      <w:r w:rsidR="001F29A0">
        <w:rPr>
          <w:rFonts w:ascii="Arial" w:hAnsi="Arial" w:cs="Arial"/>
          <w:sz w:val="22"/>
          <w:szCs w:val="22"/>
        </w:rPr>
        <w:t>when publicly referring to or reporting outcomes representing fewer than 10 patients</w:t>
      </w:r>
      <w:r w:rsidRPr="00454251">
        <w:rPr>
          <w:rFonts w:ascii="Arial" w:hAnsi="Arial" w:cs="Arial"/>
          <w:sz w:val="22"/>
          <w:szCs w:val="22"/>
        </w:rPr>
        <w:t>.</w:t>
      </w:r>
      <w:r w:rsidR="009B3794" w:rsidRPr="000F7D85">
        <w:rPr>
          <w:rFonts w:ascii="Arial" w:hAnsi="Arial" w:cs="Arial"/>
          <w:sz w:val="22"/>
          <w:szCs w:val="22"/>
        </w:rPr>
        <w:t xml:space="preserve"> </w:t>
      </w:r>
      <w:r w:rsidR="001F29A0">
        <w:rPr>
          <w:rFonts w:ascii="Arial" w:hAnsi="Arial" w:cs="Arial"/>
          <w:sz w:val="22"/>
          <w:szCs w:val="22"/>
        </w:rPr>
        <w:t>This approach is also used by HRSA’s HIV/AIDS Bureau when reporting data from the Ryan White HIV/AIDS Program.</w:t>
      </w:r>
    </w:p>
    <w:p w14:paraId="0C88BC41" w14:textId="3C4DD1DF" w:rsidR="009B3794" w:rsidRPr="000F7D85" w:rsidRDefault="009B3794" w:rsidP="00A71F21">
      <w:pPr>
        <w:numPr>
          <w:ilvl w:val="0"/>
          <w:numId w:val="1"/>
        </w:numPr>
        <w:tabs>
          <w:tab w:val="num" w:pos="360"/>
        </w:tabs>
        <w:spacing w:after="120"/>
        <w:ind w:left="360"/>
        <w:rPr>
          <w:rFonts w:ascii="Arial" w:hAnsi="Arial" w:cs="Arial"/>
          <w:b/>
          <w:sz w:val="22"/>
          <w:szCs w:val="22"/>
          <w:u w:val="single"/>
        </w:rPr>
      </w:pPr>
      <w:r w:rsidRPr="000F7D85">
        <w:rPr>
          <w:rFonts w:ascii="Arial" w:hAnsi="Arial" w:cs="Arial"/>
          <w:b/>
          <w:sz w:val="22"/>
          <w:szCs w:val="22"/>
          <w:u w:val="single"/>
        </w:rPr>
        <w:t xml:space="preserve">Estimates of Annualized Hour </w:t>
      </w:r>
      <w:r w:rsidR="00F2493D">
        <w:rPr>
          <w:rFonts w:ascii="Arial" w:hAnsi="Arial" w:cs="Arial"/>
          <w:b/>
          <w:sz w:val="22"/>
          <w:szCs w:val="22"/>
          <w:u w:val="single"/>
        </w:rPr>
        <w:t xml:space="preserve">and Cost </w:t>
      </w:r>
      <w:r w:rsidRPr="000F7D85">
        <w:rPr>
          <w:rFonts w:ascii="Arial" w:hAnsi="Arial" w:cs="Arial"/>
          <w:b/>
          <w:sz w:val="22"/>
          <w:szCs w:val="22"/>
          <w:u w:val="single"/>
        </w:rPr>
        <w:t xml:space="preserve">Burden  </w:t>
      </w:r>
    </w:p>
    <w:p w14:paraId="74AAD3B7" w14:textId="4B0E4C92" w:rsidR="00E84D85" w:rsidRPr="000F7D85" w:rsidRDefault="00CE48A1" w:rsidP="00A71F21">
      <w:pPr>
        <w:spacing w:after="120"/>
        <w:rPr>
          <w:rFonts w:ascii="Arial" w:hAnsi="Arial" w:cs="Arial"/>
          <w:sz w:val="22"/>
          <w:szCs w:val="22"/>
        </w:rPr>
      </w:pPr>
      <w:r>
        <w:rPr>
          <w:rFonts w:ascii="Arial" w:hAnsi="Arial" w:cs="Arial"/>
          <w:sz w:val="22"/>
          <w:szCs w:val="22"/>
        </w:rPr>
        <w:t>Bi-annual</w:t>
      </w:r>
      <w:r w:rsidRPr="000F7D85">
        <w:rPr>
          <w:rFonts w:ascii="Arial" w:hAnsi="Arial" w:cs="Arial"/>
          <w:sz w:val="22"/>
          <w:szCs w:val="22"/>
        </w:rPr>
        <w:t xml:space="preserve"> </w:t>
      </w:r>
      <w:r w:rsidR="00B55EE5" w:rsidRPr="000F7D85">
        <w:rPr>
          <w:rFonts w:ascii="Arial" w:hAnsi="Arial" w:cs="Arial"/>
          <w:sz w:val="22"/>
          <w:szCs w:val="22"/>
        </w:rPr>
        <w:t>P4C progress reports are proposed</w:t>
      </w:r>
      <w:r w:rsidR="002A42C9">
        <w:rPr>
          <w:rFonts w:ascii="Arial" w:hAnsi="Arial" w:cs="Arial"/>
          <w:sz w:val="22"/>
          <w:szCs w:val="22"/>
        </w:rPr>
        <w:t xml:space="preserve"> using two forms, including the</w:t>
      </w:r>
      <w:r>
        <w:rPr>
          <w:rFonts w:ascii="Arial" w:hAnsi="Arial" w:cs="Arial"/>
          <w:sz w:val="22"/>
          <w:szCs w:val="22"/>
        </w:rPr>
        <w:t xml:space="preserve"> </w:t>
      </w:r>
      <w:r w:rsidR="009941A5" w:rsidRPr="000F7D85">
        <w:rPr>
          <w:rFonts w:ascii="Arial" w:hAnsi="Arial" w:cs="Arial"/>
          <w:sz w:val="22"/>
          <w:szCs w:val="22"/>
        </w:rPr>
        <w:t xml:space="preserve">Implementation Report and </w:t>
      </w:r>
      <w:r>
        <w:rPr>
          <w:rFonts w:ascii="Arial" w:hAnsi="Arial" w:cs="Arial"/>
          <w:sz w:val="22"/>
          <w:szCs w:val="22"/>
        </w:rPr>
        <w:t xml:space="preserve">the </w:t>
      </w:r>
      <w:r w:rsidR="009941A5" w:rsidRPr="000F7D85">
        <w:rPr>
          <w:rFonts w:ascii="Arial" w:hAnsi="Arial" w:cs="Arial"/>
          <w:sz w:val="22"/>
          <w:szCs w:val="22"/>
        </w:rPr>
        <w:t>Outcomes Report</w:t>
      </w:r>
      <w:r w:rsidR="00B55EE5" w:rsidRPr="000F7D85">
        <w:rPr>
          <w:rFonts w:ascii="Arial" w:hAnsi="Arial" w:cs="Arial"/>
          <w:sz w:val="22"/>
          <w:szCs w:val="22"/>
        </w:rPr>
        <w:t>s</w:t>
      </w:r>
      <w:r w:rsidR="009941A5" w:rsidRPr="000F7D85">
        <w:rPr>
          <w:rFonts w:ascii="Arial" w:hAnsi="Arial" w:cs="Arial"/>
          <w:sz w:val="22"/>
          <w:szCs w:val="22"/>
        </w:rPr>
        <w:t>. The Implementation Report will request information pertaining to project implementation, including work plan progress</w:t>
      </w:r>
      <w:r w:rsidR="002A42C9">
        <w:rPr>
          <w:rFonts w:ascii="Arial" w:hAnsi="Arial" w:cs="Arial"/>
          <w:sz w:val="22"/>
          <w:szCs w:val="22"/>
        </w:rPr>
        <w:t xml:space="preserve"> across each of the project’s five focus areas</w:t>
      </w:r>
      <w:r w:rsidR="009941A5" w:rsidRPr="000F7D85">
        <w:rPr>
          <w:rFonts w:ascii="Arial" w:hAnsi="Arial" w:cs="Arial"/>
          <w:sz w:val="22"/>
          <w:szCs w:val="22"/>
        </w:rPr>
        <w:t xml:space="preserve">; budget modifications; established </w:t>
      </w:r>
      <w:r w:rsidR="002A42C9">
        <w:rPr>
          <w:rFonts w:ascii="Arial" w:hAnsi="Arial" w:cs="Arial"/>
          <w:sz w:val="22"/>
          <w:szCs w:val="22"/>
        </w:rPr>
        <w:t xml:space="preserve">and actual </w:t>
      </w:r>
      <w:r w:rsidR="009941A5" w:rsidRPr="000F7D85">
        <w:rPr>
          <w:rFonts w:ascii="Arial" w:hAnsi="Arial" w:cs="Arial"/>
          <w:sz w:val="22"/>
          <w:szCs w:val="22"/>
        </w:rPr>
        <w:t xml:space="preserve">projections for service delivery, workforce development and partnership development; successes or promising practices; and training and technical assistance needs. The Outcomes Report will request aggregate </w:t>
      </w:r>
      <w:r w:rsidR="009E3AF6">
        <w:rPr>
          <w:rFonts w:ascii="Arial" w:hAnsi="Arial" w:cs="Arial"/>
          <w:sz w:val="22"/>
          <w:szCs w:val="22"/>
        </w:rPr>
        <w:t xml:space="preserve">data for the </w:t>
      </w:r>
      <w:r w:rsidR="009941A5" w:rsidRPr="000F7D85">
        <w:rPr>
          <w:rFonts w:ascii="Arial" w:hAnsi="Arial" w:cs="Arial"/>
          <w:sz w:val="22"/>
          <w:szCs w:val="22"/>
        </w:rPr>
        <w:t xml:space="preserve">14 </w:t>
      </w:r>
      <w:r w:rsidR="009E3AF6">
        <w:rPr>
          <w:rFonts w:ascii="Arial" w:hAnsi="Arial" w:cs="Arial"/>
          <w:sz w:val="22"/>
          <w:szCs w:val="22"/>
        </w:rPr>
        <w:t xml:space="preserve">HIV </w:t>
      </w:r>
      <w:r w:rsidR="009941A5" w:rsidRPr="000F7D85">
        <w:rPr>
          <w:rFonts w:ascii="Arial" w:hAnsi="Arial" w:cs="Arial"/>
          <w:sz w:val="22"/>
          <w:szCs w:val="22"/>
        </w:rPr>
        <w:t>outcome measures in addition to information requested in the Implementation Report.</w:t>
      </w:r>
      <w:r w:rsidR="00E84D85" w:rsidRPr="000F7D85">
        <w:rPr>
          <w:rFonts w:ascii="Arial" w:hAnsi="Arial" w:cs="Arial"/>
          <w:sz w:val="22"/>
          <w:szCs w:val="22"/>
        </w:rPr>
        <w:t xml:space="preserve"> </w:t>
      </w:r>
    </w:p>
    <w:p w14:paraId="588905F8" w14:textId="77777777" w:rsidR="00B55EE5" w:rsidRPr="009E3AF6" w:rsidRDefault="00F2493D" w:rsidP="00A71F21">
      <w:pPr>
        <w:spacing w:after="120"/>
        <w:rPr>
          <w:rFonts w:ascii="Arial" w:hAnsi="Arial" w:cs="Arial"/>
          <w:b/>
          <w:i/>
          <w:sz w:val="22"/>
          <w:szCs w:val="22"/>
        </w:rPr>
      </w:pPr>
      <w:r w:rsidRPr="009E3AF6">
        <w:rPr>
          <w:rFonts w:ascii="Arial" w:hAnsi="Arial" w:cs="Arial"/>
          <w:b/>
          <w:i/>
          <w:sz w:val="22"/>
          <w:szCs w:val="22"/>
        </w:rPr>
        <w:t>12A. Estimated Annualized Burden Hours</w:t>
      </w:r>
    </w:p>
    <w:p w14:paraId="1BB6E9EA" w14:textId="0F5778D5" w:rsidR="0087639F" w:rsidRDefault="00E84D85" w:rsidP="00A71F21">
      <w:pPr>
        <w:spacing w:after="120"/>
        <w:rPr>
          <w:rFonts w:ascii="Arial" w:hAnsi="Arial" w:cs="Arial"/>
          <w:sz w:val="22"/>
          <w:szCs w:val="22"/>
        </w:rPr>
      </w:pPr>
      <w:r w:rsidRPr="000F7D85">
        <w:rPr>
          <w:rFonts w:ascii="Arial" w:hAnsi="Arial" w:cs="Arial"/>
          <w:sz w:val="22"/>
          <w:szCs w:val="22"/>
        </w:rPr>
        <w:t>Hour burden</w:t>
      </w:r>
      <w:r w:rsidR="000066EF" w:rsidRPr="000F7D85">
        <w:rPr>
          <w:rFonts w:ascii="Arial" w:hAnsi="Arial" w:cs="Arial"/>
          <w:sz w:val="22"/>
          <w:szCs w:val="22"/>
        </w:rPr>
        <w:t xml:space="preserve"> estimate</w:t>
      </w:r>
      <w:r w:rsidR="009941A5" w:rsidRPr="000F7D85">
        <w:rPr>
          <w:rFonts w:ascii="Arial" w:hAnsi="Arial" w:cs="Arial"/>
          <w:sz w:val="22"/>
          <w:szCs w:val="22"/>
        </w:rPr>
        <w:t>s</w:t>
      </w:r>
      <w:r w:rsidR="00D57C78" w:rsidRPr="000F7D85">
        <w:rPr>
          <w:rFonts w:ascii="Arial" w:hAnsi="Arial" w:cs="Arial"/>
          <w:sz w:val="22"/>
          <w:szCs w:val="22"/>
        </w:rPr>
        <w:t xml:space="preserve"> </w:t>
      </w:r>
      <w:r w:rsidR="009941A5" w:rsidRPr="000F7D85">
        <w:rPr>
          <w:rFonts w:ascii="Arial" w:hAnsi="Arial" w:cs="Arial"/>
          <w:sz w:val="22"/>
          <w:szCs w:val="22"/>
        </w:rPr>
        <w:t xml:space="preserve">for </w:t>
      </w:r>
      <w:r w:rsidR="00F41003" w:rsidRPr="000F7D85">
        <w:rPr>
          <w:rFonts w:ascii="Arial" w:hAnsi="Arial" w:cs="Arial"/>
          <w:sz w:val="22"/>
          <w:szCs w:val="22"/>
        </w:rPr>
        <w:t>report preparation</w:t>
      </w:r>
      <w:r w:rsidR="009941A5" w:rsidRPr="000F7D85">
        <w:rPr>
          <w:rFonts w:ascii="Arial" w:hAnsi="Arial" w:cs="Arial"/>
          <w:sz w:val="22"/>
          <w:szCs w:val="22"/>
        </w:rPr>
        <w:t xml:space="preserve"> are provided in </w:t>
      </w:r>
      <w:r w:rsidR="00B55EE5" w:rsidRPr="000F7D85">
        <w:rPr>
          <w:rFonts w:ascii="Arial" w:hAnsi="Arial" w:cs="Arial"/>
          <w:sz w:val="22"/>
          <w:szCs w:val="22"/>
        </w:rPr>
        <w:t>Table 2 below</w:t>
      </w:r>
      <w:r w:rsidR="009941A5" w:rsidRPr="000F7D85">
        <w:rPr>
          <w:rFonts w:ascii="Arial" w:hAnsi="Arial" w:cs="Arial"/>
          <w:sz w:val="22"/>
          <w:szCs w:val="22"/>
        </w:rPr>
        <w:t>.</w:t>
      </w:r>
      <w:r w:rsidR="00B55EE5" w:rsidRPr="000F7D85">
        <w:rPr>
          <w:rFonts w:ascii="Arial" w:hAnsi="Arial" w:cs="Arial"/>
          <w:sz w:val="22"/>
          <w:szCs w:val="22"/>
        </w:rPr>
        <w:t xml:space="preserve"> </w:t>
      </w:r>
    </w:p>
    <w:tbl>
      <w:tblPr>
        <w:tblpPr w:leftFromText="180" w:rightFromText="180" w:vertAnchor="text" w:horzAnchor="margin" w:tblpXSpec="center"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736"/>
        <w:gridCol w:w="2701"/>
        <w:gridCol w:w="1258"/>
        <w:gridCol w:w="1440"/>
        <w:gridCol w:w="1264"/>
        <w:gridCol w:w="1191"/>
      </w:tblGrid>
      <w:tr w:rsidR="0087639F" w:rsidRPr="000F7D85" w14:paraId="39EB00EA" w14:textId="77777777" w:rsidTr="002719DA">
        <w:trPr>
          <w:trHeight w:val="41"/>
        </w:trPr>
        <w:tc>
          <w:tcPr>
            <w:tcW w:w="5000" w:type="pct"/>
            <w:gridSpan w:val="6"/>
          </w:tcPr>
          <w:p w14:paraId="53388249"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 xml:space="preserve">Table 2. Estimate of Burden </w:t>
            </w:r>
            <w:r>
              <w:rPr>
                <w:rFonts w:ascii="Arial" w:hAnsi="Arial" w:cs="Arial"/>
                <w:bCs/>
                <w:sz w:val="22"/>
                <w:szCs w:val="22"/>
              </w:rPr>
              <w:t>Hours for Report Preparation</w:t>
            </w:r>
          </w:p>
        </w:tc>
      </w:tr>
      <w:tr w:rsidR="0087639F" w:rsidRPr="000F7D85" w14:paraId="27BC34C2" w14:textId="77777777" w:rsidTr="002719DA">
        <w:trPr>
          <w:trHeight w:val="41"/>
        </w:trPr>
        <w:tc>
          <w:tcPr>
            <w:tcW w:w="905" w:type="pct"/>
            <w:shd w:val="clear" w:color="auto" w:fill="D9D9D9" w:themeFill="background1" w:themeFillShade="D9"/>
          </w:tcPr>
          <w:p w14:paraId="078ED50C" w14:textId="77777777" w:rsidR="0087639F" w:rsidRPr="000F7D85" w:rsidRDefault="0087639F" w:rsidP="002719DA">
            <w:pPr>
              <w:widowControl/>
              <w:tabs>
                <w:tab w:val="num" w:pos="1080"/>
              </w:tabs>
              <w:rPr>
                <w:rFonts w:ascii="Arial" w:hAnsi="Arial" w:cs="Arial"/>
                <w:bCs/>
                <w:sz w:val="22"/>
                <w:szCs w:val="22"/>
              </w:rPr>
            </w:pPr>
            <w:r>
              <w:rPr>
                <w:rFonts w:ascii="Arial" w:hAnsi="Arial" w:cs="Arial"/>
                <w:bCs/>
                <w:sz w:val="22"/>
                <w:szCs w:val="22"/>
              </w:rPr>
              <w:t>Type of Respondent</w:t>
            </w:r>
          </w:p>
        </w:tc>
        <w:tc>
          <w:tcPr>
            <w:tcW w:w="1408" w:type="pct"/>
            <w:shd w:val="clear" w:color="auto" w:fill="D9D9D9" w:themeFill="background1" w:themeFillShade="D9"/>
          </w:tcPr>
          <w:p w14:paraId="0D8FDE24"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Form Name</w:t>
            </w:r>
          </w:p>
          <w:p w14:paraId="6349C811" w14:textId="77777777" w:rsidR="0087639F" w:rsidRPr="000F7D85" w:rsidRDefault="0087639F" w:rsidP="002719DA">
            <w:pPr>
              <w:widowControl/>
              <w:tabs>
                <w:tab w:val="num" w:pos="1080"/>
              </w:tabs>
              <w:rPr>
                <w:rFonts w:ascii="Arial" w:hAnsi="Arial" w:cs="Arial"/>
                <w:bCs/>
                <w:sz w:val="22"/>
                <w:szCs w:val="22"/>
              </w:rPr>
            </w:pPr>
          </w:p>
        </w:tc>
        <w:tc>
          <w:tcPr>
            <w:tcW w:w="656" w:type="pct"/>
            <w:shd w:val="clear" w:color="auto" w:fill="D9D9D9" w:themeFill="background1" w:themeFillShade="D9"/>
          </w:tcPr>
          <w:p w14:paraId="208D2ED6"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 xml:space="preserve">No. </w:t>
            </w:r>
          </w:p>
          <w:p w14:paraId="634A887A"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of</w:t>
            </w:r>
          </w:p>
          <w:p w14:paraId="3D62AE20"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Respon</w:t>
            </w:r>
            <w:r>
              <w:rPr>
                <w:rFonts w:ascii="Arial" w:hAnsi="Arial" w:cs="Arial"/>
                <w:bCs/>
                <w:sz w:val="22"/>
                <w:szCs w:val="22"/>
              </w:rPr>
              <w:t>-</w:t>
            </w:r>
            <w:r w:rsidRPr="000F7D85">
              <w:rPr>
                <w:rFonts w:ascii="Arial" w:hAnsi="Arial" w:cs="Arial"/>
                <w:bCs/>
                <w:sz w:val="22"/>
                <w:szCs w:val="22"/>
              </w:rPr>
              <w:t>dents</w:t>
            </w:r>
          </w:p>
        </w:tc>
        <w:tc>
          <w:tcPr>
            <w:tcW w:w="751" w:type="pct"/>
            <w:shd w:val="clear" w:color="auto" w:fill="D9D9D9" w:themeFill="background1" w:themeFillShade="D9"/>
          </w:tcPr>
          <w:p w14:paraId="0DBEDA7E"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No.</w:t>
            </w:r>
          </w:p>
          <w:p w14:paraId="6DD0D795"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Responses</w:t>
            </w:r>
          </w:p>
          <w:p w14:paraId="7FEB57BA"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per</w:t>
            </w:r>
          </w:p>
          <w:p w14:paraId="02916A4B"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Respon</w:t>
            </w:r>
            <w:r>
              <w:rPr>
                <w:rFonts w:ascii="Arial" w:hAnsi="Arial" w:cs="Arial"/>
                <w:bCs/>
                <w:sz w:val="22"/>
                <w:szCs w:val="22"/>
              </w:rPr>
              <w:t>-</w:t>
            </w:r>
            <w:r w:rsidRPr="000F7D85">
              <w:rPr>
                <w:rFonts w:ascii="Arial" w:hAnsi="Arial" w:cs="Arial"/>
                <w:bCs/>
                <w:sz w:val="22"/>
                <w:szCs w:val="22"/>
              </w:rPr>
              <w:t>dent</w:t>
            </w:r>
          </w:p>
        </w:tc>
        <w:tc>
          <w:tcPr>
            <w:tcW w:w="659" w:type="pct"/>
            <w:shd w:val="clear" w:color="auto" w:fill="D9D9D9" w:themeFill="background1" w:themeFillShade="D9"/>
          </w:tcPr>
          <w:p w14:paraId="1FA76C21"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Average</w:t>
            </w:r>
          </w:p>
          <w:p w14:paraId="74EC0042"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Burden per</w:t>
            </w:r>
          </w:p>
          <w:p w14:paraId="1CD2E5C1"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Response</w:t>
            </w:r>
          </w:p>
          <w:p w14:paraId="61C4E7AA"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(in hours)</w:t>
            </w:r>
          </w:p>
        </w:tc>
        <w:tc>
          <w:tcPr>
            <w:tcW w:w="621" w:type="pct"/>
            <w:shd w:val="clear" w:color="auto" w:fill="D9D9D9" w:themeFill="background1" w:themeFillShade="D9"/>
          </w:tcPr>
          <w:p w14:paraId="59F85AB2"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Total Burden Hours</w:t>
            </w:r>
          </w:p>
        </w:tc>
      </w:tr>
      <w:tr w:rsidR="0087639F" w:rsidRPr="000F7D85" w14:paraId="78E1B033" w14:textId="77777777" w:rsidTr="002719DA">
        <w:trPr>
          <w:trHeight w:val="41"/>
        </w:trPr>
        <w:tc>
          <w:tcPr>
            <w:tcW w:w="905" w:type="pct"/>
          </w:tcPr>
          <w:p w14:paraId="7A40C500" w14:textId="77777777" w:rsidR="0087639F" w:rsidRPr="000F7D85" w:rsidDel="00CE48A1" w:rsidRDefault="0087639F" w:rsidP="002719DA">
            <w:pPr>
              <w:widowControl/>
              <w:tabs>
                <w:tab w:val="num" w:pos="1080"/>
              </w:tabs>
              <w:rPr>
                <w:rFonts w:ascii="Arial" w:hAnsi="Arial" w:cs="Arial"/>
                <w:sz w:val="22"/>
                <w:szCs w:val="22"/>
              </w:rPr>
            </w:pPr>
            <w:r>
              <w:rPr>
                <w:rFonts w:ascii="Arial" w:hAnsi="Arial" w:cs="Arial"/>
                <w:sz w:val="22"/>
                <w:szCs w:val="22"/>
              </w:rPr>
              <w:t>Health centers</w:t>
            </w:r>
          </w:p>
        </w:tc>
        <w:tc>
          <w:tcPr>
            <w:tcW w:w="1408" w:type="pct"/>
          </w:tcPr>
          <w:p w14:paraId="21D278A1"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sz w:val="22"/>
                <w:szCs w:val="22"/>
              </w:rPr>
              <w:t xml:space="preserve">Implementation Report </w:t>
            </w:r>
          </w:p>
        </w:tc>
        <w:tc>
          <w:tcPr>
            <w:tcW w:w="656" w:type="pct"/>
          </w:tcPr>
          <w:p w14:paraId="226A740F" w14:textId="77777777" w:rsidR="0087639F" w:rsidRPr="000F7D85" w:rsidRDefault="0087639F" w:rsidP="002719DA">
            <w:pPr>
              <w:widowControl/>
              <w:tabs>
                <w:tab w:val="num" w:pos="1080"/>
              </w:tabs>
              <w:jc w:val="right"/>
              <w:rPr>
                <w:rFonts w:ascii="Arial" w:hAnsi="Arial" w:cs="Arial"/>
                <w:bCs/>
                <w:sz w:val="22"/>
                <w:szCs w:val="22"/>
              </w:rPr>
            </w:pPr>
            <w:r w:rsidRPr="000F7D85">
              <w:rPr>
                <w:rFonts w:ascii="Arial" w:hAnsi="Arial" w:cs="Arial"/>
                <w:bCs/>
                <w:sz w:val="22"/>
                <w:szCs w:val="22"/>
              </w:rPr>
              <w:t>22</w:t>
            </w:r>
          </w:p>
        </w:tc>
        <w:tc>
          <w:tcPr>
            <w:tcW w:w="751" w:type="pct"/>
          </w:tcPr>
          <w:p w14:paraId="68F3266F" w14:textId="77777777" w:rsidR="0087639F" w:rsidRPr="000F7D85" w:rsidRDefault="0087639F" w:rsidP="002719DA">
            <w:pPr>
              <w:widowControl/>
              <w:tabs>
                <w:tab w:val="num" w:pos="1080"/>
              </w:tabs>
              <w:jc w:val="right"/>
              <w:rPr>
                <w:rFonts w:ascii="Arial" w:hAnsi="Arial" w:cs="Arial"/>
                <w:bCs/>
                <w:sz w:val="22"/>
                <w:szCs w:val="22"/>
              </w:rPr>
            </w:pPr>
            <w:r w:rsidRPr="000F7D85">
              <w:rPr>
                <w:rFonts w:ascii="Arial" w:hAnsi="Arial" w:cs="Arial"/>
                <w:sz w:val="22"/>
                <w:szCs w:val="22"/>
              </w:rPr>
              <w:t>1</w:t>
            </w:r>
          </w:p>
        </w:tc>
        <w:tc>
          <w:tcPr>
            <w:tcW w:w="659" w:type="pct"/>
          </w:tcPr>
          <w:p w14:paraId="53165900" w14:textId="77777777" w:rsidR="0087639F" w:rsidRPr="000F7D85" w:rsidRDefault="0087639F" w:rsidP="002719DA">
            <w:pPr>
              <w:widowControl/>
              <w:tabs>
                <w:tab w:val="num" w:pos="1080"/>
              </w:tabs>
              <w:jc w:val="right"/>
              <w:rPr>
                <w:rFonts w:ascii="Arial" w:hAnsi="Arial" w:cs="Arial"/>
                <w:bCs/>
                <w:sz w:val="22"/>
                <w:szCs w:val="22"/>
              </w:rPr>
            </w:pPr>
            <w:r w:rsidRPr="000F7D85">
              <w:rPr>
                <w:rFonts w:ascii="Arial" w:hAnsi="Arial" w:cs="Arial"/>
                <w:bCs/>
                <w:sz w:val="22"/>
                <w:szCs w:val="22"/>
              </w:rPr>
              <w:t>5</w:t>
            </w:r>
          </w:p>
        </w:tc>
        <w:tc>
          <w:tcPr>
            <w:tcW w:w="621" w:type="pct"/>
          </w:tcPr>
          <w:p w14:paraId="1B612553" w14:textId="77777777" w:rsidR="0087639F" w:rsidRPr="000F7D85" w:rsidRDefault="0087639F" w:rsidP="002719DA">
            <w:pPr>
              <w:jc w:val="right"/>
              <w:rPr>
                <w:rFonts w:ascii="Arial" w:hAnsi="Arial" w:cs="Arial"/>
                <w:sz w:val="22"/>
                <w:szCs w:val="22"/>
              </w:rPr>
            </w:pPr>
            <w:r w:rsidRPr="000F7D85">
              <w:rPr>
                <w:rFonts w:ascii="Arial" w:hAnsi="Arial" w:cs="Arial"/>
                <w:sz w:val="22"/>
                <w:szCs w:val="22"/>
              </w:rPr>
              <w:t>110</w:t>
            </w:r>
          </w:p>
        </w:tc>
      </w:tr>
      <w:tr w:rsidR="0087639F" w:rsidRPr="000F7D85" w14:paraId="72242733" w14:textId="77777777" w:rsidTr="002719DA">
        <w:trPr>
          <w:trHeight w:val="41"/>
        </w:trPr>
        <w:tc>
          <w:tcPr>
            <w:tcW w:w="905" w:type="pct"/>
          </w:tcPr>
          <w:p w14:paraId="05318692" w14:textId="77777777" w:rsidR="0087639F" w:rsidRPr="000F7D85" w:rsidDel="00CE48A1" w:rsidRDefault="0087639F" w:rsidP="002719DA">
            <w:pPr>
              <w:widowControl/>
              <w:tabs>
                <w:tab w:val="num" w:pos="1080"/>
              </w:tabs>
              <w:rPr>
                <w:rFonts w:ascii="Arial" w:hAnsi="Arial" w:cs="Arial"/>
                <w:sz w:val="22"/>
                <w:szCs w:val="22"/>
              </w:rPr>
            </w:pPr>
            <w:r>
              <w:rPr>
                <w:rFonts w:ascii="Arial" w:hAnsi="Arial" w:cs="Arial"/>
                <w:sz w:val="22"/>
                <w:szCs w:val="22"/>
              </w:rPr>
              <w:t>Health centers</w:t>
            </w:r>
          </w:p>
        </w:tc>
        <w:tc>
          <w:tcPr>
            <w:tcW w:w="1408" w:type="pct"/>
          </w:tcPr>
          <w:p w14:paraId="58045432" w14:textId="77777777" w:rsidR="0087639F" w:rsidRPr="000F7D85" w:rsidRDefault="0087639F" w:rsidP="002719DA">
            <w:pPr>
              <w:widowControl/>
              <w:tabs>
                <w:tab w:val="num" w:pos="1080"/>
              </w:tabs>
              <w:rPr>
                <w:rFonts w:ascii="Arial" w:hAnsi="Arial" w:cs="Arial"/>
                <w:sz w:val="22"/>
                <w:szCs w:val="22"/>
              </w:rPr>
            </w:pPr>
            <w:r w:rsidRPr="000F7D85">
              <w:rPr>
                <w:rFonts w:ascii="Arial" w:hAnsi="Arial" w:cs="Arial"/>
                <w:sz w:val="22"/>
                <w:szCs w:val="22"/>
              </w:rPr>
              <w:t>Outcomes  Report</w:t>
            </w:r>
          </w:p>
        </w:tc>
        <w:tc>
          <w:tcPr>
            <w:tcW w:w="656" w:type="pct"/>
          </w:tcPr>
          <w:p w14:paraId="391EF51B" w14:textId="77777777" w:rsidR="0087639F" w:rsidRPr="000F7D85" w:rsidRDefault="0087639F" w:rsidP="002719DA">
            <w:pPr>
              <w:widowControl/>
              <w:tabs>
                <w:tab w:val="num" w:pos="1080"/>
              </w:tabs>
              <w:jc w:val="right"/>
              <w:rPr>
                <w:rFonts w:ascii="Arial" w:hAnsi="Arial" w:cs="Arial"/>
                <w:bCs/>
                <w:sz w:val="22"/>
                <w:szCs w:val="22"/>
              </w:rPr>
            </w:pPr>
            <w:r w:rsidRPr="000F7D85">
              <w:rPr>
                <w:rFonts w:ascii="Arial" w:hAnsi="Arial" w:cs="Arial"/>
                <w:bCs/>
                <w:sz w:val="22"/>
                <w:szCs w:val="22"/>
              </w:rPr>
              <w:t>22</w:t>
            </w:r>
          </w:p>
        </w:tc>
        <w:tc>
          <w:tcPr>
            <w:tcW w:w="751" w:type="pct"/>
          </w:tcPr>
          <w:p w14:paraId="73ADD8B5" w14:textId="77777777" w:rsidR="0087639F" w:rsidRPr="000F7D85" w:rsidRDefault="0087639F" w:rsidP="002719DA">
            <w:pPr>
              <w:widowControl/>
              <w:tabs>
                <w:tab w:val="num" w:pos="1080"/>
              </w:tabs>
              <w:jc w:val="right"/>
              <w:rPr>
                <w:rFonts w:ascii="Arial" w:hAnsi="Arial" w:cs="Arial"/>
                <w:bCs/>
                <w:sz w:val="22"/>
                <w:szCs w:val="22"/>
              </w:rPr>
            </w:pPr>
            <w:r w:rsidRPr="000F7D85">
              <w:rPr>
                <w:rFonts w:ascii="Arial" w:hAnsi="Arial" w:cs="Arial"/>
                <w:sz w:val="22"/>
                <w:szCs w:val="22"/>
              </w:rPr>
              <w:t>1</w:t>
            </w:r>
          </w:p>
        </w:tc>
        <w:tc>
          <w:tcPr>
            <w:tcW w:w="659" w:type="pct"/>
          </w:tcPr>
          <w:p w14:paraId="6F5F9807" w14:textId="77777777" w:rsidR="0087639F" w:rsidRPr="000F7D85" w:rsidRDefault="0087639F" w:rsidP="002719DA">
            <w:pPr>
              <w:widowControl/>
              <w:tabs>
                <w:tab w:val="num" w:pos="1080"/>
              </w:tabs>
              <w:jc w:val="right"/>
              <w:rPr>
                <w:rFonts w:ascii="Arial" w:hAnsi="Arial" w:cs="Arial"/>
                <w:bCs/>
                <w:sz w:val="22"/>
                <w:szCs w:val="22"/>
              </w:rPr>
            </w:pPr>
            <w:r w:rsidRPr="000F7D85">
              <w:rPr>
                <w:rFonts w:ascii="Arial" w:hAnsi="Arial" w:cs="Arial"/>
                <w:bCs/>
                <w:sz w:val="22"/>
                <w:szCs w:val="22"/>
              </w:rPr>
              <w:t>25</w:t>
            </w:r>
          </w:p>
        </w:tc>
        <w:tc>
          <w:tcPr>
            <w:tcW w:w="621" w:type="pct"/>
          </w:tcPr>
          <w:p w14:paraId="4158438C" w14:textId="77777777" w:rsidR="0087639F" w:rsidRPr="000F7D85" w:rsidRDefault="0087639F" w:rsidP="002719DA">
            <w:pPr>
              <w:jc w:val="right"/>
              <w:rPr>
                <w:rFonts w:ascii="Arial" w:hAnsi="Arial" w:cs="Arial"/>
                <w:sz w:val="22"/>
                <w:szCs w:val="22"/>
              </w:rPr>
            </w:pPr>
            <w:r w:rsidRPr="000F7D85">
              <w:rPr>
                <w:rFonts w:ascii="Arial" w:hAnsi="Arial" w:cs="Arial"/>
                <w:sz w:val="22"/>
                <w:szCs w:val="22"/>
              </w:rPr>
              <w:t>550</w:t>
            </w:r>
          </w:p>
        </w:tc>
      </w:tr>
      <w:tr w:rsidR="0087639F" w:rsidRPr="000F7D85" w14:paraId="4131A9AB" w14:textId="77777777" w:rsidTr="002719DA">
        <w:trPr>
          <w:trHeight w:val="41"/>
        </w:trPr>
        <w:tc>
          <w:tcPr>
            <w:tcW w:w="905" w:type="pct"/>
          </w:tcPr>
          <w:p w14:paraId="7000CB75" w14:textId="77777777" w:rsidR="0087639F" w:rsidRPr="000F7D85" w:rsidRDefault="0087639F" w:rsidP="002719DA">
            <w:pPr>
              <w:widowControl/>
              <w:tabs>
                <w:tab w:val="num" w:pos="1080"/>
              </w:tabs>
              <w:rPr>
                <w:rFonts w:ascii="Arial" w:hAnsi="Arial" w:cs="Arial"/>
                <w:b/>
                <w:sz w:val="22"/>
                <w:szCs w:val="22"/>
              </w:rPr>
            </w:pPr>
            <w:r w:rsidRPr="000F7D85">
              <w:rPr>
                <w:rFonts w:ascii="Arial" w:hAnsi="Arial" w:cs="Arial"/>
                <w:b/>
                <w:sz w:val="22"/>
                <w:szCs w:val="22"/>
              </w:rPr>
              <w:t>Total</w:t>
            </w:r>
          </w:p>
        </w:tc>
        <w:tc>
          <w:tcPr>
            <w:tcW w:w="1408" w:type="pct"/>
          </w:tcPr>
          <w:p w14:paraId="698A3220" w14:textId="77777777" w:rsidR="0087639F" w:rsidRPr="000F7D85" w:rsidRDefault="0087639F" w:rsidP="002719DA">
            <w:pPr>
              <w:widowControl/>
              <w:tabs>
                <w:tab w:val="num" w:pos="1080"/>
              </w:tabs>
              <w:rPr>
                <w:rFonts w:ascii="Arial" w:hAnsi="Arial" w:cs="Arial"/>
                <w:b/>
                <w:sz w:val="22"/>
                <w:szCs w:val="22"/>
              </w:rPr>
            </w:pPr>
          </w:p>
        </w:tc>
        <w:tc>
          <w:tcPr>
            <w:tcW w:w="656" w:type="pct"/>
          </w:tcPr>
          <w:p w14:paraId="75B1E1BE" w14:textId="2193E82A" w:rsidR="0087639F" w:rsidRPr="000F7D85" w:rsidRDefault="00BE1517" w:rsidP="002719DA">
            <w:pPr>
              <w:widowControl/>
              <w:tabs>
                <w:tab w:val="num" w:pos="1080"/>
              </w:tabs>
              <w:jc w:val="right"/>
              <w:rPr>
                <w:rFonts w:ascii="Arial" w:hAnsi="Arial" w:cs="Arial"/>
                <w:b/>
                <w:sz w:val="22"/>
                <w:szCs w:val="22"/>
              </w:rPr>
            </w:pPr>
            <w:r>
              <w:rPr>
                <w:rFonts w:ascii="Arial" w:hAnsi="Arial" w:cs="Arial"/>
                <w:b/>
                <w:sz w:val="22"/>
                <w:szCs w:val="22"/>
              </w:rPr>
              <w:t>44</w:t>
            </w:r>
            <w:r w:rsidR="0087639F" w:rsidRPr="000F7D85">
              <w:rPr>
                <w:rFonts w:ascii="Arial" w:hAnsi="Arial" w:cs="Arial"/>
                <w:b/>
                <w:sz w:val="22"/>
                <w:szCs w:val="22"/>
              </w:rPr>
              <w:t xml:space="preserve"> </w:t>
            </w:r>
          </w:p>
        </w:tc>
        <w:tc>
          <w:tcPr>
            <w:tcW w:w="751" w:type="pct"/>
          </w:tcPr>
          <w:p w14:paraId="442E3A59" w14:textId="77777777" w:rsidR="0087639F" w:rsidRPr="000F7D85" w:rsidRDefault="0087639F" w:rsidP="002719DA">
            <w:pPr>
              <w:widowControl/>
              <w:tabs>
                <w:tab w:val="num" w:pos="1080"/>
              </w:tabs>
              <w:jc w:val="right"/>
              <w:rPr>
                <w:rFonts w:ascii="Arial" w:hAnsi="Arial" w:cs="Arial"/>
                <w:b/>
                <w:sz w:val="22"/>
                <w:szCs w:val="22"/>
              </w:rPr>
            </w:pPr>
          </w:p>
        </w:tc>
        <w:tc>
          <w:tcPr>
            <w:tcW w:w="659" w:type="pct"/>
          </w:tcPr>
          <w:p w14:paraId="3C8139C8" w14:textId="77777777" w:rsidR="0087639F" w:rsidRPr="000F7D85" w:rsidRDefault="0087639F" w:rsidP="002719DA">
            <w:pPr>
              <w:widowControl/>
              <w:tabs>
                <w:tab w:val="num" w:pos="1080"/>
              </w:tabs>
              <w:jc w:val="right"/>
              <w:rPr>
                <w:rFonts w:ascii="Arial" w:hAnsi="Arial" w:cs="Arial"/>
                <w:b/>
                <w:sz w:val="22"/>
                <w:szCs w:val="22"/>
              </w:rPr>
            </w:pPr>
          </w:p>
        </w:tc>
        <w:tc>
          <w:tcPr>
            <w:tcW w:w="621" w:type="pct"/>
          </w:tcPr>
          <w:p w14:paraId="44927224" w14:textId="77777777" w:rsidR="0087639F" w:rsidRPr="000F7D85" w:rsidRDefault="0087639F" w:rsidP="002719DA">
            <w:pPr>
              <w:jc w:val="right"/>
              <w:rPr>
                <w:rFonts w:ascii="Arial" w:hAnsi="Arial" w:cs="Arial"/>
                <w:b/>
                <w:sz w:val="22"/>
                <w:szCs w:val="22"/>
              </w:rPr>
            </w:pPr>
            <w:r>
              <w:rPr>
                <w:rFonts w:ascii="Arial" w:hAnsi="Arial" w:cs="Arial"/>
                <w:b/>
                <w:sz w:val="22"/>
                <w:szCs w:val="22"/>
              </w:rPr>
              <w:t>660</w:t>
            </w:r>
          </w:p>
        </w:tc>
      </w:tr>
    </w:tbl>
    <w:p w14:paraId="2946CFC0" w14:textId="77777777" w:rsidR="0087639F" w:rsidRDefault="0087639F" w:rsidP="00A71F21">
      <w:pPr>
        <w:spacing w:after="120"/>
        <w:rPr>
          <w:rFonts w:ascii="Arial" w:hAnsi="Arial" w:cs="Arial"/>
          <w:sz w:val="22"/>
          <w:szCs w:val="22"/>
        </w:rPr>
      </w:pPr>
    </w:p>
    <w:p w14:paraId="1C9CCF4B" w14:textId="77777777" w:rsidR="00FE4F95" w:rsidRDefault="00FE4F95" w:rsidP="00A71F21">
      <w:pPr>
        <w:spacing w:after="120"/>
        <w:rPr>
          <w:rFonts w:ascii="Arial" w:hAnsi="Arial" w:cs="Arial"/>
          <w:sz w:val="22"/>
          <w:szCs w:val="22"/>
        </w:rPr>
      </w:pPr>
      <w:r>
        <w:rPr>
          <w:rFonts w:ascii="Arial" w:hAnsi="Arial" w:cs="Arial"/>
          <w:sz w:val="22"/>
          <w:szCs w:val="22"/>
        </w:rPr>
        <w:t>The</w:t>
      </w:r>
      <w:r w:rsidR="00B55EE5" w:rsidRPr="000F7D85">
        <w:rPr>
          <w:rFonts w:ascii="Arial" w:hAnsi="Arial" w:cs="Arial"/>
          <w:sz w:val="22"/>
          <w:szCs w:val="22"/>
        </w:rPr>
        <w:t xml:space="preserve"> Implementation Report </w:t>
      </w:r>
      <w:r>
        <w:rPr>
          <w:rFonts w:ascii="Arial" w:hAnsi="Arial" w:cs="Arial"/>
          <w:sz w:val="22"/>
          <w:szCs w:val="22"/>
        </w:rPr>
        <w:t>requires</w:t>
      </w:r>
      <w:r w:rsidR="00CD6433" w:rsidRPr="000F7D85">
        <w:rPr>
          <w:rFonts w:ascii="Arial" w:hAnsi="Arial" w:cs="Arial"/>
          <w:sz w:val="22"/>
          <w:szCs w:val="22"/>
        </w:rPr>
        <w:t xml:space="preserve"> </w:t>
      </w:r>
      <w:r>
        <w:rPr>
          <w:rFonts w:ascii="Arial" w:hAnsi="Arial" w:cs="Arial"/>
          <w:sz w:val="22"/>
          <w:szCs w:val="22"/>
        </w:rPr>
        <w:t xml:space="preserve">five hours to complete </w:t>
      </w:r>
      <w:r w:rsidR="00B55EE5" w:rsidRPr="000F7D85">
        <w:rPr>
          <w:rFonts w:ascii="Arial" w:hAnsi="Arial" w:cs="Arial"/>
          <w:sz w:val="22"/>
          <w:szCs w:val="22"/>
        </w:rPr>
        <w:t xml:space="preserve">based on the average amount of time needed to </w:t>
      </w:r>
      <w:r w:rsidR="009E3AF6">
        <w:rPr>
          <w:rFonts w:ascii="Arial" w:hAnsi="Arial" w:cs="Arial"/>
          <w:sz w:val="22"/>
          <w:szCs w:val="22"/>
        </w:rPr>
        <w:t>review</w:t>
      </w:r>
      <w:r w:rsidR="00B55EE5" w:rsidRPr="000F7D85">
        <w:rPr>
          <w:rFonts w:ascii="Arial" w:hAnsi="Arial" w:cs="Arial"/>
          <w:sz w:val="22"/>
          <w:szCs w:val="22"/>
        </w:rPr>
        <w:t xml:space="preserve"> </w:t>
      </w:r>
      <w:r w:rsidR="005E40F1">
        <w:rPr>
          <w:rFonts w:ascii="Arial" w:hAnsi="Arial" w:cs="Arial"/>
          <w:sz w:val="22"/>
          <w:szCs w:val="22"/>
        </w:rPr>
        <w:t xml:space="preserve">instructions and </w:t>
      </w:r>
      <w:r w:rsidR="009E3AF6">
        <w:rPr>
          <w:rFonts w:ascii="Arial" w:hAnsi="Arial" w:cs="Arial"/>
          <w:sz w:val="22"/>
          <w:szCs w:val="22"/>
        </w:rPr>
        <w:t xml:space="preserve">discuss </w:t>
      </w:r>
      <w:r w:rsidR="00B55EE5" w:rsidRPr="000F7D85">
        <w:rPr>
          <w:rFonts w:ascii="Arial" w:hAnsi="Arial" w:cs="Arial"/>
          <w:sz w:val="22"/>
          <w:szCs w:val="22"/>
        </w:rPr>
        <w:t>responses to questions with members of the health center team working on the project (1.25 hour), draft corresponding text (2 hours), integrate feedback received during internal review (1.5 hours), and submit the report into EHB (0.25 hour).</w:t>
      </w:r>
    </w:p>
    <w:p w14:paraId="46C94238" w14:textId="77777777" w:rsidR="009E3AF6" w:rsidRDefault="00FE4F95" w:rsidP="00FE4F95">
      <w:pPr>
        <w:spacing w:after="120"/>
        <w:rPr>
          <w:rFonts w:ascii="Arial" w:hAnsi="Arial" w:cs="Arial"/>
          <w:sz w:val="22"/>
          <w:szCs w:val="22"/>
        </w:rPr>
      </w:pPr>
      <w:r>
        <w:rPr>
          <w:rFonts w:ascii="Arial" w:hAnsi="Arial" w:cs="Arial"/>
          <w:sz w:val="22"/>
          <w:szCs w:val="22"/>
        </w:rPr>
        <w:t xml:space="preserve">The Outcomes Report requires 25 hours to complete based on the </w:t>
      </w:r>
      <w:r w:rsidR="009E3AF6">
        <w:rPr>
          <w:rFonts w:ascii="Arial" w:hAnsi="Arial" w:cs="Arial"/>
          <w:sz w:val="22"/>
          <w:szCs w:val="22"/>
        </w:rPr>
        <w:t xml:space="preserve">average </w:t>
      </w:r>
      <w:r>
        <w:rPr>
          <w:rFonts w:ascii="Arial" w:hAnsi="Arial" w:cs="Arial"/>
          <w:sz w:val="22"/>
          <w:szCs w:val="22"/>
        </w:rPr>
        <w:t xml:space="preserve">amount of time required to </w:t>
      </w:r>
      <w:r w:rsidR="009E3AF6">
        <w:rPr>
          <w:rFonts w:ascii="Arial" w:hAnsi="Arial" w:cs="Arial"/>
          <w:sz w:val="22"/>
          <w:szCs w:val="22"/>
        </w:rPr>
        <w:t xml:space="preserve">review instructions and </w:t>
      </w:r>
      <w:r>
        <w:rPr>
          <w:rFonts w:ascii="Arial" w:hAnsi="Arial" w:cs="Arial"/>
          <w:sz w:val="22"/>
          <w:szCs w:val="22"/>
        </w:rPr>
        <w:t>answer questions regarding program implementation (fi</w:t>
      </w:r>
      <w:r w:rsidR="005E40F1">
        <w:rPr>
          <w:rFonts w:ascii="Arial" w:hAnsi="Arial" w:cs="Arial"/>
          <w:sz w:val="22"/>
          <w:szCs w:val="22"/>
        </w:rPr>
        <w:t>ve hours</w:t>
      </w:r>
      <w:r w:rsidR="00D56967">
        <w:rPr>
          <w:rFonts w:ascii="Arial" w:hAnsi="Arial" w:cs="Arial"/>
          <w:sz w:val="22"/>
          <w:szCs w:val="22"/>
        </w:rPr>
        <w:t xml:space="preserve"> as described in previous paragraph</w:t>
      </w:r>
      <w:r w:rsidR="005E40F1">
        <w:rPr>
          <w:rFonts w:ascii="Arial" w:hAnsi="Arial" w:cs="Arial"/>
          <w:sz w:val="22"/>
          <w:szCs w:val="22"/>
        </w:rPr>
        <w:t xml:space="preserve">), in addition to </w:t>
      </w:r>
      <w:r>
        <w:rPr>
          <w:rFonts w:ascii="Arial" w:hAnsi="Arial" w:cs="Arial"/>
          <w:sz w:val="22"/>
          <w:szCs w:val="22"/>
        </w:rPr>
        <w:t xml:space="preserve">the time required to </w:t>
      </w:r>
      <w:r w:rsidR="00D56967">
        <w:rPr>
          <w:rFonts w:ascii="Arial" w:hAnsi="Arial" w:cs="Arial"/>
          <w:sz w:val="22"/>
          <w:szCs w:val="22"/>
        </w:rPr>
        <w:t>review</w:t>
      </w:r>
      <w:r w:rsidR="005E40F1">
        <w:rPr>
          <w:rFonts w:ascii="Arial" w:hAnsi="Arial" w:cs="Arial"/>
          <w:sz w:val="22"/>
          <w:szCs w:val="22"/>
        </w:rPr>
        <w:t xml:space="preserve"> instructions and </w:t>
      </w:r>
      <w:r>
        <w:rPr>
          <w:rFonts w:ascii="Arial" w:hAnsi="Arial" w:cs="Arial"/>
          <w:sz w:val="22"/>
          <w:szCs w:val="22"/>
        </w:rPr>
        <w:t xml:space="preserve">report on HIV outcome measures (20 hours). </w:t>
      </w:r>
    </w:p>
    <w:p w14:paraId="31FE2D3F" w14:textId="77777777" w:rsidR="00FE4F95" w:rsidRDefault="00FE4F95" w:rsidP="00FE4F95">
      <w:pPr>
        <w:spacing w:after="120"/>
        <w:rPr>
          <w:rFonts w:ascii="Arial" w:hAnsi="Arial" w:cs="Arial"/>
          <w:sz w:val="22"/>
          <w:szCs w:val="22"/>
        </w:rPr>
      </w:pPr>
      <w:r>
        <w:rPr>
          <w:rFonts w:ascii="Arial" w:hAnsi="Arial" w:cs="Arial"/>
          <w:sz w:val="22"/>
          <w:szCs w:val="22"/>
        </w:rPr>
        <w:t xml:space="preserve">Estimates for reporting HIV outcome measures are </w:t>
      </w:r>
      <w:r w:rsidRPr="000F7D85">
        <w:rPr>
          <w:rFonts w:ascii="Arial" w:hAnsi="Arial" w:cs="Arial"/>
          <w:sz w:val="22"/>
          <w:szCs w:val="22"/>
        </w:rPr>
        <w:t xml:space="preserve">based on recent estimates </w:t>
      </w:r>
      <w:r w:rsidR="009E3AF6">
        <w:rPr>
          <w:rFonts w:ascii="Arial" w:hAnsi="Arial" w:cs="Arial"/>
          <w:sz w:val="22"/>
          <w:szCs w:val="22"/>
        </w:rPr>
        <w:t>for</w:t>
      </w:r>
      <w:r w:rsidRPr="000F7D85">
        <w:rPr>
          <w:rFonts w:ascii="Arial" w:hAnsi="Arial" w:cs="Arial"/>
          <w:sz w:val="22"/>
          <w:szCs w:val="22"/>
        </w:rPr>
        <w:t xml:space="preserve"> UDS </w:t>
      </w:r>
      <w:r w:rsidR="009E3AF6">
        <w:rPr>
          <w:rFonts w:ascii="Arial" w:hAnsi="Arial" w:cs="Arial"/>
          <w:sz w:val="22"/>
          <w:szCs w:val="22"/>
        </w:rPr>
        <w:t xml:space="preserve">reporting </w:t>
      </w:r>
      <w:r w:rsidRPr="000F7D85">
        <w:rPr>
          <w:rFonts w:ascii="Arial" w:hAnsi="Arial" w:cs="Arial"/>
          <w:sz w:val="22"/>
          <w:szCs w:val="22"/>
        </w:rPr>
        <w:t xml:space="preserve">given similarities in the structure of reporting tables and the process used to gather requested data. </w:t>
      </w:r>
      <w:r w:rsidR="009E3AF6">
        <w:rPr>
          <w:rFonts w:ascii="Arial" w:hAnsi="Arial" w:cs="Arial"/>
          <w:sz w:val="22"/>
          <w:szCs w:val="22"/>
        </w:rPr>
        <w:t xml:space="preserve">Health centers were provided opportunities to review and comment on measures prior to finalization. </w:t>
      </w:r>
      <w:r w:rsidR="00D56967">
        <w:rPr>
          <w:rFonts w:ascii="Arial" w:hAnsi="Arial" w:cs="Arial"/>
          <w:sz w:val="22"/>
          <w:szCs w:val="22"/>
        </w:rPr>
        <w:t xml:space="preserve">In March 2015, </w:t>
      </w:r>
      <w:r w:rsidR="00460A0D">
        <w:rPr>
          <w:rFonts w:ascii="Arial" w:hAnsi="Arial" w:cs="Arial"/>
          <w:sz w:val="22"/>
          <w:szCs w:val="22"/>
        </w:rPr>
        <w:t xml:space="preserve">HRSA facilitated and archived a webinar for the 22 health centers to review </w:t>
      </w:r>
      <w:r w:rsidR="00D56967">
        <w:rPr>
          <w:rFonts w:ascii="Arial" w:hAnsi="Arial" w:cs="Arial"/>
          <w:sz w:val="22"/>
          <w:szCs w:val="22"/>
        </w:rPr>
        <w:t xml:space="preserve">and discuss </w:t>
      </w:r>
      <w:r w:rsidR="00460A0D">
        <w:rPr>
          <w:rFonts w:ascii="Arial" w:hAnsi="Arial" w:cs="Arial"/>
          <w:sz w:val="22"/>
          <w:szCs w:val="22"/>
        </w:rPr>
        <w:t>the definitions and criteria for each outcome measure.</w:t>
      </w:r>
      <w:r w:rsidR="00A649A5">
        <w:rPr>
          <w:rFonts w:ascii="Arial" w:hAnsi="Arial" w:cs="Arial"/>
          <w:sz w:val="22"/>
          <w:szCs w:val="22"/>
        </w:rPr>
        <w:t xml:space="preserve"> Therefore, health centers are familiar with the proposed measures and have begun internal </w:t>
      </w:r>
      <w:r w:rsidR="00A649A5">
        <w:rPr>
          <w:rFonts w:ascii="Arial" w:hAnsi="Arial" w:cs="Arial"/>
          <w:sz w:val="22"/>
          <w:szCs w:val="22"/>
        </w:rPr>
        <w:lastRenderedPageBreak/>
        <w:t>dialogues regarding their reporting.</w:t>
      </w:r>
      <w:r w:rsidR="009E3AF6">
        <w:rPr>
          <w:rFonts w:ascii="Arial" w:hAnsi="Arial" w:cs="Arial"/>
          <w:sz w:val="22"/>
          <w:szCs w:val="22"/>
        </w:rPr>
        <w:t xml:space="preserve"> Upon OMB approval of the report forms, HRSA will facilitate and archive a second webinar to review report form instructions.</w:t>
      </w:r>
    </w:p>
    <w:p w14:paraId="7F1A87A0" w14:textId="77777777" w:rsidR="00CE48A1" w:rsidRPr="0087639F" w:rsidRDefault="0087639F" w:rsidP="00A71F21">
      <w:pPr>
        <w:spacing w:after="120"/>
        <w:rPr>
          <w:rFonts w:ascii="Arial" w:hAnsi="Arial" w:cs="Arial"/>
          <w:b/>
          <w:i/>
          <w:sz w:val="22"/>
          <w:szCs w:val="22"/>
        </w:rPr>
      </w:pPr>
      <w:r>
        <w:rPr>
          <w:rFonts w:ascii="Arial" w:hAnsi="Arial" w:cs="Arial"/>
          <w:b/>
          <w:i/>
          <w:sz w:val="22"/>
          <w:szCs w:val="22"/>
        </w:rPr>
        <w:t>12B</w:t>
      </w:r>
      <w:r w:rsidR="001D1264" w:rsidRPr="0087639F">
        <w:rPr>
          <w:rFonts w:ascii="Arial" w:hAnsi="Arial" w:cs="Arial"/>
          <w:b/>
          <w:i/>
          <w:sz w:val="22"/>
          <w:szCs w:val="22"/>
        </w:rPr>
        <w:t>. Estimated Annualized Burden Costs</w:t>
      </w:r>
    </w:p>
    <w:p w14:paraId="37D1F8BD" w14:textId="77777777" w:rsidR="0087639F" w:rsidRDefault="00A649A5" w:rsidP="0071402A">
      <w:pPr>
        <w:spacing w:after="120"/>
        <w:rPr>
          <w:rFonts w:ascii="Arial" w:hAnsi="Arial" w:cs="Arial"/>
          <w:sz w:val="22"/>
          <w:szCs w:val="22"/>
        </w:rPr>
      </w:pPr>
      <w:r w:rsidRPr="000F7D85">
        <w:rPr>
          <w:rFonts w:ascii="Arial" w:hAnsi="Arial" w:cs="Arial"/>
          <w:sz w:val="22"/>
          <w:szCs w:val="22"/>
        </w:rPr>
        <w:t xml:space="preserve">Hour burden </w:t>
      </w:r>
      <w:r>
        <w:rPr>
          <w:rFonts w:ascii="Arial" w:hAnsi="Arial" w:cs="Arial"/>
          <w:sz w:val="22"/>
          <w:szCs w:val="22"/>
        </w:rPr>
        <w:t>costs</w:t>
      </w:r>
      <w:r w:rsidRPr="000F7D85">
        <w:rPr>
          <w:rFonts w:ascii="Arial" w:hAnsi="Arial" w:cs="Arial"/>
          <w:sz w:val="22"/>
          <w:szCs w:val="22"/>
        </w:rPr>
        <w:t xml:space="preserve"> for report preparation are provided in </w:t>
      </w:r>
      <w:r>
        <w:rPr>
          <w:rFonts w:ascii="Arial" w:hAnsi="Arial" w:cs="Arial"/>
          <w:sz w:val="22"/>
          <w:szCs w:val="22"/>
        </w:rPr>
        <w:t>Table 3</w:t>
      </w:r>
      <w:r w:rsidRPr="000F7D85">
        <w:rPr>
          <w:rFonts w:ascii="Arial" w:hAnsi="Arial" w:cs="Arial"/>
          <w:sz w:val="22"/>
          <w:szCs w:val="22"/>
        </w:rPr>
        <w:t xml:space="preserve"> below. </w:t>
      </w:r>
    </w:p>
    <w:tbl>
      <w:tblPr>
        <w:tblpPr w:leftFromText="180" w:rightFromText="180" w:vertAnchor="text" w:horzAnchor="margin" w:tblpXSpec="center" w:tblpY="34"/>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1914"/>
        <w:gridCol w:w="1351"/>
        <w:gridCol w:w="1620"/>
        <w:gridCol w:w="1351"/>
        <w:gridCol w:w="989"/>
        <w:gridCol w:w="991"/>
        <w:gridCol w:w="1349"/>
      </w:tblGrid>
      <w:tr w:rsidR="0087639F" w:rsidRPr="000F7D85" w14:paraId="77232210" w14:textId="77777777" w:rsidTr="002719DA">
        <w:trPr>
          <w:trHeight w:val="41"/>
        </w:trPr>
        <w:tc>
          <w:tcPr>
            <w:tcW w:w="5000" w:type="pct"/>
            <w:gridSpan w:val="7"/>
            <w:shd w:val="clear" w:color="auto" w:fill="auto"/>
          </w:tcPr>
          <w:p w14:paraId="0D404EFE" w14:textId="2C073D70" w:rsidR="0087639F" w:rsidRPr="000F7D85" w:rsidRDefault="0087639F" w:rsidP="002719DA">
            <w:pPr>
              <w:widowControl/>
              <w:tabs>
                <w:tab w:val="num" w:pos="1080"/>
              </w:tabs>
              <w:rPr>
                <w:rFonts w:ascii="Arial" w:hAnsi="Arial" w:cs="Arial"/>
                <w:bCs/>
                <w:sz w:val="22"/>
                <w:szCs w:val="22"/>
              </w:rPr>
            </w:pPr>
            <w:r>
              <w:rPr>
                <w:rFonts w:ascii="Arial" w:hAnsi="Arial" w:cs="Arial"/>
                <w:bCs/>
                <w:sz w:val="22"/>
                <w:szCs w:val="22"/>
              </w:rPr>
              <w:t>Table 3</w:t>
            </w:r>
            <w:r w:rsidRPr="000F7D85">
              <w:rPr>
                <w:rFonts w:ascii="Arial" w:hAnsi="Arial" w:cs="Arial"/>
                <w:bCs/>
                <w:sz w:val="22"/>
                <w:szCs w:val="22"/>
              </w:rPr>
              <w:t xml:space="preserve">. Estimate of Burden </w:t>
            </w:r>
            <w:r>
              <w:rPr>
                <w:rFonts w:ascii="Arial" w:hAnsi="Arial" w:cs="Arial"/>
                <w:bCs/>
                <w:sz w:val="22"/>
                <w:szCs w:val="22"/>
              </w:rPr>
              <w:t>Costs for Report Preparation</w:t>
            </w:r>
          </w:p>
        </w:tc>
      </w:tr>
      <w:tr w:rsidR="00A150ED" w:rsidRPr="000F7D85" w14:paraId="4586475D" w14:textId="77777777" w:rsidTr="00A150ED">
        <w:trPr>
          <w:trHeight w:val="41"/>
        </w:trPr>
        <w:tc>
          <w:tcPr>
            <w:tcW w:w="1001" w:type="pct"/>
            <w:shd w:val="clear" w:color="auto" w:fill="D9D9D9" w:themeFill="background1" w:themeFillShade="D9"/>
          </w:tcPr>
          <w:p w14:paraId="19DEBE12"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Form Name</w:t>
            </w:r>
          </w:p>
          <w:p w14:paraId="112E6E91" w14:textId="77777777" w:rsidR="0087639F" w:rsidRPr="000F7D85" w:rsidRDefault="0087639F" w:rsidP="002719DA">
            <w:pPr>
              <w:widowControl/>
              <w:tabs>
                <w:tab w:val="num" w:pos="1080"/>
              </w:tabs>
              <w:rPr>
                <w:rFonts w:ascii="Arial" w:hAnsi="Arial" w:cs="Arial"/>
                <w:bCs/>
                <w:sz w:val="22"/>
                <w:szCs w:val="22"/>
              </w:rPr>
            </w:pPr>
          </w:p>
        </w:tc>
        <w:tc>
          <w:tcPr>
            <w:tcW w:w="706" w:type="pct"/>
            <w:shd w:val="clear" w:color="auto" w:fill="D9D9D9" w:themeFill="background1" w:themeFillShade="D9"/>
          </w:tcPr>
          <w:p w14:paraId="3D5462BA"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 xml:space="preserve">No. </w:t>
            </w:r>
          </w:p>
          <w:p w14:paraId="695C604B"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of</w:t>
            </w:r>
          </w:p>
          <w:p w14:paraId="17E71E93" w14:textId="25B40960"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Respondents</w:t>
            </w:r>
          </w:p>
        </w:tc>
        <w:tc>
          <w:tcPr>
            <w:tcW w:w="847" w:type="pct"/>
            <w:shd w:val="clear" w:color="auto" w:fill="D9D9D9" w:themeFill="background1" w:themeFillShade="D9"/>
          </w:tcPr>
          <w:p w14:paraId="188CB483"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No.</w:t>
            </w:r>
          </w:p>
          <w:p w14:paraId="68F5C786"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Responses</w:t>
            </w:r>
          </w:p>
          <w:p w14:paraId="37F459E3"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per</w:t>
            </w:r>
          </w:p>
          <w:p w14:paraId="34293D1F" w14:textId="6E253D78"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Respondent</w:t>
            </w:r>
          </w:p>
        </w:tc>
        <w:tc>
          <w:tcPr>
            <w:tcW w:w="706" w:type="pct"/>
            <w:shd w:val="clear" w:color="auto" w:fill="D9D9D9" w:themeFill="background1" w:themeFillShade="D9"/>
          </w:tcPr>
          <w:p w14:paraId="2D1A9811"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Average</w:t>
            </w:r>
          </w:p>
          <w:p w14:paraId="70489ACA"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Burden per</w:t>
            </w:r>
          </w:p>
          <w:p w14:paraId="2C6736B0"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Response</w:t>
            </w:r>
          </w:p>
          <w:p w14:paraId="0EA9C8CB"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(in hours)</w:t>
            </w:r>
          </w:p>
        </w:tc>
        <w:tc>
          <w:tcPr>
            <w:tcW w:w="517" w:type="pct"/>
            <w:shd w:val="clear" w:color="auto" w:fill="D9D9D9" w:themeFill="background1" w:themeFillShade="D9"/>
          </w:tcPr>
          <w:p w14:paraId="2288D8D5"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Total Burden Hours</w:t>
            </w:r>
          </w:p>
        </w:tc>
        <w:tc>
          <w:tcPr>
            <w:tcW w:w="518" w:type="pct"/>
            <w:shd w:val="clear" w:color="auto" w:fill="D9D9D9" w:themeFill="background1" w:themeFillShade="D9"/>
          </w:tcPr>
          <w:p w14:paraId="76F328FC"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Hourly Wage Rate</w:t>
            </w:r>
          </w:p>
        </w:tc>
        <w:tc>
          <w:tcPr>
            <w:tcW w:w="705" w:type="pct"/>
            <w:shd w:val="clear" w:color="auto" w:fill="D9D9D9" w:themeFill="background1" w:themeFillShade="D9"/>
          </w:tcPr>
          <w:p w14:paraId="697841EE" w14:textId="77777777" w:rsidR="0087639F" w:rsidRPr="000F7D85" w:rsidRDefault="0087639F" w:rsidP="002719DA">
            <w:pPr>
              <w:widowControl/>
              <w:tabs>
                <w:tab w:val="num" w:pos="1080"/>
              </w:tabs>
              <w:rPr>
                <w:rFonts w:ascii="Arial" w:hAnsi="Arial" w:cs="Arial"/>
                <w:bCs/>
                <w:sz w:val="22"/>
                <w:szCs w:val="22"/>
              </w:rPr>
            </w:pPr>
            <w:r w:rsidRPr="000F7D85">
              <w:rPr>
                <w:rFonts w:ascii="Arial" w:hAnsi="Arial" w:cs="Arial"/>
                <w:bCs/>
                <w:sz w:val="22"/>
                <w:szCs w:val="22"/>
              </w:rPr>
              <w:t>Total Hour Cost</w:t>
            </w:r>
          </w:p>
        </w:tc>
      </w:tr>
      <w:tr w:rsidR="0087639F" w:rsidRPr="000F7D85" w14:paraId="799B10C7" w14:textId="77777777" w:rsidTr="00A150ED">
        <w:trPr>
          <w:trHeight w:val="48"/>
        </w:trPr>
        <w:tc>
          <w:tcPr>
            <w:tcW w:w="1001" w:type="pct"/>
          </w:tcPr>
          <w:p w14:paraId="4B6C96F2" w14:textId="2CCCB7BF" w:rsidR="0087639F" w:rsidRPr="000F7D85" w:rsidRDefault="0087639F" w:rsidP="002719DA">
            <w:pPr>
              <w:widowControl/>
              <w:tabs>
                <w:tab w:val="num" w:pos="1080"/>
              </w:tabs>
              <w:rPr>
                <w:rFonts w:ascii="Arial" w:hAnsi="Arial" w:cs="Arial"/>
                <w:bCs/>
                <w:sz w:val="22"/>
                <w:szCs w:val="22"/>
              </w:rPr>
            </w:pPr>
            <w:r w:rsidRPr="000F7D85">
              <w:rPr>
                <w:rFonts w:ascii="Arial" w:hAnsi="Arial" w:cs="Arial"/>
                <w:sz w:val="22"/>
                <w:szCs w:val="22"/>
              </w:rPr>
              <w:t xml:space="preserve">Implementation Report </w:t>
            </w:r>
          </w:p>
        </w:tc>
        <w:tc>
          <w:tcPr>
            <w:tcW w:w="706" w:type="pct"/>
          </w:tcPr>
          <w:p w14:paraId="1FE7ABCA" w14:textId="77777777" w:rsidR="0087639F" w:rsidRPr="000F7D85" w:rsidRDefault="0087639F" w:rsidP="002719DA">
            <w:pPr>
              <w:widowControl/>
              <w:tabs>
                <w:tab w:val="num" w:pos="1080"/>
              </w:tabs>
              <w:jc w:val="right"/>
              <w:rPr>
                <w:rFonts w:ascii="Arial" w:hAnsi="Arial" w:cs="Arial"/>
                <w:bCs/>
                <w:sz w:val="22"/>
                <w:szCs w:val="22"/>
              </w:rPr>
            </w:pPr>
            <w:r w:rsidRPr="000F7D85">
              <w:rPr>
                <w:rFonts w:ascii="Arial" w:hAnsi="Arial" w:cs="Arial"/>
                <w:bCs/>
                <w:sz w:val="22"/>
                <w:szCs w:val="22"/>
              </w:rPr>
              <w:t>22</w:t>
            </w:r>
          </w:p>
        </w:tc>
        <w:tc>
          <w:tcPr>
            <w:tcW w:w="847" w:type="pct"/>
          </w:tcPr>
          <w:p w14:paraId="15B6311D" w14:textId="77777777" w:rsidR="0087639F" w:rsidRPr="000F7D85" w:rsidRDefault="0087639F" w:rsidP="002719DA">
            <w:pPr>
              <w:widowControl/>
              <w:tabs>
                <w:tab w:val="num" w:pos="1080"/>
              </w:tabs>
              <w:jc w:val="right"/>
              <w:rPr>
                <w:rFonts w:ascii="Arial" w:hAnsi="Arial" w:cs="Arial"/>
                <w:bCs/>
                <w:sz w:val="22"/>
                <w:szCs w:val="22"/>
              </w:rPr>
            </w:pPr>
            <w:r w:rsidRPr="000F7D85">
              <w:rPr>
                <w:rFonts w:ascii="Arial" w:hAnsi="Arial" w:cs="Arial"/>
                <w:sz w:val="22"/>
                <w:szCs w:val="22"/>
              </w:rPr>
              <w:t>1</w:t>
            </w:r>
          </w:p>
        </w:tc>
        <w:tc>
          <w:tcPr>
            <w:tcW w:w="706" w:type="pct"/>
          </w:tcPr>
          <w:p w14:paraId="0986D904" w14:textId="77777777" w:rsidR="0087639F" w:rsidRPr="000F7D85" w:rsidRDefault="0087639F" w:rsidP="002719DA">
            <w:pPr>
              <w:widowControl/>
              <w:tabs>
                <w:tab w:val="num" w:pos="1080"/>
              </w:tabs>
              <w:jc w:val="right"/>
              <w:rPr>
                <w:rFonts w:ascii="Arial" w:hAnsi="Arial" w:cs="Arial"/>
                <w:bCs/>
                <w:sz w:val="22"/>
                <w:szCs w:val="22"/>
              </w:rPr>
            </w:pPr>
            <w:r w:rsidRPr="000F7D85">
              <w:rPr>
                <w:rFonts w:ascii="Arial" w:hAnsi="Arial" w:cs="Arial"/>
                <w:bCs/>
                <w:sz w:val="22"/>
                <w:szCs w:val="22"/>
              </w:rPr>
              <w:t>5</w:t>
            </w:r>
          </w:p>
        </w:tc>
        <w:tc>
          <w:tcPr>
            <w:tcW w:w="517" w:type="pct"/>
          </w:tcPr>
          <w:p w14:paraId="154019C4" w14:textId="77777777" w:rsidR="0087639F" w:rsidRPr="000F7D85" w:rsidRDefault="0087639F" w:rsidP="002719DA">
            <w:pPr>
              <w:jc w:val="right"/>
              <w:rPr>
                <w:rFonts w:ascii="Arial" w:hAnsi="Arial" w:cs="Arial"/>
                <w:sz w:val="22"/>
                <w:szCs w:val="22"/>
              </w:rPr>
            </w:pPr>
            <w:r w:rsidRPr="000F7D85">
              <w:rPr>
                <w:rFonts w:ascii="Arial" w:hAnsi="Arial" w:cs="Arial"/>
                <w:sz w:val="22"/>
                <w:szCs w:val="22"/>
              </w:rPr>
              <w:t>110</w:t>
            </w:r>
          </w:p>
        </w:tc>
        <w:tc>
          <w:tcPr>
            <w:tcW w:w="518" w:type="pct"/>
          </w:tcPr>
          <w:p w14:paraId="60D2D0A8" w14:textId="3F50DFBE" w:rsidR="0087639F" w:rsidRPr="000F7D85" w:rsidRDefault="0087639F" w:rsidP="002719DA">
            <w:pPr>
              <w:widowControl/>
              <w:tabs>
                <w:tab w:val="num" w:pos="1080"/>
              </w:tabs>
              <w:jc w:val="right"/>
              <w:rPr>
                <w:rFonts w:ascii="Arial" w:hAnsi="Arial" w:cs="Arial"/>
                <w:sz w:val="22"/>
                <w:szCs w:val="22"/>
              </w:rPr>
            </w:pPr>
            <w:r w:rsidRPr="000F7D85">
              <w:rPr>
                <w:rFonts w:ascii="Arial" w:hAnsi="Arial" w:cs="Arial"/>
                <w:sz w:val="22"/>
                <w:szCs w:val="22"/>
              </w:rPr>
              <w:t>$</w:t>
            </w:r>
            <w:r w:rsidR="009D4315">
              <w:rPr>
                <w:rFonts w:ascii="Arial" w:hAnsi="Arial" w:cs="Arial"/>
                <w:sz w:val="22"/>
                <w:szCs w:val="22"/>
              </w:rPr>
              <w:t>30.53</w:t>
            </w:r>
            <w:r w:rsidRPr="000F7D85">
              <w:rPr>
                <w:rFonts w:ascii="Arial" w:hAnsi="Arial" w:cs="Arial"/>
                <w:sz w:val="22"/>
                <w:szCs w:val="22"/>
              </w:rPr>
              <w:t xml:space="preserve"> </w:t>
            </w:r>
          </w:p>
        </w:tc>
        <w:tc>
          <w:tcPr>
            <w:tcW w:w="705" w:type="pct"/>
          </w:tcPr>
          <w:p w14:paraId="129BAF26" w14:textId="7FF9FCE1" w:rsidR="0087639F" w:rsidRPr="00A150ED" w:rsidRDefault="00A150ED" w:rsidP="009D4315">
            <w:pPr>
              <w:jc w:val="right"/>
              <w:rPr>
                <w:rFonts w:ascii="Arial" w:hAnsi="Arial" w:cs="Arial"/>
                <w:color w:val="000000"/>
                <w:sz w:val="22"/>
                <w:szCs w:val="22"/>
                <w:highlight w:val="yellow"/>
              </w:rPr>
            </w:pPr>
            <w:r>
              <w:rPr>
                <w:rFonts w:ascii="Arial" w:hAnsi="Arial" w:cs="Arial"/>
                <w:color w:val="000000"/>
                <w:sz w:val="22"/>
                <w:szCs w:val="22"/>
              </w:rPr>
              <w:t>$3,358.30</w:t>
            </w:r>
          </w:p>
        </w:tc>
      </w:tr>
      <w:tr w:rsidR="0087639F" w:rsidRPr="000F7D85" w14:paraId="08A25A9E" w14:textId="77777777" w:rsidTr="00A150ED">
        <w:trPr>
          <w:trHeight w:val="41"/>
        </w:trPr>
        <w:tc>
          <w:tcPr>
            <w:tcW w:w="1001" w:type="pct"/>
          </w:tcPr>
          <w:p w14:paraId="4CDFA98A" w14:textId="44B1EDDB" w:rsidR="0087639F" w:rsidRPr="000F7D85" w:rsidRDefault="0087639F" w:rsidP="002719DA">
            <w:pPr>
              <w:widowControl/>
              <w:tabs>
                <w:tab w:val="num" w:pos="1080"/>
              </w:tabs>
              <w:rPr>
                <w:rFonts w:ascii="Arial" w:hAnsi="Arial" w:cs="Arial"/>
                <w:sz w:val="22"/>
                <w:szCs w:val="22"/>
              </w:rPr>
            </w:pPr>
            <w:r w:rsidRPr="000F7D85">
              <w:rPr>
                <w:rFonts w:ascii="Arial" w:hAnsi="Arial" w:cs="Arial"/>
                <w:sz w:val="22"/>
                <w:szCs w:val="22"/>
              </w:rPr>
              <w:t>Outcomes  Report</w:t>
            </w:r>
          </w:p>
        </w:tc>
        <w:tc>
          <w:tcPr>
            <w:tcW w:w="706" w:type="pct"/>
          </w:tcPr>
          <w:p w14:paraId="3B77E7BA" w14:textId="77777777" w:rsidR="0087639F" w:rsidRPr="000F7D85" w:rsidRDefault="0087639F" w:rsidP="002719DA">
            <w:pPr>
              <w:widowControl/>
              <w:tabs>
                <w:tab w:val="num" w:pos="1080"/>
              </w:tabs>
              <w:jc w:val="right"/>
              <w:rPr>
                <w:rFonts w:ascii="Arial" w:hAnsi="Arial" w:cs="Arial"/>
                <w:bCs/>
                <w:sz w:val="22"/>
                <w:szCs w:val="22"/>
              </w:rPr>
            </w:pPr>
            <w:r w:rsidRPr="000F7D85">
              <w:rPr>
                <w:rFonts w:ascii="Arial" w:hAnsi="Arial" w:cs="Arial"/>
                <w:bCs/>
                <w:sz w:val="22"/>
                <w:szCs w:val="22"/>
              </w:rPr>
              <w:t>22</w:t>
            </w:r>
          </w:p>
        </w:tc>
        <w:tc>
          <w:tcPr>
            <w:tcW w:w="847" w:type="pct"/>
          </w:tcPr>
          <w:p w14:paraId="0201A730" w14:textId="77777777" w:rsidR="0087639F" w:rsidRPr="000F7D85" w:rsidRDefault="0087639F" w:rsidP="002719DA">
            <w:pPr>
              <w:widowControl/>
              <w:tabs>
                <w:tab w:val="num" w:pos="1080"/>
              </w:tabs>
              <w:jc w:val="right"/>
              <w:rPr>
                <w:rFonts w:ascii="Arial" w:hAnsi="Arial" w:cs="Arial"/>
                <w:bCs/>
                <w:sz w:val="22"/>
                <w:szCs w:val="22"/>
              </w:rPr>
            </w:pPr>
            <w:r w:rsidRPr="000F7D85">
              <w:rPr>
                <w:rFonts w:ascii="Arial" w:hAnsi="Arial" w:cs="Arial"/>
                <w:sz w:val="22"/>
                <w:szCs w:val="22"/>
              </w:rPr>
              <w:t>1</w:t>
            </w:r>
          </w:p>
        </w:tc>
        <w:tc>
          <w:tcPr>
            <w:tcW w:w="706" w:type="pct"/>
          </w:tcPr>
          <w:p w14:paraId="14777D09" w14:textId="77777777" w:rsidR="0087639F" w:rsidRPr="000F7D85" w:rsidRDefault="0087639F" w:rsidP="002719DA">
            <w:pPr>
              <w:widowControl/>
              <w:tabs>
                <w:tab w:val="num" w:pos="1080"/>
              </w:tabs>
              <w:jc w:val="right"/>
              <w:rPr>
                <w:rFonts w:ascii="Arial" w:hAnsi="Arial" w:cs="Arial"/>
                <w:bCs/>
                <w:sz w:val="22"/>
                <w:szCs w:val="22"/>
              </w:rPr>
            </w:pPr>
            <w:r w:rsidRPr="000F7D85">
              <w:rPr>
                <w:rFonts w:ascii="Arial" w:hAnsi="Arial" w:cs="Arial"/>
                <w:bCs/>
                <w:sz w:val="22"/>
                <w:szCs w:val="22"/>
              </w:rPr>
              <w:t>25</w:t>
            </w:r>
          </w:p>
        </w:tc>
        <w:tc>
          <w:tcPr>
            <w:tcW w:w="517" w:type="pct"/>
          </w:tcPr>
          <w:p w14:paraId="47047646" w14:textId="77777777" w:rsidR="0087639F" w:rsidRPr="000F7D85" w:rsidRDefault="0087639F" w:rsidP="002719DA">
            <w:pPr>
              <w:jc w:val="right"/>
              <w:rPr>
                <w:rFonts w:ascii="Arial" w:hAnsi="Arial" w:cs="Arial"/>
                <w:sz w:val="22"/>
                <w:szCs w:val="22"/>
              </w:rPr>
            </w:pPr>
            <w:r w:rsidRPr="000F7D85">
              <w:rPr>
                <w:rFonts w:ascii="Arial" w:hAnsi="Arial" w:cs="Arial"/>
                <w:sz w:val="22"/>
                <w:szCs w:val="22"/>
              </w:rPr>
              <w:t>550</w:t>
            </w:r>
          </w:p>
        </w:tc>
        <w:tc>
          <w:tcPr>
            <w:tcW w:w="518" w:type="pct"/>
          </w:tcPr>
          <w:p w14:paraId="113A2829" w14:textId="1CA447DA" w:rsidR="0087639F" w:rsidRPr="000F7D85" w:rsidRDefault="0087639F" w:rsidP="002719DA">
            <w:pPr>
              <w:widowControl/>
              <w:tabs>
                <w:tab w:val="num" w:pos="1080"/>
              </w:tabs>
              <w:jc w:val="right"/>
              <w:rPr>
                <w:rFonts w:ascii="Arial" w:hAnsi="Arial" w:cs="Arial"/>
                <w:sz w:val="22"/>
                <w:szCs w:val="22"/>
              </w:rPr>
            </w:pPr>
            <w:r w:rsidRPr="000F7D85">
              <w:rPr>
                <w:rFonts w:ascii="Arial" w:hAnsi="Arial" w:cs="Arial"/>
                <w:sz w:val="22"/>
                <w:szCs w:val="22"/>
              </w:rPr>
              <w:t>$</w:t>
            </w:r>
            <w:r w:rsidR="009D4315">
              <w:rPr>
                <w:rFonts w:ascii="Arial" w:hAnsi="Arial" w:cs="Arial"/>
                <w:sz w:val="22"/>
                <w:szCs w:val="22"/>
              </w:rPr>
              <w:t>30.53</w:t>
            </w:r>
          </w:p>
          <w:p w14:paraId="7F23605E" w14:textId="77777777" w:rsidR="0087639F" w:rsidRPr="000F7D85" w:rsidRDefault="0087639F" w:rsidP="002719DA">
            <w:pPr>
              <w:widowControl/>
              <w:tabs>
                <w:tab w:val="num" w:pos="1080"/>
              </w:tabs>
              <w:jc w:val="right"/>
              <w:rPr>
                <w:rFonts w:ascii="Arial" w:hAnsi="Arial" w:cs="Arial"/>
                <w:sz w:val="22"/>
                <w:szCs w:val="22"/>
              </w:rPr>
            </w:pPr>
            <w:r w:rsidRPr="000F7D85">
              <w:rPr>
                <w:rFonts w:ascii="Arial" w:hAnsi="Arial" w:cs="Arial"/>
                <w:sz w:val="22"/>
                <w:szCs w:val="22"/>
              </w:rPr>
              <w:t xml:space="preserve"> </w:t>
            </w:r>
          </w:p>
        </w:tc>
        <w:tc>
          <w:tcPr>
            <w:tcW w:w="705" w:type="pct"/>
          </w:tcPr>
          <w:p w14:paraId="0B34EE30" w14:textId="65654924" w:rsidR="0087639F" w:rsidRPr="00A150ED" w:rsidRDefault="00A150ED" w:rsidP="002719DA">
            <w:pPr>
              <w:jc w:val="right"/>
              <w:rPr>
                <w:rFonts w:ascii="Arial" w:hAnsi="Arial" w:cs="Arial"/>
                <w:color w:val="000000"/>
                <w:sz w:val="22"/>
                <w:szCs w:val="22"/>
                <w:highlight w:val="yellow"/>
              </w:rPr>
            </w:pPr>
            <w:r>
              <w:rPr>
                <w:rFonts w:ascii="Arial" w:hAnsi="Arial" w:cs="Arial"/>
                <w:color w:val="000000"/>
                <w:sz w:val="22"/>
                <w:szCs w:val="22"/>
              </w:rPr>
              <w:t>$16,791.50</w:t>
            </w:r>
          </w:p>
        </w:tc>
      </w:tr>
      <w:tr w:rsidR="0087639F" w:rsidRPr="000F7D85" w14:paraId="68C1CA65" w14:textId="77777777" w:rsidTr="00A150ED">
        <w:trPr>
          <w:trHeight w:val="41"/>
        </w:trPr>
        <w:tc>
          <w:tcPr>
            <w:tcW w:w="1001" w:type="pct"/>
          </w:tcPr>
          <w:p w14:paraId="577B1532" w14:textId="77777777" w:rsidR="0087639F" w:rsidRPr="000F7D85" w:rsidRDefault="0087639F" w:rsidP="002719DA">
            <w:pPr>
              <w:widowControl/>
              <w:tabs>
                <w:tab w:val="num" w:pos="1080"/>
              </w:tabs>
              <w:rPr>
                <w:rFonts w:ascii="Arial" w:hAnsi="Arial" w:cs="Arial"/>
                <w:b/>
                <w:sz w:val="22"/>
                <w:szCs w:val="22"/>
              </w:rPr>
            </w:pPr>
            <w:r w:rsidRPr="000F7D85">
              <w:rPr>
                <w:rFonts w:ascii="Arial" w:hAnsi="Arial" w:cs="Arial"/>
                <w:b/>
                <w:sz w:val="22"/>
                <w:szCs w:val="22"/>
              </w:rPr>
              <w:t>Total</w:t>
            </w:r>
          </w:p>
        </w:tc>
        <w:tc>
          <w:tcPr>
            <w:tcW w:w="706" w:type="pct"/>
          </w:tcPr>
          <w:p w14:paraId="27E9090A" w14:textId="49C7E6B8" w:rsidR="0087639F" w:rsidRPr="000F7D85" w:rsidRDefault="00BB5C73" w:rsidP="002719DA">
            <w:pPr>
              <w:widowControl/>
              <w:tabs>
                <w:tab w:val="num" w:pos="1080"/>
              </w:tabs>
              <w:jc w:val="right"/>
              <w:rPr>
                <w:rFonts w:ascii="Arial" w:hAnsi="Arial" w:cs="Arial"/>
                <w:b/>
                <w:sz w:val="22"/>
                <w:szCs w:val="22"/>
              </w:rPr>
            </w:pPr>
            <w:r>
              <w:rPr>
                <w:rFonts w:ascii="Arial" w:hAnsi="Arial" w:cs="Arial"/>
                <w:b/>
                <w:sz w:val="22"/>
                <w:szCs w:val="22"/>
              </w:rPr>
              <w:t>44</w:t>
            </w:r>
            <w:r w:rsidR="0087639F" w:rsidRPr="000F7D85">
              <w:rPr>
                <w:rFonts w:ascii="Arial" w:hAnsi="Arial" w:cs="Arial"/>
                <w:b/>
                <w:sz w:val="22"/>
                <w:szCs w:val="22"/>
              </w:rPr>
              <w:t xml:space="preserve"> </w:t>
            </w:r>
          </w:p>
        </w:tc>
        <w:tc>
          <w:tcPr>
            <w:tcW w:w="847" w:type="pct"/>
          </w:tcPr>
          <w:p w14:paraId="320C915C" w14:textId="77777777" w:rsidR="0087639F" w:rsidRPr="000F7D85" w:rsidRDefault="0087639F" w:rsidP="002719DA">
            <w:pPr>
              <w:widowControl/>
              <w:tabs>
                <w:tab w:val="num" w:pos="1080"/>
              </w:tabs>
              <w:jc w:val="right"/>
              <w:rPr>
                <w:rFonts w:ascii="Arial" w:hAnsi="Arial" w:cs="Arial"/>
                <w:b/>
                <w:sz w:val="22"/>
                <w:szCs w:val="22"/>
              </w:rPr>
            </w:pPr>
          </w:p>
        </w:tc>
        <w:tc>
          <w:tcPr>
            <w:tcW w:w="706" w:type="pct"/>
          </w:tcPr>
          <w:p w14:paraId="27315043" w14:textId="77777777" w:rsidR="0087639F" w:rsidRPr="000F7D85" w:rsidRDefault="0087639F" w:rsidP="002719DA">
            <w:pPr>
              <w:widowControl/>
              <w:tabs>
                <w:tab w:val="num" w:pos="1080"/>
              </w:tabs>
              <w:jc w:val="right"/>
              <w:rPr>
                <w:rFonts w:ascii="Arial" w:hAnsi="Arial" w:cs="Arial"/>
                <w:b/>
                <w:sz w:val="22"/>
                <w:szCs w:val="22"/>
              </w:rPr>
            </w:pPr>
          </w:p>
        </w:tc>
        <w:tc>
          <w:tcPr>
            <w:tcW w:w="517" w:type="pct"/>
          </w:tcPr>
          <w:p w14:paraId="29E0EC03" w14:textId="1575CF51" w:rsidR="0087639F" w:rsidRPr="000F7D85" w:rsidRDefault="0087639F" w:rsidP="002719DA">
            <w:pPr>
              <w:jc w:val="right"/>
              <w:rPr>
                <w:rFonts w:ascii="Arial" w:hAnsi="Arial" w:cs="Arial"/>
                <w:b/>
                <w:sz w:val="22"/>
                <w:szCs w:val="22"/>
              </w:rPr>
            </w:pPr>
          </w:p>
        </w:tc>
        <w:tc>
          <w:tcPr>
            <w:tcW w:w="518" w:type="pct"/>
          </w:tcPr>
          <w:p w14:paraId="34CB087B" w14:textId="77777777" w:rsidR="0087639F" w:rsidRPr="000F7D85" w:rsidRDefault="0087639F" w:rsidP="002719DA">
            <w:pPr>
              <w:jc w:val="right"/>
              <w:rPr>
                <w:rFonts w:ascii="Arial" w:hAnsi="Arial" w:cs="Arial"/>
                <w:b/>
                <w:sz w:val="22"/>
                <w:szCs w:val="22"/>
              </w:rPr>
            </w:pPr>
          </w:p>
        </w:tc>
        <w:tc>
          <w:tcPr>
            <w:tcW w:w="705" w:type="pct"/>
          </w:tcPr>
          <w:p w14:paraId="6C1124E8" w14:textId="5F7382AD" w:rsidR="0087639F" w:rsidRPr="00A150ED" w:rsidRDefault="00A150ED" w:rsidP="002719DA">
            <w:pPr>
              <w:jc w:val="right"/>
              <w:rPr>
                <w:rFonts w:ascii="Arial" w:hAnsi="Arial" w:cs="Arial"/>
                <w:b/>
                <w:bCs/>
                <w:color w:val="000000"/>
                <w:sz w:val="22"/>
                <w:szCs w:val="22"/>
                <w:highlight w:val="yellow"/>
              </w:rPr>
            </w:pPr>
            <w:r>
              <w:rPr>
                <w:rFonts w:ascii="Arial" w:hAnsi="Arial" w:cs="Arial"/>
                <w:b/>
                <w:bCs/>
                <w:color w:val="000000"/>
                <w:sz w:val="22"/>
                <w:szCs w:val="22"/>
              </w:rPr>
              <w:t>$20,149.8</w:t>
            </w:r>
            <w:r w:rsidR="00FC1F19">
              <w:rPr>
                <w:rFonts w:ascii="Arial" w:hAnsi="Arial" w:cs="Arial"/>
                <w:b/>
                <w:bCs/>
                <w:color w:val="000000"/>
                <w:sz w:val="22"/>
                <w:szCs w:val="22"/>
              </w:rPr>
              <w:t>0</w:t>
            </w:r>
          </w:p>
        </w:tc>
      </w:tr>
    </w:tbl>
    <w:p w14:paraId="6D7E771B" w14:textId="77777777" w:rsidR="0087639F" w:rsidRDefault="0087639F" w:rsidP="0071402A">
      <w:pPr>
        <w:spacing w:after="120"/>
        <w:rPr>
          <w:rFonts w:ascii="Arial" w:hAnsi="Arial" w:cs="Arial"/>
          <w:sz w:val="22"/>
          <w:szCs w:val="22"/>
        </w:rPr>
      </w:pPr>
    </w:p>
    <w:p w14:paraId="27AC2EA9" w14:textId="2713BEF9" w:rsidR="0071402A" w:rsidRPr="000F7D85" w:rsidRDefault="0071402A" w:rsidP="0071402A">
      <w:pPr>
        <w:spacing w:after="120"/>
        <w:rPr>
          <w:rFonts w:ascii="Arial" w:hAnsi="Arial" w:cs="Arial"/>
          <w:sz w:val="22"/>
          <w:szCs w:val="22"/>
        </w:rPr>
      </w:pPr>
      <w:r w:rsidRPr="000F7D85">
        <w:rPr>
          <w:rFonts w:ascii="Arial" w:hAnsi="Arial" w:cs="Arial"/>
          <w:sz w:val="22"/>
          <w:szCs w:val="22"/>
        </w:rPr>
        <w:t xml:space="preserve">Activities associated with </w:t>
      </w:r>
      <w:r w:rsidR="0087639F">
        <w:rPr>
          <w:rFonts w:ascii="Arial" w:hAnsi="Arial" w:cs="Arial"/>
          <w:sz w:val="22"/>
          <w:szCs w:val="22"/>
        </w:rPr>
        <w:t xml:space="preserve">health center completion of the </w:t>
      </w:r>
      <w:r>
        <w:rPr>
          <w:rFonts w:ascii="Arial" w:hAnsi="Arial" w:cs="Arial"/>
          <w:sz w:val="22"/>
          <w:szCs w:val="22"/>
        </w:rPr>
        <w:t xml:space="preserve">Implementation and Outcomes Reports </w:t>
      </w:r>
      <w:r w:rsidRPr="000F7D85">
        <w:rPr>
          <w:rFonts w:ascii="Arial" w:hAnsi="Arial" w:cs="Arial"/>
          <w:sz w:val="22"/>
          <w:szCs w:val="22"/>
        </w:rPr>
        <w:t xml:space="preserve">can be performed by </w:t>
      </w:r>
      <w:r w:rsidR="0087639F">
        <w:rPr>
          <w:rFonts w:ascii="Arial" w:hAnsi="Arial" w:cs="Arial"/>
          <w:sz w:val="22"/>
          <w:szCs w:val="22"/>
        </w:rPr>
        <w:t xml:space="preserve">various </w:t>
      </w:r>
      <w:r w:rsidRPr="000F7D85">
        <w:rPr>
          <w:rFonts w:ascii="Arial" w:hAnsi="Arial" w:cs="Arial"/>
          <w:sz w:val="22"/>
          <w:szCs w:val="22"/>
        </w:rPr>
        <w:t xml:space="preserve">mid-level </w:t>
      </w:r>
      <w:r>
        <w:rPr>
          <w:rFonts w:ascii="Arial" w:hAnsi="Arial" w:cs="Arial"/>
          <w:sz w:val="22"/>
          <w:szCs w:val="22"/>
        </w:rPr>
        <w:t xml:space="preserve">health center </w:t>
      </w:r>
      <w:r w:rsidRPr="000F7D85">
        <w:rPr>
          <w:rFonts w:ascii="Arial" w:hAnsi="Arial" w:cs="Arial"/>
          <w:sz w:val="22"/>
          <w:szCs w:val="22"/>
        </w:rPr>
        <w:t xml:space="preserve">staff </w:t>
      </w:r>
      <w:r w:rsidR="0087639F">
        <w:rPr>
          <w:rFonts w:ascii="Arial" w:hAnsi="Arial" w:cs="Arial"/>
          <w:sz w:val="22"/>
          <w:szCs w:val="22"/>
        </w:rPr>
        <w:t xml:space="preserve">(e.g., project managers or leads, information technology staff, quality control staff) </w:t>
      </w:r>
      <w:r w:rsidRPr="000F7D85">
        <w:rPr>
          <w:rFonts w:ascii="Arial" w:hAnsi="Arial" w:cs="Arial"/>
          <w:sz w:val="22"/>
          <w:szCs w:val="22"/>
        </w:rPr>
        <w:t xml:space="preserve">with an </w:t>
      </w:r>
      <w:r>
        <w:rPr>
          <w:rFonts w:ascii="Arial" w:hAnsi="Arial" w:cs="Arial"/>
          <w:sz w:val="22"/>
          <w:szCs w:val="22"/>
        </w:rPr>
        <w:t xml:space="preserve">estimated </w:t>
      </w:r>
      <w:r w:rsidRPr="000F7D85">
        <w:rPr>
          <w:rFonts w:ascii="Arial" w:hAnsi="Arial" w:cs="Arial"/>
          <w:sz w:val="22"/>
          <w:szCs w:val="22"/>
        </w:rPr>
        <w:t>average wage rate of $</w:t>
      </w:r>
      <w:r w:rsidR="009D4315">
        <w:rPr>
          <w:rFonts w:ascii="Arial" w:hAnsi="Arial" w:cs="Arial"/>
          <w:sz w:val="22"/>
          <w:szCs w:val="22"/>
        </w:rPr>
        <w:t>30.53</w:t>
      </w:r>
      <w:r w:rsidRPr="000F7D85">
        <w:rPr>
          <w:rFonts w:ascii="Arial" w:hAnsi="Arial" w:cs="Arial"/>
          <w:sz w:val="22"/>
          <w:szCs w:val="22"/>
        </w:rPr>
        <w:t xml:space="preserve"> per hour (</w:t>
      </w:r>
      <w:r>
        <w:rPr>
          <w:rFonts w:ascii="Arial" w:hAnsi="Arial" w:cs="Arial"/>
          <w:sz w:val="22"/>
          <w:szCs w:val="22"/>
        </w:rPr>
        <w:t xml:space="preserve">comparable to federal government salary for </w:t>
      </w:r>
      <w:r w:rsidRPr="000F7D85">
        <w:rPr>
          <w:rFonts w:ascii="Arial" w:hAnsi="Arial" w:cs="Arial"/>
          <w:sz w:val="22"/>
          <w:szCs w:val="22"/>
        </w:rPr>
        <w:t>GS-</w:t>
      </w:r>
      <w:r w:rsidR="009D4315">
        <w:rPr>
          <w:rFonts w:ascii="Arial" w:hAnsi="Arial" w:cs="Arial"/>
          <w:sz w:val="22"/>
          <w:szCs w:val="22"/>
        </w:rPr>
        <w:t>11</w:t>
      </w:r>
      <w:r w:rsidR="009D4315" w:rsidRPr="000F7D85">
        <w:rPr>
          <w:rFonts w:ascii="Arial" w:hAnsi="Arial" w:cs="Arial"/>
          <w:sz w:val="22"/>
          <w:szCs w:val="22"/>
        </w:rPr>
        <w:t xml:space="preserve"> </w:t>
      </w:r>
      <w:r w:rsidRPr="000F7D85">
        <w:rPr>
          <w:rFonts w:ascii="Arial" w:hAnsi="Arial" w:cs="Arial"/>
          <w:sz w:val="22"/>
          <w:szCs w:val="22"/>
        </w:rPr>
        <w:t xml:space="preserve">Step 1 2015 for DC-MD-VA-WV-PA). </w:t>
      </w:r>
    </w:p>
    <w:p w14:paraId="1386D9F2" w14:textId="0514B3EE" w:rsidR="0071402A" w:rsidRDefault="00A649A5" w:rsidP="0071402A">
      <w:pPr>
        <w:spacing w:after="120"/>
        <w:rPr>
          <w:rFonts w:ascii="Arial" w:hAnsi="Arial" w:cs="Arial"/>
          <w:sz w:val="22"/>
          <w:szCs w:val="22"/>
        </w:rPr>
      </w:pPr>
      <w:r w:rsidRPr="00DD5632">
        <w:rPr>
          <w:rFonts w:ascii="Arial" w:hAnsi="Arial"/>
          <w:sz w:val="22"/>
        </w:rPr>
        <w:t>Since health centers were required to have an EHR to participate in the P4C project, all responding health centers will use an automated system to generate the required reports; however, systems may vary in their ease of use and flexibility.</w:t>
      </w:r>
      <w:r w:rsidRPr="000F7D85">
        <w:rPr>
          <w:rFonts w:ascii="Arial" w:hAnsi="Arial" w:cs="Arial"/>
          <w:sz w:val="22"/>
          <w:szCs w:val="22"/>
        </w:rPr>
        <w:t xml:space="preserve"> Most responding health centers use relational databases that can easily accommodate reporting specifications. Other health centers use hierarchically-structured systems, or some combination of relational and hierarchically-structured systems, requiring more time to retrieve data in required formats. For some outcome measures, health centers in year one of the project have the option of reporting data through sample chart audits using procedures identical to those established for UDS. </w:t>
      </w:r>
      <w:r w:rsidR="0071402A" w:rsidRPr="0071402A">
        <w:rPr>
          <w:rFonts w:ascii="Arial" w:hAnsi="Arial" w:cs="Arial"/>
          <w:sz w:val="22"/>
          <w:szCs w:val="22"/>
        </w:rPr>
        <w:t xml:space="preserve"> </w:t>
      </w:r>
    </w:p>
    <w:p w14:paraId="3763D682" w14:textId="168C8BFD" w:rsidR="0087639F" w:rsidRPr="0087639F" w:rsidRDefault="0071402A" w:rsidP="0087639F">
      <w:pPr>
        <w:spacing w:after="120"/>
        <w:rPr>
          <w:rFonts w:ascii="Arial" w:hAnsi="Arial" w:cs="Arial"/>
          <w:sz w:val="22"/>
          <w:szCs w:val="22"/>
        </w:rPr>
      </w:pPr>
      <w:r w:rsidRPr="0087639F">
        <w:rPr>
          <w:rFonts w:ascii="Arial" w:hAnsi="Arial" w:cs="Arial"/>
          <w:sz w:val="22"/>
          <w:szCs w:val="22"/>
        </w:rPr>
        <w:t xml:space="preserve">In addition to </w:t>
      </w:r>
      <w:r w:rsidR="00F33746" w:rsidRPr="0087639F">
        <w:rPr>
          <w:rFonts w:ascii="Arial" w:hAnsi="Arial" w:cs="Arial"/>
          <w:sz w:val="22"/>
          <w:szCs w:val="22"/>
        </w:rPr>
        <w:t xml:space="preserve">the burden costs associated with </w:t>
      </w:r>
      <w:r w:rsidRPr="0087639F">
        <w:rPr>
          <w:rFonts w:ascii="Arial" w:hAnsi="Arial" w:cs="Arial"/>
          <w:sz w:val="22"/>
          <w:szCs w:val="22"/>
        </w:rPr>
        <w:t xml:space="preserve">report </w:t>
      </w:r>
      <w:r w:rsidR="0087639F">
        <w:rPr>
          <w:rFonts w:ascii="Arial" w:hAnsi="Arial" w:cs="Arial"/>
          <w:sz w:val="22"/>
          <w:szCs w:val="22"/>
        </w:rPr>
        <w:t>completion</w:t>
      </w:r>
      <w:r w:rsidRPr="0087639F">
        <w:rPr>
          <w:rFonts w:ascii="Arial" w:hAnsi="Arial" w:cs="Arial"/>
          <w:sz w:val="22"/>
          <w:szCs w:val="22"/>
        </w:rPr>
        <w:t>, health centers may incur one-time costs associated with systems preparation</w:t>
      </w:r>
      <w:r w:rsidR="0087639F">
        <w:rPr>
          <w:rFonts w:ascii="Arial" w:hAnsi="Arial" w:cs="Arial"/>
          <w:sz w:val="22"/>
          <w:szCs w:val="22"/>
        </w:rPr>
        <w:t xml:space="preserve"> to extract necessary data</w:t>
      </w:r>
      <w:r w:rsidRPr="0087639F">
        <w:rPr>
          <w:rFonts w:ascii="Arial" w:hAnsi="Arial" w:cs="Arial"/>
          <w:sz w:val="22"/>
          <w:szCs w:val="22"/>
        </w:rPr>
        <w:t xml:space="preserve">. </w:t>
      </w:r>
      <w:r w:rsidR="0087639F">
        <w:rPr>
          <w:rFonts w:ascii="Arial" w:hAnsi="Arial" w:cs="Arial"/>
          <w:sz w:val="22"/>
          <w:szCs w:val="22"/>
        </w:rPr>
        <w:t>Burden hours and costs</w:t>
      </w:r>
      <w:r w:rsidRPr="0087639F">
        <w:rPr>
          <w:rFonts w:ascii="Arial" w:hAnsi="Arial" w:cs="Arial"/>
          <w:sz w:val="22"/>
          <w:szCs w:val="22"/>
        </w:rPr>
        <w:t xml:space="preserve"> for system preparation </w:t>
      </w:r>
      <w:r w:rsidR="0087639F">
        <w:rPr>
          <w:rFonts w:ascii="Arial" w:hAnsi="Arial" w:cs="Arial"/>
          <w:sz w:val="22"/>
          <w:szCs w:val="22"/>
        </w:rPr>
        <w:t>are not report specific and estimated</w:t>
      </w:r>
      <w:r w:rsidRPr="0087639F">
        <w:rPr>
          <w:rFonts w:ascii="Arial" w:hAnsi="Arial" w:cs="Arial"/>
          <w:sz w:val="22"/>
          <w:szCs w:val="22"/>
        </w:rPr>
        <w:t xml:space="preserve"> as follows:</w:t>
      </w:r>
      <w:r w:rsidR="00F33746" w:rsidRPr="0087639F">
        <w:rPr>
          <w:rFonts w:ascii="Arial" w:hAnsi="Arial" w:cs="Arial"/>
          <w:sz w:val="22"/>
          <w:szCs w:val="22"/>
        </w:rPr>
        <w:t xml:space="preserve"> </w:t>
      </w:r>
    </w:p>
    <w:p w14:paraId="0C28F88B" w14:textId="59AF06EE" w:rsidR="0073331C" w:rsidRPr="000F7D85" w:rsidRDefault="005B5C54" w:rsidP="009D4315">
      <w:pPr>
        <w:pStyle w:val="ListParagraph"/>
        <w:numPr>
          <w:ilvl w:val="0"/>
          <w:numId w:val="15"/>
        </w:numPr>
        <w:spacing w:after="120"/>
        <w:rPr>
          <w:rFonts w:ascii="Arial" w:hAnsi="Arial" w:cs="Arial"/>
          <w:sz w:val="22"/>
          <w:szCs w:val="22"/>
        </w:rPr>
      </w:pPr>
      <w:r w:rsidRPr="000F7D85">
        <w:rPr>
          <w:rFonts w:ascii="Arial" w:hAnsi="Arial" w:cs="Arial"/>
          <w:sz w:val="22"/>
          <w:szCs w:val="22"/>
        </w:rPr>
        <w:t xml:space="preserve">Abstracting data </w:t>
      </w:r>
      <w:r w:rsidR="0073331C" w:rsidRPr="000F7D85">
        <w:rPr>
          <w:rFonts w:ascii="Arial" w:hAnsi="Arial" w:cs="Arial"/>
          <w:sz w:val="22"/>
          <w:szCs w:val="22"/>
        </w:rPr>
        <w:t xml:space="preserve">from paper charts and/or electronic systems to report the new measures </w:t>
      </w:r>
      <w:r w:rsidR="00DB426D" w:rsidRPr="000F7D85">
        <w:rPr>
          <w:rFonts w:ascii="Arial" w:hAnsi="Arial" w:cs="Arial"/>
          <w:sz w:val="22"/>
          <w:szCs w:val="22"/>
        </w:rPr>
        <w:t>totaling</w:t>
      </w:r>
      <w:r w:rsidR="0073331C" w:rsidRPr="000F7D85">
        <w:rPr>
          <w:rFonts w:ascii="Arial" w:hAnsi="Arial" w:cs="Arial"/>
          <w:sz w:val="22"/>
          <w:szCs w:val="22"/>
        </w:rPr>
        <w:t xml:space="preserve"> $</w:t>
      </w:r>
      <w:r w:rsidR="009D4315">
        <w:rPr>
          <w:rFonts w:ascii="Arial" w:hAnsi="Arial" w:cs="Arial"/>
          <w:sz w:val="22"/>
          <w:szCs w:val="22"/>
        </w:rPr>
        <w:t>23,508</w:t>
      </w:r>
      <w:r w:rsidR="0073331C" w:rsidRPr="000F7D85">
        <w:rPr>
          <w:rFonts w:ascii="Arial" w:hAnsi="Arial" w:cs="Arial"/>
          <w:sz w:val="22"/>
          <w:szCs w:val="22"/>
        </w:rPr>
        <w:t xml:space="preserve"> (35 hours x 22 health centers x $</w:t>
      </w:r>
      <w:r w:rsidR="009D4315">
        <w:rPr>
          <w:rFonts w:ascii="Arial" w:hAnsi="Arial" w:cs="Arial"/>
          <w:sz w:val="22"/>
          <w:szCs w:val="22"/>
        </w:rPr>
        <w:t>30.53</w:t>
      </w:r>
      <w:r w:rsidR="0073331C" w:rsidRPr="000F7D85">
        <w:rPr>
          <w:rFonts w:ascii="Arial" w:hAnsi="Arial" w:cs="Arial"/>
          <w:sz w:val="22"/>
          <w:szCs w:val="22"/>
        </w:rPr>
        <w:t xml:space="preserve"> per hour)</w:t>
      </w:r>
      <w:r w:rsidR="00DB426D" w:rsidRPr="000F7D85">
        <w:rPr>
          <w:rFonts w:ascii="Arial" w:hAnsi="Arial" w:cs="Arial"/>
          <w:sz w:val="22"/>
          <w:szCs w:val="22"/>
        </w:rPr>
        <w:t>.</w:t>
      </w:r>
    </w:p>
    <w:p w14:paraId="1AD3B2A2" w14:textId="4B5523B4" w:rsidR="005B5C54" w:rsidRPr="000F7D85" w:rsidRDefault="005B5C54" w:rsidP="009D4315">
      <w:pPr>
        <w:pStyle w:val="ListParagraph"/>
        <w:numPr>
          <w:ilvl w:val="0"/>
          <w:numId w:val="15"/>
        </w:numPr>
        <w:spacing w:after="120"/>
        <w:rPr>
          <w:rFonts w:ascii="Arial" w:hAnsi="Arial" w:cs="Arial"/>
          <w:sz w:val="22"/>
          <w:szCs w:val="22"/>
        </w:rPr>
      </w:pPr>
      <w:r w:rsidRPr="000F7D85">
        <w:rPr>
          <w:rFonts w:ascii="Arial" w:hAnsi="Arial" w:cs="Arial"/>
          <w:sz w:val="22"/>
          <w:szCs w:val="22"/>
        </w:rPr>
        <w:t xml:space="preserve">Responding to questions regarding EHR capabilities </w:t>
      </w:r>
      <w:r w:rsidR="00DB426D" w:rsidRPr="000F7D85">
        <w:rPr>
          <w:rFonts w:ascii="Arial" w:hAnsi="Arial" w:cs="Arial"/>
          <w:sz w:val="22"/>
          <w:szCs w:val="22"/>
        </w:rPr>
        <w:t>totaling</w:t>
      </w:r>
      <w:r w:rsidRPr="000F7D85">
        <w:rPr>
          <w:rFonts w:ascii="Arial" w:hAnsi="Arial" w:cs="Arial"/>
          <w:sz w:val="22"/>
          <w:szCs w:val="22"/>
        </w:rPr>
        <w:t xml:space="preserve"> $</w:t>
      </w:r>
      <w:r w:rsidR="009D4315" w:rsidRPr="009D4315">
        <w:rPr>
          <w:rFonts w:ascii="Arial" w:hAnsi="Arial" w:cs="Arial"/>
          <w:sz w:val="22"/>
          <w:szCs w:val="22"/>
        </w:rPr>
        <w:t xml:space="preserve">1,343 </w:t>
      </w:r>
      <w:r w:rsidRPr="000F7D85">
        <w:rPr>
          <w:rFonts w:ascii="Arial" w:hAnsi="Arial" w:cs="Arial"/>
          <w:sz w:val="22"/>
          <w:szCs w:val="22"/>
        </w:rPr>
        <w:t>(2 hours x 22 health centers x $</w:t>
      </w:r>
      <w:r w:rsidR="009D4315">
        <w:rPr>
          <w:rFonts w:ascii="Arial" w:hAnsi="Arial" w:cs="Arial"/>
          <w:sz w:val="22"/>
          <w:szCs w:val="22"/>
        </w:rPr>
        <w:t>30.53</w:t>
      </w:r>
      <w:r w:rsidRPr="000F7D85">
        <w:rPr>
          <w:rFonts w:ascii="Arial" w:hAnsi="Arial" w:cs="Arial"/>
          <w:sz w:val="22"/>
          <w:szCs w:val="22"/>
        </w:rPr>
        <w:t xml:space="preserve"> per hour)</w:t>
      </w:r>
      <w:r w:rsidR="00DB426D" w:rsidRPr="000F7D85">
        <w:rPr>
          <w:rFonts w:ascii="Arial" w:hAnsi="Arial" w:cs="Arial"/>
          <w:sz w:val="22"/>
          <w:szCs w:val="22"/>
        </w:rPr>
        <w:t>.</w:t>
      </w:r>
    </w:p>
    <w:p w14:paraId="4678A4ED" w14:textId="2C548D2C" w:rsidR="00D92E1D" w:rsidRPr="000F7D85" w:rsidRDefault="00E84D85" w:rsidP="00A71F21">
      <w:pPr>
        <w:spacing w:after="120"/>
        <w:rPr>
          <w:rFonts w:ascii="Arial" w:hAnsi="Arial" w:cs="Arial"/>
          <w:sz w:val="22"/>
          <w:szCs w:val="22"/>
        </w:rPr>
      </w:pPr>
      <w:r w:rsidRPr="000F7D85">
        <w:rPr>
          <w:rFonts w:ascii="Arial" w:hAnsi="Arial" w:cs="Arial"/>
          <w:sz w:val="22"/>
          <w:szCs w:val="22"/>
        </w:rPr>
        <w:t xml:space="preserve">As health centers develop reporting proficiencies and advance from initial start-up activities to establishing routine data abstraction methods for the new </w:t>
      </w:r>
      <w:r w:rsidR="00AB0F1A" w:rsidRPr="000F7D85">
        <w:rPr>
          <w:rFonts w:ascii="Arial" w:hAnsi="Arial" w:cs="Arial"/>
          <w:sz w:val="22"/>
          <w:szCs w:val="22"/>
        </w:rPr>
        <w:t xml:space="preserve">outcome </w:t>
      </w:r>
      <w:r w:rsidRPr="000F7D85">
        <w:rPr>
          <w:rFonts w:ascii="Arial" w:hAnsi="Arial" w:cs="Arial"/>
          <w:sz w:val="22"/>
          <w:szCs w:val="22"/>
        </w:rPr>
        <w:t>me</w:t>
      </w:r>
      <w:r w:rsidR="0087639F">
        <w:rPr>
          <w:rFonts w:ascii="Arial" w:hAnsi="Arial" w:cs="Arial"/>
          <w:sz w:val="22"/>
          <w:szCs w:val="22"/>
        </w:rPr>
        <w:t>asures, it is expected that burden hours and costs</w:t>
      </w:r>
      <w:r w:rsidRPr="000F7D85">
        <w:rPr>
          <w:rFonts w:ascii="Arial" w:hAnsi="Arial" w:cs="Arial"/>
          <w:sz w:val="22"/>
          <w:szCs w:val="22"/>
        </w:rPr>
        <w:t xml:space="preserve"> will decrease by 20% each year.  Furthermore, i</w:t>
      </w:r>
      <w:r w:rsidR="00F41003" w:rsidRPr="000F7D85">
        <w:rPr>
          <w:rFonts w:ascii="Arial" w:hAnsi="Arial" w:cs="Arial"/>
          <w:sz w:val="22"/>
          <w:szCs w:val="22"/>
        </w:rPr>
        <w:t xml:space="preserve">t is expected that </w:t>
      </w:r>
      <w:r w:rsidRPr="000F7D85">
        <w:rPr>
          <w:rFonts w:ascii="Arial" w:hAnsi="Arial" w:cs="Arial"/>
          <w:sz w:val="22"/>
          <w:szCs w:val="22"/>
        </w:rPr>
        <w:t>health centers</w:t>
      </w:r>
      <w:r w:rsidR="00F41003" w:rsidRPr="000F7D85">
        <w:rPr>
          <w:rFonts w:ascii="Arial" w:hAnsi="Arial" w:cs="Arial"/>
          <w:sz w:val="22"/>
          <w:szCs w:val="22"/>
        </w:rPr>
        <w:t xml:space="preserve"> will experience cost “economies” from reporting the </w:t>
      </w:r>
      <w:r w:rsidR="005B5C54" w:rsidRPr="000F7D85">
        <w:rPr>
          <w:rFonts w:ascii="Arial" w:hAnsi="Arial" w:cs="Arial"/>
          <w:sz w:val="22"/>
          <w:szCs w:val="22"/>
        </w:rPr>
        <w:t>outcome</w:t>
      </w:r>
      <w:r w:rsidR="00F41003" w:rsidRPr="000F7D85">
        <w:rPr>
          <w:rFonts w:ascii="Arial" w:hAnsi="Arial" w:cs="Arial"/>
          <w:sz w:val="22"/>
          <w:szCs w:val="22"/>
        </w:rPr>
        <w:t xml:space="preserve"> measures as they are consistent with those currently endorsed by national standard setting organizations</w:t>
      </w:r>
      <w:r w:rsidR="005B5C54" w:rsidRPr="000F7D85">
        <w:rPr>
          <w:rFonts w:ascii="Arial" w:hAnsi="Arial" w:cs="Arial"/>
          <w:sz w:val="22"/>
          <w:szCs w:val="22"/>
        </w:rPr>
        <w:t>, used by other federally funded programs, or proposed for</w:t>
      </w:r>
      <w:r w:rsidR="00F41003" w:rsidRPr="000F7D85">
        <w:rPr>
          <w:rFonts w:ascii="Arial" w:hAnsi="Arial" w:cs="Arial"/>
          <w:sz w:val="22"/>
          <w:szCs w:val="22"/>
        </w:rPr>
        <w:t xml:space="preserve"> Meaningful Use.  </w:t>
      </w:r>
    </w:p>
    <w:p w14:paraId="1D5BFB28" w14:textId="77777777" w:rsidR="009B3794" w:rsidRPr="000F7D85" w:rsidRDefault="009B3794" w:rsidP="00A71F21">
      <w:pPr>
        <w:numPr>
          <w:ilvl w:val="0"/>
          <w:numId w:val="1"/>
        </w:numPr>
        <w:tabs>
          <w:tab w:val="num" w:pos="360"/>
        </w:tabs>
        <w:spacing w:after="120"/>
        <w:ind w:left="360"/>
        <w:rPr>
          <w:rFonts w:ascii="Arial" w:hAnsi="Arial" w:cs="Arial"/>
          <w:b/>
          <w:sz w:val="22"/>
          <w:szCs w:val="22"/>
          <w:u w:val="single"/>
        </w:rPr>
      </w:pPr>
      <w:r w:rsidRPr="000F7D85">
        <w:rPr>
          <w:rFonts w:ascii="Arial" w:hAnsi="Arial" w:cs="Arial"/>
          <w:b/>
          <w:sz w:val="22"/>
          <w:szCs w:val="22"/>
          <w:u w:val="single"/>
        </w:rPr>
        <w:t>Estimates of other Total Annual Cost Burden to Respondents or Recordkeepers/Capital Costs</w:t>
      </w:r>
    </w:p>
    <w:p w14:paraId="6CBEE5F3" w14:textId="77777777" w:rsidR="00BA0327" w:rsidRPr="000F7D85" w:rsidRDefault="00C44AFE" w:rsidP="00A71F21">
      <w:pPr>
        <w:spacing w:after="120"/>
        <w:rPr>
          <w:rFonts w:ascii="Arial" w:hAnsi="Arial" w:cs="Arial"/>
          <w:sz w:val="22"/>
          <w:szCs w:val="22"/>
        </w:rPr>
      </w:pPr>
      <w:r w:rsidRPr="000F7D85">
        <w:rPr>
          <w:rFonts w:ascii="Arial" w:hAnsi="Arial" w:cs="Arial"/>
          <w:sz w:val="22"/>
          <w:szCs w:val="22"/>
        </w:rPr>
        <w:t>One-time c</w:t>
      </w:r>
      <w:r w:rsidR="00BA0327" w:rsidRPr="000F7D85">
        <w:rPr>
          <w:rFonts w:ascii="Arial" w:hAnsi="Arial" w:cs="Arial"/>
          <w:sz w:val="22"/>
          <w:szCs w:val="22"/>
        </w:rPr>
        <w:t>apital cost</w:t>
      </w:r>
      <w:r w:rsidRPr="000F7D85">
        <w:rPr>
          <w:rFonts w:ascii="Arial" w:hAnsi="Arial" w:cs="Arial"/>
          <w:sz w:val="22"/>
          <w:szCs w:val="22"/>
        </w:rPr>
        <w:t xml:space="preserve">s </w:t>
      </w:r>
      <w:r w:rsidR="00BA0327" w:rsidRPr="000F7D85">
        <w:rPr>
          <w:rFonts w:ascii="Arial" w:hAnsi="Arial" w:cs="Arial"/>
          <w:sz w:val="22"/>
          <w:szCs w:val="22"/>
        </w:rPr>
        <w:t xml:space="preserve">associated </w:t>
      </w:r>
      <w:r w:rsidRPr="000F7D85">
        <w:rPr>
          <w:rFonts w:ascii="Arial" w:hAnsi="Arial" w:cs="Arial"/>
          <w:sz w:val="22"/>
          <w:szCs w:val="22"/>
        </w:rPr>
        <w:t xml:space="preserve">EHR programming or re-programming to facilitate reporting </w:t>
      </w:r>
      <w:r w:rsidRPr="000F7D85">
        <w:rPr>
          <w:rFonts w:ascii="Arial" w:hAnsi="Arial" w:cs="Arial"/>
          <w:sz w:val="22"/>
          <w:szCs w:val="22"/>
        </w:rPr>
        <w:lastRenderedPageBreak/>
        <w:t xml:space="preserve">on new </w:t>
      </w:r>
      <w:r w:rsidR="00E84D85" w:rsidRPr="000F7D85">
        <w:rPr>
          <w:rFonts w:ascii="Arial" w:hAnsi="Arial" w:cs="Arial"/>
          <w:sz w:val="22"/>
          <w:szCs w:val="22"/>
        </w:rPr>
        <w:t xml:space="preserve">outcome </w:t>
      </w:r>
      <w:r w:rsidRPr="000F7D85">
        <w:rPr>
          <w:rFonts w:ascii="Arial" w:hAnsi="Arial" w:cs="Arial"/>
          <w:sz w:val="22"/>
          <w:szCs w:val="22"/>
        </w:rPr>
        <w:t xml:space="preserve">measures in the required format are estimated to average </w:t>
      </w:r>
      <w:r w:rsidR="00BA0327" w:rsidRPr="000F7D85">
        <w:rPr>
          <w:rFonts w:ascii="Arial" w:hAnsi="Arial" w:cs="Arial"/>
          <w:sz w:val="22"/>
          <w:szCs w:val="22"/>
        </w:rPr>
        <w:t xml:space="preserve">$1,000 per health center, totaling $22,000 </w:t>
      </w:r>
      <w:bookmarkStart w:id="0" w:name="_GoBack"/>
      <w:bookmarkEnd w:id="0"/>
      <w:r w:rsidR="00BA0327" w:rsidRPr="000F7D85">
        <w:rPr>
          <w:rFonts w:ascii="Arial" w:hAnsi="Arial" w:cs="Arial"/>
          <w:sz w:val="22"/>
          <w:szCs w:val="22"/>
        </w:rPr>
        <w:t>(22 health centers x $1,000).</w:t>
      </w:r>
    </w:p>
    <w:p w14:paraId="728892DC" w14:textId="77777777" w:rsidR="009B3794" w:rsidRPr="000F7D85" w:rsidRDefault="009B3794" w:rsidP="00A71F21">
      <w:pPr>
        <w:numPr>
          <w:ilvl w:val="0"/>
          <w:numId w:val="1"/>
        </w:numPr>
        <w:tabs>
          <w:tab w:val="num" w:pos="360"/>
        </w:tabs>
        <w:spacing w:after="120"/>
        <w:ind w:left="360"/>
        <w:rPr>
          <w:rFonts w:ascii="Arial" w:hAnsi="Arial" w:cs="Arial"/>
          <w:b/>
          <w:sz w:val="22"/>
          <w:szCs w:val="22"/>
        </w:rPr>
      </w:pPr>
      <w:r w:rsidRPr="000F7D85">
        <w:rPr>
          <w:rFonts w:ascii="Arial" w:hAnsi="Arial" w:cs="Arial"/>
          <w:b/>
          <w:sz w:val="22"/>
          <w:szCs w:val="22"/>
          <w:u w:val="single"/>
        </w:rPr>
        <w:t>Annualized Cost to Federal Government</w:t>
      </w:r>
    </w:p>
    <w:p w14:paraId="7C76FE39" w14:textId="77777777" w:rsidR="002F43FA" w:rsidRPr="000F7D85" w:rsidRDefault="002F43FA" w:rsidP="00A71F21">
      <w:pPr>
        <w:spacing w:after="120"/>
        <w:rPr>
          <w:rFonts w:ascii="Arial" w:hAnsi="Arial" w:cs="Arial"/>
          <w:sz w:val="22"/>
          <w:szCs w:val="22"/>
        </w:rPr>
      </w:pPr>
      <w:r w:rsidRPr="000F7D85">
        <w:rPr>
          <w:rFonts w:ascii="Arial" w:hAnsi="Arial" w:cs="Arial"/>
          <w:sz w:val="22"/>
          <w:szCs w:val="22"/>
        </w:rPr>
        <w:t>The annualized cost to the federal government</w:t>
      </w:r>
      <w:r w:rsidR="003C73CD" w:rsidRPr="000F7D85">
        <w:rPr>
          <w:rFonts w:ascii="Arial" w:hAnsi="Arial" w:cs="Arial"/>
          <w:sz w:val="22"/>
          <w:szCs w:val="22"/>
        </w:rPr>
        <w:t xml:space="preserve"> for </w:t>
      </w:r>
      <w:r w:rsidR="00E50082" w:rsidRPr="000F7D85">
        <w:rPr>
          <w:rFonts w:ascii="Arial" w:hAnsi="Arial" w:cs="Arial"/>
          <w:sz w:val="22"/>
          <w:szCs w:val="22"/>
        </w:rPr>
        <w:t xml:space="preserve">P4C </w:t>
      </w:r>
      <w:r w:rsidR="003C73CD" w:rsidRPr="000F7D85">
        <w:rPr>
          <w:rFonts w:ascii="Arial" w:hAnsi="Arial" w:cs="Arial"/>
          <w:sz w:val="22"/>
          <w:szCs w:val="22"/>
        </w:rPr>
        <w:t xml:space="preserve">data collection </w:t>
      </w:r>
      <w:r w:rsidR="00E50082" w:rsidRPr="000F7D85">
        <w:rPr>
          <w:rFonts w:ascii="Arial" w:hAnsi="Arial" w:cs="Arial"/>
          <w:sz w:val="22"/>
          <w:szCs w:val="22"/>
        </w:rPr>
        <w:t xml:space="preserve">and analysis </w:t>
      </w:r>
      <w:r w:rsidRPr="000F7D85">
        <w:rPr>
          <w:rFonts w:ascii="Arial" w:hAnsi="Arial" w:cs="Arial"/>
          <w:sz w:val="22"/>
          <w:szCs w:val="22"/>
        </w:rPr>
        <w:t xml:space="preserve">is estimated to be </w:t>
      </w:r>
      <w:r w:rsidR="00C85AD7" w:rsidRPr="000F7D85">
        <w:rPr>
          <w:rFonts w:ascii="Arial" w:hAnsi="Arial" w:cs="Arial"/>
          <w:color w:val="000000"/>
          <w:sz w:val="22"/>
          <w:szCs w:val="22"/>
        </w:rPr>
        <w:t>$132,659</w:t>
      </w:r>
      <w:r w:rsidRPr="000F7D85">
        <w:rPr>
          <w:rFonts w:ascii="Arial" w:hAnsi="Arial" w:cs="Arial"/>
          <w:sz w:val="22"/>
          <w:szCs w:val="22"/>
        </w:rPr>
        <w:t xml:space="preserve">, as summarized in </w:t>
      </w:r>
      <w:r w:rsidR="008B0169" w:rsidRPr="000F7D85">
        <w:rPr>
          <w:rFonts w:ascii="Arial" w:hAnsi="Arial" w:cs="Arial"/>
          <w:sz w:val="22"/>
          <w:szCs w:val="22"/>
        </w:rPr>
        <w:t>Table 4 below</w:t>
      </w:r>
      <w:r w:rsidRPr="000F7D85">
        <w:rPr>
          <w:rFonts w:ascii="Arial" w:hAnsi="Arial" w:cs="Arial"/>
          <w:sz w:val="22"/>
          <w:szCs w:val="22"/>
        </w:rPr>
        <w:t xml:space="preserve">. </w:t>
      </w:r>
      <w:r w:rsidR="00CD36FC" w:rsidRPr="000F7D85">
        <w:rPr>
          <w:rFonts w:ascii="Arial" w:hAnsi="Arial" w:cs="Arial"/>
          <w:sz w:val="22"/>
          <w:szCs w:val="22"/>
        </w:rPr>
        <w:t xml:space="preserve">HRSA/BPHC </w:t>
      </w:r>
      <w:r w:rsidR="00BF409A" w:rsidRPr="000F7D85">
        <w:rPr>
          <w:rFonts w:ascii="Arial" w:hAnsi="Arial" w:cs="Arial"/>
          <w:sz w:val="22"/>
          <w:szCs w:val="22"/>
        </w:rPr>
        <w:t xml:space="preserve">(Rockville, MD) </w:t>
      </w:r>
      <w:r w:rsidR="00CD36FC" w:rsidRPr="000F7D85">
        <w:rPr>
          <w:rFonts w:ascii="Arial" w:hAnsi="Arial" w:cs="Arial"/>
          <w:sz w:val="22"/>
          <w:szCs w:val="22"/>
        </w:rPr>
        <w:t xml:space="preserve">and CDC/DHAP </w:t>
      </w:r>
      <w:r w:rsidR="00BF409A" w:rsidRPr="000F7D85">
        <w:rPr>
          <w:rFonts w:ascii="Arial" w:hAnsi="Arial" w:cs="Arial"/>
          <w:sz w:val="22"/>
          <w:szCs w:val="22"/>
        </w:rPr>
        <w:t xml:space="preserve">(Atlanta, GA) </w:t>
      </w:r>
      <w:r w:rsidR="00CD36FC" w:rsidRPr="000F7D85">
        <w:rPr>
          <w:rFonts w:ascii="Arial" w:hAnsi="Arial" w:cs="Arial"/>
          <w:sz w:val="22"/>
          <w:szCs w:val="22"/>
        </w:rPr>
        <w:t>are working in collaboration to monitor, analyze and report results of the project</w:t>
      </w:r>
      <w:r w:rsidR="008854EF" w:rsidRPr="000F7D85">
        <w:rPr>
          <w:rFonts w:ascii="Arial" w:hAnsi="Arial" w:cs="Arial"/>
          <w:sz w:val="22"/>
          <w:szCs w:val="22"/>
        </w:rPr>
        <w:t>; therefore,</w:t>
      </w:r>
      <w:r w:rsidR="00CD36FC" w:rsidRPr="000F7D85">
        <w:rPr>
          <w:rFonts w:ascii="Arial" w:hAnsi="Arial" w:cs="Arial"/>
          <w:sz w:val="22"/>
          <w:szCs w:val="22"/>
        </w:rPr>
        <w:t xml:space="preserve"> federal staff from each agency will support this information collection. </w:t>
      </w:r>
      <w:r w:rsidR="003C73CD" w:rsidRPr="000F7D85">
        <w:rPr>
          <w:rFonts w:ascii="Arial" w:hAnsi="Arial" w:cs="Arial"/>
          <w:sz w:val="22"/>
          <w:szCs w:val="22"/>
        </w:rPr>
        <w:t>There are no new printing, equipment or other non-hourly costs incurred as a result of this data collection.</w:t>
      </w:r>
    </w:p>
    <w:p w14:paraId="7C03DE18" w14:textId="77777777" w:rsidR="00C85AD7" w:rsidRPr="000F7D85" w:rsidRDefault="00C85AD7" w:rsidP="00A71F21">
      <w:pPr>
        <w:spacing w:after="120"/>
        <w:rPr>
          <w:rFonts w:ascii="Arial" w:hAnsi="Arial" w:cs="Arial"/>
          <w:sz w:val="22"/>
          <w:szCs w:val="22"/>
        </w:rPr>
      </w:pPr>
    </w:p>
    <w:tbl>
      <w:tblPr>
        <w:tblW w:w="9648" w:type="dxa"/>
        <w:tblCellMar>
          <w:top w:w="29" w:type="dxa"/>
          <w:left w:w="115" w:type="dxa"/>
          <w:bottom w:w="29" w:type="dxa"/>
          <w:right w:w="115" w:type="dxa"/>
        </w:tblCellMar>
        <w:tblLook w:val="04A0" w:firstRow="1" w:lastRow="0" w:firstColumn="1" w:lastColumn="0" w:noHBand="0" w:noVBand="1"/>
      </w:tblPr>
      <w:tblGrid>
        <w:gridCol w:w="1501"/>
        <w:gridCol w:w="3665"/>
        <w:gridCol w:w="907"/>
        <w:gridCol w:w="1036"/>
        <w:gridCol w:w="1279"/>
        <w:gridCol w:w="1260"/>
      </w:tblGrid>
      <w:tr w:rsidR="008B0169" w:rsidRPr="000F7D85" w14:paraId="41524585" w14:textId="77777777" w:rsidTr="009F485D">
        <w:trPr>
          <w:cantSplit/>
        </w:trPr>
        <w:tc>
          <w:tcPr>
            <w:tcW w:w="9648" w:type="dxa"/>
            <w:gridSpan w:val="6"/>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B6C35A1" w14:textId="77777777" w:rsidR="008B0169" w:rsidRPr="000F7D85" w:rsidRDefault="008B0169" w:rsidP="00C85AD7">
            <w:pPr>
              <w:pStyle w:val="BodyTextIndent"/>
              <w:keepNext/>
              <w:ind w:left="0"/>
              <w:rPr>
                <w:rFonts w:ascii="Arial" w:hAnsi="Arial" w:cs="Arial"/>
                <w:sz w:val="22"/>
                <w:szCs w:val="22"/>
              </w:rPr>
            </w:pPr>
            <w:r w:rsidRPr="000F7D85">
              <w:rPr>
                <w:rFonts w:ascii="Arial" w:hAnsi="Arial" w:cs="Arial"/>
                <w:sz w:val="22"/>
                <w:szCs w:val="22"/>
              </w:rPr>
              <w:t>Table 4. Cost to the Federal Government for P4C Data Collection</w:t>
            </w:r>
          </w:p>
        </w:tc>
      </w:tr>
      <w:tr w:rsidR="00377252" w:rsidRPr="000F7D85" w14:paraId="02983EBC" w14:textId="77777777" w:rsidTr="009F485D">
        <w:trPr>
          <w:cantSplit/>
        </w:trPr>
        <w:tc>
          <w:tcPr>
            <w:tcW w:w="150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C41C59A" w14:textId="77777777" w:rsidR="005D1190" w:rsidRPr="000F7D85" w:rsidRDefault="005D1190" w:rsidP="009F485D">
            <w:pPr>
              <w:pStyle w:val="BodyTextIndent"/>
              <w:keepNext/>
              <w:ind w:left="0"/>
              <w:jc w:val="center"/>
              <w:rPr>
                <w:rFonts w:ascii="Arial" w:hAnsi="Arial" w:cs="Arial"/>
                <w:sz w:val="22"/>
                <w:szCs w:val="22"/>
              </w:rPr>
            </w:pPr>
            <w:r w:rsidRPr="000F7D85">
              <w:rPr>
                <w:rFonts w:ascii="Arial" w:hAnsi="Arial" w:cs="Arial"/>
                <w:sz w:val="22"/>
                <w:szCs w:val="22"/>
              </w:rPr>
              <w:t>Position</w:t>
            </w:r>
          </w:p>
        </w:tc>
        <w:tc>
          <w:tcPr>
            <w:tcW w:w="3665"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24666F5" w14:textId="77777777" w:rsidR="005D1190" w:rsidRPr="000F7D85" w:rsidRDefault="005D1190" w:rsidP="009F485D">
            <w:pPr>
              <w:pStyle w:val="BodyTextIndent"/>
              <w:keepNext/>
              <w:ind w:left="0"/>
              <w:jc w:val="center"/>
              <w:rPr>
                <w:rFonts w:ascii="Arial" w:hAnsi="Arial" w:cs="Arial"/>
                <w:sz w:val="22"/>
                <w:szCs w:val="22"/>
              </w:rPr>
            </w:pPr>
            <w:r w:rsidRPr="000F7D85">
              <w:rPr>
                <w:rFonts w:ascii="Arial" w:hAnsi="Arial" w:cs="Arial"/>
                <w:sz w:val="22"/>
                <w:szCs w:val="22"/>
              </w:rPr>
              <w:t>Role</w:t>
            </w:r>
          </w:p>
        </w:tc>
        <w:tc>
          <w:tcPr>
            <w:tcW w:w="907"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1E89FD0" w14:textId="77777777" w:rsidR="005D1190" w:rsidRPr="000F7D85" w:rsidRDefault="005D1190" w:rsidP="009F485D">
            <w:pPr>
              <w:pStyle w:val="BodyTextIndent"/>
              <w:keepNext/>
              <w:ind w:left="0"/>
              <w:jc w:val="center"/>
              <w:rPr>
                <w:rFonts w:ascii="Arial" w:hAnsi="Arial" w:cs="Arial"/>
                <w:sz w:val="22"/>
                <w:szCs w:val="22"/>
              </w:rPr>
            </w:pPr>
            <w:r w:rsidRPr="000F7D85">
              <w:rPr>
                <w:rFonts w:ascii="Arial" w:hAnsi="Arial" w:cs="Arial"/>
                <w:sz w:val="22"/>
                <w:szCs w:val="22"/>
              </w:rPr>
              <w:t>Years on Project</w:t>
            </w:r>
          </w:p>
        </w:tc>
        <w:tc>
          <w:tcPr>
            <w:tcW w:w="103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447F477" w14:textId="77777777" w:rsidR="005D1190" w:rsidRPr="000F7D85" w:rsidRDefault="005D1190" w:rsidP="009F485D">
            <w:pPr>
              <w:pStyle w:val="BodyTextIndent"/>
              <w:keepNext/>
              <w:ind w:left="0"/>
              <w:jc w:val="center"/>
              <w:rPr>
                <w:rFonts w:ascii="Arial" w:hAnsi="Arial" w:cs="Arial"/>
                <w:sz w:val="22"/>
                <w:szCs w:val="22"/>
              </w:rPr>
            </w:pPr>
            <w:r w:rsidRPr="000F7D85">
              <w:rPr>
                <w:rFonts w:ascii="Arial" w:hAnsi="Arial" w:cs="Arial"/>
                <w:sz w:val="22"/>
                <w:szCs w:val="22"/>
              </w:rPr>
              <w:t>Average FTE per year</w:t>
            </w:r>
          </w:p>
        </w:tc>
        <w:tc>
          <w:tcPr>
            <w:tcW w:w="127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77A1D1F" w14:textId="77777777" w:rsidR="005D1190" w:rsidRPr="000F7D85" w:rsidRDefault="005D1190" w:rsidP="009F485D">
            <w:pPr>
              <w:pStyle w:val="BodyTextIndent"/>
              <w:keepNext/>
              <w:ind w:left="0"/>
              <w:jc w:val="center"/>
              <w:rPr>
                <w:rFonts w:ascii="Arial" w:hAnsi="Arial" w:cs="Arial"/>
                <w:sz w:val="22"/>
                <w:szCs w:val="22"/>
              </w:rPr>
            </w:pPr>
            <w:r w:rsidRPr="000F7D85">
              <w:rPr>
                <w:rFonts w:ascii="Arial" w:hAnsi="Arial" w:cs="Arial"/>
                <w:sz w:val="22"/>
                <w:szCs w:val="22"/>
              </w:rPr>
              <w:t>GS scale</w:t>
            </w:r>
          </w:p>
        </w:tc>
        <w:tc>
          <w:tcPr>
            <w:tcW w:w="12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2BC0854" w14:textId="77777777" w:rsidR="005D1190" w:rsidRPr="000F7D85" w:rsidRDefault="00986642" w:rsidP="009F485D">
            <w:pPr>
              <w:pStyle w:val="BodyTextIndent"/>
              <w:keepNext/>
              <w:ind w:left="0"/>
              <w:jc w:val="center"/>
              <w:rPr>
                <w:rFonts w:ascii="Arial" w:hAnsi="Arial" w:cs="Arial"/>
                <w:sz w:val="22"/>
                <w:szCs w:val="22"/>
              </w:rPr>
            </w:pPr>
            <w:r w:rsidRPr="000F7D85">
              <w:rPr>
                <w:rFonts w:ascii="Arial" w:hAnsi="Arial" w:cs="Arial"/>
                <w:sz w:val="22"/>
                <w:szCs w:val="22"/>
              </w:rPr>
              <w:t>Total FTE Cost</w:t>
            </w:r>
          </w:p>
        </w:tc>
      </w:tr>
      <w:tr w:rsidR="00BF409A" w:rsidRPr="000F7D85" w14:paraId="1B1DBB1B" w14:textId="77777777" w:rsidTr="009F485D">
        <w:trPr>
          <w:cantSplit/>
        </w:trPr>
        <w:tc>
          <w:tcPr>
            <w:tcW w:w="1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B58F7" w14:textId="77777777" w:rsidR="005D1190" w:rsidRPr="000F7D85" w:rsidRDefault="00CD36FC" w:rsidP="00C85AD7">
            <w:pPr>
              <w:pStyle w:val="BodyTextIndent"/>
              <w:keepNext/>
              <w:ind w:left="0"/>
              <w:rPr>
                <w:rFonts w:ascii="Arial" w:hAnsi="Arial" w:cs="Arial"/>
                <w:sz w:val="22"/>
                <w:szCs w:val="22"/>
              </w:rPr>
            </w:pPr>
            <w:r w:rsidRPr="000F7D85">
              <w:rPr>
                <w:rFonts w:ascii="Arial" w:hAnsi="Arial" w:cs="Arial"/>
                <w:sz w:val="22"/>
                <w:szCs w:val="22"/>
              </w:rPr>
              <w:t xml:space="preserve">BPHC </w:t>
            </w:r>
            <w:r w:rsidR="005D1190" w:rsidRPr="000F7D85">
              <w:rPr>
                <w:rFonts w:ascii="Arial" w:hAnsi="Arial" w:cs="Arial"/>
                <w:sz w:val="22"/>
                <w:szCs w:val="22"/>
              </w:rPr>
              <w:t xml:space="preserve">Project </w:t>
            </w:r>
            <w:r w:rsidRPr="000F7D85">
              <w:rPr>
                <w:rFonts w:ascii="Arial" w:hAnsi="Arial" w:cs="Arial"/>
                <w:sz w:val="22"/>
                <w:szCs w:val="22"/>
              </w:rPr>
              <w:t>Co-</w:t>
            </w:r>
            <w:r w:rsidR="005D1190" w:rsidRPr="000F7D85">
              <w:rPr>
                <w:rFonts w:ascii="Arial" w:hAnsi="Arial" w:cs="Arial"/>
                <w:sz w:val="22"/>
                <w:szCs w:val="22"/>
              </w:rPr>
              <w:t>Lead</w:t>
            </w:r>
          </w:p>
        </w:tc>
        <w:tc>
          <w:tcPr>
            <w:tcW w:w="3665" w:type="dxa"/>
            <w:tcBorders>
              <w:top w:val="nil"/>
              <w:left w:val="nil"/>
              <w:bottom w:val="single" w:sz="8" w:space="0" w:color="auto"/>
              <w:right w:val="single" w:sz="8" w:space="0" w:color="auto"/>
            </w:tcBorders>
            <w:tcMar>
              <w:top w:w="0" w:type="dxa"/>
              <w:left w:w="108" w:type="dxa"/>
              <w:bottom w:w="0" w:type="dxa"/>
              <w:right w:w="108" w:type="dxa"/>
            </w:tcMar>
            <w:hideMark/>
          </w:tcPr>
          <w:p w14:paraId="3980BBB7" w14:textId="77777777" w:rsidR="005D1190" w:rsidRPr="000F7D85" w:rsidRDefault="005D1190" w:rsidP="00C85AD7">
            <w:pPr>
              <w:pStyle w:val="BodyTextIndent"/>
              <w:keepNext/>
              <w:numPr>
                <w:ilvl w:val="0"/>
                <w:numId w:val="17"/>
              </w:numPr>
              <w:ind w:left="254" w:hanging="254"/>
              <w:rPr>
                <w:rFonts w:ascii="Arial" w:eastAsiaTheme="minorHAnsi" w:hAnsi="Arial" w:cs="Arial"/>
                <w:sz w:val="22"/>
                <w:szCs w:val="22"/>
              </w:rPr>
            </w:pPr>
            <w:r w:rsidRPr="000F7D85">
              <w:rPr>
                <w:rFonts w:ascii="Arial" w:hAnsi="Arial" w:cs="Arial"/>
                <w:sz w:val="22"/>
                <w:szCs w:val="22"/>
              </w:rPr>
              <w:t>Progress report (PR) development</w:t>
            </w:r>
          </w:p>
          <w:p w14:paraId="1AAE3253" w14:textId="77777777" w:rsidR="005D1190" w:rsidRPr="000F7D85" w:rsidRDefault="005D1190" w:rsidP="00C85AD7">
            <w:pPr>
              <w:pStyle w:val="BodyTextIndent"/>
              <w:keepNext/>
              <w:numPr>
                <w:ilvl w:val="0"/>
                <w:numId w:val="17"/>
              </w:numPr>
              <w:ind w:left="254" w:hanging="254"/>
              <w:rPr>
                <w:rFonts w:ascii="Arial" w:hAnsi="Arial" w:cs="Arial"/>
                <w:sz w:val="22"/>
                <w:szCs w:val="22"/>
              </w:rPr>
            </w:pPr>
            <w:r w:rsidRPr="000F7D85">
              <w:rPr>
                <w:rFonts w:ascii="Arial" w:hAnsi="Arial" w:cs="Arial"/>
                <w:sz w:val="22"/>
                <w:szCs w:val="22"/>
              </w:rPr>
              <w:t>Provision of technical assistance</w:t>
            </w:r>
          </w:p>
          <w:p w14:paraId="27CD61A3" w14:textId="77777777" w:rsidR="005D1190" w:rsidRPr="000F7D85" w:rsidRDefault="005D1190" w:rsidP="00C85AD7">
            <w:pPr>
              <w:pStyle w:val="BodyTextIndent"/>
              <w:keepNext/>
              <w:numPr>
                <w:ilvl w:val="0"/>
                <w:numId w:val="17"/>
              </w:numPr>
              <w:ind w:left="254" w:hanging="254"/>
              <w:rPr>
                <w:rFonts w:ascii="Arial" w:hAnsi="Arial" w:cs="Arial"/>
                <w:sz w:val="22"/>
                <w:szCs w:val="22"/>
              </w:rPr>
            </w:pPr>
            <w:r w:rsidRPr="000F7D85">
              <w:rPr>
                <w:rFonts w:ascii="Arial" w:hAnsi="Arial" w:cs="Arial"/>
                <w:sz w:val="22"/>
                <w:szCs w:val="22"/>
              </w:rPr>
              <w:t>Conduct PR data analysis</w:t>
            </w:r>
          </w:p>
          <w:p w14:paraId="0D2768A2" w14:textId="77777777" w:rsidR="005D1190" w:rsidRPr="000F7D85" w:rsidRDefault="005D1190" w:rsidP="00C85AD7">
            <w:pPr>
              <w:pStyle w:val="BodyTextIndent"/>
              <w:keepNext/>
              <w:numPr>
                <w:ilvl w:val="0"/>
                <w:numId w:val="17"/>
              </w:numPr>
              <w:ind w:left="254" w:hanging="254"/>
              <w:rPr>
                <w:rFonts w:ascii="Arial" w:hAnsi="Arial" w:cs="Arial"/>
                <w:sz w:val="22"/>
                <w:szCs w:val="22"/>
              </w:rPr>
            </w:pPr>
            <w:r w:rsidRPr="000F7D85">
              <w:rPr>
                <w:rFonts w:ascii="Arial" w:hAnsi="Arial" w:cs="Arial"/>
                <w:sz w:val="22"/>
                <w:szCs w:val="22"/>
              </w:rPr>
              <w:t>Support public dissemination of results</w:t>
            </w:r>
          </w:p>
          <w:p w14:paraId="3BE5CE17" w14:textId="77777777" w:rsidR="005D1190" w:rsidRPr="000F7D85" w:rsidRDefault="005D1190" w:rsidP="00C85AD7">
            <w:pPr>
              <w:pStyle w:val="BodyTextIndent"/>
              <w:keepNext/>
              <w:numPr>
                <w:ilvl w:val="0"/>
                <w:numId w:val="17"/>
              </w:numPr>
              <w:ind w:left="254" w:hanging="254"/>
              <w:rPr>
                <w:rFonts w:ascii="Arial" w:hAnsi="Arial" w:cs="Arial"/>
                <w:sz w:val="22"/>
                <w:szCs w:val="22"/>
              </w:rPr>
            </w:pPr>
            <w:r w:rsidRPr="000F7D85">
              <w:rPr>
                <w:rFonts w:ascii="Arial" w:hAnsi="Arial" w:cs="Arial"/>
                <w:sz w:val="22"/>
                <w:szCs w:val="22"/>
              </w:rPr>
              <w:t>Preparation of mandatory reports</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7A202DE1" w14:textId="77777777" w:rsidR="005D1190" w:rsidRPr="000F7D85" w:rsidRDefault="005D1190" w:rsidP="009F485D">
            <w:pPr>
              <w:pStyle w:val="BodyTextIndent"/>
              <w:keepNext/>
              <w:ind w:left="0"/>
              <w:jc w:val="right"/>
              <w:rPr>
                <w:rFonts w:ascii="Arial" w:hAnsi="Arial" w:cs="Arial"/>
                <w:sz w:val="22"/>
                <w:szCs w:val="22"/>
              </w:rPr>
            </w:pPr>
            <w:r w:rsidRPr="000F7D85">
              <w:rPr>
                <w:rFonts w:ascii="Arial" w:hAnsi="Arial" w:cs="Arial"/>
                <w:sz w:val="22"/>
                <w:szCs w:val="22"/>
              </w:rPr>
              <w:t>3</w:t>
            </w:r>
          </w:p>
        </w:tc>
        <w:tc>
          <w:tcPr>
            <w:tcW w:w="1036" w:type="dxa"/>
            <w:tcBorders>
              <w:top w:val="nil"/>
              <w:left w:val="nil"/>
              <w:bottom w:val="single" w:sz="8" w:space="0" w:color="auto"/>
              <w:right w:val="single" w:sz="8" w:space="0" w:color="auto"/>
            </w:tcBorders>
            <w:tcMar>
              <w:top w:w="0" w:type="dxa"/>
              <w:left w:w="108" w:type="dxa"/>
              <w:bottom w:w="0" w:type="dxa"/>
              <w:right w:w="108" w:type="dxa"/>
            </w:tcMar>
            <w:hideMark/>
          </w:tcPr>
          <w:p w14:paraId="3F8D15A9" w14:textId="77777777" w:rsidR="005D1190" w:rsidRPr="000F7D85" w:rsidRDefault="005D1190" w:rsidP="009F485D">
            <w:pPr>
              <w:pStyle w:val="BodyTextIndent"/>
              <w:keepNext/>
              <w:ind w:left="0"/>
              <w:jc w:val="right"/>
              <w:rPr>
                <w:rFonts w:ascii="Arial" w:hAnsi="Arial" w:cs="Arial"/>
                <w:sz w:val="22"/>
                <w:szCs w:val="22"/>
              </w:rPr>
            </w:pPr>
            <w:r w:rsidRPr="000F7D85">
              <w:rPr>
                <w:rFonts w:ascii="Arial" w:hAnsi="Arial" w:cs="Arial"/>
                <w:sz w:val="22"/>
                <w:szCs w:val="22"/>
              </w:rPr>
              <w:t>.</w:t>
            </w:r>
            <w:r w:rsidR="00D232B5" w:rsidRPr="000F7D85">
              <w:rPr>
                <w:rFonts w:ascii="Arial" w:hAnsi="Arial" w:cs="Arial"/>
                <w:sz w:val="22"/>
                <w:szCs w:val="22"/>
              </w:rPr>
              <w:t>40</w:t>
            </w:r>
          </w:p>
        </w:tc>
        <w:tc>
          <w:tcPr>
            <w:tcW w:w="1279" w:type="dxa"/>
            <w:tcBorders>
              <w:top w:val="nil"/>
              <w:left w:val="nil"/>
              <w:bottom w:val="single" w:sz="8" w:space="0" w:color="auto"/>
              <w:right w:val="single" w:sz="8" w:space="0" w:color="auto"/>
            </w:tcBorders>
            <w:tcMar>
              <w:top w:w="0" w:type="dxa"/>
              <w:left w:w="108" w:type="dxa"/>
              <w:bottom w:w="0" w:type="dxa"/>
              <w:right w:w="108" w:type="dxa"/>
            </w:tcMar>
            <w:hideMark/>
          </w:tcPr>
          <w:p w14:paraId="2284D73A" w14:textId="77777777" w:rsidR="009F485D" w:rsidRDefault="005D1190" w:rsidP="009F485D">
            <w:pPr>
              <w:pStyle w:val="BodyTextIndent"/>
              <w:keepNext/>
              <w:ind w:left="0"/>
              <w:jc w:val="right"/>
              <w:rPr>
                <w:rFonts w:ascii="Arial" w:hAnsi="Arial" w:cs="Arial"/>
                <w:sz w:val="22"/>
                <w:szCs w:val="22"/>
              </w:rPr>
            </w:pPr>
            <w:r w:rsidRPr="000F7D85">
              <w:rPr>
                <w:rFonts w:ascii="Arial" w:hAnsi="Arial" w:cs="Arial"/>
                <w:sz w:val="22"/>
                <w:szCs w:val="22"/>
              </w:rPr>
              <w:t>GS14-4</w:t>
            </w:r>
          </w:p>
          <w:p w14:paraId="5D4195F3" w14:textId="77777777" w:rsidR="005D1190" w:rsidRPr="000F7D85" w:rsidRDefault="00BF409A" w:rsidP="009F485D">
            <w:pPr>
              <w:pStyle w:val="BodyTextIndent"/>
              <w:keepNext/>
              <w:ind w:left="0"/>
              <w:jc w:val="right"/>
              <w:rPr>
                <w:rFonts w:ascii="Arial" w:hAnsi="Arial" w:cs="Arial"/>
                <w:sz w:val="22"/>
                <w:szCs w:val="22"/>
              </w:rPr>
            </w:pPr>
            <w:r w:rsidRPr="000F7D85">
              <w:rPr>
                <w:rFonts w:ascii="Arial" w:hAnsi="Arial" w:cs="Arial"/>
                <w:sz w:val="22"/>
                <w:szCs w:val="22"/>
              </w:rPr>
              <w:t xml:space="preserve">$118,057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382268DD" w14:textId="77777777" w:rsidR="005D1190" w:rsidRPr="000F7D85" w:rsidRDefault="00BF409A" w:rsidP="009F485D">
            <w:pPr>
              <w:pStyle w:val="BodyTextIndent"/>
              <w:keepNext/>
              <w:ind w:left="0"/>
              <w:jc w:val="right"/>
              <w:rPr>
                <w:rFonts w:ascii="Arial" w:hAnsi="Arial" w:cs="Arial"/>
                <w:sz w:val="22"/>
                <w:szCs w:val="22"/>
              </w:rPr>
            </w:pPr>
            <w:r w:rsidRPr="000F7D85">
              <w:rPr>
                <w:rFonts w:ascii="Arial" w:hAnsi="Arial" w:cs="Arial"/>
                <w:sz w:val="22"/>
                <w:szCs w:val="22"/>
              </w:rPr>
              <w:t>$47,223</w:t>
            </w:r>
          </w:p>
        </w:tc>
      </w:tr>
      <w:tr w:rsidR="00BF409A" w:rsidRPr="000F7D85" w14:paraId="2C91A073" w14:textId="77777777" w:rsidTr="009F485D">
        <w:tc>
          <w:tcPr>
            <w:tcW w:w="1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FC5F6" w14:textId="77777777" w:rsidR="00BF409A" w:rsidRPr="000F7D85" w:rsidRDefault="00BF409A" w:rsidP="00D56422">
            <w:pPr>
              <w:pStyle w:val="BodyTextIndent"/>
              <w:ind w:left="0"/>
              <w:rPr>
                <w:rFonts w:ascii="Arial" w:hAnsi="Arial" w:cs="Arial"/>
                <w:sz w:val="22"/>
                <w:szCs w:val="22"/>
              </w:rPr>
            </w:pPr>
            <w:r w:rsidRPr="000F7D85">
              <w:rPr>
                <w:rFonts w:ascii="Arial" w:hAnsi="Arial" w:cs="Arial"/>
                <w:sz w:val="22"/>
                <w:szCs w:val="22"/>
              </w:rPr>
              <w:t>BPHC Management Analyst</w:t>
            </w:r>
          </w:p>
        </w:tc>
        <w:tc>
          <w:tcPr>
            <w:tcW w:w="3665" w:type="dxa"/>
            <w:tcBorders>
              <w:top w:val="nil"/>
              <w:left w:val="nil"/>
              <w:bottom w:val="single" w:sz="8" w:space="0" w:color="auto"/>
              <w:right w:val="single" w:sz="8" w:space="0" w:color="auto"/>
            </w:tcBorders>
            <w:tcMar>
              <w:top w:w="0" w:type="dxa"/>
              <w:left w:w="108" w:type="dxa"/>
              <w:bottom w:w="0" w:type="dxa"/>
              <w:right w:w="108" w:type="dxa"/>
            </w:tcMar>
            <w:hideMark/>
          </w:tcPr>
          <w:p w14:paraId="327A4F53" w14:textId="77777777" w:rsidR="00BF409A" w:rsidRPr="000F7D85" w:rsidRDefault="00BF409A" w:rsidP="00D56422">
            <w:pPr>
              <w:pStyle w:val="BodyTextIndent"/>
              <w:numPr>
                <w:ilvl w:val="0"/>
                <w:numId w:val="17"/>
              </w:numPr>
              <w:ind w:left="254" w:hanging="254"/>
              <w:rPr>
                <w:rFonts w:ascii="Arial" w:hAnsi="Arial" w:cs="Arial"/>
                <w:sz w:val="22"/>
                <w:szCs w:val="22"/>
              </w:rPr>
            </w:pPr>
            <w:r w:rsidRPr="000F7D85">
              <w:rPr>
                <w:rFonts w:ascii="Arial" w:hAnsi="Arial" w:cs="Arial"/>
                <w:sz w:val="22"/>
                <w:szCs w:val="22"/>
              </w:rPr>
              <w:t xml:space="preserve">Administrative support </w:t>
            </w:r>
          </w:p>
          <w:p w14:paraId="1941FEA4" w14:textId="77777777" w:rsidR="00BF409A" w:rsidRPr="000F7D85" w:rsidRDefault="00BF409A" w:rsidP="00D56422">
            <w:pPr>
              <w:pStyle w:val="BodyTextIndent"/>
              <w:ind w:left="254" w:hanging="254"/>
              <w:rPr>
                <w:rFonts w:ascii="Arial" w:hAnsi="Arial" w:cs="Arial"/>
                <w:sz w:val="22"/>
                <w:szCs w:val="22"/>
              </w:rPr>
            </w:pP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13D2AB1A" w14:textId="77777777" w:rsidR="00BF409A" w:rsidRPr="000F7D85" w:rsidRDefault="00BF409A" w:rsidP="009F485D">
            <w:pPr>
              <w:pStyle w:val="BodyTextIndent"/>
              <w:ind w:left="0"/>
              <w:jc w:val="right"/>
              <w:rPr>
                <w:rFonts w:ascii="Arial" w:hAnsi="Arial" w:cs="Arial"/>
                <w:sz w:val="22"/>
                <w:szCs w:val="22"/>
              </w:rPr>
            </w:pPr>
            <w:r w:rsidRPr="000F7D85">
              <w:rPr>
                <w:rFonts w:ascii="Arial" w:hAnsi="Arial" w:cs="Arial"/>
                <w:sz w:val="22"/>
                <w:szCs w:val="22"/>
              </w:rPr>
              <w:t>3</w:t>
            </w:r>
          </w:p>
        </w:tc>
        <w:tc>
          <w:tcPr>
            <w:tcW w:w="1036" w:type="dxa"/>
            <w:tcBorders>
              <w:top w:val="nil"/>
              <w:left w:val="nil"/>
              <w:bottom w:val="single" w:sz="8" w:space="0" w:color="auto"/>
              <w:right w:val="single" w:sz="8" w:space="0" w:color="auto"/>
            </w:tcBorders>
            <w:tcMar>
              <w:top w:w="0" w:type="dxa"/>
              <w:left w:w="108" w:type="dxa"/>
              <w:bottom w:w="0" w:type="dxa"/>
              <w:right w:w="108" w:type="dxa"/>
            </w:tcMar>
            <w:hideMark/>
          </w:tcPr>
          <w:p w14:paraId="13FACFE7" w14:textId="77777777" w:rsidR="00BF409A" w:rsidRPr="000F7D85" w:rsidRDefault="00BF409A" w:rsidP="009F485D">
            <w:pPr>
              <w:pStyle w:val="BodyTextIndent"/>
              <w:ind w:left="0"/>
              <w:jc w:val="right"/>
              <w:rPr>
                <w:rFonts w:ascii="Arial" w:hAnsi="Arial" w:cs="Arial"/>
                <w:sz w:val="22"/>
                <w:szCs w:val="22"/>
              </w:rPr>
            </w:pPr>
            <w:r w:rsidRPr="000F7D85">
              <w:rPr>
                <w:rFonts w:ascii="Arial" w:hAnsi="Arial" w:cs="Arial"/>
                <w:sz w:val="22"/>
                <w:szCs w:val="22"/>
              </w:rPr>
              <w:t>.08</w:t>
            </w:r>
          </w:p>
        </w:tc>
        <w:tc>
          <w:tcPr>
            <w:tcW w:w="1279" w:type="dxa"/>
            <w:tcBorders>
              <w:top w:val="nil"/>
              <w:left w:val="nil"/>
              <w:bottom w:val="single" w:sz="8" w:space="0" w:color="auto"/>
              <w:right w:val="single" w:sz="8" w:space="0" w:color="auto"/>
            </w:tcBorders>
            <w:tcMar>
              <w:top w:w="0" w:type="dxa"/>
              <w:left w:w="108" w:type="dxa"/>
              <w:bottom w:w="0" w:type="dxa"/>
              <w:right w:w="108" w:type="dxa"/>
            </w:tcMar>
            <w:hideMark/>
          </w:tcPr>
          <w:p w14:paraId="18068106" w14:textId="77777777" w:rsidR="009F485D" w:rsidRDefault="00BF409A" w:rsidP="009F485D">
            <w:pPr>
              <w:pStyle w:val="BodyTextIndent"/>
              <w:ind w:left="0"/>
              <w:jc w:val="right"/>
              <w:rPr>
                <w:rFonts w:ascii="Arial" w:hAnsi="Arial" w:cs="Arial"/>
                <w:sz w:val="22"/>
                <w:szCs w:val="22"/>
              </w:rPr>
            </w:pPr>
            <w:r w:rsidRPr="000F7D85">
              <w:rPr>
                <w:rFonts w:ascii="Arial" w:hAnsi="Arial" w:cs="Arial"/>
                <w:sz w:val="22"/>
                <w:szCs w:val="22"/>
              </w:rPr>
              <w:t>GS7-1</w:t>
            </w:r>
          </w:p>
          <w:p w14:paraId="4C908E2F" w14:textId="77777777" w:rsidR="00BF409A" w:rsidRPr="000F7D85" w:rsidRDefault="00BF409A" w:rsidP="009F485D">
            <w:pPr>
              <w:pStyle w:val="BodyTextIndent"/>
              <w:ind w:left="0"/>
              <w:jc w:val="right"/>
              <w:rPr>
                <w:rFonts w:ascii="Arial" w:hAnsi="Arial" w:cs="Arial"/>
                <w:sz w:val="22"/>
                <w:szCs w:val="22"/>
              </w:rPr>
            </w:pPr>
            <w:r w:rsidRPr="000F7D85">
              <w:rPr>
                <w:rFonts w:ascii="Arial" w:hAnsi="Arial" w:cs="Arial"/>
                <w:sz w:val="22"/>
                <w:szCs w:val="22"/>
              </w:rPr>
              <w:t>$43,057</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60AB7418" w14:textId="77777777" w:rsidR="00BF409A" w:rsidRPr="000F7D85" w:rsidRDefault="00BF409A" w:rsidP="009F485D">
            <w:pPr>
              <w:pStyle w:val="BodyTextIndent"/>
              <w:ind w:left="0"/>
              <w:jc w:val="right"/>
              <w:rPr>
                <w:rFonts w:ascii="Arial" w:hAnsi="Arial" w:cs="Arial"/>
                <w:sz w:val="22"/>
                <w:szCs w:val="22"/>
              </w:rPr>
            </w:pPr>
            <w:r w:rsidRPr="000F7D85">
              <w:rPr>
                <w:rFonts w:ascii="Arial" w:hAnsi="Arial" w:cs="Arial"/>
                <w:sz w:val="22"/>
                <w:szCs w:val="22"/>
              </w:rPr>
              <w:t>$3,445</w:t>
            </w:r>
          </w:p>
        </w:tc>
      </w:tr>
      <w:tr w:rsidR="00BF409A" w:rsidRPr="000F7D85" w14:paraId="51A1E19C" w14:textId="77777777" w:rsidTr="009F485D">
        <w:tc>
          <w:tcPr>
            <w:tcW w:w="1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52C8C" w14:textId="77777777" w:rsidR="00BF409A" w:rsidRPr="000F7D85" w:rsidRDefault="00BF409A" w:rsidP="00D56422">
            <w:pPr>
              <w:pStyle w:val="BodyTextIndent"/>
              <w:ind w:left="0"/>
              <w:rPr>
                <w:rFonts w:ascii="Arial" w:hAnsi="Arial" w:cs="Arial"/>
                <w:sz w:val="22"/>
                <w:szCs w:val="22"/>
              </w:rPr>
            </w:pPr>
            <w:r w:rsidRPr="000F7D85">
              <w:rPr>
                <w:rFonts w:ascii="Arial" w:hAnsi="Arial" w:cs="Arial"/>
                <w:sz w:val="22"/>
                <w:szCs w:val="22"/>
              </w:rPr>
              <w:t>BPHC Intern</w:t>
            </w:r>
          </w:p>
        </w:tc>
        <w:tc>
          <w:tcPr>
            <w:tcW w:w="3665" w:type="dxa"/>
            <w:tcBorders>
              <w:top w:val="nil"/>
              <w:left w:val="nil"/>
              <w:bottom w:val="single" w:sz="8" w:space="0" w:color="auto"/>
              <w:right w:val="single" w:sz="8" w:space="0" w:color="auto"/>
            </w:tcBorders>
            <w:tcMar>
              <w:top w:w="0" w:type="dxa"/>
              <w:left w:w="108" w:type="dxa"/>
              <w:bottom w:w="0" w:type="dxa"/>
              <w:right w:w="108" w:type="dxa"/>
            </w:tcMar>
            <w:hideMark/>
          </w:tcPr>
          <w:p w14:paraId="4C4AEFB8" w14:textId="77777777" w:rsidR="00BF409A" w:rsidRPr="000F7D85" w:rsidRDefault="00BF409A" w:rsidP="00D56422">
            <w:pPr>
              <w:pStyle w:val="BodyTextIndent"/>
              <w:numPr>
                <w:ilvl w:val="0"/>
                <w:numId w:val="17"/>
              </w:numPr>
              <w:ind w:left="254" w:hanging="254"/>
              <w:rPr>
                <w:rFonts w:ascii="Arial" w:eastAsiaTheme="minorHAnsi" w:hAnsi="Arial" w:cs="Arial"/>
                <w:sz w:val="22"/>
                <w:szCs w:val="22"/>
              </w:rPr>
            </w:pPr>
            <w:r w:rsidRPr="000F7D85">
              <w:rPr>
                <w:rFonts w:ascii="Arial" w:hAnsi="Arial" w:cs="Arial"/>
                <w:sz w:val="22"/>
                <w:szCs w:val="22"/>
              </w:rPr>
              <w:t>Conduct PR data cleaning and extraction</w:t>
            </w:r>
          </w:p>
          <w:p w14:paraId="71DB3F28" w14:textId="77777777" w:rsidR="00BF409A" w:rsidRPr="000F7D85" w:rsidRDefault="00BF409A" w:rsidP="00D56422">
            <w:pPr>
              <w:pStyle w:val="BodyTextIndent"/>
              <w:numPr>
                <w:ilvl w:val="0"/>
                <w:numId w:val="17"/>
              </w:numPr>
              <w:ind w:left="254" w:hanging="254"/>
              <w:rPr>
                <w:rFonts w:ascii="Arial" w:hAnsi="Arial" w:cs="Arial"/>
                <w:sz w:val="22"/>
                <w:szCs w:val="22"/>
              </w:rPr>
            </w:pPr>
            <w:r w:rsidRPr="000F7D85">
              <w:rPr>
                <w:rFonts w:ascii="Arial" w:hAnsi="Arial" w:cs="Arial"/>
                <w:sz w:val="22"/>
                <w:szCs w:val="22"/>
              </w:rPr>
              <w:t>Summarize PR data</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0312CF28" w14:textId="77777777" w:rsidR="00BF409A" w:rsidRPr="000F7D85" w:rsidRDefault="00BF409A" w:rsidP="009F485D">
            <w:pPr>
              <w:pStyle w:val="BodyTextIndent"/>
              <w:ind w:left="0"/>
              <w:jc w:val="right"/>
              <w:rPr>
                <w:rFonts w:ascii="Arial" w:hAnsi="Arial" w:cs="Arial"/>
                <w:sz w:val="22"/>
                <w:szCs w:val="22"/>
              </w:rPr>
            </w:pPr>
            <w:r w:rsidRPr="000F7D85">
              <w:rPr>
                <w:rFonts w:ascii="Arial" w:hAnsi="Arial" w:cs="Arial"/>
                <w:sz w:val="22"/>
                <w:szCs w:val="22"/>
              </w:rPr>
              <w:t>3</w:t>
            </w:r>
          </w:p>
        </w:tc>
        <w:tc>
          <w:tcPr>
            <w:tcW w:w="1036" w:type="dxa"/>
            <w:tcBorders>
              <w:top w:val="nil"/>
              <w:left w:val="nil"/>
              <w:bottom w:val="single" w:sz="8" w:space="0" w:color="auto"/>
              <w:right w:val="single" w:sz="8" w:space="0" w:color="auto"/>
            </w:tcBorders>
            <w:tcMar>
              <w:top w:w="0" w:type="dxa"/>
              <w:left w:w="108" w:type="dxa"/>
              <w:bottom w:w="0" w:type="dxa"/>
              <w:right w:w="108" w:type="dxa"/>
            </w:tcMar>
            <w:hideMark/>
          </w:tcPr>
          <w:p w14:paraId="03A1DB1F" w14:textId="77777777" w:rsidR="00BF409A" w:rsidRPr="000F7D85" w:rsidRDefault="00BF409A" w:rsidP="009F485D">
            <w:pPr>
              <w:pStyle w:val="BodyTextIndent"/>
              <w:ind w:left="0"/>
              <w:jc w:val="right"/>
              <w:rPr>
                <w:rFonts w:ascii="Arial" w:hAnsi="Arial" w:cs="Arial"/>
                <w:sz w:val="22"/>
                <w:szCs w:val="22"/>
              </w:rPr>
            </w:pPr>
            <w:r w:rsidRPr="000F7D85">
              <w:rPr>
                <w:rFonts w:ascii="Arial" w:hAnsi="Arial" w:cs="Arial"/>
                <w:sz w:val="22"/>
                <w:szCs w:val="22"/>
              </w:rPr>
              <w:t>.15</w:t>
            </w:r>
          </w:p>
        </w:tc>
        <w:tc>
          <w:tcPr>
            <w:tcW w:w="1279" w:type="dxa"/>
            <w:tcBorders>
              <w:top w:val="nil"/>
              <w:left w:val="nil"/>
              <w:bottom w:val="single" w:sz="8" w:space="0" w:color="auto"/>
              <w:right w:val="single" w:sz="8" w:space="0" w:color="auto"/>
            </w:tcBorders>
            <w:tcMar>
              <w:top w:w="0" w:type="dxa"/>
              <w:left w:w="108" w:type="dxa"/>
              <w:bottom w:w="0" w:type="dxa"/>
              <w:right w:w="108" w:type="dxa"/>
            </w:tcMar>
            <w:hideMark/>
          </w:tcPr>
          <w:p w14:paraId="735FE078" w14:textId="77777777" w:rsidR="009F485D" w:rsidRDefault="00BF409A" w:rsidP="009F485D">
            <w:pPr>
              <w:pStyle w:val="BodyTextIndent"/>
              <w:ind w:left="0"/>
              <w:jc w:val="right"/>
              <w:rPr>
                <w:rFonts w:ascii="Arial" w:hAnsi="Arial" w:cs="Arial"/>
                <w:sz w:val="22"/>
                <w:szCs w:val="22"/>
              </w:rPr>
            </w:pPr>
            <w:r w:rsidRPr="000F7D85">
              <w:rPr>
                <w:rFonts w:ascii="Arial" w:hAnsi="Arial" w:cs="Arial"/>
                <w:sz w:val="22"/>
                <w:szCs w:val="22"/>
              </w:rPr>
              <w:t>GS1-1</w:t>
            </w:r>
          </w:p>
          <w:p w14:paraId="403352DF" w14:textId="77777777" w:rsidR="00BF409A" w:rsidRPr="000F7D85" w:rsidRDefault="00BF409A" w:rsidP="009F485D">
            <w:pPr>
              <w:pStyle w:val="BodyTextIndent"/>
              <w:ind w:left="0"/>
              <w:jc w:val="right"/>
              <w:rPr>
                <w:rFonts w:ascii="Arial" w:hAnsi="Arial" w:cs="Arial"/>
                <w:sz w:val="22"/>
                <w:szCs w:val="22"/>
              </w:rPr>
            </w:pPr>
            <w:r w:rsidRPr="000F7D85">
              <w:rPr>
                <w:rFonts w:ascii="Arial" w:hAnsi="Arial" w:cs="Arial"/>
                <w:sz w:val="22"/>
                <w:szCs w:val="22"/>
              </w:rPr>
              <w:t xml:space="preserve">$22,560 </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0BFF0650" w14:textId="77777777" w:rsidR="00BF409A" w:rsidRPr="000F7D85" w:rsidRDefault="00C85AD7" w:rsidP="009F485D">
            <w:pPr>
              <w:pStyle w:val="BodyTextIndent"/>
              <w:ind w:left="0"/>
              <w:jc w:val="right"/>
              <w:rPr>
                <w:rFonts w:ascii="Arial" w:hAnsi="Arial" w:cs="Arial"/>
                <w:sz w:val="22"/>
                <w:szCs w:val="22"/>
              </w:rPr>
            </w:pPr>
            <w:r w:rsidRPr="000F7D85">
              <w:rPr>
                <w:rFonts w:ascii="Arial" w:hAnsi="Arial" w:cs="Arial"/>
                <w:sz w:val="22"/>
                <w:szCs w:val="22"/>
              </w:rPr>
              <w:t>$3,384</w:t>
            </w:r>
          </w:p>
        </w:tc>
      </w:tr>
      <w:tr w:rsidR="00CD36FC" w:rsidRPr="000F7D85" w14:paraId="709B7BD6" w14:textId="77777777" w:rsidTr="009F485D">
        <w:tc>
          <w:tcPr>
            <w:tcW w:w="1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90081" w14:textId="77777777" w:rsidR="00CD36FC" w:rsidRPr="000F7D85" w:rsidRDefault="00CD36FC" w:rsidP="008B0169">
            <w:pPr>
              <w:pStyle w:val="BodyTextIndent"/>
              <w:ind w:left="0"/>
              <w:rPr>
                <w:rFonts w:ascii="Arial" w:hAnsi="Arial" w:cs="Arial"/>
                <w:sz w:val="22"/>
                <w:szCs w:val="22"/>
              </w:rPr>
            </w:pPr>
            <w:r w:rsidRPr="000F7D85">
              <w:rPr>
                <w:rFonts w:ascii="Arial" w:hAnsi="Arial" w:cs="Arial"/>
                <w:sz w:val="22"/>
                <w:szCs w:val="22"/>
              </w:rPr>
              <w:t>CDC Project Co-Lead</w:t>
            </w:r>
          </w:p>
        </w:tc>
        <w:tc>
          <w:tcPr>
            <w:tcW w:w="3665" w:type="dxa"/>
            <w:tcBorders>
              <w:top w:val="nil"/>
              <w:left w:val="nil"/>
              <w:bottom w:val="single" w:sz="8" w:space="0" w:color="auto"/>
              <w:right w:val="single" w:sz="8" w:space="0" w:color="auto"/>
            </w:tcBorders>
            <w:tcMar>
              <w:top w:w="0" w:type="dxa"/>
              <w:left w:w="108" w:type="dxa"/>
              <w:bottom w:w="0" w:type="dxa"/>
              <w:right w:w="108" w:type="dxa"/>
            </w:tcMar>
            <w:hideMark/>
          </w:tcPr>
          <w:p w14:paraId="53751EBE" w14:textId="77777777" w:rsidR="00CD36FC" w:rsidRPr="000F7D85" w:rsidRDefault="00CD36FC" w:rsidP="008B0169">
            <w:pPr>
              <w:pStyle w:val="BodyTextIndent"/>
              <w:numPr>
                <w:ilvl w:val="0"/>
                <w:numId w:val="17"/>
              </w:numPr>
              <w:ind w:left="254" w:hanging="254"/>
              <w:rPr>
                <w:rFonts w:ascii="Arial" w:eastAsiaTheme="minorHAnsi" w:hAnsi="Arial" w:cs="Arial"/>
                <w:sz w:val="22"/>
                <w:szCs w:val="22"/>
              </w:rPr>
            </w:pPr>
            <w:r w:rsidRPr="000F7D85">
              <w:rPr>
                <w:rFonts w:ascii="Arial" w:hAnsi="Arial" w:cs="Arial"/>
                <w:sz w:val="22"/>
                <w:szCs w:val="22"/>
              </w:rPr>
              <w:t>Support PR data analysis</w:t>
            </w:r>
          </w:p>
          <w:p w14:paraId="4F293C9C" w14:textId="77777777" w:rsidR="00CD36FC" w:rsidRPr="000F7D85" w:rsidRDefault="00CD36FC" w:rsidP="008B0169">
            <w:pPr>
              <w:pStyle w:val="BodyTextIndent"/>
              <w:numPr>
                <w:ilvl w:val="0"/>
                <w:numId w:val="17"/>
              </w:numPr>
              <w:ind w:left="254" w:hanging="254"/>
              <w:rPr>
                <w:rFonts w:ascii="Arial" w:hAnsi="Arial" w:cs="Arial"/>
                <w:sz w:val="22"/>
                <w:szCs w:val="22"/>
              </w:rPr>
            </w:pPr>
            <w:r w:rsidRPr="000F7D85">
              <w:rPr>
                <w:rFonts w:ascii="Arial" w:hAnsi="Arial" w:cs="Arial"/>
                <w:sz w:val="22"/>
                <w:szCs w:val="22"/>
              </w:rPr>
              <w:t>Support preparation of mandatory reports</w:t>
            </w:r>
          </w:p>
          <w:p w14:paraId="7C07017D" w14:textId="77777777" w:rsidR="00CD36FC" w:rsidRPr="000F7D85" w:rsidRDefault="00CD36FC" w:rsidP="008B0169">
            <w:pPr>
              <w:pStyle w:val="BodyTextIndent"/>
              <w:numPr>
                <w:ilvl w:val="0"/>
                <w:numId w:val="17"/>
              </w:numPr>
              <w:ind w:left="254" w:hanging="254"/>
              <w:rPr>
                <w:rFonts w:ascii="Arial" w:hAnsi="Arial" w:cs="Arial"/>
                <w:sz w:val="22"/>
                <w:szCs w:val="22"/>
              </w:rPr>
            </w:pPr>
            <w:r w:rsidRPr="000F7D85">
              <w:rPr>
                <w:rFonts w:ascii="Arial" w:hAnsi="Arial" w:cs="Arial"/>
                <w:sz w:val="22"/>
                <w:szCs w:val="22"/>
              </w:rPr>
              <w:t>Support public dissemination of results</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33D109ED" w14:textId="77777777" w:rsidR="00CD36FC" w:rsidRPr="000F7D85" w:rsidRDefault="00CD36FC" w:rsidP="009F485D">
            <w:pPr>
              <w:pStyle w:val="BodyTextIndent"/>
              <w:ind w:left="0"/>
              <w:jc w:val="right"/>
              <w:rPr>
                <w:rFonts w:ascii="Arial" w:hAnsi="Arial" w:cs="Arial"/>
                <w:sz w:val="22"/>
                <w:szCs w:val="22"/>
              </w:rPr>
            </w:pPr>
            <w:r w:rsidRPr="000F7D85">
              <w:rPr>
                <w:rFonts w:ascii="Arial" w:hAnsi="Arial" w:cs="Arial"/>
                <w:sz w:val="22"/>
                <w:szCs w:val="22"/>
              </w:rPr>
              <w:t>3</w:t>
            </w:r>
          </w:p>
        </w:tc>
        <w:tc>
          <w:tcPr>
            <w:tcW w:w="1036" w:type="dxa"/>
            <w:tcBorders>
              <w:top w:val="nil"/>
              <w:left w:val="nil"/>
              <w:bottom w:val="single" w:sz="8" w:space="0" w:color="auto"/>
              <w:right w:val="single" w:sz="8" w:space="0" w:color="auto"/>
            </w:tcBorders>
            <w:tcMar>
              <w:top w:w="0" w:type="dxa"/>
              <w:left w:w="108" w:type="dxa"/>
              <w:bottom w:w="0" w:type="dxa"/>
              <w:right w:w="108" w:type="dxa"/>
            </w:tcMar>
            <w:hideMark/>
          </w:tcPr>
          <w:p w14:paraId="7576AA20" w14:textId="77777777" w:rsidR="00CD36FC" w:rsidRPr="000F7D85" w:rsidRDefault="00CD36FC" w:rsidP="009F485D">
            <w:pPr>
              <w:pStyle w:val="BodyTextIndent"/>
              <w:ind w:left="0"/>
              <w:jc w:val="right"/>
              <w:rPr>
                <w:rFonts w:ascii="Arial" w:hAnsi="Arial" w:cs="Arial"/>
                <w:sz w:val="22"/>
                <w:szCs w:val="22"/>
              </w:rPr>
            </w:pPr>
            <w:r w:rsidRPr="000F7D85">
              <w:rPr>
                <w:rFonts w:ascii="Arial" w:hAnsi="Arial" w:cs="Arial"/>
                <w:sz w:val="22"/>
                <w:szCs w:val="22"/>
              </w:rPr>
              <w:t>.</w:t>
            </w:r>
            <w:r w:rsidR="00D232B5" w:rsidRPr="000F7D85">
              <w:rPr>
                <w:rFonts w:ascii="Arial" w:hAnsi="Arial" w:cs="Arial"/>
                <w:sz w:val="22"/>
                <w:szCs w:val="22"/>
              </w:rPr>
              <w:t>25</w:t>
            </w:r>
          </w:p>
        </w:tc>
        <w:tc>
          <w:tcPr>
            <w:tcW w:w="1279" w:type="dxa"/>
            <w:tcBorders>
              <w:top w:val="nil"/>
              <w:left w:val="nil"/>
              <w:bottom w:val="single" w:sz="8" w:space="0" w:color="auto"/>
              <w:right w:val="single" w:sz="8" w:space="0" w:color="auto"/>
            </w:tcBorders>
            <w:tcMar>
              <w:top w:w="0" w:type="dxa"/>
              <w:left w:w="108" w:type="dxa"/>
              <w:bottom w:w="0" w:type="dxa"/>
              <w:right w:w="108" w:type="dxa"/>
            </w:tcMar>
            <w:hideMark/>
          </w:tcPr>
          <w:p w14:paraId="64699671" w14:textId="77777777" w:rsidR="009F485D" w:rsidRDefault="00CD36FC" w:rsidP="009F485D">
            <w:pPr>
              <w:pStyle w:val="BodyTextIndent"/>
              <w:ind w:left="0"/>
              <w:jc w:val="right"/>
              <w:rPr>
                <w:rFonts w:ascii="Arial" w:hAnsi="Arial" w:cs="Arial"/>
                <w:sz w:val="22"/>
                <w:szCs w:val="22"/>
              </w:rPr>
            </w:pPr>
            <w:r w:rsidRPr="000F7D85">
              <w:rPr>
                <w:rFonts w:ascii="Arial" w:hAnsi="Arial" w:cs="Arial"/>
                <w:sz w:val="22"/>
                <w:szCs w:val="22"/>
              </w:rPr>
              <w:t>GS14-1</w:t>
            </w:r>
          </w:p>
          <w:p w14:paraId="41BD60F7" w14:textId="77777777" w:rsidR="00CD36FC" w:rsidRPr="000F7D85" w:rsidRDefault="00BF409A" w:rsidP="009F485D">
            <w:pPr>
              <w:pStyle w:val="BodyTextIndent"/>
              <w:ind w:left="0"/>
              <w:jc w:val="right"/>
              <w:rPr>
                <w:rFonts w:ascii="Arial" w:hAnsi="Arial" w:cs="Arial"/>
                <w:sz w:val="22"/>
                <w:szCs w:val="22"/>
              </w:rPr>
            </w:pPr>
            <w:r w:rsidRPr="000F7D85">
              <w:rPr>
                <w:rFonts w:ascii="Arial" w:hAnsi="Arial" w:cs="Arial"/>
                <w:sz w:val="22"/>
                <w:szCs w:val="22"/>
              </w:rPr>
              <w:t>$103,065</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193DBD7F" w14:textId="77777777" w:rsidR="00CD36FC" w:rsidRPr="000F7D85" w:rsidRDefault="00C85AD7" w:rsidP="009F485D">
            <w:pPr>
              <w:pStyle w:val="BodyTextIndent"/>
              <w:ind w:left="0"/>
              <w:jc w:val="right"/>
              <w:rPr>
                <w:rFonts w:ascii="Arial" w:hAnsi="Arial" w:cs="Arial"/>
                <w:sz w:val="22"/>
                <w:szCs w:val="22"/>
              </w:rPr>
            </w:pPr>
            <w:r w:rsidRPr="000F7D85">
              <w:rPr>
                <w:rFonts w:ascii="Arial" w:hAnsi="Arial" w:cs="Arial"/>
                <w:sz w:val="22"/>
                <w:szCs w:val="22"/>
              </w:rPr>
              <w:t>$25,766</w:t>
            </w:r>
          </w:p>
        </w:tc>
      </w:tr>
      <w:tr w:rsidR="00BF409A" w:rsidRPr="000F7D85" w14:paraId="176448B7" w14:textId="77777777" w:rsidTr="009F485D">
        <w:tc>
          <w:tcPr>
            <w:tcW w:w="150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7EAC49E" w14:textId="77777777" w:rsidR="00CD36FC" w:rsidRPr="000F7D85" w:rsidRDefault="00CD36FC" w:rsidP="008B0169">
            <w:pPr>
              <w:pStyle w:val="BodyTextIndent"/>
              <w:ind w:left="0"/>
              <w:rPr>
                <w:rFonts w:ascii="Arial" w:hAnsi="Arial" w:cs="Arial"/>
                <w:sz w:val="22"/>
                <w:szCs w:val="22"/>
              </w:rPr>
            </w:pPr>
            <w:r w:rsidRPr="000F7D85">
              <w:rPr>
                <w:rFonts w:ascii="Arial" w:hAnsi="Arial" w:cs="Arial"/>
                <w:sz w:val="22"/>
                <w:szCs w:val="22"/>
              </w:rPr>
              <w:t>CDC Evaluation Lead</w:t>
            </w:r>
          </w:p>
        </w:tc>
        <w:tc>
          <w:tcPr>
            <w:tcW w:w="366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485AF40" w14:textId="77777777" w:rsidR="00CD36FC" w:rsidRPr="000F7D85" w:rsidRDefault="00CD36FC" w:rsidP="008B0169">
            <w:pPr>
              <w:pStyle w:val="BodyTextIndent"/>
              <w:numPr>
                <w:ilvl w:val="0"/>
                <w:numId w:val="17"/>
              </w:numPr>
              <w:ind w:left="254" w:hanging="254"/>
              <w:rPr>
                <w:rFonts w:ascii="Arial" w:eastAsiaTheme="minorHAnsi" w:hAnsi="Arial" w:cs="Arial"/>
                <w:sz w:val="22"/>
                <w:szCs w:val="22"/>
              </w:rPr>
            </w:pPr>
            <w:r w:rsidRPr="000F7D85">
              <w:rPr>
                <w:rFonts w:ascii="Arial" w:hAnsi="Arial" w:cs="Arial"/>
                <w:sz w:val="22"/>
                <w:szCs w:val="22"/>
              </w:rPr>
              <w:t>Lead PR analytical approach</w:t>
            </w:r>
          </w:p>
          <w:p w14:paraId="37A0F986" w14:textId="77777777" w:rsidR="00CD36FC" w:rsidRPr="000F7D85" w:rsidRDefault="00CD36FC" w:rsidP="008B0169">
            <w:pPr>
              <w:pStyle w:val="BodyTextIndent"/>
              <w:numPr>
                <w:ilvl w:val="0"/>
                <w:numId w:val="17"/>
              </w:numPr>
              <w:ind w:left="254" w:hanging="254"/>
              <w:rPr>
                <w:rFonts w:ascii="Arial" w:hAnsi="Arial" w:cs="Arial"/>
                <w:sz w:val="22"/>
                <w:szCs w:val="22"/>
              </w:rPr>
            </w:pPr>
            <w:r w:rsidRPr="000F7D85">
              <w:rPr>
                <w:rFonts w:ascii="Arial" w:hAnsi="Arial" w:cs="Arial"/>
                <w:sz w:val="22"/>
                <w:szCs w:val="22"/>
              </w:rPr>
              <w:t xml:space="preserve">Lead public dissemination of results </w:t>
            </w:r>
          </w:p>
        </w:tc>
        <w:tc>
          <w:tcPr>
            <w:tcW w:w="90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5916A43" w14:textId="77777777" w:rsidR="00CD36FC" w:rsidRPr="000F7D85" w:rsidRDefault="00CD36FC" w:rsidP="009F485D">
            <w:pPr>
              <w:pStyle w:val="BodyTextIndent"/>
              <w:ind w:left="0"/>
              <w:jc w:val="right"/>
              <w:rPr>
                <w:rFonts w:ascii="Arial" w:hAnsi="Arial" w:cs="Arial"/>
                <w:sz w:val="22"/>
                <w:szCs w:val="22"/>
              </w:rPr>
            </w:pPr>
            <w:r w:rsidRPr="000F7D85">
              <w:rPr>
                <w:rFonts w:ascii="Arial" w:hAnsi="Arial" w:cs="Arial"/>
                <w:sz w:val="22"/>
                <w:szCs w:val="22"/>
              </w:rPr>
              <w:t>3</w:t>
            </w:r>
          </w:p>
        </w:tc>
        <w:tc>
          <w:tcPr>
            <w:tcW w:w="103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6A66B5A" w14:textId="77777777" w:rsidR="00CD36FC" w:rsidRPr="000F7D85" w:rsidRDefault="00CD36FC" w:rsidP="009F485D">
            <w:pPr>
              <w:pStyle w:val="BodyTextIndent"/>
              <w:ind w:left="0"/>
              <w:jc w:val="right"/>
              <w:rPr>
                <w:rFonts w:ascii="Arial" w:hAnsi="Arial" w:cs="Arial"/>
                <w:sz w:val="22"/>
                <w:szCs w:val="22"/>
              </w:rPr>
            </w:pPr>
            <w:r w:rsidRPr="000F7D85">
              <w:rPr>
                <w:rFonts w:ascii="Arial" w:hAnsi="Arial" w:cs="Arial"/>
                <w:sz w:val="22"/>
                <w:szCs w:val="22"/>
              </w:rPr>
              <w:t>.25</w:t>
            </w:r>
          </w:p>
        </w:tc>
        <w:tc>
          <w:tcPr>
            <w:tcW w:w="127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9711B75" w14:textId="77777777" w:rsidR="009F485D" w:rsidRDefault="00CD36FC" w:rsidP="009F485D">
            <w:pPr>
              <w:pStyle w:val="BodyTextIndent"/>
              <w:ind w:left="0"/>
              <w:jc w:val="right"/>
              <w:rPr>
                <w:rFonts w:ascii="Arial" w:hAnsi="Arial" w:cs="Arial"/>
                <w:sz w:val="22"/>
                <w:szCs w:val="22"/>
              </w:rPr>
            </w:pPr>
            <w:r w:rsidRPr="000F7D85">
              <w:rPr>
                <w:rFonts w:ascii="Arial" w:hAnsi="Arial" w:cs="Arial"/>
                <w:sz w:val="22"/>
                <w:szCs w:val="22"/>
              </w:rPr>
              <w:t>GS13-2</w:t>
            </w:r>
          </w:p>
          <w:p w14:paraId="63374772" w14:textId="77777777" w:rsidR="00CD36FC" w:rsidRPr="000F7D85" w:rsidRDefault="00BF409A" w:rsidP="009F485D">
            <w:pPr>
              <w:pStyle w:val="BodyTextIndent"/>
              <w:ind w:left="0"/>
              <w:jc w:val="right"/>
              <w:rPr>
                <w:rFonts w:ascii="Arial" w:hAnsi="Arial" w:cs="Arial"/>
                <w:sz w:val="22"/>
                <w:szCs w:val="22"/>
              </w:rPr>
            </w:pPr>
            <w:r w:rsidRPr="000F7D85">
              <w:rPr>
                <w:rFonts w:ascii="Arial" w:hAnsi="Arial" w:cs="Arial"/>
                <w:sz w:val="22"/>
                <w:szCs w:val="22"/>
              </w:rPr>
              <w:t>$90,126</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ABCC87D" w14:textId="77777777" w:rsidR="00CD36FC" w:rsidRPr="000F7D85" w:rsidRDefault="00C85AD7" w:rsidP="009F485D">
            <w:pPr>
              <w:pStyle w:val="BodyTextIndent"/>
              <w:ind w:left="0"/>
              <w:jc w:val="right"/>
              <w:rPr>
                <w:rFonts w:ascii="Arial" w:hAnsi="Arial" w:cs="Arial"/>
                <w:sz w:val="22"/>
                <w:szCs w:val="22"/>
              </w:rPr>
            </w:pPr>
            <w:r w:rsidRPr="000F7D85">
              <w:rPr>
                <w:rFonts w:ascii="Arial" w:hAnsi="Arial" w:cs="Arial"/>
                <w:sz w:val="22"/>
                <w:szCs w:val="22"/>
              </w:rPr>
              <w:t>$22,532</w:t>
            </w:r>
          </w:p>
        </w:tc>
      </w:tr>
      <w:tr w:rsidR="00CD36FC" w:rsidRPr="000F7D85" w14:paraId="54B4F21F" w14:textId="77777777" w:rsidTr="009F485D">
        <w:tc>
          <w:tcPr>
            <w:tcW w:w="15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465E22" w14:textId="77777777" w:rsidR="00CD36FC" w:rsidRPr="000F7D85" w:rsidRDefault="00CD36FC" w:rsidP="008B0169">
            <w:pPr>
              <w:pStyle w:val="BodyTextIndent"/>
              <w:ind w:left="0"/>
              <w:rPr>
                <w:rFonts w:ascii="Arial" w:hAnsi="Arial" w:cs="Arial"/>
                <w:sz w:val="22"/>
                <w:szCs w:val="22"/>
              </w:rPr>
            </w:pPr>
            <w:r w:rsidRPr="000F7D85">
              <w:rPr>
                <w:rFonts w:ascii="Arial" w:hAnsi="Arial" w:cs="Arial"/>
                <w:sz w:val="22"/>
                <w:szCs w:val="22"/>
              </w:rPr>
              <w:t xml:space="preserve">CDC </w:t>
            </w:r>
            <w:r w:rsidR="00D232B5" w:rsidRPr="000F7D85">
              <w:rPr>
                <w:rFonts w:ascii="Arial" w:hAnsi="Arial" w:cs="Arial"/>
                <w:sz w:val="22"/>
                <w:szCs w:val="22"/>
              </w:rPr>
              <w:t>Medical Officer</w:t>
            </w:r>
          </w:p>
        </w:tc>
        <w:tc>
          <w:tcPr>
            <w:tcW w:w="3665" w:type="dxa"/>
            <w:tcBorders>
              <w:top w:val="nil"/>
              <w:left w:val="nil"/>
              <w:bottom w:val="single" w:sz="8" w:space="0" w:color="auto"/>
              <w:right w:val="single" w:sz="8" w:space="0" w:color="auto"/>
            </w:tcBorders>
            <w:tcMar>
              <w:top w:w="0" w:type="dxa"/>
              <w:left w:w="108" w:type="dxa"/>
              <w:bottom w:w="0" w:type="dxa"/>
              <w:right w:w="108" w:type="dxa"/>
            </w:tcMar>
            <w:hideMark/>
          </w:tcPr>
          <w:p w14:paraId="0F962D66" w14:textId="77777777" w:rsidR="00CD36FC" w:rsidRPr="000F7D85" w:rsidRDefault="00CD36FC" w:rsidP="008B0169">
            <w:pPr>
              <w:pStyle w:val="BodyTextIndent"/>
              <w:numPr>
                <w:ilvl w:val="0"/>
                <w:numId w:val="17"/>
              </w:numPr>
              <w:ind w:left="254" w:hanging="254"/>
              <w:rPr>
                <w:rFonts w:ascii="Arial" w:eastAsiaTheme="minorHAnsi" w:hAnsi="Arial" w:cs="Arial"/>
                <w:sz w:val="22"/>
                <w:szCs w:val="22"/>
              </w:rPr>
            </w:pPr>
            <w:r w:rsidRPr="000F7D85">
              <w:rPr>
                <w:rFonts w:ascii="Arial" w:hAnsi="Arial" w:cs="Arial"/>
                <w:sz w:val="22"/>
                <w:szCs w:val="22"/>
              </w:rPr>
              <w:t>Conduct PR data analysis</w:t>
            </w:r>
          </w:p>
          <w:p w14:paraId="0F585D07" w14:textId="77777777" w:rsidR="00CD36FC" w:rsidRPr="000F7D85" w:rsidRDefault="00CD36FC" w:rsidP="008B0169">
            <w:pPr>
              <w:pStyle w:val="BodyTextIndent"/>
              <w:numPr>
                <w:ilvl w:val="0"/>
                <w:numId w:val="17"/>
              </w:numPr>
              <w:ind w:left="254" w:hanging="254"/>
              <w:rPr>
                <w:rFonts w:ascii="Arial" w:hAnsi="Arial" w:cs="Arial"/>
                <w:sz w:val="22"/>
                <w:szCs w:val="22"/>
              </w:rPr>
            </w:pPr>
            <w:r w:rsidRPr="000F7D85">
              <w:rPr>
                <w:rFonts w:ascii="Arial" w:hAnsi="Arial" w:cs="Arial"/>
                <w:sz w:val="22"/>
                <w:szCs w:val="22"/>
              </w:rPr>
              <w:t>Prepare for public dissemination of results</w:t>
            </w:r>
          </w:p>
        </w:tc>
        <w:tc>
          <w:tcPr>
            <w:tcW w:w="907" w:type="dxa"/>
            <w:tcBorders>
              <w:top w:val="nil"/>
              <w:left w:val="nil"/>
              <w:bottom w:val="single" w:sz="8" w:space="0" w:color="auto"/>
              <w:right w:val="single" w:sz="8" w:space="0" w:color="auto"/>
            </w:tcBorders>
            <w:tcMar>
              <w:top w:w="0" w:type="dxa"/>
              <w:left w:w="108" w:type="dxa"/>
              <w:bottom w:w="0" w:type="dxa"/>
              <w:right w:w="108" w:type="dxa"/>
            </w:tcMar>
            <w:hideMark/>
          </w:tcPr>
          <w:p w14:paraId="4BF58725" w14:textId="77777777" w:rsidR="00CD36FC" w:rsidRPr="000F7D85" w:rsidRDefault="00CD36FC" w:rsidP="009F485D">
            <w:pPr>
              <w:pStyle w:val="BodyTextIndent"/>
              <w:ind w:left="0"/>
              <w:jc w:val="right"/>
              <w:rPr>
                <w:rFonts w:ascii="Arial" w:hAnsi="Arial" w:cs="Arial"/>
                <w:sz w:val="22"/>
                <w:szCs w:val="22"/>
              </w:rPr>
            </w:pPr>
            <w:r w:rsidRPr="000F7D85">
              <w:rPr>
                <w:rFonts w:ascii="Arial" w:hAnsi="Arial" w:cs="Arial"/>
                <w:sz w:val="22"/>
                <w:szCs w:val="22"/>
              </w:rPr>
              <w:t>3</w:t>
            </w:r>
          </w:p>
        </w:tc>
        <w:tc>
          <w:tcPr>
            <w:tcW w:w="1036" w:type="dxa"/>
            <w:tcBorders>
              <w:top w:val="nil"/>
              <w:left w:val="nil"/>
              <w:bottom w:val="single" w:sz="8" w:space="0" w:color="auto"/>
              <w:right w:val="single" w:sz="8" w:space="0" w:color="auto"/>
            </w:tcBorders>
            <w:tcMar>
              <w:top w:w="0" w:type="dxa"/>
              <w:left w:w="108" w:type="dxa"/>
              <w:bottom w:w="0" w:type="dxa"/>
              <w:right w:w="108" w:type="dxa"/>
            </w:tcMar>
          </w:tcPr>
          <w:p w14:paraId="254E79B9" w14:textId="77777777" w:rsidR="00CD36FC" w:rsidRPr="000F7D85" w:rsidRDefault="00D232B5" w:rsidP="009F485D">
            <w:pPr>
              <w:pStyle w:val="BodyTextIndent"/>
              <w:ind w:left="0"/>
              <w:jc w:val="right"/>
              <w:rPr>
                <w:rFonts w:ascii="Arial" w:hAnsi="Arial" w:cs="Arial"/>
                <w:sz w:val="22"/>
                <w:szCs w:val="22"/>
              </w:rPr>
            </w:pPr>
            <w:r w:rsidRPr="000F7D85">
              <w:rPr>
                <w:rFonts w:ascii="Arial" w:hAnsi="Arial" w:cs="Arial"/>
                <w:sz w:val="22"/>
                <w:szCs w:val="22"/>
              </w:rPr>
              <w:t>.2</w:t>
            </w:r>
            <w:r w:rsidR="008E653A" w:rsidRPr="000F7D85">
              <w:rPr>
                <w:rFonts w:ascii="Arial" w:hAnsi="Arial" w:cs="Arial"/>
                <w:sz w:val="22"/>
                <w:szCs w:val="22"/>
              </w:rPr>
              <w:t>5</w:t>
            </w:r>
          </w:p>
        </w:tc>
        <w:tc>
          <w:tcPr>
            <w:tcW w:w="1279" w:type="dxa"/>
            <w:tcBorders>
              <w:top w:val="nil"/>
              <w:left w:val="nil"/>
              <w:bottom w:val="single" w:sz="8" w:space="0" w:color="auto"/>
              <w:right w:val="single" w:sz="8" w:space="0" w:color="auto"/>
            </w:tcBorders>
            <w:tcMar>
              <w:top w:w="0" w:type="dxa"/>
              <w:left w:w="108" w:type="dxa"/>
              <w:bottom w:w="0" w:type="dxa"/>
              <w:right w:w="108" w:type="dxa"/>
            </w:tcMar>
          </w:tcPr>
          <w:p w14:paraId="4EA07B88" w14:textId="77777777" w:rsidR="009F485D" w:rsidRDefault="008E653A" w:rsidP="009F485D">
            <w:pPr>
              <w:pStyle w:val="BodyTextIndent"/>
              <w:ind w:left="0"/>
              <w:jc w:val="right"/>
              <w:rPr>
                <w:rFonts w:ascii="Arial" w:hAnsi="Arial" w:cs="Arial"/>
                <w:sz w:val="22"/>
                <w:szCs w:val="22"/>
              </w:rPr>
            </w:pPr>
            <w:r w:rsidRPr="000F7D85">
              <w:rPr>
                <w:rFonts w:ascii="Arial" w:hAnsi="Arial" w:cs="Arial"/>
                <w:sz w:val="22"/>
                <w:szCs w:val="22"/>
              </w:rPr>
              <w:t>GS15-1</w:t>
            </w:r>
          </w:p>
          <w:p w14:paraId="7DAFFBA0" w14:textId="77777777" w:rsidR="00CD36FC" w:rsidRPr="000F7D85" w:rsidRDefault="00BF409A" w:rsidP="009F485D">
            <w:pPr>
              <w:pStyle w:val="BodyTextIndent"/>
              <w:ind w:left="0"/>
              <w:jc w:val="right"/>
              <w:rPr>
                <w:rFonts w:ascii="Arial" w:hAnsi="Arial" w:cs="Arial"/>
                <w:sz w:val="22"/>
                <w:szCs w:val="22"/>
              </w:rPr>
            </w:pPr>
            <w:r w:rsidRPr="000F7D85">
              <w:rPr>
                <w:rFonts w:ascii="Arial" w:hAnsi="Arial" w:cs="Arial"/>
                <w:sz w:val="22"/>
                <w:szCs w:val="22"/>
              </w:rPr>
              <w:t>$121,234</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14:paraId="6355268E" w14:textId="77777777" w:rsidR="00CD36FC" w:rsidRPr="000F7D85" w:rsidRDefault="00C85AD7" w:rsidP="009F485D">
            <w:pPr>
              <w:pStyle w:val="BodyTextIndent"/>
              <w:ind w:left="0"/>
              <w:jc w:val="right"/>
              <w:rPr>
                <w:rFonts w:ascii="Arial" w:hAnsi="Arial" w:cs="Arial"/>
                <w:sz w:val="22"/>
                <w:szCs w:val="22"/>
              </w:rPr>
            </w:pPr>
            <w:r w:rsidRPr="000F7D85">
              <w:rPr>
                <w:rFonts w:ascii="Arial" w:hAnsi="Arial" w:cs="Arial"/>
                <w:sz w:val="22"/>
                <w:szCs w:val="22"/>
              </w:rPr>
              <w:t>$30,309</w:t>
            </w:r>
          </w:p>
        </w:tc>
      </w:tr>
      <w:tr w:rsidR="00986642" w:rsidRPr="000F7D85" w14:paraId="5C5EC594" w14:textId="77777777" w:rsidTr="009F485D">
        <w:tc>
          <w:tcPr>
            <w:tcW w:w="150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CB9759D" w14:textId="77777777" w:rsidR="00986642" w:rsidRPr="000F7D85" w:rsidRDefault="00986642" w:rsidP="008B0169">
            <w:pPr>
              <w:pStyle w:val="BodyTextIndent"/>
              <w:ind w:left="0"/>
              <w:rPr>
                <w:rFonts w:ascii="Arial" w:hAnsi="Arial" w:cs="Arial"/>
                <w:b/>
                <w:sz w:val="22"/>
                <w:szCs w:val="22"/>
              </w:rPr>
            </w:pPr>
            <w:r w:rsidRPr="000F7D85">
              <w:rPr>
                <w:rFonts w:ascii="Arial" w:hAnsi="Arial" w:cs="Arial"/>
                <w:b/>
                <w:sz w:val="22"/>
                <w:szCs w:val="22"/>
              </w:rPr>
              <w:t>Total Cost</w:t>
            </w:r>
          </w:p>
        </w:tc>
        <w:tc>
          <w:tcPr>
            <w:tcW w:w="366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E1E685" w14:textId="77777777" w:rsidR="00986642" w:rsidRPr="000F7D85" w:rsidRDefault="00986642" w:rsidP="008B0169">
            <w:pPr>
              <w:pStyle w:val="BodyTextIndent"/>
              <w:ind w:left="254"/>
              <w:rPr>
                <w:rFonts w:ascii="Arial" w:hAnsi="Arial" w:cs="Arial"/>
                <w:b/>
                <w:sz w:val="22"/>
                <w:szCs w:val="22"/>
              </w:rPr>
            </w:pPr>
          </w:p>
        </w:tc>
        <w:tc>
          <w:tcPr>
            <w:tcW w:w="90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555807" w14:textId="77777777" w:rsidR="00986642" w:rsidRPr="000F7D85" w:rsidRDefault="00986642" w:rsidP="009F485D">
            <w:pPr>
              <w:pStyle w:val="BodyTextIndent"/>
              <w:ind w:left="0"/>
              <w:jc w:val="right"/>
              <w:rPr>
                <w:rFonts w:ascii="Arial" w:hAnsi="Arial" w:cs="Arial"/>
                <w:b/>
                <w:sz w:val="22"/>
                <w:szCs w:val="22"/>
              </w:rPr>
            </w:pPr>
          </w:p>
        </w:tc>
        <w:tc>
          <w:tcPr>
            <w:tcW w:w="10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1EEAF8" w14:textId="77777777" w:rsidR="00986642" w:rsidRPr="000F7D85" w:rsidRDefault="00986642" w:rsidP="009F485D">
            <w:pPr>
              <w:pStyle w:val="BodyTextIndent"/>
              <w:ind w:left="0"/>
              <w:jc w:val="right"/>
              <w:rPr>
                <w:rFonts w:ascii="Arial" w:hAnsi="Arial" w:cs="Arial"/>
                <w:b/>
                <w:sz w:val="22"/>
                <w:szCs w:val="22"/>
              </w:rPr>
            </w:pPr>
          </w:p>
        </w:tc>
        <w:tc>
          <w:tcPr>
            <w:tcW w:w="127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029118C" w14:textId="77777777" w:rsidR="00986642" w:rsidRPr="000F7D85" w:rsidRDefault="00986642" w:rsidP="009F485D">
            <w:pPr>
              <w:pStyle w:val="BodyTextIndent"/>
              <w:ind w:left="0"/>
              <w:jc w:val="right"/>
              <w:rPr>
                <w:rFonts w:ascii="Arial" w:hAnsi="Arial" w:cs="Arial"/>
                <w:b/>
                <w:sz w:val="22"/>
                <w:szCs w:val="22"/>
              </w:rPr>
            </w:pP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292FF74" w14:textId="77777777" w:rsidR="00986642" w:rsidRPr="000F7D85" w:rsidRDefault="00C85AD7" w:rsidP="009F485D">
            <w:pPr>
              <w:jc w:val="right"/>
              <w:rPr>
                <w:rFonts w:ascii="Arial" w:hAnsi="Arial" w:cs="Arial"/>
                <w:b/>
                <w:color w:val="000000"/>
                <w:sz w:val="22"/>
                <w:szCs w:val="22"/>
              </w:rPr>
            </w:pPr>
            <w:r w:rsidRPr="000F7D85">
              <w:rPr>
                <w:rFonts w:ascii="Arial" w:hAnsi="Arial" w:cs="Arial"/>
                <w:b/>
                <w:color w:val="000000"/>
                <w:sz w:val="22"/>
                <w:szCs w:val="22"/>
              </w:rPr>
              <w:t xml:space="preserve">$132,659 </w:t>
            </w:r>
          </w:p>
        </w:tc>
      </w:tr>
    </w:tbl>
    <w:p w14:paraId="3ACEA0B3" w14:textId="77777777" w:rsidR="00E84D85" w:rsidRPr="000F7D85" w:rsidRDefault="00E84D85" w:rsidP="00A71F21">
      <w:pPr>
        <w:pStyle w:val="BodyTextIndent"/>
        <w:spacing w:after="120"/>
        <w:ind w:left="0"/>
        <w:rPr>
          <w:rFonts w:ascii="Arial" w:hAnsi="Arial" w:cs="Arial"/>
          <w:sz w:val="22"/>
          <w:szCs w:val="22"/>
        </w:rPr>
      </w:pPr>
    </w:p>
    <w:p w14:paraId="23F7CD05" w14:textId="77777777" w:rsidR="009B3794" w:rsidRPr="000F7D85" w:rsidRDefault="009B3794" w:rsidP="00A71F21">
      <w:pPr>
        <w:numPr>
          <w:ilvl w:val="0"/>
          <w:numId w:val="1"/>
        </w:numPr>
        <w:tabs>
          <w:tab w:val="num" w:pos="360"/>
        </w:tabs>
        <w:spacing w:after="120"/>
        <w:ind w:left="360"/>
        <w:rPr>
          <w:rFonts w:ascii="Arial" w:hAnsi="Arial" w:cs="Arial"/>
          <w:b/>
          <w:sz w:val="22"/>
          <w:szCs w:val="22"/>
          <w:u w:val="single"/>
        </w:rPr>
      </w:pPr>
      <w:r w:rsidRPr="000F7D85">
        <w:rPr>
          <w:rFonts w:ascii="Arial" w:hAnsi="Arial" w:cs="Arial"/>
          <w:b/>
          <w:sz w:val="22"/>
          <w:szCs w:val="22"/>
          <w:u w:val="single"/>
        </w:rPr>
        <w:t>Explanation for Program Changes or Adjustments</w:t>
      </w:r>
    </w:p>
    <w:p w14:paraId="7480F20F" w14:textId="77777777" w:rsidR="009B3794" w:rsidRPr="000F7D85" w:rsidRDefault="009B3794" w:rsidP="00A71F21">
      <w:pPr>
        <w:pStyle w:val="BodyTextIndent"/>
        <w:spacing w:after="120"/>
        <w:ind w:left="0"/>
        <w:rPr>
          <w:rFonts w:ascii="Arial" w:hAnsi="Arial" w:cs="Arial"/>
          <w:b/>
          <w:sz w:val="22"/>
          <w:szCs w:val="22"/>
        </w:rPr>
      </w:pPr>
      <w:r w:rsidRPr="000F7D85">
        <w:rPr>
          <w:rFonts w:ascii="Arial" w:hAnsi="Arial" w:cs="Arial"/>
          <w:sz w:val="22"/>
          <w:szCs w:val="22"/>
        </w:rPr>
        <w:t xml:space="preserve">This is a new </w:t>
      </w:r>
      <w:r w:rsidR="00FE6C30" w:rsidRPr="000F7D85">
        <w:rPr>
          <w:rFonts w:ascii="Arial" w:hAnsi="Arial" w:cs="Arial"/>
          <w:sz w:val="22"/>
          <w:szCs w:val="22"/>
        </w:rPr>
        <w:t>information</w:t>
      </w:r>
      <w:r w:rsidRPr="000F7D85">
        <w:rPr>
          <w:rFonts w:ascii="Arial" w:hAnsi="Arial" w:cs="Arial"/>
          <w:sz w:val="22"/>
          <w:szCs w:val="22"/>
        </w:rPr>
        <w:t xml:space="preserve"> collection.</w:t>
      </w:r>
    </w:p>
    <w:p w14:paraId="11D320F7" w14:textId="77777777" w:rsidR="009B3794" w:rsidRPr="000F7D85" w:rsidRDefault="009B3794" w:rsidP="00A71F21">
      <w:pPr>
        <w:numPr>
          <w:ilvl w:val="0"/>
          <w:numId w:val="1"/>
        </w:numPr>
        <w:tabs>
          <w:tab w:val="num" w:pos="360"/>
        </w:tabs>
        <w:spacing w:after="120"/>
        <w:ind w:left="360"/>
        <w:rPr>
          <w:rFonts w:ascii="Arial" w:hAnsi="Arial" w:cs="Arial"/>
          <w:b/>
          <w:sz w:val="22"/>
          <w:szCs w:val="22"/>
          <w:u w:val="single"/>
        </w:rPr>
      </w:pPr>
      <w:r w:rsidRPr="000F7D85">
        <w:rPr>
          <w:rFonts w:ascii="Arial" w:hAnsi="Arial" w:cs="Arial"/>
          <w:b/>
          <w:sz w:val="22"/>
          <w:szCs w:val="22"/>
          <w:u w:val="single"/>
        </w:rPr>
        <w:t>Plans for Tabulation</w:t>
      </w:r>
      <w:r w:rsidR="002118B4" w:rsidRPr="000F7D85">
        <w:rPr>
          <w:rFonts w:ascii="Arial" w:hAnsi="Arial" w:cs="Arial"/>
          <w:b/>
          <w:sz w:val="22"/>
          <w:szCs w:val="22"/>
          <w:u w:val="single"/>
        </w:rPr>
        <w:t xml:space="preserve">, </w:t>
      </w:r>
      <w:r w:rsidRPr="000F7D85">
        <w:rPr>
          <w:rFonts w:ascii="Arial" w:hAnsi="Arial" w:cs="Arial"/>
          <w:b/>
          <w:sz w:val="22"/>
          <w:szCs w:val="22"/>
          <w:u w:val="single"/>
        </w:rPr>
        <w:t>Publication</w:t>
      </w:r>
      <w:r w:rsidR="002118B4" w:rsidRPr="000F7D85">
        <w:rPr>
          <w:rFonts w:ascii="Arial" w:hAnsi="Arial" w:cs="Arial"/>
          <w:b/>
          <w:sz w:val="22"/>
          <w:szCs w:val="22"/>
          <w:u w:val="single"/>
        </w:rPr>
        <w:t>,</w:t>
      </w:r>
      <w:r w:rsidRPr="000F7D85">
        <w:rPr>
          <w:rFonts w:ascii="Arial" w:hAnsi="Arial" w:cs="Arial"/>
          <w:b/>
          <w:sz w:val="22"/>
          <w:szCs w:val="22"/>
          <w:u w:val="single"/>
        </w:rPr>
        <w:t xml:space="preserve"> and Project Time Schedule</w:t>
      </w:r>
    </w:p>
    <w:p w14:paraId="6BA44C6A" w14:textId="5E8DC5A3" w:rsidR="005F52CA" w:rsidRPr="000F7D85" w:rsidRDefault="0072064F" w:rsidP="00A71F21">
      <w:pPr>
        <w:spacing w:after="120"/>
        <w:rPr>
          <w:rFonts w:ascii="Arial" w:hAnsi="Arial" w:cs="Arial"/>
          <w:sz w:val="22"/>
          <w:szCs w:val="22"/>
        </w:rPr>
      </w:pPr>
      <w:r>
        <w:rPr>
          <w:rFonts w:ascii="Arial" w:hAnsi="Arial" w:cs="Arial"/>
          <w:sz w:val="22"/>
          <w:szCs w:val="22"/>
        </w:rPr>
        <w:t>R</w:t>
      </w:r>
      <w:r w:rsidR="009A02F7" w:rsidRPr="000F7D85">
        <w:rPr>
          <w:rFonts w:ascii="Arial" w:hAnsi="Arial" w:cs="Arial"/>
          <w:sz w:val="22"/>
          <w:szCs w:val="22"/>
        </w:rPr>
        <w:t xml:space="preserve">eviews will be performed on each submitted progress report to ensure that all requested information is provided and appears valid. Any concerns will be discussed with the responding </w:t>
      </w:r>
      <w:r w:rsidR="009A02F7" w:rsidRPr="000F7D85">
        <w:rPr>
          <w:rFonts w:ascii="Arial" w:hAnsi="Arial" w:cs="Arial"/>
          <w:sz w:val="22"/>
          <w:szCs w:val="22"/>
        </w:rPr>
        <w:lastRenderedPageBreak/>
        <w:t xml:space="preserve">health center and individualized technical assistance provided as needed to support submission of a revised report. </w:t>
      </w:r>
      <w:r w:rsidR="00342A24">
        <w:rPr>
          <w:rFonts w:ascii="Arial" w:hAnsi="Arial" w:cs="Arial"/>
          <w:sz w:val="22"/>
          <w:szCs w:val="22"/>
        </w:rPr>
        <w:t xml:space="preserve">Advanced statistical methods such as sampling, imputation or estimation will not be used to analyze progress reports. </w:t>
      </w:r>
      <w:r w:rsidR="00A37ACB" w:rsidRPr="000F7D85">
        <w:rPr>
          <w:rFonts w:ascii="Arial" w:hAnsi="Arial" w:cs="Arial"/>
          <w:sz w:val="22"/>
          <w:szCs w:val="22"/>
        </w:rPr>
        <w:t>Basic</w:t>
      </w:r>
      <w:r w:rsidR="00342A24">
        <w:rPr>
          <w:rFonts w:ascii="Arial" w:hAnsi="Arial" w:cs="Arial"/>
          <w:sz w:val="22"/>
          <w:szCs w:val="22"/>
        </w:rPr>
        <w:t xml:space="preserve"> analytical</w:t>
      </w:r>
      <w:r w:rsidR="00A37ACB" w:rsidRPr="000F7D85">
        <w:rPr>
          <w:rFonts w:ascii="Arial" w:hAnsi="Arial" w:cs="Arial"/>
          <w:sz w:val="22"/>
          <w:szCs w:val="22"/>
        </w:rPr>
        <w:t xml:space="preserve"> techniques will be used </w:t>
      </w:r>
      <w:r w:rsidR="005F52CA" w:rsidRPr="000F7D85">
        <w:rPr>
          <w:rFonts w:ascii="Arial" w:hAnsi="Arial" w:cs="Arial"/>
          <w:sz w:val="22"/>
          <w:szCs w:val="22"/>
        </w:rPr>
        <w:t xml:space="preserve">given the small sub-set of health centers from which data is collected (i.e., 22 out of </w:t>
      </w:r>
      <w:r w:rsidR="00454251">
        <w:rPr>
          <w:rFonts w:ascii="Arial" w:hAnsi="Arial" w:cs="Arial"/>
          <w:sz w:val="22"/>
          <w:szCs w:val="22"/>
        </w:rPr>
        <w:t>over 1,300</w:t>
      </w:r>
      <w:r w:rsidR="005F52CA" w:rsidRPr="000F7D85">
        <w:rPr>
          <w:rFonts w:ascii="Arial" w:hAnsi="Arial" w:cs="Arial"/>
          <w:sz w:val="22"/>
          <w:szCs w:val="22"/>
        </w:rPr>
        <w:t xml:space="preserve"> health centers nationally</w:t>
      </w:r>
      <w:r w:rsidR="00342A24">
        <w:rPr>
          <w:rFonts w:ascii="Arial" w:hAnsi="Arial" w:cs="Arial"/>
          <w:sz w:val="22"/>
          <w:szCs w:val="22"/>
        </w:rPr>
        <w:t>), including</w:t>
      </w:r>
      <w:r w:rsidR="008854EF" w:rsidRPr="000F7D85">
        <w:rPr>
          <w:rFonts w:ascii="Arial" w:hAnsi="Arial" w:cs="Arial"/>
          <w:sz w:val="22"/>
          <w:szCs w:val="22"/>
        </w:rPr>
        <w:t xml:space="preserve">: </w:t>
      </w:r>
    </w:p>
    <w:p w14:paraId="1914708D" w14:textId="77777777" w:rsidR="00D45D6F" w:rsidRPr="000F7D85" w:rsidRDefault="00D45D6F" w:rsidP="00A71F21">
      <w:pPr>
        <w:pStyle w:val="ListParagraph"/>
        <w:numPr>
          <w:ilvl w:val="0"/>
          <w:numId w:val="18"/>
        </w:numPr>
        <w:spacing w:after="120"/>
        <w:rPr>
          <w:rFonts w:ascii="Arial" w:hAnsi="Arial" w:cs="Arial"/>
          <w:sz w:val="22"/>
          <w:szCs w:val="22"/>
        </w:rPr>
      </w:pPr>
      <w:r w:rsidRPr="000F7D85">
        <w:rPr>
          <w:rFonts w:ascii="Arial" w:hAnsi="Arial" w:cs="Arial"/>
          <w:b/>
          <w:sz w:val="22"/>
          <w:szCs w:val="22"/>
        </w:rPr>
        <w:t>Data</w:t>
      </w:r>
      <w:r w:rsidR="00981907" w:rsidRPr="000F7D85">
        <w:rPr>
          <w:rFonts w:ascii="Arial" w:hAnsi="Arial" w:cs="Arial"/>
          <w:b/>
          <w:sz w:val="22"/>
          <w:szCs w:val="22"/>
        </w:rPr>
        <w:t xml:space="preserve"> and information</w:t>
      </w:r>
      <w:r w:rsidRPr="000F7D85">
        <w:rPr>
          <w:rFonts w:ascii="Arial" w:hAnsi="Arial" w:cs="Arial"/>
          <w:b/>
          <w:sz w:val="22"/>
          <w:szCs w:val="22"/>
        </w:rPr>
        <w:t xml:space="preserve"> </w:t>
      </w:r>
      <w:r w:rsidR="00087099" w:rsidRPr="000F7D85">
        <w:rPr>
          <w:rFonts w:ascii="Arial" w:hAnsi="Arial" w:cs="Arial"/>
          <w:b/>
          <w:sz w:val="22"/>
          <w:szCs w:val="22"/>
        </w:rPr>
        <w:t>preparation</w:t>
      </w:r>
      <w:r w:rsidR="00087099" w:rsidRPr="000F7D85">
        <w:rPr>
          <w:rFonts w:ascii="Arial" w:hAnsi="Arial" w:cs="Arial"/>
          <w:sz w:val="22"/>
          <w:szCs w:val="22"/>
        </w:rPr>
        <w:t xml:space="preserve"> to create</w:t>
      </w:r>
      <w:r w:rsidR="00FD68EC" w:rsidRPr="000F7D85">
        <w:rPr>
          <w:rFonts w:ascii="Arial" w:hAnsi="Arial" w:cs="Arial"/>
          <w:sz w:val="22"/>
          <w:szCs w:val="22"/>
        </w:rPr>
        <w:t>, format,</w:t>
      </w:r>
      <w:r w:rsidR="00087099" w:rsidRPr="000F7D85">
        <w:rPr>
          <w:rFonts w:ascii="Arial" w:hAnsi="Arial" w:cs="Arial"/>
          <w:sz w:val="22"/>
          <w:szCs w:val="22"/>
        </w:rPr>
        <w:t xml:space="preserve"> </w:t>
      </w:r>
      <w:r w:rsidR="00FD68EC" w:rsidRPr="000F7D85">
        <w:rPr>
          <w:rFonts w:ascii="Arial" w:hAnsi="Arial" w:cs="Arial"/>
          <w:sz w:val="22"/>
          <w:szCs w:val="22"/>
        </w:rPr>
        <w:t xml:space="preserve">document </w:t>
      </w:r>
      <w:r w:rsidR="00087099" w:rsidRPr="000F7D85">
        <w:rPr>
          <w:rFonts w:ascii="Arial" w:hAnsi="Arial" w:cs="Arial"/>
          <w:sz w:val="22"/>
          <w:szCs w:val="22"/>
        </w:rPr>
        <w:t xml:space="preserve">and back-up </w:t>
      </w:r>
      <w:r w:rsidR="00FD68EC" w:rsidRPr="000F7D85">
        <w:rPr>
          <w:rFonts w:ascii="Arial" w:hAnsi="Arial" w:cs="Arial"/>
          <w:sz w:val="22"/>
          <w:szCs w:val="22"/>
        </w:rPr>
        <w:t xml:space="preserve">complete </w:t>
      </w:r>
      <w:r w:rsidR="00087099" w:rsidRPr="000F7D85">
        <w:rPr>
          <w:rFonts w:ascii="Arial" w:hAnsi="Arial" w:cs="Arial"/>
          <w:sz w:val="22"/>
          <w:szCs w:val="22"/>
        </w:rPr>
        <w:t>analytical files for analysis.</w:t>
      </w:r>
    </w:p>
    <w:p w14:paraId="402E9662" w14:textId="77777777" w:rsidR="00A37ACB" w:rsidRPr="000F7D85" w:rsidRDefault="00A37ACB" w:rsidP="00A71F21">
      <w:pPr>
        <w:pStyle w:val="ListParagraph"/>
        <w:numPr>
          <w:ilvl w:val="0"/>
          <w:numId w:val="18"/>
        </w:numPr>
        <w:spacing w:after="120"/>
        <w:rPr>
          <w:rFonts w:ascii="Arial" w:hAnsi="Arial" w:cs="Arial"/>
          <w:sz w:val="22"/>
          <w:szCs w:val="22"/>
        </w:rPr>
      </w:pPr>
      <w:r w:rsidRPr="000F7D85">
        <w:rPr>
          <w:rFonts w:ascii="Arial" w:hAnsi="Arial" w:cs="Arial"/>
          <w:b/>
          <w:sz w:val="22"/>
          <w:szCs w:val="22"/>
        </w:rPr>
        <w:t xml:space="preserve">Content analysis of qualitative information </w:t>
      </w:r>
      <w:r w:rsidRPr="000F7D85">
        <w:rPr>
          <w:rFonts w:ascii="Arial" w:hAnsi="Arial" w:cs="Arial"/>
          <w:sz w:val="22"/>
          <w:szCs w:val="22"/>
        </w:rPr>
        <w:t xml:space="preserve">to </w:t>
      </w:r>
      <w:r w:rsidR="008854EF" w:rsidRPr="000F7D85">
        <w:rPr>
          <w:rFonts w:ascii="Arial" w:hAnsi="Arial" w:cs="Arial"/>
          <w:sz w:val="22"/>
          <w:szCs w:val="22"/>
        </w:rPr>
        <w:t xml:space="preserve">describe and make logical conclusions about </w:t>
      </w:r>
      <w:r w:rsidR="00D45D6F" w:rsidRPr="000F7D85">
        <w:rPr>
          <w:rFonts w:ascii="Arial" w:hAnsi="Arial" w:cs="Arial"/>
          <w:sz w:val="22"/>
          <w:szCs w:val="22"/>
        </w:rPr>
        <w:t xml:space="preserve">health center </w:t>
      </w:r>
      <w:r w:rsidR="00087099" w:rsidRPr="000F7D85">
        <w:rPr>
          <w:rFonts w:ascii="Arial" w:hAnsi="Arial" w:cs="Arial"/>
          <w:sz w:val="22"/>
          <w:szCs w:val="22"/>
        </w:rPr>
        <w:t>implementation of the project</w:t>
      </w:r>
      <w:r w:rsidR="00FD68EC" w:rsidRPr="000F7D85">
        <w:rPr>
          <w:rFonts w:ascii="Arial" w:hAnsi="Arial" w:cs="Arial"/>
          <w:sz w:val="22"/>
          <w:szCs w:val="22"/>
        </w:rPr>
        <w:t xml:space="preserve"> and compliance with project requirements;</w:t>
      </w:r>
      <w:r w:rsidR="00D45D6F" w:rsidRPr="000F7D85">
        <w:rPr>
          <w:rFonts w:ascii="Arial" w:hAnsi="Arial" w:cs="Arial"/>
          <w:sz w:val="22"/>
          <w:szCs w:val="22"/>
        </w:rPr>
        <w:t xml:space="preserve"> and</w:t>
      </w:r>
      <w:r w:rsidR="008854EF" w:rsidRPr="000F7D85">
        <w:rPr>
          <w:rFonts w:ascii="Arial" w:hAnsi="Arial" w:cs="Arial"/>
          <w:sz w:val="22"/>
          <w:szCs w:val="22"/>
        </w:rPr>
        <w:t xml:space="preserve"> establish</w:t>
      </w:r>
      <w:r w:rsidRPr="000F7D85">
        <w:rPr>
          <w:rFonts w:ascii="Arial" w:hAnsi="Arial" w:cs="Arial"/>
          <w:sz w:val="22"/>
          <w:szCs w:val="22"/>
        </w:rPr>
        <w:t xml:space="preserve"> categorical data</w:t>
      </w:r>
      <w:r w:rsidR="00087099" w:rsidRPr="000F7D85">
        <w:rPr>
          <w:rFonts w:ascii="Arial" w:hAnsi="Arial" w:cs="Arial"/>
          <w:sz w:val="22"/>
          <w:szCs w:val="22"/>
        </w:rPr>
        <w:t xml:space="preserve"> for further analysis</w:t>
      </w:r>
      <w:r w:rsidR="00D45D6F" w:rsidRPr="000F7D85">
        <w:rPr>
          <w:rFonts w:ascii="Arial" w:hAnsi="Arial" w:cs="Arial"/>
          <w:sz w:val="22"/>
          <w:szCs w:val="22"/>
        </w:rPr>
        <w:t xml:space="preserve">. </w:t>
      </w:r>
    </w:p>
    <w:p w14:paraId="564BFA2D" w14:textId="77777777" w:rsidR="007F1FBC" w:rsidRPr="000F7D85" w:rsidRDefault="00087099" w:rsidP="00A71F21">
      <w:pPr>
        <w:pStyle w:val="ListParagraph"/>
        <w:numPr>
          <w:ilvl w:val="0"/>
          <w:numId w:val="18"/>
        </w:numPr>
        <w:spacing w:after="120"/>
        <w:rPr>
          <w:rFonts w:ascii="Arial" w:hAnsi="Arial" w:cs="Arial"/>
          <w:sz w:val="22"/>
          <w:szCs w:val="22"/>
        </w:rPr>
      </w:pPr>
      <w:r w:rsidRPr="000F7D85">
        <w:rPr>
          <w:rFonts w:ascii="Arial" w:hAnsi="Arial" w:cs="Arial"/>
          <w:b/>
          <w:sz w:val="22"/>
          <w:szCs w:val="22"/>
        </w:rPr>
        <w:t>Univariate</w:t>
      </w:r>
      <w:r w:rsidR="00A37ACB" w:rsidRPr="000F7D85">
        <w:rPr>
          <w:rFonts w:ascii="Arial" w:hAnsi="Arial" w:cs="Arial"/>
          <w:b/>
          <w:sz w:val="22"/>
          <w:szCs w:val="22"/>
        </w:rPr>
        <w:t xml:space="preserve"> analysis of quantitative </w:t>
      </w:r>
      <w:r w:rsidRPr="000F7D85">
        <w:rPr>
          <w:rFonts w:ascii="Arial" w:hAnsi="Arial" w:cs="Arial"/>
          <w:b/>
          <w:sz w:val="22"/>
          <w:szCs w:val="22"/>
        </w:rPr>
        <w:t xml:space="preserve">and categorical </w:t>
      </w:r>
      <w:r w:rsidR="00A37ACB" w:rsidRPr="000F7D85">
        <w:rPr>
          <w:rFonts w:ascii="Arial" w:hAnsi="Arial" w:cs="Arial"/>
          <w:b/>
          <w:sz w:val="22"/>
          <w:szCs w:val="22"/>
        </w:rPr>
        <w:t xml:space="preserve">data </w:t>
      </w:r>
      <w:r w:rsidR="00A37ACB" w:rsidRPr="000F7D85">
        <w:rPr>
          <w:rFonts w:ascii="Arial" w:hAnsi="Arial" w:cs="Arial"/>
          <w:sz w:val="22"/>
          <w:szCs w:val="22"/>
        </w:rPr>
        <w:t xml:space="preserve">to </w:t>
      </w:r>
      <w:r w:rsidR="00D45D6F" w:rsidRPr="000F7D85">
        <w:rPr>
          <w:rFonts w:ascii="Arial" w:hAnsi="Arial" w:cs="Arial"/>
          <w:sz w:val="22"/>
          <w:szCs w:val="22"/>
        </w:rPr>
        <w:t xml:space="preserve">describe variation and trends in </w:t>
      </w:r>
      <w:r w:rsidRPr="000F7D85">
        <w:rPr>
          <w:rFonts w:ascii="Arial" w:hAnsi="Arial" w:cs="Arial"/>
          <w:sz w:val="22"/>
          <w:szCs w:val="22"/>
        </w:rPr>
        <w:t xml:space="preserve">project implementation and </w:t>
      </w:r>
      <w:r w:rsidR="00D45D6F" w:rsidRPr="000F7D85">
        <w:rPr>
          <w:rFonts w:ascii="Arial" w:hAnsi="Arial" w:cs="Arial"/>
          <w:sz w:val="22"/>
          <w:szCs w:val="22"/>
        </w:rPr>
        <w:t>outcomes</w:t>
      </w:r>
      <w:r w:rsidR="00892595" w:rsidRPr="000F7D85">
        <w:rPr>
          <w:rFonts w:ascii="Arial" w:hAnsi="Arial" w:cs="Arial"/>
          <w:sz w:val="22"/>
          <w:szCs w:val="22"/>
        </w:rPr>
        <w:t xml:space="preserve"> along the HIV care continuum</w:t>
      </w:r>
      <w:r w:rsidR="00D45D6F" w:rsidRPr="000F7D85">
        <w:rPr>
          <w:rFonts w:ascii="Arial" w:hAnsi="Arial" w:cs="Arial"/>
          <w:sz w:val="22"/>
          <w:szCs w:val="22"/>
        </w:rPr>
        <w:t>.</w:t>
      </w:r>
    </w:p>
    <w:p w14:paraId="3BC9829D" w14:textId="77777777" w:rsidR="00D45D6F" w:rsidRPr="000F7D85" w:rsidRDefault="00D45D6F" w:rsidP="00A71F21">
      <w:pPr>
        <w:pStyle w:val="ListParagraph"/>
        <w:numPr>
          <w:ilvl w:val="0"/>
          <w:numId w:val="18"/>
        </w:numPr>
        <w:spacing w:after="120"/>
        <w:rPr>
          <w:rFonts w:ascii="Arial" w:hAnsi="Arial" w:cs="Arial"/>
          <w:sz w:val="22"/>
          <w:szCs w:val="22"/>
        </w:rPr>
      </w:pPr>
      <w:r w:rsidRPr="000F7D85">
        <w:rPr>
          <w:rFonts w:ascii="Arial" w:hAnsi="Arial" w:cs="Arial"/>
          <w:b/>
          <w:sz w:val="22"/>
          <w:szCs w:val="22"/>
        </w:rPr>
        <w:t xml:space="preserve">Correlation analysis </w:t>
      </w:r>
      <w:r w:rsidRPr="000F7D85">
        <w:rPr>
          <w:rFonts w:ascii="Arial" w:hAnsi="Arial" w:cs="Arial"/>
          <w:sz w:val="22"/>
          <w:szCs w:val="22"/>
        </w:rPr>
        <w:t>to measure relationships between project implementation and outcomes</w:t>
      </w:r>
      <w:r w:rsidR="00087099" w:rsidRPr="000F7D85">
        <w:rPr>
          <w:rFonts w:ascii="Arial" w:hAnsi="Arial" w:cs="Arial"/>
          <w:sz w:val="22"/>
          <w:szCs w:val="22"/>
        </w:rPr>
        <w:t>, and identify promising practices.</w:t>
      </w:r>
    </w:p>
    <w:p w14:paraId="3CA49AF3" w14:textId="77777777" w:rsidR="00C85AD7" w:rsidRPr="000F7D85" w:rsidRDefault="00087099" w:rsidP="00A71F21">
      <w:pPr>
        <w:pStyle w:val="ListParagraph"/>
        <w:numPr>
          <w:ilvl w:val="0"/>
          <w:numId w:val="18"/>
        </w:numPr>
        <w:spacing w:after="120"/>
        <w:rPr>
          <w:rFonts w:ascii="Arial" w:hAnsi="Arial" w:cs="Arial"/>
          <w:sz w:val="22"/>
          <w:szCs w:val="22"/>
        </w:rPr>
      </w:pPr>
      <w:r w:rsidRPr="000F7D85">
        <w:rPr>
          <w:rFonts w:ascii="Arial" w:hAnsi="Arial" w:cs="Arial"/>
          <w:b/>
          <w:sz w:val="22"/>
          <w:szCs w:val="22"/>
        </w:rPr>
        <w:t>Case study analysis</w:t>
      </w:r>
      <w:r w:rsidR="00815C27" w:rsidRPr="000F7D85">
        <w:rPr>
          <w:rFonts w:ascii="Arial" w:hAnsi="Arial" w:cs="Arial"/>
          <w:sz w:val="22"/>
          <w:szCs w:val="22"/>
        </w:rPr>
        <w:t xml:space="preserve"> to </w:t>
      </w:r>
      <w:r w:rsidR="00892595" w:rsidRPr="000F7D85">
        <w:rPr>
          <w:rFonts w:ascii="Arial" w:hAnsi="Arial" w:cs="Arial"/>
          <w:sz w:val="22"/>
          <w:szCs w:val="22"/>
        </w:rPr>
        <w:t xml:space="preserve">explore patterns in the data, understand outliers, </w:t>
      </w:r>
      <w:r w:rsidR="009F485D">
        <w:rPr>
          <w:rFonts w:ascii="Arial" w:hAnsi="Arial" w:cs="Arial"/>
          <w:sz w:val="22"/>
          <w:szCs w:val="22"/>
        </w:rPr>
        <w:t>and</w:t>
      </w:r>
      <w:r w:rsidR="00FD68EC" w:rsidRPr="000F7D85">
        <w:rPr>
          <w:rFonts w:ascii="Arial" w:hAnsi="Arial" w:cs="Arial"/>
          <w:sz w:val="22"/>
          <w:szCs w:val="22"/>
        </w:rPr>
        <w:t xml:space="preserve"> </w:t>
      </w:r>
      <w:r w:rsidR="00815C27" w:rsidRPr="000F7D85">
        <w:rPr>
          <w:rFonts w:ascii="Arial" w:hAnsi="Arial" w:cs="Arial"/>
          <w:sz w:val="22"/>
          <w:szCs w:val="22"/>
        </w:rPr>
        <w:t>validate conclusions.</w:t>
      </w:r>
    </w:p>
    <w:p w14:paraId="11D934EC" w14:textId="77777777" w:rsidR="00EA7D7B" w:rsidRPr="000F7D85" w:rsidRDefault="00FD68EC" w:rsidP="00A71F21">
      <w:pPr>
        <w:spacing w:after="120"/>
        <w:rPr>
          <w:rFonts w:ascii="Arial" w:hAnsi="Arial" w:cs="Arial"/>
          <w:sz w:val="22"/>
          <w:szCs w:val="22"/>
        </w:rPr>
      </w:pPr>
      <w:r w:rsidRPr="000F7D85">
        <w:rPr>
          <w:rFonts w:ascii="Arial" w:hAnsi="Arial" w:cs="Arial"/>
          <w:sz w:val="22"/>
          <w:szCs w:val="22"/>
        </w:rPr>
        <w:t xml:space="preserve">Results </w:t>
      </w:r>
      <w:r w:rsidR="00981907" w:rsidRPr="000F7D85">
        <w:rPr>
          <w:rFonts w:ascii="Arial" w:hAnsi="Arial" w:cs="Arial"/>
          <w:sz w:val="22"/>
          <w:szCs w:val="22"/>
        </w:rPr>
        <w:t xml:space="preserve">of these analyses </w:t>
      </w:r>
      <w:r w:rsidRPr="000F7D85">
        <w:rPr>
          <w:rFonts w:ascii="Arial" w:hAnsi="Arial" w:cs="Arial"/>
          <w:sz w:val="22"/>
          <w:szCs w:val="22"/>
        </w:rPr>
        <w:t xml:space="preserve">will be used to draft mandatory federal reports </w:t>
      </w:r>
      <w:r w:rsidR="00981907" w:rsidRPr="000F7D85">
        <w:rPr>
          <w:rFonts w:ascii="Arial" w:hAnsi="Arial" w:cs="Arial"/>
          <w:sz w:val="22"/>
          <w:szCs w:val="22"/>
        </w:rPr>
        <w:t>pertaining to the project, including: 1) SMAIF-funded project outcome reports submitted to OHAIDP</w:t>
      </w:r>
      <w:r w:rsidR="009E608E" w:rsidRPr="000F7D85">
        <w:rPr>
          <w:rFonts w:ascii="Arial" w:hAnsi="Arial" w:cs="Arial"/>
          <w:sz w:val="22"/>
          <w:szCs w:val="22"/>
        </w:rPr>
        <w:t xml:space="preserve"> (internal federal use)</w:t>
      </w:r>
      <w:r w:rsidR="00981907" w:rsidRPr="000F7D85">
        <w:rPr>
          <w:rFonts w:ascii="Arial" w:hAnsi="Arial" w:cs="Arial"/>
          <w:sz w:val="22"/>
          <w:szCs w:val="22"/>
        </w:rPr>
        <w:t>, 2) progress reports regarding the National HIV/AIDS Strategy and HIV Care Continuum released by HHS or the Office of National HIV/AIDS Policy</w:t>
      </w:r>
      <w:r w:rsidR="009E608E" w:rsidRPr="000F7D85">
        <w:rPr>
          <w:rFonts w:ascii="Arial" w:hAnsi="Arial" w:cs="Arial"/>
          <w:sz w:val="22"/>
          <w:szCs w:val="22"/>
        </w:rPr>
        <w:t xml:space="preserve"> (publicly disseminated)</w:t>
      </w:r>
      <w:r w:rsidR="00981907" w:rsidRPr="000F7D85">
        <w:rPr>
          <w:rFonts w:ascii="Arial" w:hAnsi="Arial" w:cs="Arial"/>
          <w:sz w:val="22"/>
          <w:szCs w:val="22"/>
        </w:rPr>
        <w:t>, and 3) the annual HIV Testing Report to Congress prepared by the CDC</w:t>
      </w:r>
      <w:r w:rsidR="009E608E" w:rsidRPr="000F7D85">
        <w:rPr>
          <w:rFonts w:ascii="Arial" w:hAnsi="Arial" w:cs="Arial"/>
          <w:sz w:val="22"/>
          <w:szCs w:val="22"/>
        </w:rPr>
        <w:t xml:space="preserve"> (internal federal and Congressional use)</w:t>
      </w:r>
      <w:r w:rsidR="00981907" w:rsidRPr="000F7D85">
        <w:rPr>
          <w:rFonts w:ascii="Arial" w:hAnsi="Arial" w:cs="Arial"/>
          <w:sz w:val="22"/>
          <w:szCs w:val="22"/>
        </w:rPr>
        <w:t xml:space="preserve">. Results from these analyses will also inform the development of a health center toolkit </w:t>
      </w:r>
      <w:r w:rsidR="004A6D9B" w:rsidRPr="000F7D85">
        <w:rPr>
          <w:rFonts w:ascii="Arial" w:hAnsi="Arial" w:cs="Arial"/>
          <w:sz w:val="22"/>
          <w:szCs w:val="22"/>
        </w:rPr>
        <w:t>regarding promising practices for</w:t>
      </w:r>
      <w:r w:rsidR="00981907" w:rsidRPr="000F7D85">
        <w:rPr>
          <w:rFonts w:ascii="Arial" w:hAnsi="Arial" w:cs="Arial"/>
          <w:sz w:val="22"/>
          <w:szCs w:val="22"/>
        </w:rPr>
        <w:t xml:space="preserve"> the integration of HIV services into primary care</w:t>
      </w:r>
      <w:r w:rsidR="009E608E" w:rsidRPr="000F7D85">
        <w:rPr>
          <w:rFonts w:ascii="Arial" w:hAnsi="Arial" w:cs="Arial"/>
          <w:sz w:val="22"/>
          <w:szCs w:val="22"/>
        </w:rPr>
        <w:t xml:space="preserve"> (publicly disseminated on HRSA website). </w:t>
      </w:r>
      <w:r w:rsidR="0072064F">
        <w:rPr>
          <w:rFonts w:ascii="Arial" w:hAnsi="Arial" w:cs="Arial"/>
          <w:sz w:val="22"/>
          <w:szCs w:val="22"/>
        </w:rPr>
        <w:t>T</w:t>
      </w:r>
      <w:r w:rsidR="009E608E" w:rsidRPr="000F7D85">
        <w:rPr>
          <w:rFonts w:ascii="Arial" w:hAnsi="Arial" w:cs="Arial"/>
          <w:sz w:val="22"/>
          <w:szCs w:val="22"/>
        </w:rPr>
        <w:t xml:space="preserve">he toolkit </w:t>
      </w:r>
      <w:r w:rsidR="0072064F">
        <w:rPr>
          <w:rFonts w:ascii="Arial" w:hAnsi="Arial" w:cs="Arial"/>
          <w:sz w:val="22"/>
          <w:szCs w:val="22"/>
        </w:rPr>
        <w:t>may</w:t>
      </w:r>
      <w:r w:rsidR="009E608E" w:rsidRPr="000F7D85">
        <w:rPr>
          <w:rFonts w:ascii="Arial" w:hAnsi="Arial" w:cs="Arial"/>
          <w:sz w:val="22"/>
          <w:szCs w:val="22"/>
        </w:rPr>
        <w:t xml:space="preserve"> present </w:t>
      </w:r>
      <w:r w:rsidR="0072064F">
        <w:rPr>
          <w:rFonts w:ascii="Arial" w:hAnsi="Arial" w:cs="Arial"/>
          <w:sz w:val="22"/>
          <w:szCs w:val="22"/>
        </w:rPr>
        <w:t xml:space="preserve">some </w:t>
      </w:r>
      <w:r w:rsidR="004A6D9B" w:rsidRPr="000F7D85">
        <w:rPr>
          <w:rFonts w:ascii="Arial" w:hAnsi="Arial" w:cs="Arial"/>
          <w:sz w:val="22"/>
          <w:szCs w:val="22"/>
        </w:rPr>
        <w:t>quantitative</w:t>
      </w:r>
      <w:r w:rsidR="009E608E" w:rsidRPr="000F7D85">
        <w:rPr>
          <w:rFonts w:ascii="Arial" w:hAnsi="Arial" w:cs="Arial"/>
          <w:sz w:val="22"/>
          <w:szCs w:val="22"/>
        </w:rPr>
        <w:t xml:space="preserve"> results from conducted analyses</w:t>
      </w:r>
      <w:r w:rsidR="0072064F">
        <w:rPr>
          <w:rFonts w:ascii="Arial" w:hAnsi="Arial" w:cs="Arial"/>
          <w:sz w:val="22"/>
          <w:szCs w:val="22"/>
        </w:rPr>
        <w:t xml:space="preserve"> to illustrate the effectiveness of proposed practices</w:t>
      </w:r>
      <w:r w:rsidR="009E608E" w:rsidRPr="000F7D85">
        <w:rPr>
          <w:rFonts w:ascii="Arial" w:hAnsi="Arial" w:cs="Arial"/>
          <w:sz w:val="22"/>
          <w:szCs w:val="22"/>
        </w:rPr>
        <w:t>.</w:t>
      </w:r>
      <w:r w:rsidR="004A6D9B" w:rsidRPr="000F7D85">
        <w:rPr>
          <w:rFonts w:ascii="Arial" w:hAnsi="Arial" w:cs="Arial"/>
          <w:sz w:val="22"/>
          <w:szCs w:val="22"/>
        </w:rPr>
        <w:t xml:space="preserve"> </w:t>
      </w:r>
      <w:r w:rsidR="00EA7D7B" w:rsidRPr="000F7D85">
        <w:rPr>
          <w:rFonts w:ascii="Arial" w:hAnsi="Arial" w:cs="Arial"/>
          <w:sz w:val="22"/>
          <w:szCs w:val="22"/>
        </w:rPr>
        <w:t>Publication plans are still to be determined, but will likely involve abstracts for national professional conferences and one or more peer-reviewed journal publications regarding project implementation, outcomes, promising practices, and lessons learned.</w:t>
      </w:r>
    </w:p>
    <w:p w14:paraId="54CFF0A3" w14:textId="123B1907" w:rsidR="00D74B86" w:rsidRDefault="00797BA7" w:rsidP="00A71F21">
      <w:pPr>
        <w:spacing w:after="120"/>
        <w:rPr>
          <w:rFonts w:ascii="Arial" w:hAnsi="Arial"/>
          <w:sz w:val="22"/>
        </w:rPr>
      </w:pPr>
      <w:r w:rsidRPr="000F7D85">
        <w:rPr>
          <w:rFonts w:ascii="Arial" w:hAnsi="Arial" w:cs="Arial"/>
          <w:sz w:val="22"/>
          <w:szCs w:val="22"/>
        </w:rPr>
        <w:t>The P4C project period for participating health centers is September 1, 2014 through August 31, 2017</w:t>
      </w:r>
      <w:r w:rsidR="009E608E" w:rsidRPr="000F7D85">
        <w:rPr>
          <w:rFonts w:ascii="Arial" w:hAnsi="Arial" w:cs="Arial"/>
          <w:sz w:val="22"/>
          <w:szCs w:val="22"/>
        </w:rPr>
        <w:t xml:space="preserve">; therefore, a three-year clearance period is requested. </w:t>
      </w:r>
      <w:r w:rsidR="009E608E" w:rsidRPr="00DD5632">
        <w:rPr>
          <w:rFonts w:ascii="Arial" w:hAnsi="Arial"/>
          <w:sz w:val="22"/>
        </w:rPr>
        <w:t>Analysis, reporting and publication of collected data may continue for up to two-years after the end of the project period.</w:t>
      </w:r>
    </w:p>
    <w:p w14:paraId="003BE967" w14:textId="77777777" w:rsidR="00DD5632" w:rsidRPr="000F7D85" w:rsidRDefault="00DD5632" w:rsidP="00A71F21">
      <w:pPr>
        <w:spacing w:after="120"/>
        <w:rPr>
          <w:rFonts w:ascii="Arial" w:hAnsi="Arial" w:cs="Arial"/>
          <w:sz w:val="22"/>
          <w:szCs w:val="22"/>
        </w:rPr>
      </w:pPr>
    </w:p>
    <w:p w14:paraId="484F922D" w14:textId="77777777" w:rsidR="009B3794" w:rsidRPr="000F7D85" w:rsidRDefault="009B3794" w:rsidP="00A71F21">
      <w:pPr>
        <w:numPr>
          <w:ilvl w:val="0"/>
          <w:numId w:val="1"/>
        </w:numPr>
        <w:tabs>
          <w:tab w:val="num" w:pos="360"/>
        </w:tabs>
        <w:spacing w:after="120"/>
        <w:ind w:left="360"/>
        <w:rPr>
          <w:rFonts w:ascii="Arial" w:hAnsi="Arial" w:cs="Arial"/>
          <w:b/>
          <w:sz w:val="22"/>
          <w:szCs w:val="22"/>
        </w:rPr>
      </w:pPr>
      <w:r w:rsidRPr="000F7D85">
        <w:rPr>
          <w:rFonts w:ascii="Arial" w:hAnsi="Arial" w:cs="Arial"/>
          <w:b/>
          <w:sz w:val="22"/>
          <w:szCs w:val="22"/>
          <w:u w:val="single"/>
        </w:rPr>
        <w:t>Reason(s) Display of OMB Expiration Date is Inappropriate</w:t>
      </w:r>
    </w:p>
    <w:p w14:paraId="2FA7B6F1" w14:textId="77777777" w:rsidR="009B3794" w:rsidRPr="000F7D85" w:rsidRDefault="00C85AD7" w:rsidP="00A71F21">
      <w:pPr>
        <w:pStyle w:val="BodyTextIndent"/>
        <w:spacing w:after="120"/>
        <w:ind w:left="0"/>
        <w:rPr>
          <w:rFonts w:ascii="Arial" w:hAnsi="Arial" w:cs="Arial"/>
          <w:sz w:val="22"/>
          <w:szCs w:val="22"/>
        </w:rPr>
      </w:pPr>
      <w:r w:rsidRPr="000F7D85">
        <w:rPr>
          <w:rFonts w:ascii="Arial" w:hAnsi="Arial" w:cs="Arial"/>
          <w:sz w:val="22"/>
          <w:szCs w:val="22"/>
        </w:rPr>
        <w:t>The OMB number and e</w:t>
      </w:r>
      <w:r w:rsidR="00D11CA3" w:rsidRPr="000F7D85">
        <w:rPr>
          <w:rFonts w:ascii="Arial" w:hAnsi="Arial" w:cs="Arial"/>
          <w:sz w:val="22"/>
          <w:szCs w:val="22"/>
        </w:rPr>
        <w:t>xpiration date will be displayed on every</w:t>
      </w:r>
      <w:r w:rsidR="00377252" w:rsidRPr="000F7D85">
        <w:rPr>
          <w:rFonts w:ascii="Arial" w:hAnsi="Arial" w:cs="Arial"/>
          <w:sz w:val="22"/>
          <w:szCs w:val="22"/>
        </w:rPr>
        <w:t xml:space="preserve"> page of every form/instrument.</w:t>
      </w:r>
    </w:p>
    <w:p w14:paraId="50221949" w14:textId="77777777" w:rsidR="009B3794" w:rsidRPr="000F7D85" w:rsidRDefault="009B3794" w:rsidP="00A71F21">
      <w:pPr>
        <w:numPr>
          <w:ilvl w:val="0"/>
          <w:numId w:val="1"/>
        </w:numPr>
        <w:tabs>
          <w:tab w:val="num" w:pos="360"/>
        </w:tabs>
        <w:spacing w:after="120"/>
        <w:ind w:left="360"/>
        <w:rPr>
          <w:rFonts w:ascii="Arial" w:hAnsi="Arial" w:cs="Arial"/>
          <w:b/>
          <w:sz w:val="22"/>
          <w:szCs w:val="22"/>
        </w:rPr>
      </w:pPr>
      <w:r w:rsidRPr="000F7D85">
        <w:rPr>
          <w:rFonts w:ascii="Arial" w:hAnsi="Arial" w:cs="Arial"/>
          <w:b/>
          <w:sz w:val="22"/>
          <w:szCs w:val="22"/>
          <w:u w:val="single"/>
        </w:rPr>
        <w:t>Exceptions to Certification for Paperwork Reduction Act Submissions</w:t>
      </w:r>
    </w:p>
    <w:p w14:paraId="4730E846" w14:textId="77777777" w:rsidR="0017733A" w:rsidRPr="00291818" w:rsidRDefault="009B3794" w:rsidP="00291818">
      <w:pPr>
        <w:pStyle w:val="BodyTextIndent"/>
        <w:spacing w:after="120"/>
        <w:ind w:left="0"/>
        <w:rPr>
          <w:rFonts w:ascii="Arial" w:hAnsi="Arial" w:cs="Arial"/>
          <w:sz w:val="22"/>
          <w:szCs w:val="22"/>
        </w:rPr>
      </w:pPr>
      <w:r w:rsidRPr="000F7D85">
        <w:rPr>
          <w:rFonts w:ascii="Arial" w:hAnsi="Arial" w:cs="Arial"/>
          <w:sz w:val="22"/>
          <w:szCs w:val="22"/>
        </w:rPr>
        <w:t>There are no exceptions to the certification</w:t>
      </w:r>
      <w:r w:rsidR="00377252" w:rsidRPr="000F7D85">
        <w:rPr>
          <w:rFonts w:ascii="Arial" w:hAnsi="Arial" w:cs="Arial"/>
          <w:sz w:val="22"/>
          <w:szCs w:val="22"/>
        </w:rPr>
        <w:t>.</w:t>
      </w:r>
    </w:p>
    <w:p w14:paraId="3A4BAEB4" w14:textId="77777777" w:rsidR="00F460CC" w:rsidRPr="000F7D85" w:rsidRDefault="00F460CC" w:rsidP="00A71F21">
      <w:pPr>
        <w:pStyle w:val="BodyTextIndent"/>
        <w:spacing w:after="120"/>
        <w:ind w:left="0"/>
        <w:rPr>
          <w:rFonts w:ascii="Arial" w:hAnsi="Arial" w:cs="Arial"/>
          <w:sz w:val="22"/>
          <w:szCs w:val="22"/>
        </w:rPr>
      </w:pPr>
    </w:p>
    <w:sectPr w:rsidR="00F460CC" w:rsidRPr="000F7D85" w:rsidSect="00DD5632">
      <w:footerReference w:type="default" r:id="rId20"/>
      <w:endnotePr>
        <w:numFmt w:val="decimal"/>
      </w:endnotePr>
      <w:pgSz w:w="12240" w:h="15840"/>
      <w:pgMar w:top="1440" w:right="1440" w:bottom="1440" w:left="1440" w:header="1440" w:footer="864" w:gutter="0"/>
      <w:cols w:space="720"/>
      <w:noEndnote/>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F59C26" w15:done="0"/>
  <w15:commentEx w15:paraId="648195FE" w15:done="0"/>
  <w15:commentEx w15:paraId="544790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191488" w14:textId="77777777" w:rsidR="00FF338D" w:rsidRDefault="00FF338D">
      <w:r>
        <w:separator/>
      </w:r>
    </w:p>
  </w:endnote>
  <w:endnote w:type="continuationSeparator" w:id="0">
    <w:p w14:paraId="36BB616C" w14:textId="77777777" w:rsidR="00FF338D" w:rsidRDefault="00FF338D">
      <w:r>
        <w:continuationSeparator/>
      </w:r>
    </w:p>
  </w:endnote>
  <w:endnote w:type="continuationNotice" w:id="1">
    <w:p w14:paraId="70190D52" w14:textId="77777777" w:rsidR="00FF338D" w:rsidRDefault="00FF3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A111A" w14:textId="77777777" w:rsidR="002719DA" w:rsidRDefault="002719DA">
    <w:pPr>
      <w:spacing w:line="240" w:lineRule="exact"/>
    </w:pPr>
  </w:p>
  <w:p w14:paraId="59EEC086" w14:textId="77777777" w:rsidR="002719DA" w:rsidRPr="009C6EF5" w:rsidRDefault="002719DA" w:rsidP="0017733A">
    <w:pPr>
      <w:jc w:val="right"/>
      <w:rPr>
        <w:rFonts w:ascii="Arial" w:hAnsi="Arial" w:cs="Arial"/>
      </w:rPr>
    </w:pPr>
    <w:r w:rsidRPr="009C6EF5">
      <w:rPr>
        <w:rFonts w:ascii="Arial" w:hAnsi="Arial" w:cs="Arial"/>
      </w:rPr>
      <w:t xml:space="preserve">Page </w:t>
    </w:r>
    <w:r w:rsidRPr="009C6EF5">
      <w:rPr>
        <w:rFonts w:ascii="Arial" w:hAnsi="Arial" w:cs="Arial"/>
      </w:rPr>
      <w:fldChar w:fldCharType="begin"/>
    </w:r>
    <w:r w:rsidRPr="009C6EF5">
      <w:rPr>
        <w:rFonts w:ascii="Arial" w:hAnsi="Arial" w:cs="Arial"/>
      </w:rPr>
      <w:instrText xml:space="preserve"> PAGE  \* Arabic  \* MERGEFORMAT </w:instrText>
    </w:r>
    <w:r w:rsidRPr="009C6EF5">
      <w:rPr>
        <w:rFonts w:ascii="Arial" w:hAnsi="Arial" w:cs="Arial"/>
      </w:rPr>
      <w:fldChar w:fldCharType="separate"/>
    </w:r>
    <w:r w:rsidR="008B63FD">
      <w:rPr>
        <w:rFonts w:ascii="Arial" w:hAnsi="Arial" w:cs="Arial"/>
        <w:noProof/>
      </w:rPr>
      <w:t>12</w:t>
    </w:r>
    <w:r w:rsidRPr="009C6EF5">
      <w:rPr>
        <w:rFonts w:ascii="Arial" w:hAnsi="Arial" w:cs="Arial"/>
      </w:rPr>
      <w:fldChar w:fldCharType="end"/>
    </w:r>
    <w:r w:rsidRPr="009C6EF5">
      <w:rPr>
        <w:rFonts w:ascii="Arial" w:hAnsi="Arial" w:cs="Arial"/>
      </w:rPr>
      <w:t xml:space="preserve"> of </w:t>
    </w:r>
    <w:r w:rsidRPr="009C6EF5">
      <w:rPr>
        <w:rFonts w:ascii="Arial" w:hAnsi="Arial" w:cs="Arial"/>
      </w:rPr>
      <w:fldChar w:fldCharType="begin"/>
    </w:r>
    <w:r w:rsidRPr="009C6EF5">
      <w:rPr>
        <w:rFonts w:ascii="Arial" w:hAnsi="Arial" w:cs="Arial"/>
      </w:rPr>
      <w:instrText xml:space="preserve"> NUMPAGES  \* Arabic  \* MERGEFORMAT </w:instrText>
    </w:r>
    <w:r w:rsidRPr="009C6EF5">
      <w:rPr>
        <w:rFonts w:ascii="Arial" w:hAnsi="Arial" w:cs="Arial"/>
      </w:rPr>
      <w:fldChar w:fldCharType="separate"/>
    </w:r>
    <w:r w:rsidR="008B63FD">
      <w:rPr>
        <w:rFonts w:ascii="Arial" w:hAnsi="Arial" w:cs="Arial"/>
        <w:noProof/>
      </w:rPr>
      <w:t>13</w:t>
    </w:r>
    <w:r w:rsidRPr="009C6EF5">
      <w:rPr>
        <w:rFonts w:ascii="Arial" w:hAnsi="Arial" w:cs="Arial"/>
      </w:rPr>
      <w:fldChar w:fldCharType="end"/>
    </w:r>
  </w:p>
  <w:p w14:paraId="375CC9B8" w14:textId="77777777" w:rsidR="002719DA" w:rsidRPr="00DD5632" w:rsidRDefault="002719DA" w:rsidP="00DD5632">
    <w:pP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4EB9C" w14:textId="77777777" w:rsidR="00FF338D" w:rsidRDefault="00FF338D">
      <w:r>
        <w:separator/>
      </w:r>
    </w:p>
  </w:footnote>
  <w:footnote w:type="continuationSeparator" w:id="0">
    <w:p w14:paraId="482EA905" w14:textId="77777777" w:rsidR="00FF338D" w:rsidRDefault="00FF338D">
      <w:r>
        <w:continuationSeparator/>
      </w:r>
    </w:p>
  </w:footnote>
  <w:footnote w:type="continuationNotice" w:id="1">
    <w:p w14:paraId="2CD7C650" w14:textId="77777777" w:rsidR="00FF338D" w:rsidRDefault="00FF338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08D5"/>
    <w:multiLevelType w:val="hybridMultilevel"/>
    <w:tmpl w:val="F9DC1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D0C2587"/>
    <w:multiLevelType w:val="hybridMultilevel"/>
    <w:tmpl w:val="D890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F81CF4"/>
    <w:multiLevelType w:val="hybridMultilevel"/>
    <w:tmpl w:val="0374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81A8B"/>
    <w:multiLevelType w:val="hybridMultilevel"/>
    <w:tmpl w:val="F6E688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BB3B2C"/>
    <w:multiLevelType w:val="hybridMultilevel"/>
    <w:tmpl w:val="010C6A3A"/>
    <w:lvl w:ilvl="0" w:tplc="4D9CBA2E">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2066247D"/>
    <w:multiLevelType w:val="hybridMultilevel"/>
    <w:tmpl w:val="057C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3126E3"/>
    <w:multiLevelType w:val="hybridMultilevel"/>
    <w:tmpl w:val="3C0C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C303A2"/>
    <w:multiLevelType w:val="hybridMultilevel"/>
    <w:tmpl w:val="F8C89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8A0BCC"/>
    <w:multiLevelType w:val="hybridMultilevel"/>
    <w:tmpl w:val="6D92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524F67"/>
    <w:multiLevelType w:val="hybridMultilevel"/>
    <w:tmpl w:val="EE14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3A242A84"/>
    <w:multiLevelType w:val="hybridMultilevel"/>
    <w:tmpl w:val="F2BCA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9B4E54"/>
    <w:multiLevelType w:val="hybridMultilevel"/>
    <w:tmpl w:val="54A49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9A4355"/>
    <w:multiLevelType w:val="hybridMultilevel"/>
    <w:tmpl w:val="95C6658A"/>
    <w:lvl w:ilvl="0" w:tplc="7EAC2E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AE5F3E"/>
    <w:multiLevelType w:val="hybridMultilevel"/>
    <w:tmpl w:val="CBB2F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453893"/>
    <w:multiLevelType w:val="hybridMultilevel"/>
    <w:tmpl w:val="232E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1D7109"/>
    <w:multiLevelType w:val="hybridMultilevel"/>
    <w:tmpl w:val="462ED118"/>
    <w:lvl w:ilvl="0" w:tplc="17BC0AFE">
      <w:start w:val="1"/>
      <w:numFmt w:val="decimal"/>
      <w:lvlText w:val="%1."/>
      <w:lvlJc w:val="left"/>
      <w:pPr>
        <w:tabs>
          <w:tab w:val="num" w:pos="450"/>
        </w:tabs>
        <w:ind w:left="45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B814B5F"/>
    <w:multiLevelType w:val="hybridMultilevel"/>
    <w:tmpl w:val="7564D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371E94"/>
    <w:multiLevelType w:val="hybridMultilevel"/>
    <w:tmpl w:val="8CEEF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AC048F"/>
    <w:multiLevelType w:val="hybridMultilevel"/>
    <w:tmpl w:val="0EDC7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633C5F"/>
    <w:multiLevelType w:val="hybridMultilevel"/>
    <w:tmpl w:val="78141DC8"/>
    <w:lvl w:ilvl="0" w:tplc="7EAC2E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68097608"/>
    <w:multiLevelType w:val="hybridMultilevel"/>
    <w:tmpl w:val="E18C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9425B7"/>
    <w:multiLevelType w:val="hybridMultilevel"/>
    <w:tmpl w:val="27704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6258CC"/>
    <w:multiLevelType w:val="hybridMultilevel"/>
    <w:tmpl w:val="27704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73F4369F"/>
    <w:multiLevelType w:val="hybridMultilevel"/>
    <w:tmpl w:val="5846E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582425"/>
    <w:multiLevelType w:val="hybridMultilevel"/>
    <w:tmpl w:val="9A7AC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8B52B4"/>
    <w:multiLevelType w:val="hybridMultilevel"/>
    <w:tmpl w:val="246E1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CF5D79"/>
    <w:multiLevelType w:val="hybridMultilevel"/>
    <w:tmpl w:val="4DB2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1350"/>
        </w:tabs>
        <w:ind w:left="135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nsid w:val="7B3900CD"/>
    <w:multiLevelType w:val="hybridMultilevel"/>
    <w:tmpl w:val="F404C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E9790A"/>
    <w:multiLevelType w:val="hybridMultilevel"/>
    <w:tmpl w:val="721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3"/>
  </w:num>
  <w:num w:numId="3">
    <w:abstractNumId w:val="28"/>
  </w:num>
  <w:num w:numId="4">
    <w:abstractNumId w:val="1"/>
  </w:num>
  <w:num w:numId="5">
    <w:abstractNumId w:val="12"/>
  </w:num>
  <w:num w:numId="6">
    <w:abstractNumId w:val="23"/>
  </w:num>
  <w:num w:numId="7">
    <w:abstractNumId w:val="6"/>
  </w:num>
  <w:num w:numId="8">
    <w:abstractNumId w:val="24"/>
  </w:num>
  <w:num w:numId="9">
    <w:abstractNumId w:val="20"/>
  </w:num>
  <w:num w:numId="10">
    <w:abstractNumId w:val="34"/>
  </w:num>
  <w:num w:numId="11">
    <w:abstractNumId w:val="19"/>
  </w:num>
  <w:num w:numId="12">
    <w:abstractNumId w:val="22"/>
  </w:num>
  <w:num w:numId="13">
    <w:abstractNumId w:val="14"/>
  </w:num>
  <w:num w:numId="14">
    <w:abstractNumId w:val="4"/>
  </w:num>
  <w:num w:numId="15">
    <w:abstractNumId w:val="26"/>
  </w:num>
  <w:num w:numId="16">
    <w:abstractNumId w:val="27"/>
  </w:num>
  <w:num w:numId="17">
    <w:abstractNumId w:val="15"/>
  </w:num>
  <w:num w:numId="18">
    <w:abstractNumId w:val="29"/>
  </w:num>
  <w:num w:numId="19">
    <w:abstractNumId w:val="9"/>
  </w:num>
  <w:num w:numId="20">
    <w:abstractNumId w:val="16"/>
  </w:num>
  <w:num w:numId="21">
    <w:abstractNumId w:val="2"/>
  </w:num>
  <w:num w:numId="22">
    <w:abstractNumId w:val="32"/>
  </w:num>
  <w:num w:numId="23">
    <w:abstractNumId w:val="17"/>
  </w:num>
  <w:num w:numId="24">
    <w:abstractNumId w:val="11"/>
  </w:num>
  <w:num w:numId="25">
    <w:abstractNumId w:val="8"/>
  </w:num>
  <w:num w:numId="26">
    <w:abstractNumId w:val="13"/>
  </w:num>
  <w:num w:numId="27">
    <w:abstractNumId w:val="10"/>
  </w:num>
  <w:num w:numId="28">
    <w:abstractNumId w:val="21"/>
  </w:num>
  <w:num w:numId="29">
    <w:abstractNumId w:val="35"/>
  </w:num>
  <w:num w:numId="30">
    <w:abstractNumId w:val="3"/>
  </w:num>
  <w:num w:numId="31">
    <w:abstractNumId w:val="30"/>
  </w:num>
  <w:num w:numId="32">
    <w:abstractNumId w:val="31"/>
  </w:num>
  <w:num w:numId="33">
    <w:abstractNumId w:val="0"/>
  </w:num>
  <w:num w:numId="34">
    <w:abstractNumId w:val="25"/>
  </w:num>
  <w:num w:numId="35">
    <w:abstractNumId w:val="7"/>
  </w:num>
  <w:num w:numId="36">
    <w:abstractNumId w:val="5"/>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0492"/>
    <w:rsid w:val="00003210"/>
    <w:rsid w:val="00005EC4"/>
    <w:rsid w:val="000066EF"/>
    <w:rsid w:val="00015505"/>
    <w:rsid w:val="00021212"/>
    <w:rsid w:val="00022BBF"/>
    <w:rsid w:val="000260AC"/>
    <w:rsid w:val="00030008"/>
    <w:rsid w:val="00030F4E"/>
    <w:rsid w:val="00034F7F"/>
    <w:rsid w:val="00037122"/>
    <w:rsid w:val="000516FC"/>
    <w:rsid w:val="00062593"/>
    <w:rsid w:val="00063695"/>
    <w:rsid w:val="000702A0"/>
    <w:rsid w:val="00071492"/>
    <w:rsid w:val="00080403"/>
    <w:rsid w:val="000832E8"/>
    <w:rsid w:val="00085307"/>
    <w:rsid w:val="00087099"/>
    <w:rsid w:val="00095C80"/>
    <w:rsid w:val="000B10A8"/>
    <w:rsid w:val="000B6146"/>
    <w:rsid w:val="000C4B5E"/>
    <w:rsid w:val="000C702B"/>
    <w:rsid w:val="000E0388"/>
    <w:rsid w:val="000E12E7"/>
    <w:rsid w:val="000E7868"/>
    <w:rsid w:val="000F5FF1"/>
    <w:rsid w:val="000F7D85"/>
    <w:rsid w:val="00105C0F"/>
    <w:rsid w:val="001261F8"/>
    <w:rsid w:val="001325B2"/>
    <w:rsid w:val="001351CE"/>
    <w:rsid w:val="00137BD8"/>
    <w:rsid w:val="00141265"/>
    <w:rsid w:val="00141508"/>
    <w:rsid w:val="00142929"/>
    <w:rsid w:val="0014487B"/>
    <w:rsid w:val="00154F3D"/>
    <w:rsid w:val="00161862"/>
    <w:rsid w:val="00161D0E"/>
    <w:rsid w:val="001742A1"/>
    <w:rsid w:val="00176177"/>
    <w:rsid w:val="0017733A"/>
    <w:rsid w:val="001810C1"/>
    <w:rsid w:val="001920C3"/>
    <w:rsid w:val="001923FC"/>
    <w:rsid w:val="00195AE9"/>
    <w:rsid w:val="001C2A04"/>
    <w:rsid w:val="001C3BD6"/>
    <w:rsid w:val="001C7775"/>
    <w:rsid w:val="001D1264"/>
    <w:rsid w:val="001D13B5"/>
    <w:rsid w:val="001D2868"/>
    <w:rsid w:val="001D301E"/>
    <w:rsid w:val="001D4856"/>
    <w:rsid w:val="001E0EB1"/>
    <w:rsid w:val="001E48E1"/>
    <w:rsid w:val="001E59B8"/>
    <w:rsid w:val="001F29A0"/>
    <w:rsid w:val="002118B4"/>
    <w:rsid w:val="00222ADB"/>
    <w:rsid w:val="00245CD0"/>
    <w:rsid w:val="002640E7"/>
    <w:rsid w:val="00271780"/>
    <w:rsid w:val="002719DA"/>
    <w:rsid w:val="002805B5"/>
    <w:rsid w:val="00285C7B"/>
    <w:rsid w:val="00290874"/>
    <w:rsid w:val="00291620"/>
    <w:rsid w:val="00291818"/>
    <w:rsid w:val="0029230C"/>
    <w:rsid w:val="00295C2A"/>
    <w:rsid w:val="002A42C9"/>
    <w:rsid w:val="002C21E0"/>
    <w:rsid w:val="002D0C85"/>
    <w:rsid w:val="002F36B6"/>
    <w:rsid w:val="002F43FA"/>
    <w:rsid w:val="002F6667"/>
    <w:rsid w:val="003078AF"/>
    <w:rsid w:val="00317D1E"/>
    <w:rsid w:val="00322313"/>
    <w:rsid w:val="0032531E"/>
    <w:rsid w:val="0032567B"/>
    <w:rsid w:val="00325EEB"/>
    <w:rsid w:val="00342A24"/>
    <w:rsid w:val="003444FA"/>
    <w:rsid w:val="00344B98"/>
    <w:rsid w:val="00345299"/>
    <w:rsid w:val="00352C44"/>
    <w:rsid w:val="003707B6"/>
    <w:rsid w:val="00373106"/>
    <w:rsid w:val="00375A91"/>
    <w:rsid w:val="00377252"/>
    <w:rsid w:val="00380DC8"/>
    <w:rsid w:val="00383AE0"/>
    <w:rsid w:val="00387AB4"/>
    <w:rsid w:val="00391E16"/>
    <w:rsid w:val="00393403"/>
    <w:rsid w:val="00395C40"/>
    <w:rsid w:val="003A0C93"/>
    <w:rsid w:val="003A1EE6"/>
    <w:rsid w:val="003B440B"/>
    <w:rsid w:val="003C5C2A"/>
    <w:rsid w:val="003C73CD"/>
    <w:rsid w:val="003C7A56"/>
    <w:rsid w:val="003C7F73"/>
    <w:rsid w:val="003D23B1"/>
    <w:rsid w:val="003D464B"/>
    <w:rsid w:val="003E1C7F"/>
    <w:rsid w:val="003E45EF"/>
    <w:rsid w:val="003E47DA"/>
    <w:rsid w:val="003E6424"/>
    <w:rsid w:val="003F3152"/>
    <w:rsid w:val="004063FF"/>
    <w:rsid w:val="00406D05"/>
    <w:rsid w:val="0041613A"/>
    <w:rsid w:val="00430A0A"/>
    <w:rsid w:val="0043580B"/>
    <w:rsid w:val="00454251"/>
    <w:rsid w:val="004575A8"/>
    <w:rsid w:val="00460A0D"/>
    <w:rsid w:val="00472847"/>
    <w:rsid w:val="00472C7F"/>
    <w:rsid w:val="004746CA"/>
    <w:rsid w:val="00481FE1"/>
    <w:rsid w:val="0048482E"/>
    <w:rsid w:val="004861BD"/>
    <w:rsid w:val="00490720"/>
    <w:rsid w:val="00497635"/>
    <w:rsid w:val="004A6D9B"/>
    <w:rsid w:val="004C2C4B"/>
    <w:rsid w:val="004C35C9"/>
    <w:rsid w:val="004D0060"/>
    <w:rsid w:val="004E687D"/>
    <w:rsid w:val="004F05A2"/>
    <w:rsid w:val="004F294B"/>
    <w:rsid w:val="004F2A4E"/>
    <w:rsid w:val="004F4DC7"/>
    <w:rsid w:val="004F7198"/>
    <w:rsid w:val="00503BAB"/>
    <w:rsid w:val="00505CA9"/>
    <w:rsid w:val="005070E8"/>
    <w:rsid w:val="00511E01"/>
    <w:rsid w:val="00513E37"/>
    <w:rsid w:val="0051761B"/>
    <w:rsid w:val="00526D2C"/>
    <w:rsid w:val="005361B3"/>
    <w:rsid w:val="00536C4F"/>
    <w:rsid w:val="005522CA"/>
    <w:rsid w:val="00562535"/>
    <w:rsid w:val="00572988"/>
    <w:rsid w:val="00574E96"/>
    <w:rsid w:val="00586AA0"/>
    <w:rsid w:val="005B5C54"/>
    <w:rsid w:val="005D1190"/>
    <w:rsid w:val="005D7625"/>
    <w:rsid w:val="005D7CAF"/>
    <w:rsid w:val="005E1765"/>
    <w:rsid w:val="005E40F1"/>
    <w:rsid w:val="005E4C13"/>
    <w:rsid w:val="005F0219"/>
    <w:rsid w:val="005F52CA"/>
    <w:rsid w:val="005F780A"/>
    <w:rsid w:val="00607A23"/>
    <w:rsid w:val="006128CE"/>
    <w:rsid w:val="00624019"/>
    <w:rsid w:val="00627FFD"/>
    <w:rsid w:val="00630971"/>
    <w:rsid w:val="00631251"/>
    <w:rsid w:val="006356B1"/>
    <w:rsid w:val="00637122"/>
    <w:rsid w:val="00647FAB"/>
    <w:rsid w:val="006532CF"/>
    <w:rsid w:val="00654430"/>
    <w:rsid w:val="00657F21"/>
    <w:rsid w:val="00680D76"/>
    <w:rsid w:val="00685909"/>
    <w:rsid w:val="00686777"/>
    <w:rsid w:val="00694B86"/>
    <w:rsid w:val="006A737F"/>
    <w:rsid w:val="006C1007"/>
    <w:rsid w:val="006C473E"/>
    <w:rsid w:val="006C59CD"/>
    <w:rsid w:val="006C5EA0"/>
    <w:rsid w:val="006C656D"/>
    <w:rsid w:val="006D2040"/>
    <w:rsid w:val="006D39F6"/>
    <w:rsid w:val="006D4F00"/>
    <w:rsid w:val="006D6891"/>
    <w:rsid w:val="006D734E"/>
    <w:rsid w:val="006E1BD4"/>
    <w:rsid w:val="006F74E4"/>
    <w:rsid w:val="007033E6"/>
    <w:rsid w:val="007051D8"/>
    <w:rsid w:val="00712858"/>
    <w:rsid w:val="0071402A"/>
    <w:rsid w:val="0072064F"/>
    <w:rsid w:val="00724DDC"/>
    <w:rsid w:val="00725CC0"/>
    <w:rsid w:val="0073114C"/>
    <w:rsid w:val="0073331C"/>
    <w:rsid w:val="00744CFE"/>
    <w:rsid w:val="00760686"/>
    <w:rsid w:val="007675F6"/>
    <w:rsid w:val="00770E3A"/>
    <w:rsid w:val="00777F19"/>
    <w:rsid w:val="0078082D"/>
    <w:rsid w:val="00797BA7"/>
    <w:rsid w:val="007A3707"/>
    <w:rsid w:val="007A53A9"/>
    <w:rsid w:val="007B3002"/>
    <w:rsid w:val="007D2D24"/>
    <w:rsid w:val="007E4A95"/>
    <w:rsid w:val="007F047A"/>
    <w:rsid w:val="007F1FBC"/>
    <w:rsid w:val="007F358C"/>
    <w:rsid w:val="007F595D"/>
    <w:rsid w:val="007F5A6C"/>
    <w:rsid w:val="007F6FB0"/>
    <w:rsid w:val="008002AB"/>
    <w:rsid w:val="00801ED6"/>
    <w:rsid w:val="0080345E"/>
    <w:rsid w:val="00814AA9"/>
    <w:rsid w:val="00815C27"/>
    <w:rsid w:val="0081777E"/>
    <w:rsid w:val="008423EA"/>
    <w:rsid w:val="0085080C"/>
    <w:rsid w:val="008609E8"/>
    <w:rsid w:val="0087639F"/>
    <w:rsid w:val="0088173B"/>
    <w:rsid w:val="008854EF"/>
    <w:rsid w:val="00892595"/>
    <w:rsid w:val="008A675E"/>
    <w:rsid w:val="008B0169"/>
    <w:rsid w:val="008B04CA"/>
    <w:rsid w:val="008B2A2C"/>
    <w:rsid w:val="008B63FD"/>
    <w:rsid w:val="008D2D67"/>
    <w:rsid w:val="008D3ED3"/>
    <w:rsid w:val="008E653A"/>
    <w:rsid w:val="008F1435"/>
    <w:rsid w:val="008F60BA"/>
    <w:rsid w:val="009040B7"/>
    <w:rsid w:val="00914A56"/>
    <w:rsid w:val="00927CFD"/>
    <w:rsid w:val="009303E2"/>
    <w:rsid w:val="0093219D"/>
    <w:rsid w:val="009328D2"/>
    <w:rsid w:val="009336DD"/>
    <w:rsid w:val="00935E77"/>
    <w:rsid w:val="00936A0A"/>
    <w:rsid w:val="00940CA8"/>
    <w:rsid w:val="00945D20"/>
    <w:rsid w:val="00962183"/>
    <w:rsid w:val="009744CB"/>
    <w:rsid w:val="00981907"/>
    <w:rsid w:val="00981A5D"/>
    <w:rsid w:val="00986440"/>
    <w:rsid w:val="00986642"/>
    <w:rsid w:val="00990BF8"/>
    <w:rsid w:val="009941A5"/>
    <w:rsid w:val="009941E2"/>
    <w:rsid w:val="009960F2"/>
    <w:rsid w:val="009A02F7"/>
    <w:rsid w:val="009A413A"/>
    <w:rsid w:val="009B2EA1"/>
    <w:rsid w:val="009B3794"/>
    <w:rsid w:val="009B7E4D"/>
    <w:rsid w:val="009C2E58"/>
    <w:rsid w:val="009C51CD"/>
    <w:rsid w:val="009C6EF5"/>
    <w:rsid w:val="009D4315"/>
    <w:rsid w:val="009D7902"/>
    <w:rsid w:val="009D7D01"/>
    <w:rsid w:val="009E31C9"/>
    <w:rsid w:val="009E3AF6"/>
    <w:rsid w:val="009E5C66"/>
    <w:rsid w:val="009E608E"/>
    <w:rsid w:val="009F485D"/>
    <w:rsid w:val="009F5C25"/>
    <w:rsid w:val="00A150ED"/>
    <w:rsid w:val="00A1688A"/>
    <w:rsid w:val="00A37ACB"/>
    <w:rsid w:val="00A62323"/>
    <w:rsid w:val="00A649A5"/>
    <w:rsid w:val="00A664F0"/>
    <w:rsid w:val="00A71F21"/>
    <w:rsid w:val="00A751ED"/>
    <w:rsid w:val="00A81D9C"/>
    <w:rsid w:val="00A828D1"/>
    <w:rsid w:val="00A86C85"/>
    <w:rsid w:val="00A86F9B"/>
    <w:rsid w:val="00A92CAB"/>
    <w:rsid w:val="00AA56FC"/>
    <w:rsid w:val="00AA6C3E"/>
    <w:rsid w:val="00AB0F1A"/>
    <w:rsid w:val="00AC07E5"/>
    <w:rsid w:val="00AC7A86"/>
    <w:rsid w:val="00AD184E"/>
    <w:rsid w:val="00AD4FC7"/>
    <w:rsid w:val="00AE68FA"/>
    <w:rsid w:val="00AE6AC5"/>
    <w:rsid w:val="00AE7154"/>
    <w:rsid w:val="00AF3DDC"/>
    <w:rsid w:val="00AF48E3"/>
    <w:rsid w:val="00AF67E5"/>
    <w:rsid w:val="00B17AF9"/>
    <w:rsid w:val="00B25766"/>
    <w:rsid w:val="00B349CE"/>
    <w:rsid w:val="00B34E64"/>
    <w:rsid w:val="00B513A2"/>
    <w:rsid w:val="00B55EE5"/>
    <w:rsid w:val="00B56CFE"/>
    <w:rsid w:val="00B651A1"/>
    <w:rsid w:val="00B655C6"/>
    <w:rsid w:val="00B727EE"/>
    <w:rsid w:val="00B90BE1"/>
    <w:rsid w:val="00BA0327"/>
    <w:rsid w:val="00BA1A0C"/>
    <w:rsid w:val="00BB5C73"/>
    <w:rsid w:val="00BB7D68"/>
    <w:rsid w:val="00BC4518"/>
    <w:rsid w:val="00BC746D"/>
    <w:rsid w:val="00BE1517"/>
    <w:rsid w:val="00BF107E"/>
    <w:rsid w:val="00BF173D"/>
    <w:rsid w:val="00BF409A"/>
    <w:rsid w:val="00BF4C2F"/>
    <w:rsid w:val="00C073CD"/>
    <w:rsid w:val="00C246D4"/>
    <w:rsid w:val="00C253EF"/>
    <w:rsid w:val="00C31468"/>
    <w:rsid w:val="00C365EA"/>
    <w:rsid w:val="00C42531"/>
    <w:rsid w:val="00C44AFE"/>
    <w:rsid w:val="00C45431"/>
    <w:rsid w:val="00C52E19"/>
    <w:rsid w:val="00C54069"/>
    <w:rsid w:val="00C74B86"/>
    <w:rsid w:val="00C77E59"/>
    <w:rsid w:val="00C85AD7"/>
    <w:rsid w:val="00C8797F"/>
    <w:rsid w:val="00C9336B"/>
    <w:rsid w:val="00C9501D"/>
    <w:rsid w:val="00C96C0C"/>
    <w:rsid w:val="00C97C34"/>
    <w:rsid w:val="00CA3DA6"/>
    <w:rsid w:val="00CA5EE9"/>
    <w:rsid w:val="00CC653D"/>
    <w:rsid w:val="00CD36E7"/>
    <w:rsid w:val="00CD36FC"/>
    <w:rsid w:val="00CD5D05"/>
    <w:rsid w:val="00CD6433"/>
    <w:rsid w:val="00CE104C"/>
    <w:rsid w:val="00CE1A5C"/>
    <w:rsid w:val="00CE416C"/>
    <w:rsid w:val="00CE48A1"/>
    <w:rsid w:val="00CE5AA9"/>
    <w:rsid w:val="00CF0AB9"/>
    <w:rsid w:val="00CF6806"/>
    <w:rsid w:val="00D11CA3"/>
    <w:rsid w:val="00D134B1"/>
    <w:rsid w:val="00D13B5F"/>
    <w:rsid w:val="00D22D09"/>
    <w:rsid w:val="00D232B5"/>
    <w:rsid w:val="00D333F5"/>
    <w:rsid w:val="00D350EC"/>
    <w:rsid w:val="00D3788E"/>
    <w:rsid w:val="00D457F4"/>
    <w:rsid w:val="00D45D6F"/>
    <w:rsid w:val="00D46313"/>
    <w:rsid w:val="00D56422"/>
    <w:rsid w:val="00D56967"/>
    <w:rsid w:val="00D56CC2"/>
    <w:rsid w:val="00D57083"/>
    <w:rsid w:val="00D57C78"/>
    <w:rsid w:val="00D71E3B"/>
    <w:rsid w:val="00D72A8D"/>
    <w:rsid w:val="00D74B86"/>
    <w:rsid w:val="00D806C5"/>
    <w:rsid w:val="00D876BC"/>
    <w:rsid w:val="00D879CB"/>
    <w:rsid w:val="00D92E1D"/>
    <w:rsid w:val="00DB0F15"/>
    <w:rsid w:val="00DB13B3"/>
    <w:rsid w:val="00DB297E"/>
    <w:rsid w:val="00DB426D"/>
    <w:rsid w:val="00DC1D49"/>
    <w:rsid w:val="00DC4031"/>
    <w:rsid w:val="00DD09B4"/>
    <w:rsid w:val="00DD25EB"/>
    <w:rsid w:val="00DD3EEC"/>
    <w:rsid w:val="00DD5632"/>
    <w:rsid w:val="00DE3A45"/>
    <w:rsid w:val="00DF2BB4"/>
    <w:rsid w:val="00DF4E9B"/>
    <w:rsid w:val="00DF6788"/>
    <w:rsid w:val="00E003DA"/>
    <w:rsid w:val="00E00CEE"/>
    <w:rsid w:val="00E02C7D"/>
    <w:rsid w:val="00E07877"/>
    <w:rsid w:val="00E123A9"/>
    <w:rsid w:val="00E14B27"/>
    <w:rsid w:val="00E173F8"/>
    <w:rsid w:val="00E203FA"/>
    <w:rsid w:val="00E34A1F"/>
    <w:rsid w:val="00E40533"/>
    <w:rsid w:val="00E41AB8"/>
    <w:rsid w:val="00E50082"/>
    <w:rsid w:val="00E66919"/>
    <w:rsid w:val="00E751B4"/>
    <w:rsid w:val="00E77E37"/>
    <w:rsid w:val="00E84D85"/>
    <w:rsid w:val="00E87554"/>
    <w:rsid w:val="00E94B44"/>
    <w:rsid w:val="00E962DB"/>
    <w:rsid w:val="00EA2809"/>
    <w:rsid w:val="00EA600F"/>
    <w:rsid w:val="00EA7D7B"/>
    <w:rsid w:val="00EB465F"/>
    <w:rsid w:val="00EC38CD"/>
    <w:rsid w:val="00EC4618"/>
    <w:rsid w:val="00ED18EA"/>
    <w:rsid w:val="00ED27B8"/>
    <w:rsid w:val="00ED7FA8"/>
    <w:rsid w:val="00EE529C"/>
    <w:rsid w:val="00EE58A1"/>
    <w:rsid w:val="00EE6316"/>
    <w:rsid w:val="00EF1F04"/>
    <w:rsid w:val="00EF3A2A"/>
    <w:rsid w:val="00EF6D66"/>
    <w:rsid w:val="00F12E0E"/>
    <w:rsid w:val="00F17C0C"/>
    <w:rsid w:val="00F2493D"/>
    <w:rsid w:val="00F304DA"/>
    <w:rsid w:val="00F33746"/>
    <w:rsid w:val="00F3545B"/>
    <w:rsid w:val="00F36AAC"/>
    <w:rsid w:val="00F405A8"/>
    <w:rsid w:val="00F41003"/>
    <w:rsid w:val="00F41D2C"/>
    <w:rsid w:val="00F4221E"/>
    <w:rsid w:val="00F460CC"/>
    <w:rsid w:val="00F4788C"/>
    <w:rsid w:val="00F51D58"/>
    <w:rsid w:val="00F565CB"/>
    <w:rsid w:val="00F76621"/>
    <w:rsid w:val="00F76970"/>
    <w:rsid w:val="00F91C7A"/>
    <w:rsid w:val="00F95258"/>
    <w:rsid w:val="00FC1F19"/>
    <w:rsid w:val="00FC2972"/>
    <w:rsid w:val="00FC3D53"/>
    <w:rsid w:val="00FC49A8"/>
    <w:rsid w:val="00FD3B04"/>
    <w:rsid w:val="00FD51E1"/>
    <w:rsid w:val="00FD574D"/>
    <w:rsid w:val="00FD62C0"/>
    <w:rsid w:val="00FD68EC"/>
    <w:rsid w:val="00FE4F95"/>
    <w:rsid w:val="00FE6C30"/>
    <w:rsid w:val="00FF1A57"/>
    <w:rsid w:val="00FF338D"/>
    <w:rsid w:val="00FF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94B"/>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uiPriority w:val="99"/>
    <w:rsid w:val="00EE529C"/>
    <w:rPr>
      <w:color w:val="0000FF"/>
      <w:u w:val="single"/>
    </w:rPr>
  </w:style>
  <w:style w:type="paragraph" w:styleId="BodyText">
    <w:name w:val="Body Text"/>
    <w:basedOn w:val="Normal"/>
    <w:link w:val="BodyTextChar"/>
    <w:rsid w:val="00022BBF"/>
    <w:pPr>
      <w:spacing w:after="120"/>
    </w:pPr>
  </w:style>
  <w:style w:type="character" w:customStyle="1" w:styleId="BodyTextChar">
    <w:name w:val="Body Text Char"/>
    <w:basedOn w:val="DefaultParagraphFont"/>
    <w:link w:val="BodyText"/>
    <w:rsid w:val="00022BBF"/>
    <w:rPr>
      <w:szCs w:val="24"/>
    </w:rPr>
  </w:style>
  <w:style w:type="character" w:styleId="FollowedHyperlink">
    <w:name w:val="FollowedHyperlink"/>
    <w:basedOn w:val="DefaultParagraphFont"/>
    <w:uiPriority w:val="99"/>
    <w:rsid w:val="00497635"/>
    <w:rPr>
      <w:color w:val="800080" w:themeColor="followedHyperlink"/>
      <w:u w:val="single"/>
    </w:rPr>
  </w:style>
  <w:style w:type="paragraph" w:customStyle="1" w:styleId="Default">
    <w:name w:val="Default"/>
    <w:rsid w:val="00383AE0"/>
    <w:pPr>
      <w:autoSpaceDE w:val="0"/>
      <w:autoSpaceDN w:val="0"/>
      <w:adjustRightInd w:val="0"/>
    </w:pPr>
    <w:rPr>
      <w:rFonts w:ascii="Calibri" w:hAnsi="Calibri" w:cs="Calibri"/>
      <w:color w:val="000000"/>
      <w:sz w:val="24"/>
      <w:szCs w:val="24"/>
    </w:rPr>
  </w:style>
  <w:style w:type="paragraph" w:styleId="NormalWeb">
    <w:name w:val="Normal (Web)"/>
    <w:basedOn w:val="Normal"/>
    <w:rsid w:val="001E59B8"/>
    <w:pPr>
      <w:widowControl/>
      <w:autoSpaceDE/>
      <w:autoSpaceDN/>
      <w:adjustRightInd/>
      <w:spacing w:before="161" w:after="161"/>
    </w:pPr>
    <w:rPr>
      <w:color w:val="000000"/>
      <w:sz w:val="24"/>
    </w:rPr>
  </w:style>
  <w:style w:type="character" w:styleId="CommentReference">
    <w:name w:val="annotation reference"/>
    <w:basedOn w:val="DefaultParagraphFont"/>
    <w:uiPriority w:val="99"/>
    <w:rsid w:val="001E59B8"/>
    <w:rPr>
      <w:sz w:val="16"/>
      <w:szCs w:val="16"/>
    </w:rPr>
  </w:style>
  <w:style w:type="paragraph" w:styleId="CommentText">
    <w:name w:val="annotation text"/>
    <w:basedOn w:val="Normal"/>
    <w:link w:val="CommentTextChar"/>
    <w:uiPriority w:val="99"/>
    <w:rsid w:val="001E59B8"/>
    <w:rPr>
      <w:szCs w:val="20"/>
    </w:rPr>
  </w:style>
  <w:style w:type="character" w:customStyle="1" w:styleId="CommentTextChar">
    <w:name w:val="Comment Text Char"/>
    <w:basedOn w:val="DefaultParagraphFont"/>
    <w:link w:val="CommentText"/>
    <w:uiPriority w:val="99"/>
    <w:rsid w:val="001E59B8"/>
  </w:style>
  <w:style w:type="paragraph" w:styleId="CommentSubject">
    <w:name w:val="annotation subject"/>
    <w:basedOn w:val="CommentText"/>
    <w:next w:val="CommentText"/>
    <w:link w:val="CommentSubjectChar"/>
    <w:rsid w:val="001E59B8"/>
    <w:rPr>
      <w:b/>
      <w:bCs/>
    </w:rPr>
  </w:style>
  <w:style w:type="character" w:customStyle="1" w:styleId="CommentSubjectChar">
    <w:name w:val="Comment Subject Char"/>
    <w:basedOn w:val="CommentTextChar"/>
    <w:link w:val="CommentSubject"/>
    <w:rsid w:val="001E59B8"/>
    <w:rPr>
      <w:b/>
      <w:bCs/>
    </w:rPr>
  </w:style>
  <w:style w:type="character" w:styleId="Strong">
    <w:name w:val="Strong"/>
    <w:basedOn w:val="DefaultParagraphFont"/>
    <w:uiPriority w:val="22"/>
    <w:qFormat/>
    <w:rsid w:val="00A751ED"/>
    <w:rPr>
      <w:b/>
      <w:bCs/>
    </w:rPr>
  </w:style>
  <w:style w:type="paragraph" w:styleId="Header">
    <w:name w:val="header"/>
    <w:basedOn w:val="Normal"/>
    <w:link w:val="HeaderChar"/>
    <w:rsid w:val="009C6EF5"/>
    <w:pPr>
      <w:tabs>
        <w:tab w:val="center" w:pos="4680"/>
        <w:tab w:val="right" w:pos="9360"/>
      </w:tabs>
    </w:pPr>
  </w:style>
  <w:style w:type="character" w:customStyle="1" w:styleId="HeaderChar">
    <w:name w:val="Header Char"/>
    <w:basedOn w:val="DefaultParagraphFont"/>
    <w:link w:val="Header"/>
    <w:rsid w:val="009C6EF5"/>
    <w:rPr>
      <w:szCs w:val="24"/>
    </w:rPr>
  </w:style>
  <w:style w:type="paragraph" w:styleId="Footer">
    <w:name w:val="footer"/>
    <w:basedOn w:val="Normal"/>
    <w:link w:val="FooterChar"/>
    <w:rsid w:val="009C6EF5"/>
    <w:pPr>
      <w:tabs>
        <w:tab w:val="center" w:pos="4680"/>
        <w:tab w:val="right" w:pos="9360"/>
      </w:tabs>
    </w:pPr>
  </w:style>
  <w:style w:type="character" w:customStyle="1" w:styleId="FooterChar">
    <w:name w:val="Footer Char"/>
    <w:basedOn w:val="DefaultParagraphFont"/>
    <w:link w:val="Footer"/>
    <w:rsid w:val="009C6EF5"/>
    <w:rPr>
      <w:szCs w:val="24"/>
    </w:rPr>
  </w:style>
  <w:style w:type="character" w:customStyle="1" w:styleId="BalloonTextChar">
    <w:name w:val="Balloon Text Char"/>
    <w:basedOn w:val="DefaultParagraphFont"/>
    <w:link w:val="BalloonText"/>
    <w:uiPriority w:val="99"/>
    <w:semiHidden/>
    <w:rsid w:val="000E12E7"/>
    <w:rPr>
      <w:rFonts w:ascii="Tahoma" w:hAnsi="Tahoma" w:cs="Tahoma"/>
      <w:sz w:val="16"/>
      <w:szCs w:val="16"/>
    </w:rPr>
  </w:style>
  <w:style w:type="character" w:customStyle="1" w:styleId="BodyTextIndentChar">
    <w:name w:val="Body Text Indent Char"/>
    <w:basedOn w:val="DefaultParagraphFont"/>
    <w:link w:val="BodyTextIndent"/>
    <w:rsid w:val="0029230C"/>
    <w:rPr>
      <w:rFonts w:ascii="Baskerville Old Face" w:hAnsi="Baskerville Old Face"/>
      <w:sz w:val="24"/>
      <w:szCs w:val="24"/>
    </w:rPr>
  </w:style>
  <w:style w:type="paragraph" w:styleId="Revision">
    <w:name w:val="Revision"/>
    <w:hidden/>
    <w:uiPriority w:val="99"/>
    <w:semiHidden/>
    <w:rsid w:val="008609E8"/>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94B"/>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uiPriority w:val="99"/>
    <w:rsid w:val="00EE529C"/>
    <w:rPr>
      <w:color w:val="0000FF"/>
      <w:u w:val="single"/>
    </w:rPr>
  </w:style>
  <w:style w:type="paragraph" w:styleId="BodyText">
    <w:name w:val="Body Text"/>
    <w:basedOn w:val="Normal"/>
    <w:link w:val="BodyTextChar"/>
    <w:rsid w:val="00022BBF"/>
    <w:pPr>
      <w:spacing w:after="120"/>
    </w:pPr>
  </w:style>
  <w:style w:type="character" w:customStyle="1" w:styleId="BodyTextChar">
    <w:name w:val="Body Text Char"/>
    <w:basedOn w:val="DefaultParagraphFont"/>
    <w:link w:val="BodyText"/>
    <w:rsid w:val="00022BBF"/>
    <w:rPr>
      <w:szCs w:val="24"/>
    </w:rPr>
  </w:style>
  <w:style w:type="character" w:styleId="FollowedHyperlink">
    <w:name w:val="FollowedHyperlink"/>
    <w:basedOn w:val="DefaultParagraphFont"/>
    <w:uiPriority w:val="99"/>
    <w:rsid w:val="00497635"/>
    <w:rPr>
      <w:color w:val="800080" w:themeColor="followedHyperlink"/>
      <w:u w:val="single"/>
    </w:rPr>
  </w:style>
  <w:style w:type="paragraph" w:customStyle="1" w:styleId="Default">
    <w:name w:val="Default"/>
    <w:rsid w:val="00383AE0"/>
    <w:pPr>
      <w:autoSpaceDE w:val="0"/>
      <w:autoSpaceDN w:val="0"/>
      <w:adjustRightInd w:val="0"/>
    </w:pPr>
    <w:rPr>
      <w:rFonts w:ascii="Calibri" w:hAnsi="Calibri" w:cs="Calibri"/>
      <w:color w:val="000000"/>
      <w:sz w:val="24"/>
      <w:szCs w:val="24"/>
    </w:rPr>
  </w:style>
  <w:style w:type="paragraph" w:styleId="NormalWeb">
    <w:name w:val="Normal (Web)"/>
    <w:basedOn w:val="Normal"/>
    <w:rsid w:val="001E59B8"/>
    <w:pPr>
      <w:widowControl/>
      <w:autoSpaceDE/>
      <w:autoSpaceDN/>
      <w:adjustRightInd/>
      <w:spacing w:before="161" w:after="161"/>
    </w:pPr>
    <w:rPr>
      <w:color w:val="000000"/>
      <w:sz w:val="24"/>
    </w:rPr>
  </w:style>
  <w:style w:type="character" w:styleId="CommentReference">
    <w:name w:val="annotation reference"/>
    <w:basedOn w:val="DefaultParagraphFont"/>
    <w:uiPriority w:val="99"/>
    <w:rsid w:val="001E59B8"/>
    <w:rPr>
      <w:sz w:val="16"/>
      <w:szCs w:val="16"/>
    </w:rPr>
  </w:style>
  <w:style w:type="paragraph" w:styleId="CommentText">
    <w:name w:val="annotation text"/>
    <w:basedOn w:val="Normal"/>
    <w:link w:val="CommentTextChar"/>
    <w:uiPriority w:val="99"/>
    <w:rsid w:val="001E59B8"/>
    <w:rPr>
      <w:szCs w:val="20"/>
    </w:rPr>
  </w:style>
  <w:style w:type="character" w:customStyle="1" w:styleId="CommentTextChar">
    <w:name w:val="Comment Text Char"/>
    <w:basedOn w:val="DefaultParagraphFont"/>
    <w:link w:val="CommentText"/>
    <w:uiPriority w:val="99"/>
    <w:rsid w:val="001E59B8"/>
  </w:style>
  <w:style w:type="paragraph" w:styleId="CommentSubject">
    <w:name w:val="annotation subject"/>
    <w:basedOn w:val="CommentText"/>
    <w:next w:val="CommentText"/>
    <w:link w:val="CommentSubjectChar"/>
    <w:rsid w:val="001E59B8"/>
    <w:rPr>
      <w:b/>
      <w:bCs/>
    </w:rPr>
  </w:style>
  <w:style w:type="character" w:customStyle="1" w:styleId="CommentSubjectChar">
    <w:name w:val="Comment Subject Char"/>
    <w:basedOn w:val="CommentTextChar"/>
    <w:link w:val="CommentSubject"/>
    <w:rsid w:val="001E59B8"/>
    <w:rPr>
      <w:b/>
      <w:bCs/>
    </w:rPr>
  </w:style>
  <w:style w:type="character" w:styleId="Strong">
    <w:name w:val="Strong"/>
    <w:basedOn w:val="DefaultParagraphFont"/>
    <w:uiPriority w:val="22"/>
    <w:qFormat/>
    <w:rsid w:val="00A751ED"/>
    <w:rPr>
      <w:b/>
      <w:bCs/>
    </w:rPr>
  </w:style>
  <w:style w:type="paragraph" w:styleId="Header">
    <w:name w:val="header"/>
    <w:basedOn w:val="Normal"/>
    <w:link w:val="HeaderChar"/>
    <w:rsid w:val="009C6EF5"/>
    <w:pPr>
      <w:tabs>
        <w:tab w:val="center" w:pos="4680"/>
        <w:tab w:val="right" w:pos="9360"/>
      </w:tabs>
    </w:pPr>
  </w:style>
  <w:style w:type="character" w:customStyle="1" w:styleId="HeaderChar">
    <w:name w:val="Header Char"/>
    <w:basedOn w:val="DefaultParagraphFont"/>
    <w:link w:val="Header"/>
    <w:rsid w:val="009C6EF5"/>
    <w:rPr>
      <w:szCs w:val="24"/>
    </w:rPr>
  </w:style>
  <w:style w:type="paragraph" w:styleId="Footer">
    <w:name w:val="footer"/>
    <w:basedOn w:val="Normal"/>
    <w:link w:val="FooterChar"/>
    <w:rsid w:val="009C6EF5"/>
    <w:pPr>
      <w:tabs>
        <w:tab w:val="center" w:pos="4680"/>
        <w:tab w:val="right" w:pos="9360"/>
      </w:tabs>
    </w:pPr>
  </w:style>
  <w:style w:type="character" w:customStyle="1" w:styleId="FooterChar">
    <w:name w:val="Footer Char"/>
    <w:basedOn w:val="DefaultParagraphFont"/>
    <w:link w:val="Footer"/>
    <w:rsid w:val="009C6EF5"/>
    <w:rPr>
      <w:szCs w:val="24"/>
    </w:rPr>
  </w:style>
  <w:style w:type="character" w:customStyle="1" w:styleId="BalloonTextChar">
    <w:name w:val="Balloon Text Char"/>
    <w:basedOn w:val="DefaultParagraphFont"/>
    <w:link w:val="BalloonText"/>
    <w:uiPriority w:val="99"/>
    <w:semiHidden/>
    <w:rsid w:val="000E12E7"/>
    <w:rPr>
      <w:rFonts w:ascii="Tahoma" w:hAnsi="Tahoma" w:cs="Tahoma"/>
      <w:sz w:val="16"/>
      <w:szCs w:val="16"/>
    </w:rPr>
  </w:style>
  <w:style w:type="character" w:customStyle="1" w:styleId="BodyTextIndentChar">
    <w:name w:val="Body Text Indent Char"/>
    <w:basedOn w:val="DefaultParagraphFont"/>
    <w:link w:val="BodyTextIndent"/>
    <w:rsid w:val="0029230C"/>
    <w:rPr>
      <w:rFonts w:ascii="Baskerville Old Face" w:hAnsi="Baskerville Old Face"/>
      <w:sz w:val="24"/>
      <w:szCs w:val="24"/>
    </w:rPr>
  </w:style>
  <w:style w:type="paragraph" w:styleId="Revision">
    <w:name w:val="Revision"/>
    <w:hidden/>
    <w:uiPriority w:val="99"/>
    <w:semiHidden/>
    <w:rsid w:val="008609E8"/>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5126">
      <w:bodyDiv w:val="1"/>
      <w:marLeft w:val="0"/>
      <w:marRight w:val="0"/>
      <w:marTop w:val="0"/>
      <w:marBottom w:val="0"/>
      <w:divBdr>
        <w:top w:val="none" w:sz="0" w:space="0" w:color="auto"/>
        <w:left w:val="none" w:sz="0" w:space="0" w:color="auto"/>
        <w:bottom w:val="none" w:sz="0" w:space="0" w:color="auto"/>
        <w:right w:val="none" w:sz="0" w:space="0" w:color="auto"/>
      </w:divBdr>
    </w:div>
    <w:div w:id="59788473">
      <w:bodyDiv w:val="1"/>
      <w:marLeft w:val="0"/>
      <w:marRight w:val="0"/>
      <w:marTop w:val="0"/>
      <w:marBottom w:val="0"/>
      <w:divBdr>
        <w:top w:val="none" w:sz="0" w:space="0" w:color="auto"/>
        <w:left w:val="none" w:sz="0" w:space="0" w:color="auto"/>
        <w:bottom w:val="none" w:sz="0" w:space="0" w:color="auto"/>
        <w:right w:val="none" w:sz="0" w:space="0" w:color="auto"/>
      </w:divBdr>
    </w:div>
    <w:div w:id="95102946">
      <w:bodyDiv w:val="1"/>
      <w:marLeft w:val="0"/>
      <w:marRight w:val="0"/>
      <w:marTop w:val="0"/>
      <w:marBottom w:val="0"/>
      <w:divBdr>
        <w:top w:val="none" w:sz="0" w:space="0" w:color="auto"/>
        <w:left w:val="none" w:sz="0" w:space="0" w:color="auto"/>
        <w:bottom w:val="none" w:sz="0" w:space="0" w:color="auto"/>
        <w:right w:val="none" w:sz="0" w:space="0" w:color="auto"/>
      </w:divBdr>
    </w:div>
    <w:div w:id="144665333">
      <w:bodyDiv w:val="1"/>
      <w:marLeft w:val="0"/>
      <w:marRight w:val="0"/>
      <w:marTop w:val="0"/>
      <w:marBottom w:val="0"/>
      <w:divBdr>
        <w:top w:val="none" w:sz="0" w:space="0" w:color="auto"/>
        <w:left w:val="none" w:sz="0" w:space="0" w:color="auto"/>
        <w:bottom w:val="none" w:sz="0" w:space="0" w:color="auto"/>
        <w:right w:val="none" w:sz="0" w:space="0" w:color="auto"/>
      </w:divBdr>
    </w:div>
    <w:div w:id="176310443">
      <w:bodyDiv w:val="1"/>
      <w:marLeft w:val="0"/>
      <w:marRight w:val="0"/>
      <w:marTop w:val="0"/>
      <w:marBottom w:val="0"/>
      <w:divBdr>
        <w:top w:val="none" w:sz="0" w:space="0" w:color="auto"/>
        <w:left w:val="none" w:sz="0" w:space="0" w:color="auto"/>
        <w:bottom w:val="none" w:sz="0" w:space="0" w:color="auto"/>
        <w:right w:val="none" w:sz="0" w:space="0" w:color="auto"/>
      </w:divBdr>
    </w:div>
    <w:div w:id="179197035">
      <w:bodyDiv w:val="1"/>
      <w:marLeft w:val="0"/>
      <w:marRight w:val="0"/>
      <w:marTop w:val="0"/>
      <w:marBottom w:val="0"/>
      <w:divBdr>
        <w:top w:val="none" w:sz="0" w:space="0" w:color="auto"/>
        <w:left w:val="none" w:sz="0" w:space="0" w:color="auto"/>
        <w:bottom w:val="none" w:sz="0" w:space="0" w:color="auto"/>
        <w:right w:val="none" w:sz="0" w:space="0" w:color="auto"/>
      </w:divBdr>
    </w:div>
    <w:div w:id="184563671">
      <w:bodyDiv w:val="1"/>
      <w:marLeft w:val="0"/>
      <w:marRight w:val="0"/>
      <w:marTop w:val="0"/>
      <w:marBottom w:val="0"/>
      <w:divBdr>
        <w:top w:val="none" w:sz="0" w:space="0" w:color="auto"/>
        <w:left w:val="none" w:sz="0" w:space="0" w:color="auto"/>
        <w:bottom w:val="none" w:sz="0" w:space="0" w:color="auto"/>
        <w:right w:val="none" w:sz="0" w:space="0" w:color="auto"/>
      </w:divBdr>
    </w:div>
    <w:div w:id="201141709">
      <w:bodyDiv w:val="1"/>
      <w:marLeft w:val="0"/>
      <w:marRight w:val="0"/>
      <w:marTop w:val="0"/>
      <w:marBottom w:val="0"/>
      <w:divBdr>
        <w:top w:val="none" w:sz="0" w:space="0" w:color="auto"/>
        <w:left w:val="none" w:sz="0" w:space="0" w:color="auto"/>
        <w:bottom w:val="none" w:sz="0" w:space="0" w:color="auto"/>
        <w:right w:val="none" w:sz="0" w:space="0" w:color="auto"/>
      </w:divBdr>
    </w:div>
    <w:div w:id="224535336">
      <w:bodyDiv w:val="1"/>
      <w:marLeft w:val="0"/>
      <w:marRight w:val="0"/>
      <w:marTop w:val="0"/>
      <w:marBottom w:val="0"/>
      <w:divBdr>
        <w:top w:val="none" w:sz="0" w:space="0" w:color="auto"/>
        <w:left w:val="none" w:sz="0" w:space="0" w:color="auto"/>
        <w:bottom w:val="none" w:sz="0" w:space="0" w:color="auto"/>
        <w:right w:val="none" w:sz="0" w:space="0" w:color="auto"/>
      </w:divBdr>
    </w:div>
    <w:div w:id="330304280">
      <w:bodyDiv w:val="1"/>
      <w:marLeft w:val="0"/>
      <w:marRight w:val="0"/>
      <w:marTop w:val="0"/>
      <w:marBottom w:val="0"/>
      <w:divBdr>
        <w:top w:val="none" w:sz="0" w:space="0" w:color="auto"/>
        <w:left w:val="none" w:sz="0" w:space="0" w:color="auto"/>
        <w:bottom w:val="none" w:sz="0" w:space="0" w:color="auto"/>
        <w:right w:val="none" w:sz="0" w:space="0" w:color="auto"/>
      </w:divBdr>
    </w:div>
    <w:div w:id="345249402">
      <w:bodyDiv w:val="1"/>
      <w:marLeft w:val="0"/>
      <w:marRight w:val="0"/>
      <w:marTop w:val="0"/>
      <w:marBottom w:val="0"/>
      <w:divBdr>
        <w:top w:val="none" w:sz="0" w:space="0" w:color="auto"/>
        <w:left w:val="none" w:sz="0" w:space="0" w:color="auto"/>
        <w:bottom w:val="none" w:sz="0" w:space="0" w:color="auto"/>
        <w:right w:val="none" w:sz="0" w:space="0" w:color="auto"/>
      </w:divBdr>
    </w:div>
    <w:div w:id="454255968">
      <w:bodyDiv w:val="1"/>
      <w:marLeft w:val="0"/>
      <w:marRight w:val="0"/>
      <w:marTop w:val="0"/>
      <w:marBottom w:val="0"/>
      <w:divBdr>
        <w:top w:val="none" w:sz="0" w:space="0" w:color="auto"/>
        <w:left w:val="none" w:sz="0" w:space="0" w:color="auto"/>
        <w:bottom w:val="none" w:sz="0" w:space="0" w:color="auto"/>
        <w:right w:val="none" w:sz="0" w:space="0" w:color="auto"/>
      </w:divBdr>
    </w:div>
    <w:div w:id="485781501">
      <w:bodyDiv w:val="1"/>
      <w:marLeft w:val="0"/>
      <w:marRight w:val="0"/>
      <w:marTop w:val="0"/>
      <w:marBottom w:val="0"/>
      <w:divBdr>
        <w:top w:val="none" w:sz="0" w:space="0" w:color="auto"/>
        <w:left w:val="none" w:sz="0" w:space="0" w:color="auto"/>
        <w:bottom w:val="none" w:sz="0" w:space="0" w:color="auto"/>
        <w:right w:val="none" w:sz="0" w:space="0" w:color="auto"/>
      </w:divBdr>
    </w:div>
    <w:div w:id="523829631">
      <w:bodyDiv w:val="1"/>
      <w:marLeft w:val="0"/>
      <w:marRight w:val="0"/>
      <w:marTop w:val="0"/>
      <w:marBottom w:val="0"/>
      <w:divBdr>
        <w:top w:val="none" w:sz="0" w:space="0" w:color="auto"/>
        <w:left w:val="none" w:sz="0" w:space="0" w:color="auto"/>
        <w:bottom w:val="none" w:sz="0" w:space="0" w:color="auto"/>
        <w:right w:val="none" w:sz="0" w:space="0" w:color="auto"/>
      </w:divBdr>
    </w:div>
    <w:div w:id="577591457">
      <w:bodyDiv w:val="1"/>
      <w:marLeft w:val="0"/>
      <w:marRight w:val="0"/>
      <w:marTop w:val="0"/>
      <w:marBottom w:val="0"/>
      <w:divBdr>
        <w:top w:val="none" w:sz="0" w:space="0" w:color="auto"/>
        <w:left w:val="none" w:sz="0" w:space="0" w:color="auto"/>
        <w:bottom w:val="none" w:sz="0" w:space="0" w:color="auto"/>
        <w:right w:val="none" w:sz="0" w:space="0" w:color="auto"/>
      </w:divBdr>
    </w:div>
    <w:div w:id="621960474">
      <w:bodyDiv w:val="1"/>
      <w:marLeft w:val="0"/>
      <w:marRight w:val="0"/>
      <w:marTop w:val="0"/>
      <w:marBottom w:val="0"/>
      <w:divBdr>
        <w:top w:val="none" w:sz="0" w:space="0" w:color="auto"/>
        <w:left w:val="none" w:sz="0" w:space="0" w:color="auto"/>
        <w:bottom w:val="none" w:sz="0" w:space="0" w:color="auto"/>
        <w:right w:val="none" w:sz="0" w:space="0" w:color="auto"/>
      </w:divBdr>
    </w:div>
    <w:div w:id="636497607">
      <w:bodyDiv w:val="1"/>
      <w:marLeft w:val="0"/>
      <w:marRight w:val="0"/>
      <w:marTop w:val="0"/>
      <w:marBottom w:val="0"/>
      <w:divBdr>
        <w:top w:val="none" w:sz="0" w:space="0" w:color="auto"/>
        <w:left w:val="none" w:sz="0" w:space="0" w:color="auto"/>
        <w:bottom w:val="none" w:sz="0" w:space="0" w:color="auto"/>
        <w:right w:val="none" w:sz="0" w:space="0" w:color="auto"/>
      </w:divBdr>
    </w:div>
    <w:div w:id="726345255">
      <w:bodyDiv w:val="1"/>
      <w:marLeft w:val="0"/>
      <w:marRight w:val="0"/>
      <w:marTop w:val="0"/>
      <w:marBottom w:val="0"/>
      <w:divBdr>
        <w:top w:val="none" w:sz="0" w:space="0" w:color="auto"/>
        <w:left w:val="none" w:sz="0" w:space="0" w:color="auto"/>
        <w:bottom w:val="none" w:sz="0" w:space="0" w:color="auto"/>
        <w:right w:val="none" w:sz="0" w:space="0" w:color="auto"/>
      </w:divBdr>
    </w:div>
    <w:div w:id="751119610">
      <w:bodyDiv w:val="1"/>
      <w:marLeft w:val="0"/>
      <w:marRight w:val="0"/>
      <w:marTop w:val="0"/>
      <w:marBottom w:val="0"/>
      <w:divBdr>
        <w:top w:val="none" w:sz="0" w:space="0" w:color="auto"/>
        <w:left w:val="none" w:sz="0" w:space="0" w:color="auto"/>
        <w:bottom w:val="none" w:sz="0" w:space="0" w:color="auto"/>
        <w:right w:val="none" w:sz="0" w:space="0" w:color="auto"/>
      </w:divBdr>
    </w:div>
    <w:div w:id="812601819">
      <w:bodyDiv w:val="1"/>
      <w:marLeft w:val="0"/>
      <w:marRight w:val="0"/>
      <w:marTop w:val="0"/>
      <w:marBottom w:val="0"/>
      <w:divBdr>
        <w:top w:val="none" w:sz="0" w:space="0" w:color="auto"/>
        <w:left w:val="none" w:sz="0" w:space="0" w:color="auto"/>
        <w:bottom w:val="none" w:sz="0" w:space="0" w:color="auto"/>
        <w:right w:val="none" w:sz="0" w:space="0" w:color="auto"/>
      </w:divBdr>
    </w:div>
    <w:div w:id="850873804">
      <w:bodyDiv w:val="1"/>
      <w:marLeft w:val="0"/>
      <w:marRight w:val="0"/>
      <w:marTop w:val="0"/>
      <w:marBottom w:val="0"/>
      <w:divBdr>
        <w:top w:val="none" w:sz="0" w:space="0" w:color="auto"/>
        <w:left w:val="none" w:sz="0" w:space="0" w:color="auto"/>
        <w:bottom w:val="none" w:sz="0" w:space="0" w:color="auto"/>
        <w:right w:val="none" w:sz="0" w:space="0" w:color="auto"/>
      </w:divBdr>
    </w:div>
    <w:div w:id="868180491">
      <w:bodyDiv w:val="1"/>
      <w:marLeft w:val="0"/>
      <w:marRight w:val="0"/>
      <w:marTop w:val="0"/>
      <w:marBottom w:val="0"/>
      <w:divBdr>
        <w:top w:val="none" w:sz="0" w:space="0" w:color="auto"/>
        <w:left w:val="none" w:sz="0" w:space="0" w:color="auto"/>
        <w:bottom w:val="none" w:sz="0" w:space="0" w:color="auto"/>
        <w:right w:val="none" w:sz="0" w:space="0" w:color="auto"/>
      </w:divBdr>
    </w:div>
    <w:div w:id="1135220411">
      <w:bodyDiv w:val="1"/>
      <w:marLeft w:val="0"/>
      <w:marRight w:val="0"/>
      <w:marTop w:val="0"/>
      <w:marBottom w:val="0"/>
      <w:divBdr>
        <w:top w:val="none" w:sz="0" w:space="0" w:color="auto"/>
        <w:left w:val="none" w:sz="0" w:space="0" w:color="auto"/>
        <w:bottom w:val="none" w:sz="0" w:space="0" w:color="auto"/>
        <w:right w:val="none" w:sz="0" w:space="0" w:color="auto"/>
      </w:divBdr>
    </w:div>
    <w:div w:id="1160538812">
      <w:bodyDiv w:val="1"/>
      <w:marLeft w:val="0"/>
      <w:marRight w:val="0"/>
      <w:marTop w:val="0"/>
      <w:marBottom w:val="0"/>
      <w:divBdr>
        <w:top w:val="none" w:sz="0" w:space="0" w:color="auto"/>
        <w:left w:val="none" w:sz="0" w:space="0" w:color="auto"/>
        <w:bottom w:val="none" w:sz="0" w:space="0" w:color="auto"/>
        <w:right w:val="none" w:sz="0" w:space="0" w:color="auto"/>
      </w:divBdr>
    </w:div>
    <w:div w:id="1166166972">
      <w:bodyDiv w:val="1"/>
      <w:marLeft w:val="0"/>
      <w:marRight w:val="0"/>
      <w:marTop w:val="0"/>
      <w:marBottom w:val="0"/>
      <w:divBdr>
        <w:top w:val="none" w:sz="0" w:space="0" w:color="auto"/>
        <w:left w:val="none" w:sz="0" w:space="0" w:color="auto"/>
        <w:bottom w:val="none" w:sz="0" w:space="0" w:color="auto"/>
        <w:right w:val="none" w:sz="0" w:space="0" w:color="auto"/>
      </w:divBdr>
    </w:div>
    <w:div w:id="1295521476">
      <w:bodyDiv w:val="1"/>
      <w:marLeft w:val="0"/>
      <w:marRight w:val="0"/>
      <w:marTop w:val="0"/>
      <w:marBottom w:val="0"/>
      <w:divBdr>
        <w:top w:val="none" w:sz="0" w:space="0" w:color="auto"/>
        <w:left w:val="none" w:sz="0" w:space="0" w:color="auto"/>
        <w:bottom w:val="none" w:sz="0" w:space="0" w:color="auto"/>
        <w:right w:val="none" w:sz="0" w:space="0" w:color="auto"/>
      </w:divBdr>
    </w:div>
    <w:div w:id="1328291811">
      <w:bodyDiv w:val="1"/>
      <w:marLeft w:val="0"/>
      <w:marRight w:val="0"/>
      <w:marTop w:val="0"/>
      <w:marBottom w:val="0"/>
      <w:divBdr>
        <w:top w:val="none" w:sz="0" w:space="0" w:color="auto"/>
        <w:left w:val="none" w:sz="0" w:space="0" w:color="auto"/>
        <w:bottom w:val="none" w:sz="0" w:space="0" w:color="auto"/>
        <w:right w:val="none" w:sz="0" w:space="0" w:color="auto"/>
      </w:divBdr>
    </w:div>
    <w:div w:id="1439982327">
      <w:bodyDiv w:val="1"/>
      <w:marLeft w:val="0"/>
      <w:marRight w:val="0"/>
      <w:marTop w:val="0"/>
      <w:marBottom w:val="0"/>
      <w:divBdr>
        <w:top w:val="none" w:sz="0" w:space="0" w:color="auto"/>
        <w:left w:val="none" w:sz="0" w:space="0" w:color="auto"/>
        <w:bottom w:val="none" w:sz="0" w:space="0" w:color="auto"/>
        <w:right w:val="none" w:sz="0" w:space="0" w:color="auto"/>
      </w:divBdr>
    </w:div>
    <w:div w:id="1492258136">
      <w:bodyDiv w:val="1"/>
      <w:marLeft w:val="0"/>
      <w:marRight w:val="0"/>
      <w:marTop w:val="0"/>
      <w:marBottom w:val="0"/>
      <w:divBdr>
        <w:top w:val="none" w:sz="0" w:space="0" w:color="auto"/>
        <w:left w:val="none" w:sz="0" w:space="0" w:color="auto"/>
        <w:bottom w:val="none" w:sz="0" w:space="0" w:color="auto"/>
        <w:right w:val="none" w:sz="0" w:space="0" w:color="auto"/>
      </w:divBdr>
    </w:div>
    <w:div w:id="1513448520">
      <w:bodyDiv w:val="1"/>
      <w:marLeft w:val="0"/>
      <w:marRight w:val="0"/>
      <w:marTop w:val="0"/>
      <w:marBottom w:val="0"/>
      <w:divBdr>
        <w:top w:val="none" w:sz="0" w:space="0" w:color="auto"/>
        <w:left w:val="none" w:sz="0" w:space="0" w:color="auto"/>
        <w:bottom w:val="none" w:sz="0" w:space="0" w:color="auto"/>
        <w:right w:val="none" w:sz="0" w:space="0" w:color="auto"/>
      </w:divBdr>
    </w:div>
    <w:div w:id="1597136631">
      <w:bodyDiv w:val="1"/>
      <w:marLeft w:val="0"/>
      <w:marRight w:val="0"/>
      <w:marTop w:val="0"/>
      <w:marBottom w:val="0"/>
      <w:divBdr>
        <w:top w:val="none" w:sz="0" w:space="0" w:color="auto"/>
        <w:left w:val="none" w:sz="0" w:space="0" w:color="auto"/>
        <w:bottom w:val="none" w:sz="0" w:space="0" w:color="auto"/>
        <w:right w:val="none" w:sz="0" w:space="0" w:color="auto"/>
      </w:divBdr>
    </w:div>
    <w:div w:id="1625305790">
      <w:bodyDiv w:val="1"/>
      <w:marLeft w:val="0"/>
      <w:marRight w:val="0"/>
      <w:marTop w:val="0"/>
      <w:marBottom w:val="0"/>
      <w:divBdr>
        <w:top w:val="none" w:sz="0" w:space="0" w:color="auto"/>
        <w:left w:val="none" w:sz="0" w:space="0" w:color="auto"/>
        <w:bottom w:val="none" w:sz="0" w:space="0" w:color="auto"/>
        <w:right w:val="none" w:sz="0" w:space="0" w:color="auto"/>
      </w:divBdr>
    </w:div>
    <w:div w:id="1641496192">
      <w:bodyDiv w:val="1"/>
      <w:marLeft w:val="0"/>
      <w:marRight w:val="0"/>
      <w:marTop w:val="0"/>
      <w:marBottom w:val="0"/>
      <w:divBdr>
        <w:top w:val="none" w:sz="0" w:space="0" w:color="auto"/>
        <w:left w:val="none" w:sz="0" w:space="0" w:color="auto"/>
        <w:bottom w:val="none" w:sz="0" w:space="0" w:color="auto"/>
        <w:right w:val="none" w:sz="0" w:space="0" w:color="auto"/>
      </w:divBdr>
    </w:div>
    <w:div w:id="1760131954">
      <w:bodyDiv w:val="1"/>
      <w:marLeft w:val="0"/>
      <w:marRight w:val="0"/>
      <w:marTop w:val="0"/>
      <w:marBottom w:val="0"/>
      <w:divBdr>
        <w:top w:val="none" w:sz="0" w:space="0" w:color="auto"/>
        <w:left w:val="none" w:sz="0" w:space="0" w:color="auto"/>
        <w:bottom w:val="none" w:sz="0" w:space="0" w:color="auto"/>
        <w:right w:val="none" w:sz="0" w:space="0" w:color="auto"/>
      </w:divBdr>
    </w:div>
    <w:div w:id="1942182209">
      <w:bodyDiv w:val="1"/>
      <w:marLeft w:val="0"/>
      <w:marRight w:val="0"/>
      <w:marTop w:val="0"/>
      <w:marBottom w:val="0"/>
      <w:divBdr>
        <w:top w:val="none" w:sz="0" w:space="0" w:color="auto"/>
        <w:left w:val="none" w:sz="0" w:space="0" w:color="auto"/>
        <w:bottom w:val="none" w:sz="0" w:space="0" w:color="auto"/>
        <w:right w:val="none" w:sz="0" w:space="0" w:color="auto"/>
      </w:divBdr>
    </w:div>
    <w:div w:id="2033800165">
      <w:bodyDiv w:val="1"/>
      <w:marLeft w:val="0"/>
      <w:marRight w:val="0"/>
      <w:marTop w:val="0"/>
      <w:marBottom w:val="0"/>
      <w:divBdr>
        <w:top w:val="none" w:sz="0" w:space="0" w:color="auto"/>
        <w:left w:val="none" w:sz="0" w:space="0" w:color="auto"/>
        <w:bottom w:val="none" w:sz="0" w:space="0" w:color="auto"/>
        <w:right w:val="none" w:sz="0" w:space="0" w:color="auto"/>
      </w:divBdr>
    </w:div>
    <w:div w:id="2082099118">
      <w:bodyDiv w:val="1"/>
      <w:marLeft w:val="0"/>
      <w:marRight w:val="0"/>
      <w:marTop w:val="0"/>
      <w:marBottom w:val="0"/>
      <w:divBdr>
        <w:top w:val="none" w:sz="0" w:space="0" w:color="auto"/>
        <w:left w:val="none" w:sz="0" w:space="0" w:color="auto"/>
        <w:bottom w:val="none" w:sz="0" w:space="0" w:color="auto"/>
        <w:right w:val="none" w:sz="0" w:space="0" w:color="auto"/>
      </w:divBdr>
    </w:div>
    <w:div w:id="211177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log.aids.gov/2012/08/secretary-sebelius-approves-indicators-for-monitoring-hhs-funded-hiv-services.html" TargetMode="External"/><Relationship Id="rId18" Type="http://schemas.openxmlformats.org/officeDocument/2006/relationships/hyperlink" Target="http://www.hrsa.gov/about/contact/bphc.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hab.hrsa.gov/deliverhivaidscare/habperformmeasures.html" TargetMode="External"/><Relationship Id="rId17" Type="http://schemas.openxmlformats.org/officeDocument/2006/relationships/hyperlink" Target="mailto:bphcp4c@hrsa.gov"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hhs.gov/ash/ohaidp/initiativ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ids.gov/federal-resources/policies/care-continuum/"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blog.aids.gov/2011/05/evolutions-in-the-minority-aids-initiative-secretary%E2%80%99s-fund.html" TargetMode="External"/><Relationship Id="rId10" Type="http://schemas.openxmlformats.org/officeDocument/2006/relationships/hyperlink" Target="http://www.hrsa.gov/grants/apply/assistance/bphchiv/supplementalinstructions.pdf" TargetMode="External"/><Relationship Id="rId19" Type="http://schemas.openxmlformats.org/officeDocument/2006/relationships/hyperlink" Target="http://www.hrsa.gov/healthit/networkguide/" TargetMode="External"/><Relationship Id="rId4" Type="http://schemas.microsoft.com/office/2007/relationships/stylesWithEffects" Target="stylesWithEffects.xml"/><Relationship Id="rId9" Type="http://schemas.openxmlformats.org/officeDocument/2006/relationships/hyperlink" Target="http://www.p4chivtac.com/" TargetMode="External"/><Relationship Id="rId14" Type="http://schemas.openxmlformats.org/officeDocument/2006/relationships/hyperlink" Target="http://www.qualityforum.org/News_And_Resources/Press_Releases/2013/NQF_Endorses_Infectious_Disease_Measures.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865E9-0350-40DC-AFC2-59F576166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5547</Words>
  <Characters>32996</Characters>
  <Application>Microsoft Office Word</Application>
  <DocSecurity>0</DocSecurity>
  <Lines>274</Lines>
  <Paragraphs>76</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38467</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Windows User</cp:lastModifiedBy>
  <cp:revision>4</cp:revision>
  <cp:lastPrinted>2015-04-14T18:02:00Z</cp:lastPrinted>
  <dcterms:created xsi:type="dcterms:W3CDTF">2015-06-22T13:05:00Z</dcterms:created>
  <dcterms:modified xsi:type="dcterms:W3CDTF">2015-06-22T14:50:00Z</dcterms:modified>
</cp:coreProperties>
</file>