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706" w:rsidRDefault="00C21B56" w:rsidP="007F03DB">
      <w:pPr>
        <w:widowControl w:val="0"/>
        <w:tabs>
          <w:tab w:val="center" w:pos="4680"/>
        </w:tabs>
        <w:jc w:val="center"/>
        <w:rPr>
          <w:b/>
        </w:rPr>
      </w:pPr>
      <w:r>
        <w:fldChar w:fldCharType="begin"/>
      </w:r>
      <w:r w:rsidR="00A24706">
        <w:instrText xml:space="preserve"> SEQ CHAPTER \h \r 1</w:instrText>
      </w:r>
      <w:r>
        <w:fldChar w:fldCharType="end"/>
      </w:r>
      <w:r w:rsidR="00A24706">
        <w:rPr>
          <w:b/>
        </w:rPr>
        <w:t>SUPPORTING STATEMENT</w:t>
      </w:r>
    </w:p>
    <w:p w:rsidR="00111D6D" w:rsidRDefault="00A24706">
      <w:pPr>
        <w:widowControl w:val="0"/>
        <w:jc w:val="center"/>
        <w:rPr>
          <w:b/>
        </w:rPr>
      </w:pPr>
      <w:r>
        <w:rPr>
          <w:b/>
        </w:rPr>
        <w:t>PERMITS FOR INCIDENTAL TAKING OF ENDANGERED</w:t>
      </w:r>
      <w:r w:rsidR="00111D6D">
        <w:rPr>
          <w:b/>
        </w:rPr>
        <w:t xml:space="preserve"> </w:t>
      </w:r>
      <w:r>
        <w:rPr>
          <w:b/>
        </w:rPr>
        <w:t xml:space="preserve">OR </w:t>
      </w:r>
    </w:p>
    <w:p w:rsidR="00A24706" w:rsidRDefault="00A24706">
      <w:pPr>
        <w:widowControl w:val="0"/>
        <w:jc w:val="center"/>
        <w:rPr>
          <w:b/>
        </w:rPr>
      </w:pPr>
      <w:r>
        <w:rPr>
          <w:b/>
        </w:rPr>
        <w:t>THREATENED SPECIES</w:t>
      </w:r>
    </w:p>
    <w:p w:rsidR="00A24706" w:rsidRDefault="00A24706" w:rsidP="007F03DB">
      <w:pPr>
        <w:widowControl w:val="0"/>
        <w:tabs>
          <w:tab w:val="center" w:pos="4680"/>
        </w:tabs>
        <w:jc w:val="center"/>
      </w:pPr>
      <w:proofErr w:type="gramStart"/>
      <w:r>
        <w:rPr>
          <w:b/>
        </w:rPr>
        <w:t>OMB CONTROL NO.</w:t>
      </w:r>
      <w:proofErr w:type="gramEnd"/>
      <w:r>
        <w:rPr>
          <w:b/>
        </w:rPr>
        <w:t xml:space="preserve"> 0648-0230</w:t>
      </w:r>
    </w:p>
    <w:p w:rsidR="00A24706" w:rsidRDefault="00A24706">
      <w:pPr>
        <w:widowControl w:val="0"/>
      </w:pPr>
    </w:p>
    <w:p w:rsidR="00A24706" w:rsidRDefault="00A24706">
      <w:pPr>
        <w:widowControl w:val="0"/>
      </w:pPr>
    </w:p>
    <w:p w:rsidR="00A24706" w:rsidRDefault="00A24706">
      <w:pPr>
        <w:widowControl w:val="0"/>
      </w:pPr>
      <w:r>
        <w:rPr>
          <w:b/>
        </w:rPr>
        <w:t>A.</w:t>
      </w:r>
      <w:r w:rsidR="007F03DB">
        <w:rPr>
          <w:b/>
        </w:rPr>
        <w:tab/>
      </w:r>
      <w:r>
        <w:rPr>
          <w:b/>
        </w:rPr>
        <w:t>JUSTIFICATION</w:t>
      </w:r>
    </w:p>
    <w:p w:rsidR="00A24706" w:rsidRDefault="00A24706">
      <w:pPr>
        <w:widowControl w:val="0"/>
      </w:pPr>
    </w:p>
    <w:p w:rsidR="00A24706" w:rsidRDefault="00A24706">
      <w:pPr>
        <w:widowControl w:val="0"/>
      </w:pPr>
      <w:r>
        <w:rPr>
          <w:b/>
        </w:rPr>
        <w:t xml:space="preserve">1.  </w:t>
      </w:r>
      <w:r>
        <w:rPr>
          <w:b/>
          <w:u w:val="single"/>
        </w:rPr>
        <w:t>Explain the circumstances that make the collection of information necessary</w:t>
      </w:r>
      <w:r>
        <w:rPr>
          <w:b/>
        </w:rPr>
        <w:t>.</w:t>
      </w:r>
    </w:p>
    <w:p w:rsidR="007F03DB" w:rsidRDefault="007F03DB">
      <w:pPr>
        <w:widowControl w:val="0"/>
        <w:tabs>
          <w:tab w:val="right" w:pos="9360"/>
        </w:tabs>
      </w:pPr>
    </w:p>
    <w:p w:rsidR="008C279C" w:rsidRDefault="008C279C">
      <w:pPr>
        <w:widowControl w:val="0"/>
        <w:tabs>
          <w:tab w:val="right" w:pos="9360"/>
        </w:tabs>
      </w:pPr>
      <w:r>
        <w:t>This request is for extension of a currently approved information collection.</w:t>
      </w:r>
    </w:p>
    <w:p w:rsidR="008C279C" w:rsidRDefault="008C279C">
      <w:pPr>
        <w:widowControl w:val="0"/>
        <w:tabs>
          <w:tab w:val="right" w:pos="9360"/>
        </w:tabs>
      </w:pPr>
    </w:p>
    <w:p w:rsidR="00ED1317" w:rsidRDefault="00A24706">
      <w:pPr>
        <w:widowControl w:val="0"/>
        <w:tabs>
          <w:tab w:val="right" w:pos="9360"/>
        </w:tabs>
      </w:pPr>
      <w:r>
        <w:t xml:space="preserve">The </w:t>
      </w:r>
      <w:hyperlink r:id="rId9" w:history="1">
        <w:r w:rsidRPr="00156A39">
          <w:rPr>
            <w:rStyle w:val="Hyperlink"/>
          </w:rPr>
          <w:t>Endangered Species Act of 1973</w:t>
        </w:r>
      </w:hyperlink>
      <w:r w:rsidRPr="0035044B">
        <w:t xml:space="preserve"> (ESA; 16 U.S.C. 1531</w:t>
      </w:r>
      <w:r>
        <w:t xml:space="preserve"> et. seq.) prohibits the taking of endangered species, but provides some exceptions under Section 10.  </w:t>
      </w:r>
      <w:r w:rsidR="008C279C">
        <w:t>An application</w:t>
      </w:r>
      <w:r>
        <w:t xml:space="preserve"> is required for persons to obtain a permit to take endangered species incidental to an otherwise lawful activity.  The regulations at </w:t>
      </w:r>
      <w:hyperlink r:id="rId10" w:history="1">
        <w:r w:rsidRPr="00156A39">
          <w:rPr>
            <w:rStyle w:val="Hyperlink"/>
          </w:rPr>
          <w:t>50 CFR §222.307</w:t>
        </w:r>
      </w:hyperlink>
      <w:r w:rsidRPr="008C279C">
        <w:t xml:space="preserve"> </w:t>
      </w:r>
      <w:r>
        <w:t>set out specific requirements on what information must be provided in order to apply for an incidental take permit, or for an exception from needing such a pe</w:t>
      </w:r>
      <w:r w:rsidR="007F03DB">
        <w:t xml:space="preserve">rmit.  </w:t>
      </w:r>
      <w:r w:rsidR="0064390C">
        <w:t>The regulations contain</w:t>
      </w:r>
      <w:r>
        <w:t xml:space="preserve"> three se</w:t>
      </w:r>
      <w:r w:rsidR="007F03DB">
        <w:t>ts of information collections:</w:t>
      </w:r>
    </w:p>
    <w:p w:rsidR="00A24706" w:rsidRDefault="00A24706">
      <w:pPr>
        <w:widowControl w:val="0"/>
        <w:tabs>
          <w:tab w:val="right" w:pos="9360"/>
        </w:tabs>
      </w:pPr>
      <w:r>
        <w:t xml:space="preserve">(l) </w:t>
      </w:r>
      <w:proofErr w:type="gramStart"/>
      <w:r>
        <w:t>applications</w:t>
      </w:r>
      <w:proofErr w:type="gramEnd"/>
      <w:r>
        <w:t xml:space="preserve"> for incidental take permits under §</w:t>
      </w:r>
      <w:r w:rsidRPr="0035044B">
        <w:t>222.307(b);</w:t>
      </w:r>
      <w:r>
        <w:t xml:space="preserve"> (2) applications for certificates of inclusion under </w:t>
      </w:r>
      <w:r w:rsidRPr="0035044B">
        <w:t>§222.307(f)(1);</w:t>
      </w:r>
      <w:r>
        <w:t xml:space="preserve"> and (3) reporting requirements for issued permits under </w:t>
      </w:r>
      <w:r w:rsidRPr="0035044B">
        <w:t>§222.307(d).</w:t>
      </w:r>
      <w:r>
        <w:t xml:space="preserve">  In addition, under protective regulations for certain listed species, a group may submit a watershed plan to </w:t>
      </w:r>
      <w:hyperlink r:id="rId11" w:history="1">
        <w:r w:rsidR="00111D6D" w:rsidRPr="00111D6D">
          <w:rPr>
            <w:rStyle w:val="Hyperlink"/>
            <w:bCs/>
            <w:color w:val="000000"/>
            <w:u w:val="none"/>
          </w:rPr>
          <w:t>National Marine Fisheries Service</w:t>
        </w:r>
      </w:hyperlink>
      <w:r w:rsidR="00111D6D" w:rsidRPr="00B278B2">
        <w:rPr>
          <w:color w:val="000000"/>
        </w:rPr>
        <w:t xml:space="preserve"> (NMFS)</w:t>
      </w:r>
      <w:r>
        <w:t xml:space="preserve"> for review against guidelines that meet the standards of </w:t>
      </w:r>
      <w:hyperlink r:id="rId12" w:history="1">
        <w:r w:rsidR="00470907" w:rsidRPr="00156A39">
          <w:rPr>
            <w:rStyle w:val="Hyperlink"/>
          </w:rPr>
          <w:t>§</w:t>
        </w:r>
        <w:r w:rsidRPr="00156A39">
          <w:rPr>
            <w:rStyle w:val="Hyperlink"/>
          </w:rPr>
          <w:t>223.204</w:t>
        </w:r>
      </w:hyperlink>
      <w:r>
        <w:t>.  If the plan is adequate, then habitat restoration activities outlined in the plan are exempt from applying</w:t>
      </w:r>
      <w:r w:rsidR="007F03DB">
        <w:t xml:space="preserve"> for an incidental take permit.</w:t>
      </w:r>
    </w:p>
    <w:p w:rsidR="00A24706" w:rsidRDefault="00A24706">
      <w:pPr>
        <w:widowControl w:val="0"/>
      </w:pPr>
    </w:p>
    <w:p w:rsidR="00882974" w:rsidRDefault="00A24706">
      <w:pPr>
        <w:widowControl w:val="0"/>
      </w:pPr>
      <w:r>
        <w:t>For applications and watershed plans, the required information is used to evaluate the activity</w:t>
      </w:r>
      <w:r w:rsidR="00156A39">
        <w:t xml:space="preserve"> proposed in the application. </w:t>
      </w:r>
      <w:r>
        <w:t xml:space="preserve">For </w:t>
      </w:r>
      <w:r w:rsidR="00ED1317">
        <w:t>the annual reporting requirement</w:t>
      </w:r>
      <w:r>
        <w:t>, information is used t</w:t>
      </w:r>
      <w:r w:rsidR="00156A39">
        <w:t xml:space="preserve">o evaluate ongoing activities. </w:t>
      </w:r>
      <w:r>
        <w:t>All of the information is necessary for NMFS to ensure the conservation of endangered species under the ESA.</w:t>
      </w:r>
    </w:p>
    <w:p w:rsidR="00ED1317" w:rsidRDefault="00ED1317">
      <w:pPr>
        <w:widowControl w:val="0"/>
      </w:pPr>
    </w:p>
    <w:p w:rsidR="00A24706" w:rsidRDefault="00A24706">
      <w:pPr>
        <w:widowControl w:val="0"/>
      </w:pPr>
      <w:r>
        <w:rPr>
          <w:b/>
        </w:rPr>
        <w:t xml:space="preserve">2.  </w:t>
      </w:r>
      <w:r>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applicable NOAA Information Quality Guidelines</w:t>
      </w:r>
      <w:r>
        <w:rPr>
          <w:b/>
        </w:rPr>
        <w:t xml:space="preserve">. </w:t>
      </w:r>
    </w:p>
    <w:p w:rsidR="00A24706" w:rsidRDefault="00A24706">
      <w:pPr>
        <w:widowControl w:val="0"/>
      </w:pPr>
    </w:p>
    <w:p w:rsidR="00A24706" w:rsidRDefault="00A24706">
      <w:pPr>
        <w:widowControl w:val="0"/>
      </w:pPr>
      <w:r>
        <w:t>All of the required information is used to evaluate the impacts of the proposed activity on endangered species; for example, to make the determinations required by the ESA prior to issuing a permit, and to establish appropriate permit conditions.  The analysis involved in making these determinations requires detailed information on the activity, the endangered species and how the activity may affect the animals directly or indirectly through alterations of the habitat.</w:t>
      </w:r>
    </w:p>
    <w:p w:rsidR="00A24706" w:rsidRDefault="00A24706">
      <w:pPr>
        <w:widowControl w:val="0"/>
      </w:pPr>
    </w:p>
    <w:p w:rsidR="00A24706" w:rsidRDefault="00A24706">
      <w:pPr>
        <w:widowControl w:val="0"/>
      </w:pPr>
      <w:r>
        <w:rPr>
          <w:u w:val="single"/>
        </w:rPr>
        <w:t>Incidental Take Permits</w:t>
      </w:r>
    </w:p>
    <w:p w:rsidR="00A24706" w:rsidRDefault="00A24706">
      <w:pPr>
        <w:widowControl w:val="0"/>
      </w:pPr>
      <w:r>
        <w:t xml:space="preserve">The instructions for sea turtles </w:t>
      </w:r>
      <w:r w:rsidR="00155942">
        <w:t xml:space="preserve">are </w:t>
      </w:r>
      <w:r>
        <w:t>more specific</w:t>
      </w:r>
      <w:r w:rsidR="00ED1317">
        <w:t xml:space="preserve"> than those for take of other species</w:t>
      </w:r>
      <w:r>
        <w:t xml:space="preserve">, and include more explanation, to make it clearer for the applicants.  The information required by both sets of instructions follow the regulations and </w:t>
      </w:r>
      <w:r w:rsidR="00111D6D">
        <w:t xml:space="preserve">is </w:t>
      </w:r>
      <w:r>
        <w:t>essentially the same.</w:t>
      </w:r>
    </w:p>
    <w:p w:rsidR="00BB06C0" w:rsidRDefault="00BB06C0">
      <w:pPr>
        <w:widowControl w:val="0"/>
      </w:pPr>
    </w:p>
    <w:p w:rsidR="00BB06C0" w:rsidRDefault="00BB06C0">
      <w:r>
        <w:br w:type="page"/>
      </w:r>
    </w:p>
    <w:p w:rsidR="00A24706" w:rsidRDefault="00A24706" w:rsidP="00002C9A">
      <w:pPr>
        <w:widowControl w:val="0"/>
      </w:pPr>
      <w:proofErr w:type="gramStart"/>
      <w:r>
        <w:lastRenderedPageBreak/>
        <w:t>I - III.</w:t>
      </w:r>
      <w:proofErr w:type="gramEnd"/>
      <w:r>
        <w:tab/>
      </w:r>
      <w:r w:rsidR="00155942">
        <w:t>These sections of the application instructions request the application title and date and th</w:t>
      </w:r>
      <w:r w:rsidR="00002C9A">
        <w:t xml:space="preserve">e </w:t>
      </w:r>
      <w:r w:rsidR="00155942">
        <w:t>applicant’s name, address, and contact information.  The purpose and use of this information is s</w:t>
      </w:r>
      <w:r>
        <w:t>elf-explanatory.</w:t>
      </w:r>
    </w:p>
    <w:p w:rsidR="00A24706" w:rsidRDefault="00A24706">
      <w:pPr>
        <w:widowControl w:val="0"/>
      </w:pPr>
    </w:p>
    <w:p w:rsidR="00A24706" w:rsidRDefault="00A24706">
      <w:pPr>
        <w:widowControl w:val="0"/>
      </w:pPr>
      <w:proofErr w:type="gramStart"/>
      <w:r>
        <w:t>IV-V.</w:t>
      </w:r>
      <w:proofErr w:type="gramEnd"/>
      <w:r>
        <w:t xml:space="preserve"> </w:t>
      </w:r>
      <w:r>
        <w:tab/>
        <w:t>It is important for management purposes to know what species and stock will be affected by the proposed activity.  Due to animals' seasonal habits, such as breeding, the dates and locations of the activity are important to determine the impact to the species.  NMFS can provide the applicant with any information that the applicant may not have on the biology, distribution, etc.</w:t>
      </w:r>
    </w:p>
    <w:p w:rsidR="00A24706" w:rsidRDefault="00A24706">
      <w:pPr>
        <w:widowControl w:val="0"/>
      </w:pPr>
    </w:p>
    <w:p w:rsidR="00A24706" w:rsidRDefault="00A24706">
      <w:pPr>
        <w:widowControl w:val="0"/>
      </w:pPr>
      <w:r>
        <w:t>VI.</w:t>
      </w:r>
      <w:r>
        <w:tab/>
        <w:t xml:space="preserve">A.  As </w:t>
      </w:r>
      <w:r w:rsidR="00F11CB5">
        <w:t>a requirement to obtain exception to the ESA for incidental takes</w:t>
      </w:r>
      <w:r>
        <w:t xml:space="preserve"> of an endangered species, there must be a conservation plan developed.  The purpose of this plan is to provide some benefit to the species to offset the negative impacts of the incidental take.</w:t>
      </w:r>
    </w:p>
    <w:p w:rsidR="00A24706" w:rsidRDefault="00A24706">
      <w:pPr>
        <w:widowControl w:val="0"/>
      </w:pPr>
      <w:r>
        <w:tab/>
        <w:t>B.  The ESA also covers habitat for listed species.  Animals cannot survive without habitat, so protecting/restoring their habitat is an important part of their conservation and recovery.</w:t>
      </w:r>
    </w:p>
    <w:p w:rsidR="00A24706" w:rsidRDefault="00A24706">
      <w:pPr>
        <w:widowControl w:val="0"/>
      </w:pPr>
      <w:r>
        <w:tab/>
        <w:t>C.  Because the proposed activity may have an adverse impact on a listed species, NMFS must ensure that all reasonable measures will be taken to minimize that impact.  Adequa</w:t>
      </w:r>
      <w:r w:rsidR="00B1112E">
        <w:t xml:space="preserve">te </w:t>
      </w:r>
      <w:r>
        <w:t>funding must be available to ensure that the conservation plan can be carried out.</w:t>
      </w:r>
    </w:p>
    <w:p w:rsidR="00A24706" w:rsidRDefault="00A24706">
      <w:pPr>
        <w:widowControl w:val="0"/>
      </w:pPr>
      <w:r>
        <w:tab/>
        <w:t xml:space="preserve">D.  NMFS must ensure that alternatives to the proposed action, which would have a lesser/no impact on the species, cannot reasonably be carried out in place of the proposed action.  Again, NMFS must ensure that all reasonable measures will be taken to minimize the impact to listed species. </w:t>
      </w:r>
    </w:p>
    <w:p w:rsidR="00A24706" w:rsidRDefault="00A24706">
      <w:pPr>
        <w:widowControl w:val="0"/>
      </w:pPr>
      <w:r>
        <w:tab/>
      </w:r>
      <w:smartTag w:uri="urn:schemas-microsoft-com:office:smarttags" w:element="place">
        <w:r>
          <w:t>E.  NMFS</w:t>
        </w:r>
      </w:smartTag>
      <w:r>
        <w:t xml:space="preserve"> must ensure that the data supplied in the application is valid.  </w:t>
      </w:r>
    </w:p>
    <w:p w:rsidR="00A24706" w:rsidRDefault="00A24706">
      <w:pPr>
        <w:widowControl w:val="0"/>
      </w:pPr>
    </w:p>
    <w:p w:rsidR="00A24706" w:rsidRDefault="00A24706">
      <w:pPr>
        <w:widowControl w:val="0"/>
      </w:pPr>
      <w:r>
        <w:rPr>
          <w:u w:val="single"/>
        </w:rPr>
        <w:t>Certificates of Inclusion</w:t>
      </w:r>
    </w:p>
    <w:p w:rsidR="00A24706" w:rsidRDefault="00A24706">
      <w:pPr>
        <w:widowControl w:val="0"/>
      </w:pPr>
      <w:r>
        <w:t>An application for a certificate of inclusion, to allow individuals to be included under a general incidental take permit, must include the following:</w:t>
      </w:r>
    </w:p>
    <w:p w:rsidR="00A24706" w:rsidRDefault="00A24706">
      <w:pPr>
        <w:widowControl w:val="0"/>
      </w:pPr>
    </w:p>
    <w:p w:rsidR="00A24706" w:rsidRDefault="00A24706">
      <w:pPr>
        <w:widowControl w:val="0"/>
      </w:pPr>
      <w:r>
        <w:t>1.  General incidental take permit under which the applicant wants coverage (self-explanatory).</w:t>
      </w:r>
    </w:p>
    <w:p w:rsidR="00A24706" w:rsidRDefault="00A24706">
      <w:pPr>
        <w:widowControl w:val="0"/>
      </w:pPr>
    </w:p>
    <w:p w:rsidR="00A24706" w:rsidRDefault="00A24706">
      <w:pPr>
        <w:widowControl w:val="0"/>
      </w:pPr>
      <w:r>
        <w:t>2.  Applicant's name, address and telephone number (if the applicant is a partnership or corporate entity, then the applicable details) (self-explanatory).</w:t>
      </w:r>
    </w:p>
    <w:p w:rsidR="00A24706" w:rsidRDefault="00A24706">
      <w:pPr>
        <w:widowControl w:val="0"/>
      </w:pPr>
    </w:p>
    <w:p w:rsidR="00A24706" w:rsidRDefault="00A24706">
      <w:pPr>
        <w:widowControl w:val="0"/>
      </w:pPr>
      <w:r>
        <w:t>3.  Description of the activity the applicant wants covered under the general permit, including anticipated geographic range and season (See explanation under IV and V above).</w:t>
      </w:r>
    </w:p>
    <w:p w:rsidR="00A24706" w:rsidRDefault="00A24706">
      <w:pPr>
        <w:widowControl w:val="0"/>
      </w:pPr>
    </w:p>
    <w:p w:rsidR="00A24706" w:rsidRDefault="00A24706">
      <w:pPr>
        <w:widowControl w:val="0"/>
      </w:pPr>
      <w:r>
        <w:t>4.  Signed statement that the applicant has read and understood the general incidental take permit and the conservation plan, will apply with the applicable terms and conditions, and will fund the applicable measures of the conservation plan (Self-explanatory, and see explanation under VI A. and C. above).</w:t>
      </w:r>
    </w:p>
    <w:p w:rsidR="00A24706" w:rsidRDefault="00A24706">
      <w:pPr>
        <w:widowControl w:val="0"/>
      </w:pPr>
    </w:p>
    <w:p w:rsidR="00A24706" w:rsidRDefault="00A24706">
      <w:pPr>
        <w:widowControl w:val="0"/>
        <w:rPr>
          <w:u w:val="single"/>
        </w:rPr>
      </w:pPr>
      <w:r>
        <w:rPr>
          <w:u w:val="single"/>
        </w:rPr>
        <w:t>Permit Reports</w:t>
      </w:r>
    </w:p>
    <w:p w:rsidR="00A24706" w:rsidRDefault="00A24706">
      <w:pPr>
        <w:widowControl w:val="0"/>
      </w:pPr>
      <w:r>
        <w:t xml:space="preserve">The reports required by the incidental take permits are used by NMFS to monitor the taking, to assess the impacts to the species and its habitat, and to monitor compliance with the terms and conditions of the permit.   This information is necessary to ensure that the taking is not appreciably reducing the likelihood of the survival and recovery of the species and for </w:t>
      </w:r>
      <w:r>
        <w:lastRenderedPageBreak/>
        <w:t xml:space="preserve">determining whether the terms and conditions of the permit are being complied with, as required by sections </w:t>
      </w:r>
      <w:r w:rsidRPr="0035044B">
        <w:t>10(a)(2)(B) and (C)</w:t>
      </w:r>
      <w:r>
        <w:t xml:space="preserve"> of the ESA.  The regulations at </w:t>
      </w:r>
      <w:r w:rsidRPr="0035044B">
        <w:t>§222.307(d</w:t>
      </w:r>
      <w:proofErr w:type="gramStart"/>
      <w:r w:rsidRPr="0035044B">
        <w:t>)(</w:t>
      </w:r>
      <w:proofErr w:type="gramEnd"/>
      <w:r w:rsidRPr="0035044B">
        <w:t>1)</w:t>
      </w:r>
      <w:r>
        <w:t xml:space="preserve"> state that permits must contain </w:t>
      </w:r>
      <w:r w:rsidR="001A0198">
        <w:t>“</w:t>
      </w:r>
      <w:r>
        <w:t>Reporting requirements or rights of inspection for determining whether the terms and conditions are being complied with</w:t>
      </w:r>
      <w:r w:rsidR="001A0198">
        <w:t>”</w:t>
      </w:r>
      <w:r>
        <w:t>.  The requirements for reports therefore, vary from permit to permit, depending on the permit conditions.</w:t>
      </w:r>
    </w:p>
    <w:p w:rsidR="00A24706" w:rsidRDefault="00A24706">
      <w:pPr>
        <w:widowControl w:val="0"/>
        <w:rPr>
          <w:u w:val="single"/>
        </w:rPr>
      </w:pPr>
    </w:p>
    <w:p w:rsidR="00A24706" w:rsidRDefault="00A24706">
      <w:pPr>
        <w:widowControl w:val="0"/>
        <w:rPr>
          <w:u w:val="single"/>
        </w:rPr>
      </w:pPr>
      <w:r>
        <w:rPr>
          <w:u w:val="single"/>
        </w:rPr>
        <w:t>Watershed Plans</w:t>
      </w:r>
    </w:p>
    <w:p w:rsidR="00A24706" w:rsidRDefault="00A24706">
      <w:pPr>
        <w:widowControl w:val="0"/>
      </w:pPr>
      <w:r>
        <w:t>There are no formal ins</w:t>
      </w:r>
      <w:r w:rsidR="00ED1317">
        <w:t xml:space="preserve">tructions for Watershed Plans </w:t>
      </w:r>
      <w:r>
        <w:t xml:space="preserve">other than the regulations themselves, which state that a Watershed Plan must address the following, taken from </w:t>
      </w:r>
      <w:r w:rsidRPr="0035044B">
        <w:t>222.307(c):</w:t>
      </w:r>
    </w:p>
    <w:p w:rsidR="00A24706" w:rsidRDefault="00A24706">
      <w:pPr>
        <w:widowControl w:val="0"/>
      </w:pPr>
    </w:p>
    <w:p w:rsidR="00A24706" w:rsidRDefault="00A24706" w:rsidP="00ED1317">
      <w:pPr>
        <w:widowControl w:val="0"/>
        <w:numPr>
          <w:ilvl w:val="0"/>
          <w:numId w:val="2"/>
        </w:numPr>
      </w:pPr>
      <w:r>
        <w:t>The status of the affected species or stocks (See explanation for IV-V above);</w:t>
      </w:r>
    </w:p>
    <w:p w:rsidR="00ED1317" w:rsidRDefault="00ED1317" w:rsidP="00ED1317">
      <w:pPr>
        <w:widowControl w:val="0"/>
        <w:ind w:left="1080"/>
      </w:pPr>
    </w:p>
    <w:p w:rsidR="00A24706" w:rsidRDefault="00A24706" w:rsidP="00ED1317">
      <w:pPr>
        <w:widowControl w:val="0"/>
        <w:numPr>
          <w:ilvl w:val="0"/>
          <w:numId w:val="2"/>
        </w:numPr>
      </w:pPr>
      <w:r>
        <w:t>The potential severity of direct, indirect and cumulative impacts on the species or stocks and habitat as a result of the proposed activity (See explanation for VI B and C above);</w:t>
      </w:r>
    </w:p>
    <w:p w:rsidR="00ED1317" w:rsidRDefault="00ED1317" w:rsidP="00ED1317">
      <w:pPr>
        <w:widowControl w:val="0"/>
        <w:ind w:left="1080"/>
      </w:pPr>
    </w:p>
    <w:p w:rsidR="00A24706" w:rsidRDefault="0069029C" w:rsidP="00ED1317">
      <w:pPr>
        <w:widowControl w:val="0"/>
        <w:numPr>
          <w:ilvl w:val="0"/>
          <w:numId w:val="2"/>
        </w:numPr>
      </w:pPr>
      <w:r>
        <w:t xml:space="preserve"> </w:t>
      </w:r>
      <w:r w:rsidR="00A24706">
        <w:t>The availability of effective monitoring techniques (To ensure that the actual impact is not different from the expected impact);</w:t>
      </w:r>
    </w:p>
    <w:p w:rsidR="00ED1317" w:rsidRDefault="00ED1317" w:rsidP="00ED1317">
      <w:pPr>
        <w:widowControl w:val="0"/>
        <w:ind w:left="1080"/>
      </w:pPr>
    </w:p>
    <w:p w:rsidR="00A24706" w:rsidRDefault="00A24706" w:rsidP="00ED1317">
      <w:pPr>
        <w:widowControl w:val="0"/>
        <w:numPr>
          <w:ilvl w:val="0"/>
          <w:numId w:val="2"/>
        </w:numPr>
      </w:pPr>
      <w:r>
        <w:t xml:space="preserve">The use of the best available technology for minimizing or </w:t>
      </w:r>
      <w:r w:rsidR="00747968">
        <w:t>mitigating impacts</w:t>
      </w:r>
      <w:r>
        <w:t xml:space="preserve"> (See explanation for VI C above); and</w:t>
      </w:r>
    </w:p>
    <w:p w:rsidR="00ED1317" w:rsidRDefault="00ED1317" w:rsidP="00ED1317">
      <w:pPr>
        <w:widowControl w:val="0"/>
        <w:ind w:left="1080"/>
      </w:pPr>
    </w:p>
    <w:p w:rsidR="00A24706" w:rsidRDefault="00A24706" w:rsidP="00ED1317">
      <w:pPr>
        <w:widowControl w:val="0"/>
        <w:ind w:left="360"/>
      </w:pPr>
      <w:r>
        <w:t>(v) The views of the public, scientists and other interested parties knowledgeable of the species or stocks or other matters related to the application (NMFS is required by the regulations, when issuing an exemption to ESA prohibitions, to solicit review and comment on the proposed activity from experts and the public).</w:t>
      </w:r>
    </w:p>
    <w:p w:rsidR="00A24706" w:rsidRDefault="00A24706">
      <w:pPr>
        <w:widowControl w:val="0"/>
        <w:rPr>
          <w:u w:val="single"/>
        </w:rPr>
      </w:pPr>
    </w:p>
    <w:p w:rsidR="00A24706" w:rsidRDefault="00A24706">
      <w:pPr>
        <w:widowControl w:val="0"/>
      </w:pPr>
      <w:r>
        <w:rPr>
          <w:u w:val="single"/>
        </w:rPr>
        <w:t>Transfer of Permits</w:t>
      </w:r>
    </w:p>
    <w:p w:rsidR="00A24706" w:rsidRDefault="00A24706">
      <w:pPr>
        <w:widowControl w:val="0"/>
      </w:pPr>
      <w:r>
        <w:t xml:space="preserve">The regulations at </w:t>
      </w:r>
      <w:hyperlink r:id="rId13" w:history="1">
        <w:r w:rsidRPr="0069029C">
          <w:rPr>
            <w:rStyle w:val="Hyperlink"/>
          </w:rPr>
          <w:t>§222.305</w:t>
        </w:r>
      </w:hyperlink>
      <w:r>
        <w:t xml:space="preserve"> allow for transfer of permits associated with Habitat Conservation Plans, Safe Harbor Agreements with Assurances, and Candidate Conservation Agreements with Assurances.  NMFS proposed this change to the </w:t>
      </w:r>
      <w:r w:rsidRPr="00747968">
        <w:t>regulations in 2002</w:t>
      </w:r>
      <w:r>
        <w:t xml:space="preserve">, because on two occasions permit holders wanted to sell their property to new owners.  Prior to changing the regulations, the new owners would have had to apply for a separate permit to continue implementing actions required from the previous permit.  Under the current regulations, NMFS and the new landowners save time and money by transferring permits instead of issuing new permits.  </w:t>
      </w:r>
    </w:p>
    <w:p w:rsidR="00A24706" w:rsidRDefault="00A24706">
      <w:pPr>
        <w:widowControl w:val="0"/>
      </w:pPr>
    </w:p>
    <w:p w:rsidR="00587BFA" w:rsidRDefault="004A577B">
      <w:pPr>
        <w:widowControl w:val="0"/>
      </w:pPr>
      <w:r>
        <w:t>NMFS</w:t>
      </w:r>
      <w:r w:rsidR="00A24706">
        <w:t xml:space="preserve"> will retain control over the information and safeguard it from improper access, modification, and destruction, consistent with </w:t>
      </w:r>
      <w:hyperlink w:tgtFrame="_blank" w:history="1">
        <w:r w:rsidRPr="004A577B">
          <w:rPr>
            <w:rStyle w:val="Hyperlink"/>
            <w:color w:val="auto"/>
            <w:u w:val="none"/>
          </w:rPr>
          <w:t>National Oceanic and Atmospheric Administration</w:t>
        </w:r>
      </w:hyperlink>
      <w:r w:rsidRPr="00350A1E">
        <w:t xml:space="preserve"> (NOAA)</w:t>
      </w:r>
      <w:r w:rsidR="00A24706">
        <w:t xml:space="preserve"> standards for confidentiality, privacy, and electronic information. See response </w:t>
      </w:r>
      <w:r w:rsidR="00B1112E">
        <w:t>to question</w:t>
      </w:r>
      <w:r w:rsidR="00A24706">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4" w:history="1">
        <w:r w:rsidR="00A24706" w:rsidRPr="0069029C">
          <w:rPr>
            <w:rStyle w:val="Hyperlink"/>
          </w:rPr>
          <w:t>Section 515 of Public Law 106-554</w:t>
        </w:r>
      </w:hyperlink>
    </w:p>
    <w:p w:rsidR="00B275F0" w:rsidRDefault="00B275F0">
      <w:pPr>
        <w:widowControl w:val="0"/>
      </w:pPr>
    </w:p>
    <w:p w:rsidR="00BB06C0" w:rsidRDefault="00BB06C0">
      <w:pPr>
        <w:widowControl w:val="0"/>
        <w:rPr>
          <w:b/>
        </w:rPr>
      </w:pPr>
    </w:p>
    <w:p w:rsidR="00BB06C0" w:rsidRDefault="00BB06C0">
      <w:pPr>
        <w:widowControl w:val="0"/>
        <w:rPr>
          <w:b/>
        </w:rPr>
      </w:pPr>
    </w:p>
    <w:p w:rsidR="00BB06C0" w:rsidRDefault="00BB06C0">
      <w:pPr>
        <w:rPr>
          <w:b/>
        </w:rPr>
      </w:pPr>
      <w:r>
        <w:rPr>
          <w:b/>
        </w:rPr>
        <w:br w:type="page"/>
      </w:r>
    </w:p>
    <w:p w:rsidR="00A24706" w:rsidRDefault="00A24706">
      <w:pPr>
        <w:widowControl w:val="0"/>
      </w:pPr>
      <w:r>
        <w:rPr>
          <w:b/>
        </w:rPr>
        <w:lastRenderedPageBreak/>
        <w:t xml:space="preserve">3.  </w:t>
      </w:r>
      <w:r>
        <w:rPr>
          <w:b/>
          <w:u w:val="single"/>
        </w:rPr>
        <w:t>Describe whether, and to what extent, the collection of information involves the use of automated, electronic, mechanical, or other technological techniques or other forms of information technology</w:t>
      </w:r>
      <w:r>
        <w:rPr>
          <w:b/>
        </w:rPr>
        <w:t>.</w:t>
      </w:r>
    </w:p>
    <w:p w:rsidR="00A24706" w:rsidRDefault="00A24706">
      <w:pPr>
        <w:widowControl w:val="0"/>
      </w:pPr>
    </w:p>
    <w:p w:rsidR="00A24706" w:rsidRDefault="00A24706">
      <w:pPr>
        <w:widowControl w:val="0"/>
      </w:pPr>
      <w:r>
        <w:t>Application instructions are available over the Internet</w:t>
      </w:r>
      <w:r w:rsidR="0015548E">
        <w:t xml:space="preserve"> </w:t>
      </w:r>
      <w:r w:rsidR="0015548E" w:rsidRPr="00766B89">
        <w:t xml:space="preserve">at </w:t>
      </w:r>
      <w:hyperlink r:id="rId15" w:history="1">
        <w:r w:rsidR="00766B89" w:rsidRPr="00766B89">
          <w:rPr>
            <w:rStyle w:val="Hyperlink"/>
          </w:rPr>
          <w:t>http://www.nmfs.noaa.gov/pr/permits/esa_permits.htm</w:t>
        </w:r>
      </w:hyperlink>
      <w:r w:rsidRPr="00766B89">
        <w:t>.</w:t>
      </w:r>
      <w:r>
        <w:t xml:space="preserve">  </w:t>
      </w:r>
      <w:r w:rsidR="00B66755">
        <w:t>R</w:t>
      </w:r>
      <w:r>
        <w:t>eports may be submitted electronically (</w:t>
      </w:r>
      <w:r w:rsidR="0015548E">
        <w:t>via</w:t>
      </w:r>
      <w:r>
        <w:t xml:space="preserve"> email), but NMFS must receive a signed paper copy of applications.</w:t>
      </w:r>
      <w:r w:rsidR="00E2592A">
        <w:t xml:space="preserve">  The small volume of responses does not justify designing a system for allowing e-signatures. </w:t>
      </w:r>
      <w:r>
        <w:t xml:space="preserve"> </w:t>
      </w:r>
    </w:p>
    <w:p w:rsidR="00A24706" w:rsidRDefault="00A24706">
      <w:pPr>
        <w:widowControl w:val="0"/>
      </w:pPr>
    </w:p>
    <w:p w:rsidR="00A24706" w:rsidRDefault="00A24706">
      <w:pPr>
        <w:widowControl w:val="0"/>
      </w:pPr>
      <w:r>
        <w:rPr>
          <w:b/>
        </w:rPr>
        <w:t xml:space="preserve">4.  </w:t>
      </w:r>
      <w:r>
        <w:rPr>
          <w:b/>
          <w:u w:val="single"/>
        </w:rPr>
        <w:t>Describe efforts to identify duplication</w:t>
      </w:r>
      <w:r>
        <w:rPr>
          <w:b/>
        </w:rPr>
        <w:t>.</w:t>
      </w:r>
    </w:p>
    <w:p w:rsidR="00A24706" w:rsidRDefault="00A24706">
      <w:pPr>
        <w:widowControl w:val="0"/>
      </w:pPr>
    </w:p>
    <w:p w:rsidR="00A24706" w:rsidRDefault="00A24706">
      <w:pPr>
        <w:widowControl w:val="0"/>
      </w:pPr>
      <w:r>
        <w:t xml:space="preserve">Because the information required is for the receipt of benefits (exemption from the ESA Section 10), and reporting on permit activity, the information collection is unique. </w:t>
      </w:r>
    </w:p>
    <w:p w:rsidR="00A24706" w:rsidRDefault="00A24706">
      <w:pPr>
        <w:widowControl w:val="0"/>
      </w:pPr>
    </w:p>
    <w:p w:rsidR="00A24706" w:rsidRDefault="00A24706">
      <w:pPr>
        <w:widowControl w:val="0"/>
      </w:pPr>
      <w:r>
        <w:rPr>
          <w:b/>
        </w:rPr>
        <w:t xml:space="preserve">5.  </w:t>
      </w:r>
      <w:r>
        <w:rPr>
          <w:b/>
          <w:u w:val="single"/>
        </w:rPr>
        <w:t>If the collection of information involves small businesses or other small entities, describe the methods used to minimize burden</w:t>
      </w:r>
      <w:r>
        <w:rPr>
          <w:b/>
        </w:rPr>
        <w:t>.</w:t>
      </w:r>
      <w:r>
        <w:t xml:space="preserve"> </w:t>
      </w:r>
    </w:p>
    <w:p w:rsidR="00A24706" w:rsidRDefault="00A24706">
      <w:pPr>
        <w:widowControl w:val="0"/>
      </w:pPr>
    </w:p>
    <w:p w:rsidR="00A24706" w:rsidRDefault="00A24706">
      <w:pPr>
        <w:widowControl w:val="0"/>
      </w:pPr>
      <w:r>
        <w:t>This collection should not have a significant impact on small entities.</w:t>
      </w:r>
      <w:r w:rsidR="00C0441E">
        <w:t xml:space="preserve"> There are no small businesses and only one non-profit institution.</w:t>
      </w:r>
    </w:p>
    <w:p w:rsidR="00C0441E" w:rsidRDefault="00C0441E">
      <w:pPr>
        <w:widowControl w:val="0"/>
        <w:rPr>
          <w:b/>
        </w:rPr>
      </w:pPr>
    </w:p>
    <w:p w:rsidR="00A24706" w:rsidRDefault="00A24706">
      <w:pPr>
        <w:widowControl w:val="0"/>
      </w:pPr>
      <w:r>
        <w:rPr>
          <w:b/>
        </w:rPr>
        <w:t xml:space="preserve">6.  </w:t>
      </w:r>
      <w:r>
        <w:rPr>
          <w:b/>
          <w:u w:val="single"/>
        </w:rPr>
        <w:t>Describe the consequences to the Federal program or policy activities if the collection is not conducted or is conducted less frequently</w:t>
      </w:r>
      <w:r>
        <w:rPr>
          <w:b/>
        </w:rPr>
        <w:t>.</w:t>
      </w:r>
      <w:r>
        <w:t xml:space="preserve"> </w:t>
      </w:r>
    </w:p>
    <w:p w:rsidR="00A24706" w:rsidRDefault="00A24706">
      <w:pPr>
        <w:widowControl w:val="0"/>
      </w:pPr>
    </w:p>
    <w:p w:rsidR="00A24706" w:rsidRDefault="00A24706">
      <w:pPr>
        <w:widowControl w:val="0"/>
      </w:pPr>
      <w:r>
        <w:t>If the information were not collected, the incidental taking would not be allowed, and the applicant could not lawfully conduct the activity.  Annual reporting on permits is necessary to monitor the activity under the permit and the status of the species.  Less than annual reporting would hinder NMFS</w:t>
      </w:r>
      <w:r w:rsidR="001A0198">
        <w:t>’</w:t>
      </w:r>
      <w:r>
        <w:t xml:space="preserve"> ability to conserve listed species.</w:t>
      </w:r>
    </w:p>
    <w:p w:rsidR="007F03DB" w:rsidRDefault="007F03DB">
      <w:pPr>
        <w:widowControl w:val="0"/>
      </w:pPr>
    </w:p>
    <w:p w:rsidR="00A24706" w:rsidRDefault="00A24706">
      <w:pPr>
        <w:widowControl w:val="0"/>
      </w:pPr>
      <w:r>
        <w:rPr>
          <w:b/>
        </w:rPr>
        <w:t xml:space="preserve">7.  </w:t>
      </w:r>
      <w:r>
        <w:rPr>
          <w:b/>
          <w:u w:val="single"/>
        </w:rPr>
        <w:t>Explain any special circumstances that require the collection to be conducted in a manner inconsistent with OMB guidelines</w:t>
      </w:r>
      <w:r>
        <w:rPr>
          <w:b/>
        </w:rPr>
        <w:t xml:space="preserve">. </w:t>
      </w:r>
    </w:p>
    <w:p w:rsidR="00A24706" w:rsidRDefault="00A24706">
      <w:pPr>
        <w:widowControl w:val="0"/>
      </w:pPr>
    </w:p>
    <w:p w:rsidR="00A24706" w:rsidRDefault="007F03DB">
      <w:pPr>
        <w:widowControl w:val="0"/>
      </w:pPr>
      <w:r>
        <w:t>Not Applicable.</w:t>
      </w:r>
    </w:p>
    <w:p w:rsidR="00A24706" w:rsidRDefault="00A24706">
      <w:pPr>
        <w:widowControl w:val="0"/>
      </w:pPr>
    </w:p>
    <w:p w:rsidR="00A24706" w:rsidRDefault="00A24706">
      <w:pPr>
        <w:widowControl w:val="0"/>
      </w:pPr>
      <w:r>
        <w:rPr>
          <w:b/>
        </w:rPr>
        <w:t xml:space="preserve">8.  </w:t>
      </w:r>
      <w:r>
        <w:rPr>
          <w:b/>
          <w:u w:val="single"/>
        </w:rPr>
        <w:t xml:space="preserve">Provide </w:t>
      </w:r>
      <w:r w:rsidR="0015548E">
        <w:rPr>
          <w:b/>
          <w:u w:val="single"/>
        </w:rPr>
        <w:t>information on</w:t>
      </w:r>
      <w:r>
        <w:rPr>
          <w:b/>
          <w:u w:val="single"/>
        </w:rPr>
        <w:t xml:space="preserve"> the PRA Federal Register </w:t>
      </w:r>
      <w:r w:rsidR="0015548E">
        <w:rPr>
          <w:b/>
          <w:u w:val="single"/>
        </w:rPr>
        <w:t xml:space="preserve">Notice </w:t>
      </w:r>
      <w:r>
        <w:rPr>
          <w:b/>
          <w:u w:val="single"/>
        </w:rPr>
        <w:t>that solicited public comments on the information collection prior to this submission.  Summarize the public comments received in response to that notice and describe the actions taken by the agency in response to those comments</w:t>
      </w:r>
      <w:r>
        <w:rPr>
          <w:b/>
        </w:rPr>
        <w:t>.</w:t>
      </w:r>
      <w:r>
        <w:t xml:space="preserve">  </w:t>
      </w:r>
      <w:r>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rPr>
        <w:t>.</w:t>
      </w:r>
    </w:p>
    <w:p w:rsidR="00A24706" w:rsidRDefault="00A24706">
      <w:pPr>
        <w:widowControl w:val="0"/>
      </w:pPr>
    </w:p>
    <w:p w:rsidR="00C61C21" w:rsidRDefault="00A24706">
      <w:pPr>
        <w:widowControl w:val="0"/>
      </w:pPr>
      <w:r>
        <w:t xml:space="preserve">A </w:t>
      </w:r>
      <w:r w:rsidRPr="0015548E">
        <w:rPr>
          <w:u w:val="single"/>
        </w:rPr>
        <w:t>Federal Register</w:t>
      </w:r>
      <w:r>
        <w:t xml:space="preserve"> Notice</w:t>
      </w:r>
      <w:r w:rsidR="0015548E">
        <w:t xml:space="preserve"> published on </w:t>
      </w:r>
      <w:r w:rsidR="0025771A">
        <w:t>December</w:t>
      </w:r>
      <w:r w:rsidR="001A0198">
        <w:t xml:space="preserve"> </w:t>
      </w:r>
      <w:r w:rsidR="0025771A">
        <w:t>2</w:t>
      </w:r>
      <w:r w:rsidR="001A0198">
        <w:t>4, 201</w:t>
      </w:r>
      <w:r w:rsidR="0025771A">
        <w:t>4</w:t>
      </w:r>
      <w:r w:rsidR="001A0198">
        <w:t xml:space="preserve"> (7</w:t>
      </w:r>
      <w:r w:rsidR="0025771A">
        <w:t>9</w:t>
      </w:r>
      <w:r w:rsidR="001A0198">
        <w:t xml:space="preserve"> FR </w:t>
      </w:r>
      <w:r w:rsidR="0025771A">
        <w:t>77459</w:t>
      </w:r>
      <w:r w:rsidR="001A0198">
        <w:t>)</w:t>
      </w:r>
      <w:r w:rsidR="0015548E">
        <w:t xml:space="preserve"> </w:t>
      </w:r>
      <w:r>
        <w:t xml:space="preserve">solicited public comment on this renewal.  </w:t>
      </w:r>
      <w:r w:rsidR="00C61C21">
        <w:t xml:space="preserve">We received </w:t>
      </w:r>
      <w:r w:rsidR="0025771A">
        <w:t>no comments.</w:t>
      </w:r>
    </w:p>
    <w:p w:rsidR="00774170" w:rsidRDefault="00774170">
      <w:pPr>
        <w:widowControl w:val="0"/>
      </w:pPr>
    </w:p>
    <w:p w:rsidR="00774170" w:rsidRDefault="00774170">
      <w:pPr>
        <w:widowControl w:val="0"/>
      </w:pPr>
      <w:r>
        <w:t>We contacted two non-NOAA stakeholders, North Carolina Division of Marine Fisheries and Virginia Marine Resources Commission.  North Carolina provided “no comment.”  Virginia provided the following:</w:t>
      </w:r>
    </w:p>
    <w:p w:rsidR="00774170" w:rsidRPr="00774170" w:rsidRDefault="00774170">
      <w:pPr>
        <w:widowControl w:val="0"/>
        <w:rPr>
          <w:szCs w:val="24"/>
        </w:rPr>
      </w:pPr>
    </w:p>
    <w:p w:rsidR="00774170" w:rsidRPr="00774170" w:rsidRDefault="00774170" w:rsidP="00774170">
      <w:pPr>
        <w:shd w:val="clear" w:color="auto" w:fill="FFFFFF"/>
        <w:rPr>
          <w:szCs w:val="24"/>
        </w:rPr>
      </w:pPr>
      <w:r w:rsidRPr="00774170">
        <w:rPr>
          <w:szCs w:val="24"/>
        </w:rPr>
        <w:t>The information collected through the incidental take permitting process is useful for providing for protection of endangered and threaten species, while allowing for activities that may have an impact on the species to continue.  This limits potential economic impacts, compared to not allowing activities to continue at all.</w:t>
      </w:r>
    </w:p>
    <w:p w:rsidR="00774170" w:rsidRPr="00774170" w:rsidRDefault="00774170" w:rsidP="00774170">
      <w:pPr>
        <w:shd w:val="clear" w:color="auto" w:fill="FFFFFF"/>
        <w:rPr>
          <w:szCs w:val="24"/>
        </w:rPr>
      </w:pPr>
      <w:r w:rsidRPr="00774170">
        <w:rPr>
          <w:szCs w:val="24"/>
        </w:rPr>
        <w:t> </w:t>
      </w:r>
    </w:p>
    <w:p w:rsidR="00774170" w:rsidRPr="00774170" w:rsidRDefault="00774170" w:rsidP="00774170">
      <w:pPr>
        <w:shd w:val="clear" w:color="auto" w:fill="FFFFFF"/>
        <w:rPr>
          <w:szCs w:val="24"/>
        </w:rPr>
      </w:pPr>
      <w:r w:rsidRPr="00774170">
        <w:rPr>
          <w:szCs w:val="24"/>
        </w:rPr>
        <w:t xml:space="preserve">This was the first time I and the Virginia Marine Resources Commission (VMRC) have dealt with the incidental take permitting process.  I was also brought into the process after the agency had begun the initial steps and discussion with OPR staff.  Since I have been involved, the instructions provided by OPR staff have been generally easy to understand.  OPR </w:t>
      </w:r>
      <w:proofErr w:type="gramStart"/>
      <w:r w:rsidRPr="00774170">
        <w:rPr>
          <w:szCs w:val="24"/>
        </w:rPr>
        <w:t>staff have</w:t>
      </w:r>
      <w:proofErr w:type="gramEnd"/>
      <w:r w:rsidRPr="00774170">
        <w:rPr>
          <w:szCs w:val="24"/>
        </w:rPr>
        <w:t xml:space="preserve"> been helpful in providing examples of what needs to be included in the permit application and in providing feedback on options the VMRC has developed for the application.  Having either in person or conference calls to discuss sections of the application have been helpful and will hopefully aid to making sure the VMRC includes information required in the application.  The one area where the VMRC did have some confusion was in understanding how the number of lethal interactions would be applied.  This issue was clarified by OPR staff during a conference call.  OPR </w:t>
      </w:r>
      <w:proofErr w:type="gramStart"/>
      <w:r w:rsidRPr="00774170">
        <w:rPr>
          <w:szCs w:val="24"/>
        </w:rPr>
        <w:t>staff have</w:t>
      </w:r>
      <w:proofErr w:type="gramEnd"/>
      <w:r w:rsidRPr="00774170">
        <w:rPr>
          <w:szCs w:val="24"/>
        </w:rPr>
        <w:t xml:space="preserve"> been very responsive in the timing of responses to questions and in tracking the progress of the application.  I have had no problem calling or sending emails to OPR staff with questions I had about specific topics of the application.  I think maybe from both the VMRC and OPR staff’s sides, it has been a little difficult to discuss some of the sections of the permit without having the entire conservation plan section completed.  I’m not sure how this issue could be addressed without having an entire draft of the conservation plan completed before having meetings to discuss options.  This could result in timely revisions from the VMRC if OPR staff did not approve of decisions made by the VMRC.       </w:t>
      </w:r>
    </w:p>
    <w:p w:rsidR="00774170" w:rsidRPr="00774170" w:rsidRDefault="00774170" w:rsidP="00774170">
      <w:pPr>
        <w:shd w:val="clear" w:color="auto" w:fill="FFFFFF"/>
        <w:rPr>
          <w:szCs w:val="24"/>
        </w:rPr>
      </w:pPr>
      <w:r w:rsidRPr="00774170">
        <w:rPr>
          <w:szCs w:val="24"/>
        </w:rPr>
        <w:t> </w:t>
      </w:r>
    </w:p>
    <w:p w:rsidR="00EF2B94" w:rsidRPr="00774170" w:rsidRDefault="00EF2B94" w:rsidP="00EF2B94">
      <w:pPr>
        <w:shd w:val="clear" w:color="auto" w:fill="FFFFFF"/>
        <w:rPr>
          <w:szCs w:val="24"/>
        </w:rPr>
      </w:pPr>
      <w:r w:rsidRPr="00EF2B94">
        <w:rPr>
          <w:b/>
          <w:szCs w:val="24"/>
        </w:rPr>
        <w:t>NOAA Response:</w:t>
      </w:r>
      <w:r>
        <w:rPr>
          <w:szCs w:val="24"/>
        </w:rPr>
        <w:t xml:space="preserve"> With this particular applicant, VMRC, this is the first time they have applied for such a permit and developed a conservation plan with NMFS. We worked with this applicant entirely from scratch and helped them develop their program. Given that this is the first time they’ve come in for a permit and developed a conservation plan, their comment is expected.  Upon their next application, they will be able to have a conservation plan developed prior to the permit development.</w:t>
      </w:r>
    </w:p>
    <w:p w:rsidR="007F03DB" w:rsidRDefault="007F03DB">
      <w:pPr>
        <w:widowControl w:val="0"/>
      </w:pPr>
    </w:p>
    <w:p w:rsidR="00A24706" w:rsidRDefault="00A24706">
      <w:pPr>
        <w:widowControl w:val="0"/>
      </w:pPr>
      <w:r>
        <w:rPr>
          <w:b/>
        </w:rPr>
        <w:t xml:space="preserve">9.  </w:t>
      </w:r>
      <w:r>
        <w:rPr>
          <w:b/>
          <w:u w:val="single"/>
        </w:rPr>
        <w:t>Explain any decisions to provide payments or gifts to respondents, other than remuneration of contractors or grantees</w:t>
      </w:r>
      <w:r>
        <w:rPr>
          <w:b/>
        </w:rPr>
        <w:t>.</w:t>
      </w:r>
    </w:p>
    <w:p w:rsidR="00A24706" w:rsidRDefault="00A24706">
      <w:pPr>
        <w:widowControl w:val="0"/>
      </w:pPr>
    </w:p>
    <w:p w:rsidR="00A24706" w:rsidRDefault="00A24706">
      <w:pPr>
        <w:widowControl w:val="0"/>
      </w:pPr>
      <w:r>
        <w:t>No payments or gifts are given.</w:t>
      </w:r>
    </w:p>
    <w:p w:rsidR="00A24706" w:rsidRDefault="00A24706">
      <w:pPr>
        <w:widowControl w:val="0"/>
      </w:pPr>
    </w:p>
    <w:p w:rsidR="00A24706" w:rsidRDefault="00A24706">
      <w:pPr>
        <w:widowControl w:val="0"/>
      </w:pPr>
      <w:r>
        <w:rPr>
          <w:b/>
        </w:rPr>
        <w:t xml:space="preserve">10.  </w:t>
      </w:r>
      <w:r>
        <w:rPr>
          <w:b/>
          <w:u w:val="single"/>
        </w:rPr>
        <w:t>Describe any assurance or confidentiality provided to respondents and the basis for assurance in statute, regulation, or agency policy</w:t>
      </w:r>
      <w:r>
        <w:rPr>
          <w:b/>
        </w:rPr>
        <w:t>.</w:t>
      </w:r>
    </w:p>
    <w:p w:rsidR="00A24706" w:rsidRDefault="00A24706">
      <w:pPr>
        <w:widowControl w:val="0"/>
      </w:pPr>
    </w:p>
    <w:p w:rsidR="00A24706" w:rsidRDefault="00A24706">
      <w:pPr>
        <w:widowControl w:val="0"/>
      </w:pPr>
      <w:r>
        <w:t>No confidentiality is promised.  The information supplied is a matter of public record.</w:t>
      </w:r>
    </w:p>
    <w:p w:rsidR="00A24706" w:rsidRDefault="00A24706">
      <w:pPr>
        <w:widowControl w:val="0"/>
      </w:pPr>
    </w:p>
    <w:p w:rsidR="00A24706" w:rsidRDefault="00A24706">
      <w:pPr>
        <w:widowControl w:val="0"/>
      </w:pPr>
      <w:r>
        <w:rPr>
          <w:b/>
        </w:rPr>
        <w:t xml:space="preserve">11.  </w:t>
      </w:r>
      <w:r>
        <w:rPr>
          <w:b/>
          <w:u w:val="single"/>
        </w:rPr>
        <w:t>Provide additional justification for any questions of a sensitive nature, such as sexual behavior and attitudes, religious beliefs, and other matters that are commonly considered private</w:t>
      </w:r>
      <w:r>
        <w:rPr>
          <w:b/>
        </w:rPr>
        <w:t>.</w:t>
      </w:r>
    </w:p>
    <w:p w:rsidR="00A24706" w:rsidRDefault="00A24706">
      <w:pPr>
        <w:widowControl w:val="0"/>
      </w:pPr>
    </w:p>
    <w:p w:rsidR="00A24706" w:rsidRDefault="00A24706">
      <w:pPr>
        <w:widowControl w:val="0"/>
      </w:pPr>
      <w:r>
        <w:t>No sensitive questions are asked.</w:t>
      </w:r>
    </w:p>
    <w:p w:rsidR="00A24706" w:rsidRDefault="00A24706">
      <w:pPr>
        <w:widowControl w:val="0"/>
      </w:pPr>
      <w:r>
        <w:rPr>
          <w:b/>
        </w:rPr>
        <w:lastRenderedPageBreak/>
        <w:t xml:space="preserve">12.  </w:t>
      </w:r>
      <w:r>
        <w:rPr>
          <w:b/>
          <w:u w:val="single"/>
        </w:rPr>
        <w:t>Provide an estimate in hours of the burden of the collection of information</w:t>
      </w:r>
      <w:r>
        <w:rPr>
          <w:b/>
        </w:rPr>
        <w:t>.</w:t>
      </w:r>
    </w:p>
    <w:p w:rsidR="00A24706" w:rsidRDefault="00A24706">
      <w:pPr>
        <w:widowControl w:val="0"/>
      </w:pPr>
    </w:p>
    <w:p w:rsidR="00A24706" w:rsidRDefault="00A24706">
      <w:pPr>
        <w:widowControl w:val="0"/>
      </w:pPr>
      <w:r>
        <w:t>See table below.</w:t>
      </w:r>
      <w:r w:rsidR="0093657D">
        <w:t xml:space="preserve"> There are 13 unduplicated respondents per year (4 new applicants and 9 submitting annual reports), 15 responses and 472 hours.</w:t>
      </w:r>
    </w:p>
    <w:p w:rsidR="00A24706" w:rsidRDefault="00A24706">
      <w:pPr>
        <w:widowControl w:val="0"/>
      </w:pPr>
    </w:p>
    <w:p w:rsidR="007F03DB" w:rsidRDefault="00A24706">
      <w:pPr>
        <w:widowControl w:val="0"/>
      </w:pPr>
      <w:r>
        <w:t xml:space="preserve">Note: No watershed plans or certificates of inclusions </w:t>
      </w:r>
      <w:r w:rsidR="00C76039">
        <w:t xml:space="preserve">are expected </w:t>
      </w:r>
      <w:r w:rsidR="00C504E7">
        <w:t xml:space="preserve">because </w:t>
      </w:r>
      <w:r w:rsidR="00C76039">
        <w:t>none have been received in the past few years</w:t>
      </w:r>
      <w:r w:rsidR="00086FBB">
        <w:t xml:space="preserve"> (</w:t>
      </w:r>
      <w:r w:rsidR="00C504E7">
        <w:t>20</w:t>
      </w:r>
      <w:r w:rsidR="001A0198">
        <w:t>11</w:t>
      </w:r>
      <w:r w:rsidR="00086FBB">
        <w:t>-2015</w:t>
      </w:r>
      <w:r w:rsidR="00C504E7">
        <w:t>)</w:t>
      </w:r>
      <w:r w:rsidR="00C76039">
        <w:t>.</w:t>
      </w:r>
    </w:p>
    <w:p w:rsidR="00A24706" w:rsidRDefault="00C76039">
      <w:pPr>
        <w:widowControl w:val="0"/>
      </w:pPr>
      <w: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3"/>
        <w:gridCol w:w="1510"/>
        <w:gridCol w:w="1402"/>
        <w:gridCol w:w="1328"/>
        <w:gridCol w:w="1355"/>
        <w:gridCol w:w="1323"/>
        <w:gridCol w:w="1295"/>
      </w:tblGrid>
      <w:tr w:rsidR="001329F3">
        <w:tc>
          <w:tcPr>
            <w:tcW w:w="9576" w:type="dxa"/>
            <w:gridSpan w:val="7"/>
          </w:tcPr>
          <w:p w:rsidR="001329F3" w:rsidRPr="00282364" w:rsidRDefault="007F03DB" w:rsidP="007F03DB">
            <w:pPr>
              <w:keepNext/>
              <w:jc w:val="center"/>
              <w:rPr>
                <w:rFonts w:ascii="Arial" w:hAnsi="Arial" w:cs="Arial"/>
                <w:b/>
                <w:sz w:val="16"/>
                <w:szCs w:val="16"/>
              </w:rPr>
            </w:pPr>
            <w:r>
              <w:br w:type="page"/>
            </w:r>
            <w:r w:rsidR="001329F3" w:rsidRPr="00282364">
              <w:rPr>
                <w:rFonts w:ascii="Arial" w:hAnsi="Arial" w:cs="Arial"/>
                <w:b/>
                <w:sz w:val="16"/>
                <w:szCs w:val="16"/>
              </w:rPr>
              <w:t>Burden Hours and Labor Costs to the Public</w:t>
            </w:r>
          </w:p>
        </w:tc>
      </w:tr>
      <w:tr w:rsidR="00F17D68">
        <w:tc>
          <w:tcPr>
            <w:tcW w:w="1363" w:type="dxa"/>
          </w:tcPr>
          <w:p w:rsidR="001329F3" w:rsidRPr="00282364" w:rsidRDefault="001329F3" w:rsidP="00111D6D">
            <w:pPr>
              <w:widowControl w:val="0"/>
              <w:jc w:val="center"/>
              <w:rPr>
                <w:rFonts w:ascii="Arial" w:hAnsi="Arial" w:cs="Arial"/>
                <w:b/>
                <w:sz w:val="16"/>
                <w:szCs w:val="16"/>
              </w:rPr>
            </w:pPr>
            <w:r w:rsidRPr="00282364">
              <w:rPr>
                <w:rFonts w:ascii="Arial" w:hAnsi="Arial" w:cs="Arial"/>
                <w:b/>
                <w:sz w:val="16"/>
                <w:szCs w:val="16"/>
              </w:rPr>
              <w:t>Type of response</w:t>
            </w:r>
          </w:p>
        </w:tc>
        <w:tc>
          <w:tcPr>
            <w:tcW w:w="1510" w:type="dxa"/>
          </w:tcPr>
          <w:p w:rsidR="001329F3" w:rsidRPr="00282364" w:rsidRDefault="001329F3" w:rsidP="00111D6D">
            <w:pPr>
              <w:widowControl w:val="0"/>
              <w:jc w:val="center"/>
              <w:rPr>
                <w:rFonts w:ascii="Arial" w:hAnsi="Arial" w:cs="Arial"/>
                <w:b/>
                <w:sz w:val="16"/>
                <w:szCs w:val="16"/>
              </w:rPr>
            </w:pPr>
            <w:r w:rsidRPr="00282364">
              <w:rPr>
                <w:rFonts w:ascii="Arial" w:hAnsi="Arial" w:cs="Arial"/>
                <w:b/>
                <w:sz w:val="16"/>
                <w:szCs w:val="16"/>
              </w:rPr>
              <w:t>Permit Applications (once per permit)</w:t>
            </w:r>
          </w:p>
        </w:tc>
        <w:tc>
          <w:tcPr>
            <w:tcW w:w="1402" w:type="dxa"/>
          </w:tcPr>
          <w:p w:rsidR="001329F3" w:rsidRPr="00282364" w:rsidRDefault="001329F3" w:rsidP="00111D6D">
            <w:pPr>
              <w:widowControl w:val="0"/>
              <w:jc w:val="center"/>
              <w:rPr>
                <w:rFonts w:ascii="Arial" w:hAnsi="Arial" w:cs="Arial"/>
                <w:b/>
                <w:sz w:val="16"/>
                <w:szCs w:val="16"/>
              </w:rPr>
            </w:pPr>
            <w:r w:rsidRPr="00282364">
              <w:rPr>
                <w:rFonts w:ascii="Arial" w:hAnsi="Arial" w:cs="Arial"/>
                <w:b/>
                <w:sz w:val="16"/>
                <w:szCs w:val="16"/>
              </w:rPr>
              <w:t>Certificates of Inclusion</w:t>
            </w:r>
          </w:p>
        </w:tc>
        <w:tc>
          <w:tcPr>
            <w:tcW w:w="1328" w:type="dxa"/>
          </w:tcPr>
          <w:p w:rsidR="001329F3" w:rsidRPr="00282364" w:rsidRDefault="001329F3" w:rsidP="00111D6D">
            <w:pPr>
              <w:widowControl w:val="0"/>
              <w:jc w:val="center"/>
              <w:rPr>
                <w:rFonts w:ascii="Arial" w:hAnsi="Arial" w:cs="Arial"/>
                <w:b/>
                <w:sz w:val="16"/>
                <w:szCs w:val="16"/>
              </w:rPr>
            </w:pPr>
            <w:r w:rsidRPr="00282364">
              <w:rPr>
                <w:rFonts w:ascii="Arial" w:hAnsi="Arial" w:cs="Arial"/>
                <w:b/>
                <w:sz w:val="16"/>
                <w:szCs w:val="16"/>
              </w:rPr>
              <w:t>Permit Reports (annually)</w:t>
            </w:r>
          </w:p>
        </w:tc>
        <w:tc>
          <w:tcPr>
            <w:tcW w:w="1355" w:type="dxa"/>
          </w:tcPr>
          <w:p w:rsidR="001329F3" w:rsidRPr="00282364" w:rsidRDefault="00C043E8" w:rsidP="00111D6D">
            <w:pPr>
              <w:widowControl w:val="0"/>
              <w:jc w:val="center"/>
              <w:rPr>
                <w:rFonts w:ascii="Arial" w:hAnsi="Arial" w:cs="Arial"/>
                <w:b/>
                <w:sz w:val="16"/>
                <w:szCs w:val="16"/>
              </w:rPr>
            </w:pPr>
            <w:r w:rsidRPr="00282364">
              <w:rPr>
                <w:rFonts w:ascii="Arial" w:hAnsi="Arial" w:cs="Arial"/>
                <w:b/>
                <w:sz w:val="16"/>
                <w:szCs w:val="16"/>
              </w:rPr>
              <w:t>Watershed Plans (once per plan)</w:t>
            </w:r>
          </w:p>
        </w:tc>
        <w:tc>
          <w:tcPr>
            <w:tcW w:w="1323" w:type="dxa"/>
          </w:tcPr>
          <w:p w:rsidR="001329F3" w:rsidRPr="00282364" w:rsidRDefault="00C043E8" w:rsidP="00111D6D">
            <w:pPr>
              <w:widowControl w:val="0"/>
              <w:jc w:val="center"/>
              <w:rPr>
                <w:rFonts w:ascii="Arial" w:hAnsi="Arial" w:cs="Arial"/>
                <w:b/>
                <w:sz w:val="16"/>
                <w:szCs w:val="16"/>
              </w:rPr>
            </w:pPr>
            <w:r w:rsidRPr="00282364">
              <w:rPr>
                <w:rFonts w:ascii="Arial" w:hAnsi="Arial" w:cs="Arial"/>
                <w:b/>
                <w:sz w:val="16"/>
                <w:szCs w:val="16"/>
              </w:rPr>
              <w:t>Transfer of Incidental Take Permits</w:t>
            </w:r>
          </w:p>
        </w:tc>
        <w:tc>
          <w:tcPr>
            <w:tcW w:w="1295" w:type="dxa"/>
          </w:tcPr>
          <w:p w:rsidR="001329F3" w:rsidRPr="0061278B" w:rsidRDefault="00D73474" w:rsidP="007F03DB">
            <w:pPr>
              <w:keepNext/>
              <w:jc w:val="center"/>
              <w:rPr>
                <w:b/>
              </w:rPr>
            </w:pPr>
            <w:r w:rsidRPr="0061278B">
              <w:rPr>
                <w:b/>
              </w:rPr>
              <w:t>TOTALS</w:t>
            </w:r>
          </w:p>
        </w:tc>
      </w:tr>
      <w:tr w:rsidR="00F17D68" w:rsidRPr="00282364">
        <w:tc>
          <w:tcPr>
            <w:tcW w:w="1363" w:type="dxa"/>
          </w:tcPr>
          <w:p w:rsidR="001329F3" w:rsidRPr="00282364" w:rsidRDefault="00BE2114" w:rsidP="0061278B">
            <w:pPr>
              <w:widowControl w:val="0"/>
              <w:rPr>
                <w:rFonts w:ascii="Arial" w:hAnsi="Arial" w:cs="Arial"/>
                <w:b/>
                <w:sz w:val="16"/>
                <w:szCs w:val="16"/>
              </w:rPr>
            </w:pPr>
            <w:r w:rsidRPr="00282364">
              <w:rPr>
                <w:rFonts w:ascii="Arial" w:hAnsi="Arial" w:cs="Arial"/>
                <w:b/>
                <w:sz w:val="16"/>
                <w:szCs w:val="16"/>
              </w:rPr>
              <w:t>Number received per year</w:t>
            </w:r>
          </w:p>
        </w:tc>
        <w:tc>
          <w:tcPr>
            <w:tcW w:w="1510" w:type="dxa"/>
          </w:tcPr>
          <w:p w:rsidR="001329F3" w:rsidRPr="00282364" w:rsidRDefault="0084721D" w:rsidP="00111D6D">
            <w:pPr>
              <w:widowControl w:val="0"/>
              <w:jc w:val="right"/>
              <w:rPr>
                <w:rFonts w:ascii="Arial" w:hAnsi="Arial" w:cs="Arial"/>
                <w:sz w:val="16"/>
                <w:szCs w:val="16"/>
              </w:rPr>
            </w:pPr>
            <w:r w:rsidRPr="00282364">
              <w:rPr>
                <w:rFonts w:ascii="Arial" w:hAnsi="Arial" w:cs="Arial"/>
                <w:sz w:val="16"/>
                <w:szCs w:val="16"/>
              </w:rPr>
              <w:t>4</w:t>
            </w:r>
          </w:p>
        </w:tc>
        <w:tc>
          <w:tcPr>
            <w:tcW w:w="1402" w:type="dxa"/>
          </w:tcPr>
          <w:p w:rsidR="001329F3"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Pr>
          <w:p w:rsidR="001329F3" w:rsidRPr="00282364" w:rsidRDefault="00460DF0" w:rsidP="00111D6D">
            <w:pPr>
              <w:widowControl w:val="0"/>
              <w:jc w:val="right"/>
              <w:rPr>
                <w:rFonts w:ascii="Arial" w:hAnsi="Arial" w:cs="Arial"/>
                <w:sz w:val="16"/>
                <w:szCs w:val="16"/>
              </w:rPr>
            </w:pPr>
            <w:r w:rsidRPr="00282364">
              <w:rPr>
                <w:rFonts w:ascii="Arial" w:hAnsi="Arial" w:cs="Arial"/>
                <w:sz w:val="16"/>
                <w:szCs w:val="16"/>
              </w:rPr>
              <w:t>9</w:t>
            </w:r>
          </w:p>
        </w:tc>
        <w:tc>
          <w:tcPr>
            <w:tcW w:w="1355" w:type="dxa"/>
          </w:tcPr>
          <w:p w:rsidR="001329F3"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3" w:type="dxa"/>
          </w:tcPr>
          <w:p w:rsidR="001329F3" w:rsidRPr="00282364" w:rsidRDefault="00D73474" w:rsidP="00111D6D">
            <w:pPr>
              <w:widowControl w:val="0"/>
              <w:jc w:val="right"/>
              <w:rPr>
                <w:rFonts w:ascii="Arial" w:hAnsi="Arial" w:cs="Arial"/>
                <w:sz w:val="16"/>
                <w:szCs w:val="16"/>
              </w:rPr>
            </w:pPr>
            <w:r w:rsidRPr="00282364">
              <w:rPr>
                <w:rFonts w:ascii="Arial" w:hAnsi="Arial" w:cs="Arial"/>
                <w:sz w:val="16"/>
                <w:szCs w:val="16"/>
              </w:rPr>
              <w:t>2</w:t>
            </w:r>
          </w:p>
        </w:tc>
        <w:tc>
          <w:tcPr>
            <w:tcW w:w="1295" w:type="dxa"/>
          </w:tcPr>
          <w:p w:rsidR="001329F3" w:rsidRPr="00282364" w:rsidRDefault="00282364" w:rsidP="007F03DB">
            <w:pPr>
              <w:keepNext/>
              <w:jc w:val="right"/>
              <w:rPr>
                <w:rFonts w:ascii="Arial" w:hAnsi="Arial" w:cs="Arial"/>
                <w:b/>
                <w:sz w:val="16"/>
                <w:szCs w:val="16"/>
              </w:rPr>
            </w:pPr>
            <w:r w:rsidRPr="00282364">
              <w:rPr>
                <w:rFonts w:ascii="Arial" w:hAnsi="Arial" w:cs="Arial"/>
                <w:b/>
                <w:sz w:val="16"/>
                <w:szCs w:val="16"/>
              </w:rPr>
              <w:t>15</w:t>
            </w:r>
          </w:p>
        </w:tc>
      </w:tr>
      <w:tr w:rsidR="00F17D68" w:rsidRPr="00282364">
        <w:tc>
          <w:tcPr>
            <w:tcW w:w="1363" w:type="dxa"/>
          </w:tcPr>
          <w:p w:rsidR="001329F3" w:rsidRPr="00282364" w:rsidRDefault="00C043E8" w:rsidP="0061278B">
            <w:pPr>
              <w:widowControl w:val="0"/>
              <w:rPr>
                <w:rFonts w:ascii="Arial" w:hAnsi="Arial" w:cs="Arial"/>
                <w:b/>
                <w:sz w:val="16"/>
                <w:szCs w:val="16"/>
              </w:rPr>
            </w:pPr>
            <w:r w:rsidRPr="00282364">
              <w:rPr>
                <w:rFonts w:ascii="Arial" w:hAnsi="Arial" w:cs="Arial"/>
                <w:b/>
                <w:sz w:val="16"/>
                <w:szCs w:val="16"/>
              </w:rPr>
              <w:t>Hours per response</w:t>
            </w:r>
          </w:p>
        </w:tc>
        <w:tc>
          <w:tcPr>
            <w:tcW w:w="1510" w:type="dxa"/>
          </w:tcPr>
          <w:p w:rsidR="001329F3" w:rsidRPr="00282364" w:rsidRDefault="00D73474" w:rsidP="00111D6D">
            <w:pPr>
              <w:widowControl w:val="0"/>
              <w:jc w:val="right"/>
              <w:rPr>
                <w:rFonts w:ascii="Arial" w:hAnsi="Arial" w:cs="Arial"/>
                <w:sz w:val="16"/>
                <w:szCs w:val="16"/>
              </w:rPr>
            </w:pPr>
            <w:r w:rsidRPr="00282364">
              <w:rPr>
                <w:rFonts w:ascii="Arial" w:hAnsi="Arial" w:cs="Arial"/>
                <w:sz w:val="16"/>
                <w:szCs w:val="16"/>
              </w:rPr>
              <w:t>80</w:t>
            </w:r>
          </w:p>
        </w:tc>
        <w:tc>
          <w:tcPr>
            <w:tcW w:w="1402" w:type="dxa"/>
          </w:tcPr>
          <w:p w:rsidR="001329F3"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Pr>
          <w:p w:rsidR="001329F3" w:rsidRPr="00282364" w:rsidRDefault="00D73474" w:rsidP="00111D6D">
            <w:pPr>
              <w:widowControl w:val="0"/>
              <w:jc w:val="right"/>
              <w:rPr>
                <w:rFonts w:ascii="Arial" w:hAnsi="Arial" w:cs="Arial"/>
                <w:sz w:val="16"/>
                <w:szCs w:val="16"/>
              </w:rPr>
            </w:pPr>
            <w:r w:rsidRPr="00282364">
              <w:rPr>
                <w:rFonts w:ascii="Arial" w:hAnsi="Arial" w:cs="Arial"/>
                <w:sz w:val="16"/>
                <w:szCs w:val="16"/>
              </w:rPr>
              <w:t>8</w:t>
            </w:r>
          </w:p>
        </w:tc>
        <w:tc>
          <w:tcPr>
            <w:tcW w:w="1355" w:type="dxa"/>
          </w:tcPr>
          <w:p w:rsidR="001329F3"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3" w:type="dxa"/>
          </w:tcPr>
          <w:p w:rsidR="001329F3" w:rsidRPr="00282364" w:rsidRDefault="00D73474" w:rsidP="00111D6D">
            <w:pPr>
              <w:widowControl w:val="0"/>
              <w:jc w:val="right"/>
              <w:rPr>
                <w:rFonts w:ascii="Arial" w:hAnsi="Arial" w:cs="Arial"/>
                <w:sz w:val="16"/>
                <w:szCs w:val="16"/>
              </w:rPr>
            </w:pPr>
            <w:r w:rsidRPr="00282364">
              <w:rPr>
                <w:rFonts w:ascii="Arial" w:hAnsi="Arial" w:cs="Arial"/>
                <w:sz w:val="16"/>
                <w:szCs w:val="16"/>
              </w:rPr>
              <w:t>40</w:t>
            </w:r>
            <w:r w:rsidR="000121C5">
              <w:rPr>
                <w:rFonts w:ascii="Arial" w:hAnsi="Arial" w:cs="Arial"/>
                <w:sz w:val="16"/>
                <w:szCs w:val="16"/>
              </w:rPr>
              <w:t xml:space="preserve"> minutes (1 </w:t>
            </w:r>
            <w:proofErr w:type="spellStart"/>
            <w:r w:rsidR="000121C5">
              <w:rPr>
                <w:rFonts w:ascii="Arial" w:hAnsi="Arial" w:cs="Arial"/>
                <w:sz w:val="16"/>
                <w:szCs w:val="16"/>
              </w:rPr>
              <w:t>hr</w:t>
            </w:r>
            <w:proofErr w:type="spellEnd"/>
            <w:r w:rsidR="000121C5">
              <w:rPr>
                <w:rFonts w:ascii="Arial" w:hAnsi="Arial" w:cs="Arial"/>
                <w:sz w:val="16"/>
                <w:szCs w:val="16"/>
              </w:rPr>
              <w:t>)</w:t>
            </w:r>
          </w:p>
        </w:tc>
        <w:tc>
          <w:tcPr>
            <w:tcW w:w="1295" w:type="dxa"/>
          </w:tcPr>
          <w:p w:rsidR="001329F3" w:rsidRPr="00282364" w:rsidRDefault="001329F3" w:rsidP="007F03DB">
            <w:pPr>
              <w:keepNext/>
              <w:jc w:val="right"/>
              <w:rPr>
                <w:rFonts w:ascii="Arial" w:hAnsi="Arial" w:cs="Arial"/>
                <w:b/>
                <w:sz w:val="16"/>
                <w:szCs w:val="16"/>
              </w:rPr>
            </w:pPr>
          </w:p>
        </w:tc>
      </w:tr>
      <w:tr w:rsidR="00F17D68" w:rsidRPr="00282364">
        <w:tc>
          <w:tcPr>
            <w:tcW w:w="1363" w:type="dxa"/>
          </w:tcPr>
          <w:p w:rsidR="001329F3" w:rsidRPr="00282364" w:rsidRDefault="00C043E8" w:rsidP="0061278B">
            <w:pPr>
              <w:widowControl w:val="0"/>
              <w:rPr>
                <w:rFonts w:ascii="Arial" w:hAnsi="Arial" w:cs="Arial"/>
                <w:b/>
                <w:sz w:val="16"/>
                <w:szCs w:val="16"/>
              </w:rPr>
            </w:pPr>
            <w:r w:rsidRPr="00282364">
              <w:rPr>
                <w:rFonts w:ascii="Arial" w:hAnsi="Arial" w:cs="Arial"/>
                <w:b/>
                <w:sz w:val="16"/>
                <w:szCs w:val="16"/>
              </w:rPr>
              <w:t>Total hours (annually)</w:t>
            </w:r>
          </w:p>
        </w:tc>
        <w:tc>
          <w:tcPr>
            <w:tcW w:w="1510" w:type="dxa"/>
          </w:tcPr>
          <w:p w:rsidR="001329F3" w:rsidRPr="00282364" w:rsidRDefault="00460DF0" w:rsidP="00111D6D">
            <w:pPr>
              <w:widowControl w:val="0"/>
              <w:jc w:val="right"/>
              <w:rPr>
                <w:rFonts w:ascii="Arial" w:hAnsi="Arial" w:cs="Arial"/>
                <w:sz w:val="16"/>
                <w:szCs w:val="16"/>
              </w:rPr>
            </w:pPr>
            <w:r w:rsidRPr="00282364">
              <w:rPr>
                <w:rFonts w:ascii="Arial" w:hAnsi="Arial" w:cs="Arial"/>
                <w:sz w:val="16"/>
                <w:szCs w:val="16"/>
              </w:rPr>
              <w:t>320</w:t>
            </w:r>
          </w:p>
        </w:tc>
        <w:tc>
          <w:tcPr>
            <w:tcW w:w="1402" w:type="dxa"/>
          </w:tcPr>
          <w:p w:rsidR="001329F3"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Pr>
          <w:p w:rsidR="001329F3" w:rsidRPr="00282364" w:rsidRDefault="00460DF0" w:rsidP="00111D6D">
            <w:pPr>
              <w:widowControl w:val="0"/>
              <w:jc w:val="right"/>
              <w:rPr>
                <w:rFonts w:ascii="Arial" w:hAnsi="Arial" w:cs="Arial"/>
                <w:sz w:val="16"/>
                <w:szCs w:val="16"/>
              </w:rPr>
            </w:pPr>
            <w:r w:rsidRPr="00282364">
              <w:rPr>
                <w:rFonts w:ascii="Arial" w:hAnsi="Arial" w:cs="Arial"/>
                <w:sz w:val="16"/>
                <w:szCs w:val="16"/>
              </w:rPr>
              <w:t>72</w:t>
            </w:r>
          </w:p>
        </w:tc>
        <w:tc>
          <w:tcPr>
            <w:tcW w:w="1355" w:type="dxa"/>
          </w:tcPr>
          <w:p w:rsidR="001329F3"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3" w:type="dxa"/>
          </w:tcPr>
          <w:p w:rsidR="001329F3" w:rsidRPr="00282364" w:rsidRDefault="000121C5" w:rsidP="00111D6D">
            <w:pPr>
              <w:widowControl w:val="0"/>
              <w:jc w:val="right"/>
              <w:rPr>
                <w:rFonts w:ascii="Arial" w:hAnsi="Arial" w:cs="Arial"/>
                <w:sz w:val="16"/>
                <w:szCs w:val="16"/>
              </w:rPr>
            </w:pPr>
            <w:r>
              <w:rPr>
                <w:rFonts w:ascii="Arial" w:hAnsi="Arial" w:cs="Arial"/>
                <w:sz w:val="16"/>
                <w:szCs w:val="16"/>
              </w:rPr>
              <w:t>2</w:t>
            </w:r>
          </w:p>
        </w:tc>
        <w:tc>
          <w:tcPr>
            <w:tcW w:w="1295" w:type="dxa"/>
          </w:tcPr>
          <w:p w:rsidR="001329F3" w:rsidRPr="00282364" w:rsidRDefault="000121C5" w:rsidP="007F03DB">
            <w:pPr>
              <w:keepNext/>
              <w:jc w:val="right"/>
              <w:rPr>
                <w:rFonts w:ascii="Arial" w:hAnsi="Arial" w:cs="Arial"/>
                <w:b/>
                <w:sz w:val="16"/>
                <w:szCs w:val="16"/>
              </w:rPr>
            </w:pPr>
            <w:r>
              <w:rPr>
                <w:rFonts w:ascii="Arial" w:hAnsi="Arial" w:cs="Arial"/>
                <w:b/>
                <w:sz w:val="16"/>
                <w:szCs w:val="16"/>
              </w:rPr>
              <w:t>394</w:t>
            </w:r>
          </w:p>
        </w:tc>
      </w:tr>
      <w:tr w:rsidR="00F17D68" w:rsidRPr="00282364">
        <w:tc>
          <w:tcPr>
            <w:tcW w:w="1363" w:type="dxa"/>
          </w:tcPr>
          <w:p w:rsidR="001329F3" w:rsidRPr="00282364" w:rsidRDefault="0021212E" w:rsidP="0061278B">
            <w:pPr>
              <w:widowControl w:val="0"/>
              <w:rPr>
                <w:rFonts w:ascii="Arial" w:hAnsi="Arial" w:cs="Arial"/>
                <w:b/>
                <w:sz w:val="16"/>
                <w:szCs w:val="16"/>
              </w:rPr>
            </w:pPr>
            <w:r w:rsidRPr="00282364">
              <w:rPr>
                <w:rFonts w:ascii="Arial" w:hAnsi="Arial" w:cs="Arial"/>
                <w:b/>
                <w:sz w:val="16"/>
                <w:szCs w:val="16"/>
              </w:rPr>
              <w:t xml:space="preserve">Labor </w:t>
            </w:r>
            <w:r w:rsidR="00BE2114" w:rsidRPr="00282364">
              <w:rPr>
                <w:rFonts w:ascii="Arial" w:hAnsi="Arial" w:cs="Arial"/>
                <w:b/>
                <w:sz w:val="16"/>
                <w:szCs w:val="16"/>
              </w:rPr>
              <w:t>c</w:t>
            </w:r>
            <w:r w:rsidR="00C043E8" w:rsidRPr="00282364">
              <w:rPr>
                <w:rFonts w:ascii="Arial" w:hAnsi="Arial" w:cs="Arial"/>
                <w:b/>
                <w:sz w:val="16"/>
                <w:szCs w:val="16"/>
              </w:rPr>
              <w:t>ost per response</w:t>
            </w:r>
            <w:r w:rsidR="00BE2114" w:rsidRPr="00282364">
              <w:rPr>
                <w:rFonts w:ascii="Arial" w:hAnsi="Arial" w:cs="Arial"/>
                <w:b/>
                <w:sz w:val="16"/>
                <w:szCs w:val="16"/>
              </w:rPr>
              <w:t xml:space="preserve"> </w:t>
            </w:r>
            <w:r w:rsidR="00C043E8" w:rsidRPr="00282364">
              <w:rPr>
                <w:rFonts w:ascii="Arial" w:hAnsi="Arial" w:cs="Arial"/>
                <w:b/>
                <w:sz w:val="16"/>
                <w:szCs w:val="16"/>
              </w:rPr>
              <w:t>(@ $18/hr.)</w:t>
            </w:r>
          </w:p>
        </w:tc>
        <w:tc>
          <w:tcPr>
            <w:tcW w:w="1510" w:type="dxa"/>
          </w:tcPr>
          <w:p w:rsidR="001329F3" w:rsidRPr="00282364" w:rsidRDefault="004E25EE" w:rsidP="00111D6D">
            <w:pPr>
              <w:widowControl w:val="0"/>
              <w:jc w:val="right"/>
              <w:rPr>
                <w:rFonts w:ascii="Arial" w:hAnsi="Arial" w:cs="Arial"/>
                <w:sz w:val="16"/>
                <w:szCs w:val="16"/>
              </w:rPr>
            </w:pPr>
            <w:r w:rsidRPr="00282364">
              <w:rPr>
                <w:rFonts w:ascii="Arial" w:hAnsi="Arial" w:cs="Arial"/>
                <w:sz w:val="16"/>
                <w:szCs w:val="16"/>
              </w:rPr>
              <w:t>$1,440</w:t>
            </w:r>
          </w:p>
        </w:tc>
        <w:tc>
          <w:tcPr>
            <w:tcW w:w="1402" w:type="dxa"/>
          </w:tcPr>
          <w:p w:rsidR="001329F3"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Pr>
          <w:p w:rsidR="001329F3" w:rsidRPr="00282364" w:rsidRDefault="004E25EE" w:rsidP="00111D6D">
            <w:pPr>
              <w:widowControl w:val="0"/>
              <w:jc w:val="right"/>
              <w:rPr>
                <w:rFonts w:ascii="Arial" w:hAnsi="Arial" w:cs="Arial"/>
                <w:sz w:val="16"/>
                <w:szCs w:val="16"/>
              </w:rPr>
            </w:pPr>
            <w:r w:rsidRPr="00282364">
              <w:rPr>
                <w:rFonts w:ascii="Arial" w:hAnsi="Arial" w:cs="Arial"/>
                <w:sz w:val="16"/>
                <w:szCs w:val="16"/>
              </w:rPr>
              <w:t>$</w:t>
            </w:r>
            <w:r w:rsidR="008E7C50" w:rsidRPr="00282364">
              <w:rPr>
                <w:rFonts w:ascii="Arial" w:hAnsi="Arial" w:cs="Arial"/>
                <w:sz w:val="16"/>
                <w:szCs w:val="16"/>
              </w:rPr>
              <w:t>144</w:t>
            </w:r>
          </w:p>
        </w:tc>
        <w:tc>
          <w:tcPr>
            <w:tcW w:w="1355" w:type="dxa"/>
          </w:tcPr>
          <w:p w:rsidR="001329F3"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3" w:type="dxa"/>
          </w:tcPr>
          <w:p w:rsidR="001329F3" w:rsidRPr="00282364" w:rsidRDefault="004E25EE" w:rsidP="000121C5">
            <w:pPr>
              <w:widowControl w:val="0"/>
              <w:jc w:val="right"/>
              <w:rPr>
                <w:rFonts w:ascii="Arial" w:hAnsi="Arial" w:cs="Arial"/>
                <w:sz w:val="16"/>
                <w:szCs w:val="16"/>
              </w:rPr>
            </w:pPr>
            <w:r w:rsidRPr="00282364">
              <w:rPr>
                <w:rFonts w:ascii="Arial" w:hAnsi="Arial" w:cs="Arial"/>
                <w:sz w:val="16"/>
                <w:szCs w:val="16"/>
              </w:rPr>
              <w:t>$</w:t>
            </w:r>
            <w:r w:rsidR="000121C5">
              <w:rPr>
                <w:rFonts w:ascii="Arial" w:hAnsi="Arial" w:cs="Arial"/>
                <w:sz w:val="16"/>
                <w:szCs w:val="16"/>
              </w:rPr>
              <w:t>18</w:t>
            </w:r>
          </w:p>
        </w:tc>
        <w:tc>
          <w:tcPr>
            <w:tcW w:w="1295" w:type="dxa"/>
          </w:tcPr>
          <w:p w:rsidR="001329F3" w:rsidRPr="00282364" w:rsidRDefault="001329F3" w:rsidP="007F03DB">
            <w:pPr>
              <w:keepNext/>
              <w:jc w:val="right"/>
              <w:rPr>
                <w:rFonts w:ascii="Arial" w:hAnsi="Arial" w:cs="Arial"/>
                <w:b/>
                <w:sz w:val="16"/>
                <w:szCs w:val="16"/>
              </w:rPr>
            </w:pPr>
          </w:p>
        </w:tc>
      </w:tr>
      <w:tr w:rsidR="007935BB" w:rsidRPr="00282364">
        <w:tc>
          <w:tcPr>
            <w:tcW w:w="1363" w:type="dxa"/>
          </w:tcPr>
          <w:p w:rsidR="007935BB" w:rsidRPr="00282364" w:rsidRDefault="007935BB" w:rsidP="0061278B">
            <w:pPr>
              <w:widowControl w:val="0"/>
              <w:rPr>
                <w:rFonts w:ascii="Arial" w:hAnsi="Arial" w:cs="Arial"/>
                <w:b/>
                <w:sz w:val="16"/>
                <w:szCs w:val="16"/>
              </w:rPr>
            </w:pPr>
            <w:r w:rsidRPr="00282364">
              <w:rPr>
                <w:rFonts w:ascii="Arial" w:hAnsi="Arial" w:cs="Arial"/>
                <w:b/>
                <w:sz w:val="16"/>
                <w:szCs w:val="16"/>
              </w:rPr>
              <w:t>Total labor cost (annually)</w:t>
            </w:r>
          </w:p>
        </w:tc>
        <w:tc>
          <w:tcPr>
            <w:tcW w:w="1510" w:type="dxa"/>
          </w:tcPr>
          <w:p w:rsidR="007935BB" w:rsidRPr="00282364" w:rsidRDefault="00460DF0" w:rsidP="00111D6D">
            <w:pPr>
              <w:widowControl w:val="0"/>
              <w:jc w:val="right"/>
              <w:rPr>
                <w:rFonts w:ascii="Arial" w:hAnsi="Arial" w:cs="Arial"/>
                <w:sz w:val="16"/>
                <w:szCs w:val="16"/>
              </w:rPr>
            </w:pPr>
            <w:r w:rsidRPr="00282364">
              <w:rPr>
                <w:rFonts w:ascii="Arial" w:hAnsi="Arial" w:cs="Arial"/>
                <w:sz w:val="16"/>
                <w:szCs w:val="16"/>
              </w:rPr>
              <w:t>$5,760</w:t>
            </w:r>
          </w:p>
        </w:tc>
        <w:tc>
          <w:tcPr>
            <w:tcW w:w="1402" w:type="dxa"/>
          </w:tcPr>
          <w:p w:rsidR="007935BB" w:rsidRPr="00282364" w:rsidDel="00564C7A" w:rsidRDefault="00460DF0"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Pr>
          <w:p w:rsidR="007935BB" w:rsidRPr="00282364" w:rsidRDefault="00460DF0" w:rsidP="00111D6D">
            <w:pPr>
              <w:widowControl w:val="0"/>
              <w:jc w:val="right"/>
              <w:rPr>
                <w:rFonts w:ascii="Arial" w:hAnsi="Arial" w:cs="Arial"/>
                <w:sz w:val="16"/>
                <w:szCs w:val="16"/>
              </w:rPr>
            </w:pPr>
            <w:r w:rsidRPr="00282364">
              <w:rPr>
                <w:rFonts w:ascii="Arial" w:hAnsi="Arial" w:cs="Arial"/>
                <w:sz w:val="16"/>
                <w:szCs w:val="16"/>
              </w:rPr>
              <w:t>$1</w:t>
            </w:r>
            <w:r w:rsidR="008E7C50" w:rsidRPr="00282364">
              <w:rPr>
                <w:rFonts w:ascii="Arial" w:hAnsi="Arial" w:cs="Arial"/>
                <w:sz w:val="16"/>
                <w:szCs w:val="16"/>
              </w:rPr>
              <w:t>,296</w:t>
            </w:r>
          </w:p>
        </w:tc>
        <w:tc>
          <w:tcPr>
            <w:tcW w:w="1355" w:type="dxa"/>
          </w:tcPr>
          <w:p w:rsidR="007935BB" w:rsidRPr="00282364" w:rsidRDefault="00460DF0" w:rsidP="00111D6D">
            <w:pPr>
              <w:widowControl w:val="0"/>
              <w:jc w:val="right"/>
              <w:rPr>
                <w:rFonts w:ascii="Arial" w:hAnsi="Arial" w:cs="Arial"/>
                <w:sz w:val="16"/>
                <w:szCs w:val="16"/>
              </w:rPr>
            </w:pPr>
            <w:r w:rsidRPr="00282364">
              <w:rPr>
                <w:rFonts w:ascii="Arial" w:hAnsi="Arial" w:cs="Arial"/>
                <w:sz w:val="16"/>
                <w:szCs w:val="16"/>
              </w:rPr>
              <w:t>$0</w:t>
            </w:r>
          </w:p>
        </w:tc>
        <w:tc>
          <w:tcPr>
            <w:tcW w:w="1323" w:type="dxa"/>
          </w:tcPr>
          <w:p w:rsidR="007935BB" w:rsidRPr="00282364" w:rsidRDefault="00460DF0" w:rsidP="00111D6D">
            <w:pPr>
              <w:widowControl w:val="0"/>
              <w:jc w:val="right"/>
              <w:rPr>
                <w:rFonts w:ascii="Arial" w:hAnsi="Arial" w:cs="Arial"/>
                <w:sz w:val="16"/>
                <w:szCs w:val="16"/>
              </w:rPr>
            </w:pPr>
            <w:r w:rsidRPr="00282364">
              <w:rPr>
                <w:rFonts w:ascii="Arial" w:hAnsi="Arial" w:cs="Arial"/>
                <w:sz w:val="16"/>
                <w:szCs w:val="16"/>
              </w:rPr>
              <w:t>$</w:t>
            </w:r>
            <w:r w:rsidR="000121C5">
              <w:rPr>
                <w:rFonts w:ascii="Arial" w:hAnsi="Arial" w:cs="Arial"/>
                <w:sz w:val="16"/>
                <w:szCs w:val="16"/>
              </w:rPr>
              <w:t>36</w:t>
            </w:r>
          </w:p>
        </w:tc>
        <w:tc>
          <w:tcPr>
            <w:tcW w:w="1295" w:type="dxa"/>
          </w:tcPr>
          <w:p w:rsidR="007935BB" w:rsidRPr="00282364" w:rsidRDefault="00ED1317" w:rsidP="000121C5">
            <w:pPr>
              <w:keepNext/>
              <w:jc w:val="right"/>
              <w:rPr>
                <w:rFonts w:ascii="Arial" w:hAnsi="Arial" w:cs="Arial"/>
                <w:b/>
                <w:sz w:val="16"/>
                <w:szCs w:val="16"/>
              </w:rPr>
            </w:pPr>
            <w:r>
              <w:rPr>
                <w:rFonts w:ascii="Arial" w:hAnsi="Arial" w:cs="Arial"/>
                <w:b/>
                <w:sz w:val="16"/>
                <w:szCs w:val="16"/>
              </w:rPr>
              <w:t>$</w:t>
            </w:r>
            <w:r w:rsidR="000121C5">
              <w:rPr>
                <w:rFonts w:ascii="Arial" w:hAnsi="Arial" w:cs="Arial"/>
                <w:b/>
                <w:sz w:val="16"/>
                <w:szCs w:val="16"/>
              </w:rPr>
              <w:t>7,092</w:t>
            </w:r>
          </w:p>
        </w:tc>
      </w:tr>
      <w:tr w:rsidR="00F17D68" w:rsidRPr="00282364" w:rsidTr="00317308">
        <w:tc>
          <w:tcPr>
            <w:tcW w:w="9576" w:type="dxa"/>
            <w:gridSpan w:val="7"/>
            <w:tcBorders>
              <w:top w:val="single" w:sz="4" w:space="0" w:color="auto"/>
              <w:left w:val="single" w:sz="4" w:space="0" w:color="auto"/>
              <w:bottom w:val="single" w:sz="4" w:space="0" w:color="auto"/>
              <w:right w:val="single" w:sz="4" w:space="0" w:color="auto"/>
            </w:tcBorders>
          </w:tcPr>
          <w:p w:rsidR="00F17D68" w:rsidRPr="00282364" w:rsidRDefault="00F17D68" w:rsidP="007F03DB">
            <w:pPr>
              <w:keepNext/>
              <w:jc w:val="center"/>
              <w:rPr>
                <w:rFonts w:ascii="Arial" w:hAnsi="Arial" w:cs="Arial"/>
                <w:b/>
                <w:sz w:val="16"/>
                <w:szCs w:val="16"/>
              </w:rPr>
            </w:pPr>
            <w:r w:rsidRPr="00282364">
              <w:rPr>
                <w:rFonts w:ascii="Arial" w:hAnsi="Arial" w:cs="Arial"/>
                <w:b/>
                <w:sz w:val="16"/>
                <w:szCs w:val="16"/>
              </w:rPr>
              <w:t>Cost to Government</w:t>
            </w:r>
          </w:p>
        </w:tc>
      </w:tr>
      <w:tr w:rsidR="00F17D68" w:rsidRPr="00282364" w:rsidTr="00317308">
        <w:tc>
          <w:tcPr>
            <w:tcW w:w="1363" w:type="dxa"/>
            <w:tcBorders>
              <w:top w:val="single" w:sz="4" w:space="0" w:color="auto"/>
            </w:tcBorders>
          </w:tcPr>
          <w:p w:rsidR="00F17D68" w:rsidRPr="008274B5" w:rsidRDefault="00F17D68" w:rsidP="0061278B">
            <w:pPr>
              <w:widowControl w:val="0"/>
              <w:rPr>
                <w:rFonts w:ascii="Arial" w:hAnsi="Arial" w:cs="Arial"/>
                <w:b/>
                <w:sz w:val="16"/>
                <w:szCs w:val="16"/>
              </w:rPr>
            </w:pPr>
            <w:r w:rsidRPr="008274B5">
              <w:rPr>
                <w:rFonts w:ascii="Arial" w:hAnsi="Arial" w:cs="Arial"/>
                <w:b/>
                <w:sz w:val="16"/>
                <w:szCs w:val="16"/>
              </w:rPr>
              <w:t>Processing: Federal government hours per response</w:t>
            </w:r>
          </w:p>
        </w:tc>
        <w:tc>
          <w:tcPr>
            <w:tcW w:w="1510" w:type="dxa"/>
            <w:tcBorders>
              <w:top w:val="single" w:sz="4" w:space="0" w:color="auto"/>
            </w:tcBorders>
          </w:tcPr>
          <w:p w:rsidR="00F17D68" w:rsidRPr="00282364" w:rsidRDefault="00F17D68" w:rsidP="00111D6D">
            <w:pPr>
              <w:widowControl w:val="0"/>
              <w:jc w:val="right"/>
              <w:rPr>
                <w:rFonts w:ascii="Arial" w:hAnsi="Arial" w:cs="Arial"/>
                <w:sz w:val="16"/>
                <w:szCs w:val="16"/>
              </w:rPr>
            </w:pPr>
            <w:r w:rsidRPr="00282364">
              <w:rPr>
                <w:rFonts w:ascii="Arial" w:hAnsi="Arial" w:cs="Arial"/>
                <w:sz w:val="16"/>
                <w:szCs w:val="16"/>
              </w:rPr>
              <w:t>120</w:t>
            </w:r>
          </w:p>
        </w:tc>
        <w:tc>
          <w:tcPr>
            <w:tcW w:w="1402" w:type="dxa"/>
            <w:tcBorders>
              <w:top w:val="single" w:sz="4" w:space="0" w:color="auto"/>
            </w:tcBorders>
          </w:tcPr>
          <w:p w:rsidR="00F17D68"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Borders>
              <w:top w:val="single" w:sz="4" w:space="0" w:color="auto"/>
            </w:tcBorders>
          </w:tcPr>
          <w:p w:rsidR="00F17D68" w:rsidRPr="00282364" w:rsidRDefault="00F17D68" w:rsidP="00111D6D">
            <w:pPr>
              <w:widowControl w:val="0"/>
              <w:jc w:val="right"/>
              <w:rPr>
                <w:rFonts w:ascii="Arial" w:hAnsi="Arial" w:cs="Arial"/>
                <w:sz w:val="16"/>
                <w:szCs w:val="16"/>
              </w:rPr>
            </w:pPr>
            <w:r w:rsidRPr="00282364">
              <w:rPr>
                <w:rFonts w:ascii="Arial" w:hAnsi="Arial" w:cs="Arial"/>
                <w:sz w:val="16"/>
                <w:szCs w:val="16"/>
              </w:rPr>
              <w:t>4</w:t>
            </w:r>
          </w:p>
        </w:tc>
        <w:tc>
          <w:tcPr>
            <w:tcW w:w="1355" w:type="dxa"/>
            <w:tcBorders>
              <w:top w:val="single" w:sz="4" w:space="0" w:color="auto"/>
            </w:tcBorders>
          </w:tcPr>
          <w:p w:rsidR="00F17D68"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3" w:type="dxa"/>
            <w:tcBorders>
              <w:top w:val="single" w:sz="4" w:space="0" w:color="auto"/>
            </w:tcBorders>
          </w:tcPr>
          <w:p w:rsidR="00F17D68" w:rsidRPr="00282364" w:rsidRDefault="00A979F8" w:rsidP="00111D6D">
            <w:pPr>
              <w:widowControl w:val="0"/>
              <w:jc w:val="right"/>
              <w:rPr>
                <w:rFonts w:ascii="Arial" w:hAnsi="Arial" w:cs="Arial"/>
                <w:sz w:val="16"/>
                <w:szCs w:val="16"/>
              </w:rPr>
            </w:pPr>
            <w:r>
              <w:rPr>
                <w:rFonts w:ascii="Arial" w:hAnsi="Arial" w:cs="Arial"/>
                <w:sz w:val="16"/>
                <w:szCs w:val="16"/>
              </w:rPr>
              <w:t>4</w:t>
            </w:r>
          </w:p>
        </w:tc>
        <w:tc>
          <w:tcPr>
            <w:tcW w:w="1295" w:type="dxa"/>
            <w:tcBorders>
              <w:top w:val="single" w:sz="4" w:space="0" w:color="auto"/>
            </w:tcBorders>
          </w:tcPr>
          <w:p w:rsidR="00F17D68" w:rsidRPr="00282364" w:rsidRDefault="00F17D68" w:rsidP="007F03DB">
            <w:pPr>
              <w:keepNext/>
              <w:jc w:val="right"/>
              <w:rPr>
                <w:rFonts w:ascii="Arial" w:hAnsi="Arial" w:cs="Arial"/>
                <w:b/>
                <w:sz w:val="16"/>
                <w:szCs w:val="16"/>
              </w:rPr>
            </w:pPr>
          </w:p>
        </w:tc>
      </w:tr>
      <w:tr w:rsidR="00F17D68" w:rsidRPr="00282364">
        <w:tc>
          <w:tcPr>
            <w:tcW w:w="1363" w:type="dxa"/>
          </w:tcPr>
          <w:p w:rsidR="00F17D68" w:rsidRPr="008274B5" w:rsidRDefault="00F17D68" w:rsidP="0061278B">
            <w:pPr>
              <w:widowControl w:val="0"/>
              <w:rPr>
                <w:rFonts w:ascii="Arial" w:hAnsi="Arial" w:cs="Arial"/>
                <w:b/>
                <w:sz w:val="16"/>
                <w:szCs w:val="16"/>
              </w:rPr>
            </w:pPr>
            <w:r w:rsidRPr="008274B5">
              <w:rPr>
                <w:rFonts w:ascii="Arial" w:hAnsi="Arial" w:cs="Arial"/>
                <w:b/>
                <w:sz w:val="16"/>
                <w:szCs w:val="16"/>
              </w:rPr>
              <w:t>Total hours (annually)</w:t>
            </w:r>
          </w:p>
        </w:tc>
        <w:tc>
          <w:tcPr>
            <w:tcW w:w="1510" w:type="dxa"/>
          </w:tcPr>
          <w:p w:rsidR="00F17D68" w:rsidRPr="00282364" w:rsidRDefault="000F0428" w:rsidP="00111D6D">
            <w:pPr>
              <w:widowControl w:val="0"/>
              <w:jc w:val="right"/>
              <w:rPr>
                <w:rFonts w:ascii="Arial" w:hAnsi="Arial" w:cs="Arial"/>
                <w:sz w:val="16"/>
                <w:szCs w:val="16"/>
              </w:rPr>
            </w:pPr>
            <w:r w:rsidRPr="00282364">
              <w:rPr>
                <w:rFonts w:ascii="Arial" w:hAnsi="Arial" w:cs="Arial"/>
                <w:sz w:val="16"/>
                <w:szCs w:val="16"/>
              </w:rPr>
              <w:t>480</w:t>
            </w:r>
          </w:p>
        </w:tc>
        <w:tc>
          <w:tcPr>
            <w:tcW w:w="1402" w:type="dxa"/>
          </w:tcPr>
          <w:p w:rsidR="00F17D68"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Pr>
          <w:p w:rsidR="00F17D68" w:rsidRPr="00282364" w:rsidRDefault="008E7C50" w:rsidP="00111D6D">
            <w:pPr>
              <w:widowControl w:val="0"/>
              <w:jc w:val="right"/>
              <w:rPr>
                <w:rFonts w:ascii="Arial" w:hAnsi="Arial" w:cs="Arial"/>
                <w:sz w:val="16"/>
                <w:szCs w:val="16"/>
              </w:rPr>
            </w:pPr>
            <w:r w:rsidRPr="00282364">
              <w:rPr>
                <w:rFonts w:ascii="Arial" w:hAnsi="Arial" w:cs="Arial"/>
                <w:sz w:val="16"/>
                <w:szCs w:val="16"/>
              </w:rPr>
              <w:t>36</w:t>
            </w:r>
          </w:p>
        </w:tc>
        <w:tc>
          <w:tcPr>
            <w:tcW w:w="1355" w:type="dxa"/>
          </w:tcPr>
          <w:p w:rsidR="00F17D68"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3" w:type="dxa"/>
          </w:tcPr>
          <w:p w:rsidR="00F17D68" w:rsidRPr="00282364" w:rsidRDefault="00A979F8" w:rsidP="00111D6D">
            <w:pPr>
              <w:widowControl w:val="0"/>
              <w:jc w:val="right"/>
              <w:rPr>
                <w:rFonts w:ascii="Arial" w:hAnsi="Arial" w:cs="Arial"/>
                <w:sz w:val="16"/>
                <w:szCs w:val="16"/>
              </w:rPr>
            </w:pPr>
            <w:r>
              <w:rPr>
                <w:rFonts w:ascii="Arial" w:hAnsi="Arial" w:cs="Arial"/>
                <w:sz w:val="16"/>
                <w:szCs w:val="16"/>
              </w:rPr>
              <w:t>8</w:t>
            </w:r>
          </w:p>
        </w:tc>
        <w:tc>
          <w:tcPr>
            <w:tcW w:w="1295" w:type="dxa"/>
          </w:tcPr>
          <w:p w:rsidR="00F17D68" w:rsidRPr="00282364" w:rsidRDefault="00A979F8" w:rsidP="007F03DB">
            <w:pPr>
              <w:keepNext/>
              <w:jc w:val="right"/>
              <w:rPr>
                <w:rFonts w:ascii="Arial" w:hAnsi="Arial" w:cs="Arial"/>
                <w:b/>
                <w:sz w:val="16"/>
                <w:szCs w:val="16"/>
              </w:rPr>
            </w:pPr>
            <w:r>
              <w:rPr>
                <w:rFonts w:ascii="Arial" w:hAnsi="Arial" w:cs="Arial"/>
                <w:b/>
                <w:sz w:val="16"/>
                <w:szCs w:val="16"/>
              </w:rPr>
              <w:t>524</w:t>
            </w:r>
          </w:p>
        </w:tc>
      </w:tr>
      <w:tr w:rsidR="00F17D68" w:rsidRPr="00282364">
        <w:tc>
          <w:tcPr>
            <w:tcW w:w="1363" w:type="dxa"/>
          </w:tcPr>
          <w:p w:rsidR="00F17D68" w:rsidRPr="008274B5" w:rsidRDefault="00F17D68" w:rsidP="0061278B">
            <w:pPr>
              <w:widowControl w:val="0"/>
              <w:rPr>
                <w:rFonts w:ascii="Arial" w:hAnsi="Arial" w:cs="Arial"/>
                <w:b/>
                <w:sz w:val="16"/>
                <w:szCs w:val="16"/>
              </w:rPr>
            </w:pPr>
            <w:r w:rsidRPr="008274B5">
              <w:rPr>
                <w:rFonts w:ascii="Arial" w:hAnsi="Arial" w:cs="Arial"/>
                <w:b/>
                <w:sz w:val="16"/>
                <w:szCs w:val="16"/>
              </w:rPr>
              <w:t>Cost per response</w:t>
            </w:r>
            <w:r w:rsidR="00BE2114" w:rsidRPr="008274B5">
              <w:rPr>
                <w:rFonts w:ascii="Arial" w:hAnsi="Arial" w:cs="Arial"/>
                <w:b/>
                <w:sz w:val="16"/>
                <w:szCs w:val="16"/>
              </w:rPr>
              <w:t xml:space="preserve"> (@ $25/hr.)</w:t>
            </w:r>
          </w:p>
        </w:tc>
        <w:tc>
          <w:tcPr>
            <w:tcW w:w="1510" w:type="dxa"/>
          </w:tcPr>
          <w:p w:rsidR="00F17D68" w:rsidRPr="00282364" w:rsidRDefault="00BE2114" w:rsidP="00111D6D">
            <w:pPr>
              <w:widowControl w:val="0"/>
              <w:jc w:val="right"/>
              <w:rPr>
                <w:rFonts w:ascii="Arial" w:hAnsi="Arial" w:cs="Arial"/>
                <w:sz w:val="16"/>
                <w:szCs w:val="16"/>
              </w:rPr>
            </w:pPr>
            <w:r w:rsidRPr="00282364">
              <w:rPr>
                <w:rFonts w:ascii="Arial" w:hAnsi="Arial" w:cs="Arial"/>
                <w:sz w:val="16"/>
                <w:szCs w:val="16"/>
              </w:rPr>
              <w:t>$3,000</w:t>
            </w:r>
          </w:p>
        </w:tc>
        <w:tc>
          <w:tcPr>
            <w:tcW w:w="1402" w:type="dxa"/>
          </w:tcPr>
          <w:p w:rsidR="00F17D68" w:rsidRPr="00282364" w:rsidRDefault="00BE2114"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Pr>
          <w:p w:rsidR="00F17D68" w:rsidRPr="00282364" w:rsidRDefault="00BE2114" w:rsidP="00111D6D">
            <w:pPr>
              <w:widowControl w:val="0"/>
              <w:jc w:val="right"/>
              <w:rPr>
                <w:rFonts w:ascii="Arial" w:hAnsi="Arial" w:cs="Arial"/>
                <w:sz w:val="16"/>
                <w:szCs w:val="16"/>
              </w:rPr>
            </w:pPr>
            <w:r w:rsidRPr="00282364">
              <w:rPr>
                <w:rFonts w:ascii="Arial" w:hAnsi="Arial" w:cs="Arial"/>
                <w:sz w:val="16"/>
                <w:szCs w:val="16"/>
              </w:rPr>
              <w:t>$100</w:t>
            </w:r>
          </w:p>
        </w:tc>
        <w:tc>
          <w:tcPr>
            <w:tcW w:w="1355" w:type="dxa"/>
          </w:tcPr>
          <w:p w:rsidR="00F17D68" w:rsidRPr="00282364" w:rsidRDefault="00BE2114" w:rsidP="00111D6D">
            <w:pPr>
              <w:widowControl w:val="0"/>
              <w:jc w:val="right"/>
              <w:rPr>
                <w:rFonts w:ascii="Arial" w:hAnsi="Arial" w:cs="Arial"/>
                <w:sz w:val="16"/>
                <w:szCs w:val="16"/>
              </w:rPr>
            </w:pPr>
            <w:r w:rsidRPr="00282364">
              <w:rPr>
                <w:rFonts w:ascii="Arial" w:hAnsi="Arial" w:cs="Arial"/>
                <w:sz w:val="16"/>
                <w:szCs w:val="16"/>
              </w:rPr>
              <w:t>$0</w:t>
            </w:r>
          </w:p>
        </w:tc>
        <w:tc>
          <w:tcPr>
            <w:tcW w:w="1323" w:type="dxa"/>
          </w:tcPr>
          <w:p w:rsidR="00F17D68" w:rsidRPr="00282364" w:rsidRDefault="00BE2114" w:rsidP="00A979F8">
            <w:pPr>
              <w:widowControl w:val="0"/>
              <w:jc w:val="right"/>
              <w:rPr>
                <w:rFonts w:ascii="Arial" w:hAnsi="Arial" w:cs="Arial"/>
                <w:sz w:val="16"/>
                <w:szCs w:val="16"/>
              </w:rPr>
            </w:pPr>
            <w:r w:rsidRPr="00282364">
              <w:rPr>
                <w:rFonts w:ascii="Arial" w:hAnsi="Arial" w:cs="Arial"/>
                <w:sz w:val="16"/>
                <w:szCs w:val="16"/>
              </w:rPr>
              <w:t>$</w:t>
            </w:r>
            <w:r w:rsidR="00A979F8">
              <w:rPr>
                <w:rFonts w:ascii="Arial" w:hAnsi="Arial" w:cs="Arial"/>
                <w:sz w:val="16"/>
                <w:szCs w:val="16"/>
              </w:rPr>
              <w:t>100</w:t>
            </w:r>
          </w:p>
        </w:tc>
        <w:tc>
          <w:tcPr>
            <w:tcW w:w="1295" w:type="dxa"/>
          </w:tcPr>
          <w:p w:rsidR="00F17D68" w:rsidRPr="00282364" w:rsidRDefault="00F17D68" w:rsidP="007F03DB">
            <w:pPr>
              <w:keepNext/>
              <w:jc w:val="right"/>
              <w:rPr>
                <w:rFonts w:ascii="Arial" w:hAnsi="Arial" w:cs="Arial"/>
                <w:b/>
                <w:sz w:val="16"/>
                <w:szCs w:val="16"/>
              </w:rPr>
            </w:pPr>
          </w:p>
        </w:tc>
      </w:tr>
      <w:tr w:rsidR="00AD7A91" w:rsidRPr="00282364">
        <w:tc>
          <w:tcPr>
            <w:tcW w:w="1363" w:type="dxa"/>
          </w:tcPr>
          <w:p w:rsidR="00AD7A91" w:rsidRPr="008274B5" w:rsidRDefault="00AD7A91" w:rsidP="0061278B">
            <w:pPr>
              <w:widowControl w:val="0"/>
              <w:rPr>
                <w:rFonts w:ascii="Arial" w:hAnsi="Arial" w:cs="Arial"/>
                <w:b/>
                <w:sz w:val="16"/>
                <w:szCs w:val="16"/>
              </w:rPr>
            </w:pPr>
            <w:r w:rsidRPr="008274B5">
              <w:rPr>
                <w:rFonts w:ascii="Arial" w:hAnsi="Arial" w:cs="Arial"/>
                <w:b/>
                <w:sz w:val="16"/>
                <w:szCs w:val="16"/>
              </w:rPr>
              <w:t>Total cost (annually)</w:t>
            </w:r>
          </w:p>
        </w:tc>
        <w:tc>
          <w:tcPr>
            <w:tcW w:w="1510" w:type="dxa"/>
          </w:tcPr>
          <w:p w:rsidR="00AD7A91" w:rsidRPr="00282364" w:rsidRDefault="00BE2114" w:rsidP="00111D6D">
            <w:pPr>
              <w:widowControl w:val="0"/>
              <w:jc w:val="right"/>
              <w:rPr>
                <w:rFonts w:ascii="Arial" w:hAnsi="Arial" w:cs="Arial"/>
                <w:sz w:val="16"/>
                <w:szCs w:val="16"/>
              </w:rPr>
            </w:pPr>
            <w:r w:rsidRPr="00282364">
              <w:rPr>
                <w:rFonts w:ascii="Arial" w:hAnsi="Arial" w:cs="Arial"/>
                <w:sz w:val="16"/>
                <w:szCs w:val="16"/>
              </w:rPr>
              <w:t>$</w:t>
            </w:r>
            <w:r w:rsidR="000F0428" w:rsidRPr="00282364">
              <w:rPr>
                <w:rFonts w:ascii="Arial" w:hAnsi="Arial" w:cs="Arial"/>
                <w:sz w:val="16"/>
                <w:szCs w:val="16"/>
              </w:rPr>
              <w:t>12,000</w:t>
            </w:r>
          </w:p>
        </w:tc>
        <w:tc>
          <w:tcPr>
            <w:tcW w:w="1402" w:type="dxa"/>
          </w:tcPr>
          <w:p w:rsidR="00AD7A91" w:rsidRPr="00282364" w:rsidRDefault="009E3A97"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Pr>
          <w:p w:rsidR="00AD7A91" w:rsidRPr="00282364" w:rsidRDefault="009E3A97" w:rsidP="00111D6D">
            <w:pPr>
              <w:widowControl w:val="0"/>
              <w:jc w:val="right"/>
              <w:rPr>
                <w:rFonts w:ascii="Arial" w:hAnsi="Arial" w:cs="Arial"/>
                <w:sz w:val="16"/>
                <w:szCs w:val="16"/>
              </w:rPr>
            </w:pPr>
            <w:r w:rsidRPr="00282364">
              <w:rPr>
                <w:rFonts w:ascii="Arial" w:hAnsi="Arial" w:cs="Arial"/>
                <w:sz w:val="16"/>
                <w:szCs w:val="16"/>
              </w:rPr>
              <w:t>$</w:t>
            </w:r>
            <w:r w:rsidR="000F0428" w:rsidRPr="00282364">
              <w:rPr>
                <w:rFonts w:ascii="Arial" w:hAnsi="Arial" w:cs="Arial"/>
                <w:sz w:val="16"/>
                <w:szCs w:val="16"/>
              </w:rPr>
              <w:t>900</w:t>
            </w:r>
          </w:p>
        </w:tc>
        <w:tc>
          <w:tcPr>
            <w:tcW w:w="1355" w:type="dxa"/>
          </w:tcPr>
          <w:p w:rsidR="00AD7A91" w:rsidRPr="00282364" w:rsidRDefault="009E3A97" w:rsidP="00111D6D">
            <w:pPr>
              <w:widowControl w:val="0"/>
              <w:jc w:val="right"/>
              <w:rPr>
                <w:rFonts w:ascii="Arial" w:hAnsi="Arial" w:cs="Arial"/>
                <w:sz w:val="16"/>
                <w:szCs w:val="16"/>
              </w:rPr>
            </w:pPr>
            <w:r w:rsidRPr="00282364">
              <w:rPr>
                <w:rFonts w:ascii="Arial" w:hAnsi="Arial" w:cs="Arial"/>
                <w:sz w:val="16"/>
                <w:szCs w:val="16"/>
              </w:rPr>
              <w:t>$0</w:t>
            </w:r>
          </w:p>
        </w:tc>
        <w:tc>
          <w:tcPr>
            <w:tcW w:w="1323" w:type="dxa"/>
          </w:tcPr>
          <w:p w:rsidR="00AD7A91" w:rsidRPr="00282364" w:rsidRDefault="009E3A97" w:rsidP="00A979F8">
            <w:pPr>
              <w:widowControl w:val="0"/>
              <w:jc w:val="right"/>
              <w:rPr>
                <w:rFonts w:ascii="Arial" w:hAnsi="Arial" w:cs="Arial"/>
                <w:sz w:val="16"/>
                <w:szCs w:val="16"/>
              </w:rPr>
            </w:pPr>
            <w:r w:rsidRPr="00282364">
              <w:rPr>
                <w:rFonts w:ascii="Arial" w:hAnsi="Arial" w:cs="Arial"/>
                <w:sz w:val="16"/>
                <w:szCs w:val="16"/>
              </w:rPr>
              <w:t>$</w:t>
            </w:r>
            <w:r w:rsidR="00A979F8">
              <w:rPr>
                <w:rFonts w:ascii="Arial" w:hAnsi="Arial" w:cs="Arial"/>
                <w:sz w:val="16"/>
                <w:szCs w:val="16"/>
              </w:rPr>
              <w:t>200</w:t>
            </w:r>
          </w:p>
        </w:tc>
        <w:tc>
          <w:tcPr>
            <w:tcW w:w="1295" w:type="dxa"/>
          </w:tcPr>
          <w:p w:rsidR="00AD7A91" w:rsidRPr="00282364" w:rsidRDefault="00ED1317" w:rsidP="00A979F8">
            <w:pPr>
              <w:keepNext/>
              <w:jc w:val="right"/>
              <w:rPr>
                <w:rFonts w:ascii="Arial" w:hAnsi="Arial" w:cs="Arial"/>
                <w:b/>
                <w:sz w:val="16"/>
                <w:szCs w:val="16"/>
              </w:rPr>
            </w:pPr>
            <w:r>
              <w:rPr>
                <w:rFonts w:ascii="Arial" w:hAnsi="Arial" w:cs="Arial"/>
                <w:b/>
                <w:sz w:val="16"/>
                <w:szCs w:val="16"/>
              </w:rPr>
              <w:t>$</w:t>
            </w:r>
            <w:r w:rsidR="00282364">
              <w:rPr>
                <w:rFonts w:ascii="Arial" w:hAnsi="Arial" w:cs="Arial"/>
                <w:b/>
                <w:sz w:val="16"/>
                <w:szCs w:val="16"/>
              </w:rPr>
              <w:t>1</w:t>
            </w:r>
            <w:r w:rsidR="00A979F8">
              <w:rPr>
                <w:rFonts w:ascii="Arial" w:hAnsi="Arial" w:cs="Arial"/>
                <w:b/>
                <w:sz w:val="16"/>
                <w:szCs w:val="16"/>
              </w:rPr>
              <w:t>3,100</w:t>
            </w:r>
          </w:p>
        </w:tc>
      </w:tr>
    </w:tbl>
    <w:p w:rsidR="00A24706" w:rsidRPr="00282364" w:rsidRDefault="00A24706">
      <w:pPr>
        <w:widowControl w:val="0"/>
        <w:rPr>
          <w:rFonts w:ascii="Arial" w:hAnsi="Arial" w:cs="Arial"/>
          <w:sz w:val="16"/>
          <w:szCs w:val="16"/>
        </w:rPr>
      </w:pPr>
    </w:p>
    <w:p w:rsidR="0021212E" w:rsidRDefault="0021212E">
      <w:pPr>
        <w:widowControl w:val="0"/>
      </w:pPr>
    </w:p>
    <w:p w:rsidR="00A24706" w:rsidRDefault="00A24706">
      <w:pPr>
        <w:widowControl w:val="0"/>
      </w:pPr>
      <w:r>
        <w:rPr>
          <w:b/>
        </w:rPr>
        <w:t xml:space="preserve">13.  </w:t>
      </w:r>
      <w:r>
        <w:rPr>
          <w:b/>
          <w:u w:val="single"/>
        </w:rPr>
        <w:t xml:space="preserve">Provide an estimate of the total annual cost burden to the respondents or record-keepers resulting from the collection (excluding the value of the burden hours in </w:t>
      </w:r>
      <w:r w:rsidR="008C279C">
        <w:rPr>
          <w:b/>
          <w:u w:val="single"/>
        </w:rPr>
        <w:t xml:space="preserve">Question </w:t>
      </w:r>
      <w:r>
        <w:rPr>
          <w:b/>
          <w:u w:val="single"/>
        </w:rPr>
        <w:t>12 above)</w:t>
      </w:r>
      <w:r>
        <w:rPr>
          <w:b/>
        </w:rPr>
        <w:t>.</w:t>
      </w:r>
    </w:p>
    <w:p w:rsidR="00A24706" w:rsidRDefault="00A24706">
      <w:pPr>
        <w:widowControl w:val="0"/>
      </w:pPr>
    </w:p>
    <w:p w:rsidR="00A24706" w:rsidRDefault="00A24706">
      <w:pPr>
        <w:widowControl w:val="0"/>
      </w:pPr>
      <w:r>
        <w:t>W</w:t>
      </w:r>
      <w:r w:rsidR="00752D25">
        <w:t>e estimate annual costs of $</w:t>
      </w:r>
      <w:r w:rsidR="007B0F5F">
        <w:t>450</w:t>
      </w:r>
      <w:r>
        <w:t xml:space="preserve"> for copying and mailing.  For each permit application</w:t>
      </w:r>
      <w:r w:rsidR="00B3047B">
        <w:t xml:space="preserve">, </w:t>
      </w:r>
      <w:r>
        <w:t xml:space="preserve">annual report submission, </w:t>
      </w:r>
      <w:r w:rsidR="00B3047B">
        <w:t xml:space="preserve">and request for transfer of permit, </w:t>
      </w:r>
      <w:r w:rsidR="0069029C">
        <w:t>costs</w:t>
      </w:r>
      <w:r>
        <w:t xml:space="preserve"> would average $20 for reproduction of </w:t>
      </w:r>
      <w:r w:rsidR="001F31BC">
        <w:t xml:space="preserve">the </w:t>
      </w:r>
      <w:r>
        <w:t xml:space="preserve">package.  </w:t>
      </w:r>
      <w:r w:rsidR="001F31BC">
        <w:t xml:space="preserve">Adding </w:t>
      </w:r>
      <w:r>
        <w:t xml:space="preserve">a mailing cost of $10 per package, </w:t>
      </w:r>
      <w:r w:rsidR="00AD7A91">
        <w:t xml:space="preserve">for a total unit cost of $30, </w:t>
      </w:r>
      <w:r>
        <w:t>the</w:t>
      </w:r>
      <w:r w:rsidR="001F31BC">
        <w:t xml:space="preserve"> cost </w:t>
      </w:r>
      <w:r w:rsidR="00650E97">
        <w:t>for 4</w:t>
      </w:r>
      <w:r>
        <w:t xml:space="preserve"> submissions for permit applications</w:t>
      </w:r>
      <w:r w:rsidR="00B3047B">
        <w:t xml:space="preserve">, </w:t>
      </w:r>
      <w:r w:rsidR="007B0F5F">
        <w:t>9</w:t>
      </w:r>
      <w:r>
        <w:t xml:space="preserve"> annual reports</w:t>
      </w:r>
      <w:r w:rsidR="00B3047B">
        <w:t>, and 2 requests for transfer of permits</w:t>
      </w:r>
      <w:r>
        <w:t xml:space="preserve"> </w:t>
      </w:r>
      <w:r w:rsidR="00AD7A91">
        <w:t>(</w:t>
      </w:r>
      <w:r w:rsidR="007B0F5F">
        <w:t>15</w:t>
      </w:r>
      <w:r w:rsidR="00AD7A91">
        <w:t xml:space="preserve"> submissions) </w:t>
      </w:r>
      <w:r>
        <w:t>would total $</w:t>
      </w:r>
      <w:r w:rsidR="007B0F5F">
        <w:t>450</w:t>
      </w:r>
      <w:r w:rsidR="007F03DB">
        <w:t>.</w:t>
      </w:r>
    </w:p>
    <w:p w:rsidR="00A24706" w:rsidRDefault="00A24706">
      <w:pPr>
        <w:widowControl w:val="0"/>
      </w:pPr>
    </w:p>
    <w:p w:rsidR="00A24706" w:rsidRDefault="00A24706">
      <w:pPr>
        <w:widowControl w:val="0"/>
      </w:pPr>
      <w:r>
        <w:rPr>
          <w:b/>
        </w:rPr>
        <w:t xml:space="preserve">14.  </w:t>
      </w:r>
      <w:r>
        <w:rPr>
          <w:b/>
          <w:u w:val="single"/>
        </w:rPr>
        <w:t>Provide estimates of annualized cost to the Federal government</w:t>
      </w:r>
      <w:r>
        <w:rPr>
          <w:b/>
        </w:rPr>
        <w:t>.</w:t>
      </w:r>
    </w:p>
    <w:p w:rsidR="00A24706" w:rsidRDefault="00A24706">
      <w:pPr>
        <w:widowControl w:val="0"/>
        <w:rPr>
          <w:b/>
        </w:rPr>
      </w:pPr>
    </w:p>
    <w:p w:rsidR="00A24706" w:rsidRDefault="008274B5">
      <w:pPr>
        <w:widowControl w:val="0"/>
        <w:rPr>
          <w:b/>
        </w:rPr>
      </w:pPr>
      <w:r>
        <w:t>Cost to the Federal government is $1</w:t>
      </w:r>
      <w:r w:rsidR="00157B3A">
        <w:t>3,100</w:t>
      </w:r>
      <w:r>
        <w:t xml:space="preserve"> (s</w:t>
      </w:r>
      <w:r w:rsidR="00A24706">
        <w:t>ee table above</w:t>
      </w:r>
      <w:r>
        <w:t>)</w:t>
      </w:r>
      <w:r w:rsidR="00A24706">
        <w:t>.</w:t>
      </w:r>
    </w:p>
    <w:p w:rsidR="00A24706" w:rsidRDefault="00A24706">
      <w:pPr>
        <w:widowControl w:val="0"/>
        <w:rPr>
          <w:b/>
        </w:rPr>
      </w:pPr>
    </w:p>
    <w:p w:rsidR="005C3F41" w:rsidRDefault="005C3F41">
      <w:pPr>
        <w:widowControl w:val="0"/>
        <w:rPr>
          <w:b/>
        </w:rPr>
      </w:pPr>
    </w:p>
    <w:p w:rsidR="005C3F41" w:rsidRDefault="005C3F41">
      <w:pPr>
        <w:widowControl w:val="0"/>
        <w:rPr>
          <w:b/>
        </w:rPr>
      </w:pPr>
    </w:p>
    <w:p w:rsidR="005C3F41" w:rsidRDefault="005C3F41">
      <w:pPr>
        <w:rPr>
          <w:b/>
        </w:rPr>
      </w:pPr>
      <w:r>
        <w:rPr>
          <w:b/>
        </w:rPr>
        <w:br w:type="page"/>
      </w:r>
    </w:p>
    <w:p w:rsidR="00A24706" w:rsidRDefault="00A24706">
      <w:pPr>
        <w:widowControl w:val="0"/>
      </w:pPr>
      <w:r>
        <w:rPr>
          <w:b/>
        </w:rPr>
        <w:lastRenderedPageBreak/>
        <w:t xml:space="preserve">15.  </w:t>
      </w:r>
      <w:r>
        <w:rPr>
          <w:b/>
          <w:u w:val="single"/>
        </w:rPr>
        <w:t>Explain the reasons for any program changes or adjustments</w:t>
      </w:r>
      <w:r>
        <w:rPr>
          <w:b/>
        </w:rPr>
        <w:t>.</w:t>
      </w:r>
    </w:p>
    <w:p w:rsidR="00A81AD9" w:rsidRDefault="00A81AD9" w:rsidP="00A81AD9">
      <w:pPr>
        <w:pStyle w:val="HTMLPreformatted"/>
        <w:rPr>
          <w:rFonts w:ascii="Times New Roman" w:hAnsi="Times New Roman" w:cs="Times New Roman"/>
          <w:sz w:val="24"/>
          <w:szCs w:val="24"/>
        </w:rPr>
      </w:pPr>
    </w:p>
    <w:p w:rsidR="00A81AD9" w:rsidRPr="00A81AD9" w:rsidRDefault="00157B3A" w:rsidP="00A81AD9">
      <w:pPr>
        <w:pStyle w:val="HTMLPreformatted"/>
        <w:rPr>
          <w:rFonts w:ascii="Times New Roman" w:hAnsi="Times New Roman" w:cs="Times New Roman"/>
          <w:sz w:val="24"/>
          <w:szCs w:val="24"/>
        </w:rPr>
      </w:pPr>
      <w:r>
        <w:rPr>
          <w:rFonts w:ascii="Times New Roman" w:hAnsi="Times New Roman" w:cs="Times New Roman"/>
          <w:sz w:val="24"/>
          <w:szCs w:val="24"/>
        </w:rPr>
        <w:t xml:space="preserve">Adjustment: Time per </w:t>
      </w:r>
      <w:r w:rsidR="0068735E">
        <w:rPr>
          <w:rFonts w:ascii="Times New Roman" w:hAnsi="Times New Roman" w:cs="Times New Roman"/>
          <w:sz w:val="24"/>
          <w:szCs w:val="24"/>
        </w:rPr>
        <w:t xml:space="preserve">permit transfer </w:t>
      </w:r>
      <w:r>
        <w:rPr>
          <w:rFonts w:ascii="Times New Roman" w:hAnsi="Times New Roman" w:cs="Times New Roman"/>
          <w:sz w:val="24"/>
          <w:szCs w:val="24"/>
        </w:rPr>
        <w:t>response was corrected from 40 hours to 40 minutes, and thus the total hours, from 472 to 394.</w:t>
      </w:r>
    </w:p>
    <w:p w:rsidR="00A24706" w:rsidRPr="00A81AD9" w:rsidRDefault="00A24706">
      <w:pPr>
        <w:widowControl w:val="0"/>
        <w:rPr>
          <w:szCs w:val="24"/>
        </w:rPr>
      </w:pPr>
    </w:p>
    <w:p w:rsidR="00A24706" w:rsidRDefault="00A24706">
      <w:pPr>
        <w:widowControl w:val="0"/>
      </w:pPr>
      <w:r>
        <w:rPr>
          <w:b/>
        </w:rPr>
        <w:t xml:space="preserve">16.  </w:t>
      </w:r>
      <w:r>
        <w:rPr>
          <w:b/>
          <w:u w:val="single"/>
        </w:rPr>
        <w:t>For collections whose results will be published, outline the plans for tabulation and publication</w:t>
      </w:r>
      <w:r>
        <w:rPr>
          <w:b/>
        </w:rPr>
        <w:t>.</w:t>
      </w:r>
    </w:p>
    <w:p w:rsidR="00A24706" w:rsidRDefault="00A24706">
      <w:pPr>
        <w:widowControl w:val="0"/>
      </w:pPr>
    </w:p>
    <w:p w:rsidR="00A24706" w:rsidRDefault="00A24706">
      <w:pPr>
        <w:widowControl w:val="0"/>
        <w:tabs>
          <w:tab w:val="center" w:pos="4680"/>
        </w:tabs>
      </w:pPr>
      <w:r>
        <w:t>There ar</w:t>
      </w:r>
      <w:r w:rsidR="007F03DB">
        <w:t>e no plans to publish the data.</w:t>
      </w:r>
    </w:p>
    <w:p w:rsidR="00A24706" w:rsidRDefault="00A24706">
      <w:pPr>
        <w:widowControl w:val="0"/>
      </w:pPr>
    </w:p>
    <w:p w:rsidR="00A24706" w:rsidRDefault="00A24706" w:rsidP="007F03DB">
      <w:pPr>
        <w:keepNext/>
      </w:pPr>
      <w:r>
        <w:rPr>
          <w:b/>
        </w:rPr>
        <w:t xml:space="preserve">17.  </w:t>
      </w:r>
      <w:r>
        <w:rPr>
          <w:b/>
          <w:u w:val="single"/>
        </w:rPr>
        <w:t>If seeking approval to not display the expiration date for OMB approval of the information collection, explain the reasons why display would be inappropriate</w:t>
      </w:r>
      <w:r>
        <w:rPr>
          <w:b/>
        </w:rPr>
        <w:t>.</w:t>
      </w:r>
    </w:p>
    <w:p w:rsidR="00A24706" w:rsidRDefault="00A24706">
      <w:pPr>
        <w:widowControl w:val="0"/>
      </w:pPr>
    </w:p>
    <w:p w:rsidR="00A24706" w:rsidRDefault="007F03DB">
      <w:pPr>
        <w:widowControl w:val="0"/>
      </w:pPr>
      <w:r>
        <w:t>Not Applicable.</w:t>
      </w:r>
    </w:p>
    <w:p w:rsidR="00A24706" w:rsidRDefault="00A24706">
      <w:pPr>
        <w:widowControl w:val="0"/>
      </w:pPr>
    </w:p>
    <w:p w:rsidR="00A24706" w:rsidRPr="008C279C" w:rsidRDefault="00A24706">
      <w:pPr>
        <w:widowControl w:val="0"/>
        <w:rPr>
          <w:b/>
          <w:u w:val="single"/>
        </w:rPr>
      </w:pPr>
      <w:r>
        <w:rPr>
          <w:b/>
        </w:rPr>
        <w:t xml:space="preserve">18.  </w:t>
      </w:r>
      <w:r>
        <w:rPr>
          <w:b/>
          <w:u w:val="single"/>
        </w:rPr>
        <w:t>Explain each exception to the certification statement</w:t>
      </w:r>
      <w:r>
        <w:rPr>
          <w:b/>
        </w:rPr>
        <w:t>.</w:t>
      </w:r>
    </w:p>
    <w:p w:rsidR="00A24706" w:rsidRDefault="00A24706">
      <w:pPr>
        <w:widowControl w:val="0"/>
      </w:pPr>
    </w:p>
    <w:p w:rsidR="007F03DB" w:rsidRDefault="007F03DB" w:rsidP="007F03DB">
      <w:pPr>
        <w:widowControl w:val="0"/>
      </w:pPr>
      <w:r>
        <w:t>Not Applicable.</w:t>
      </w:r>
    </w:p>
    <w:p w:rsidR="00A24706" w:rsidRDefault="00A24706">
      <w:pPr>
        <w:widowControl w:val="0"/>
      </w:pPr>
    </w:p>
    <w:p w:rsidR="00A24706" w:rsidRDefault="00A24706">
      <w:pPr>
        <w:widowControl w:val="0"/>
      </w:pPr>
    </w:p>
    <w:p w:rsidR="00A24706" w:rsidRDefault="00A24706">
      <w:pPr>
        <w:widowControl w:val="0"/>
      </w:pPr>
      <w:r>
        <w:rPr>
          <w:b/>
        </w:rPr>
        <w:t>B.  COLLECTIONS OF INFORMATION EMPLOYING STATISTICAL METHODS</w:t>
      </w:r>
    </w:p>
    <w:p w:rsidR="00A24706" w:rsidRDefault="00A24706">
      <w:pPr>
        <w:widowControl w:val="0"/>
      </w:pPr>
    </w:p>
    <w:p w:rsidR="00A24706" w:rsidRDefault="00A24706">
      <w:pPr>
        <w:widowControl w:val="0"/>
        <w:spacing w:line="0" w:lineRule="atLeast"/>
      </w:pPr>
      <w:bookmarkStart w:id="0" w:name="_GoBack"/>
      <w:bookmarkEnd w:id="0"/>
      <w:r>
        <w:t>This collection does n</w:t>
      </w:r>
      <w:r w:rsidR="007F03DB">
        <w:t>ot employ statistical methods.</w:t>
      </w:r>
    </w:p>
    <w:sectPr w:rsidR="00A24706" w:rsidSect="007F03DB">
      <w:headerReference w:type="even" r:id="rId16"/>
      <w:headerReference w:type="default" r:id="rId17"/>
      <w:footerReference w:type="even" r:id="rId18"/>
      <w:footerReference w:type="default" r:id="rId19"/>
      <w:endnotePr>
        <w:numFmt w:val="lowerLetter"/>
      </w:endnotePr>
      <w:pgSz w:w="12240" w:h="15840"/>
      <w:pgMar w:top="1440" w:right="1440" w:bottom="720" w:left="1440" w:header="144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C87" w:rsidRDefault="00090C87">
      <w:r>
        <w:separator/>
      </w:r>
    </w:p>
  </w:endnote>
  <w:endnote w:type="continuationSeparator" w:id="0">
    <w:p w:rsidR="00090C87" w:rsidRDefault="00090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51C" w:rsidRDefault="0032451C">
    <w:pPr>
      <w:framePr w:w="9360" w:h="280" w:hRule="exact" w:wrap="notBeside" w:vAnchor="page" w:hAnchor="text" w:y="15120"/>
      <w:widowControl w:val="0"/>
      <w:spacing w:line="0" w:lineRule="atLeast"/>
      <w:jc w:val="center"/>
      <w:rPr>
        <w:vanish/>
      </w:rPr>
    </w:pPr>
    <w:r>
      <w:pgNum/>
    </w:r>
  </w:p>
  <w:p w:rsidR="0032451C" w:rsidRDefault="0032451C">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51C" w:rsidRDefault="0032451C">
    <w:pPr>
      <w:framePr w:w="9360" w:h="280" w:hRule="exact" w:wrap="notBeside" w:vAnchor="page" w:hAnchor="text" w:y="15120"/>
      <w:widowControl w:val="0"/>
      <w:jc w:val="center"/>
      <w:rPr>
        <w:vanish/>
      </w:rPr>
    </w:pPr>
    <w:r>
      <w:pgNum/>
    </w:r>
  </w:p>
  <w:p w:rsidR="0032451C" w:rsidRDefault="0032451C">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C87" w:rsidRDefault="00090C87">
      <w:r>
        <w:separator/>
      </w:r>
    </w:p>
  </w:footnote>
  <w:footnote w:type="continuationSeparator" w:id="0">
    <w:p w:rsidR="00090C87" w:rsidRDefault="00090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51C" w:rsidRDefault="0032451C">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51C" w:rsidRDefault="0032451C">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lvl>
  </w:abstractNum>
  <w:abstractNum w:abstractNumId="1">
    <w:nsid w:val="31204B39"/>
    <w:multiLevelType w:val="hybridMultilevel"/>
    <w:tmpl w:val="CE60EB28"/>
    <w:lvl w:ilvl="0" w:tplc="66C88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28589B"/>
    <w:multiLevelType w:val="hybridMultilevel"/>
    <w:tmpl w:val="32404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3C7"/>
    <w:rsid w:val="00002C9A"/>
    <w:rsid w:val="000121C5"/>
    <w:rsid w:val="00024B98"/>
    <w:rsid w:val="00043223"/>
    <w:rsid w:val="00086FBB"/>
    <w:rsid w:val="00090C87"/>
    <w:rsid w:val="000F0428"/>
    <w:rsid w:val="00111D6D"/>
    <w:rsid w:val="001223A6"/>
    <w:rsid w:val="001329F3"/>
    <w:rsid w:val="0015482B"/>
    <w:rsid w:val="0015548E"/>
    <w:rsid w:val="00155942"/>
    <w:rsid w:val="00156A39"/>
    <w:rsid w:val="00157B3A"/>
    <w:rsid w:val="001649D4"/>
    <w:rsid w:val="001A0198"/>
    <w:rsid w:val="001F31BC"/>
    <w:rsid w:val="0021212E"/>
    <w:rsid w:val="00222C75"/>
    <w:rsid w:val="0025771A"/>
    <w:rsid w:val="00282364"/>
    <w:rsid w:val="00291C96"/>
    <w:rsid w:val="002E4C09"/>
    <w:rsid w:val="00316021"/>
    <w:rsid w:val="00317308"/>
    <w:rsid w:val="0032451C"/>
    <w:rsid w:val="0035044B"/>
    <w:rsid w:val="003616D8"/>
    <w:rsid w:val="003B6C7B"/>
    <w:rsid w:val="003F1CC2"/>
    <w:rsid w:val="004332B7"/>
    <w:rsid w:val="00460DF0"/>
    <w:rsid w:val="00470907"/>
    <w:rsid w:val="004A577B"/>
    <w:rsid w:val="004E25EE"/>
    <w:rsid w:val="004F7FDF"/>
    <w:rsid w:val="00527FC6"/>
    <w:rsid w:val="00564C7A"/>
    <w:rsid w:val="00587BFA"/>
    <w:rsid w:val="005C3AE5"/>
    <w:rsid w:val="005C3F41"/>
    <w:rsid w:val="005D24E4"/>
    <w:rsid w:val="0061278B"/>
    <w:rsid w:val="0064390C"/>
    <w:rsid w:val="00650E97"/>
    <w:rsid w:val="00664EFC"/>
    <w:rsid w:val="0068735E"/>
    <w:rsid w:val="0069029C"/>
    <w:rsid w:val="00741C72"/>
    <w:rsid w:val="00747968"/>
    <w:rsid w:val="00752D25"/>
    <w:rsid w:val="00766B89"/>
    <w:rsid w:val="00774170"/>
    <w:rsid w:val="0077478C"/>
    <w:rsid w:val="007935BB"/>
    <w:rsid w:val="007A5357"/>
    <w:rsid w:val="007B0F5F"/>
    <w:rsid w:val="007D0D18"/>
    <w:rsid w:val="007F03DB"/>
    <w:rsid w:val="0082005C"/>
    <w:rsid w:val="008274B5"/>
    <w:rsid w:val="00842C7E"/>
    <w:rsid w:val="0084721D"/>
    <w:rsid w:val="0085102E"/>
    <w:rsid w:val="00854655"/>
    <w:rsid w:val="00882974"/>
    <w:rsid w:val="008C279C"/>
    <w:rsid w:val="008E0BE4"/>
    <w:rsid w:val="008E7C50"/>
    <w:rsid w:val="008F4DB9"/>
    <w:rsid w:val="0091228B"/>
    <w:rsid w:val="0093657D"/>
    <w:rsid w:val="00990C3B"/>
    <w:rsid w:val="009B18AD"/>
    <w:rsid w:val="009E3A97"/>
    <w:rsid w:val="00A24706"/>
    <w:rsid w:val="00A81AD9"/>
    <w:rsid w:val="00A979F8"/>
    <w:rsid w:val="00AD7A91"/>
    <w:rsid w:val="00B1112E"/>
    <w:rsid w:val="00B275F0"/>
    <w:rsid w:val="00B3047B"/>
    <w:rsid w:val="00B5109C"/>
    <w:rsid w:val="00B52E70"/>
    <w:rsid w:val="00B66755"/>
    <w:rsid w:val="00B84232"/>
    <w:rsid w:val="00BB06C0"/>
    <w:rsid w:val="00BE2114"/>
    <w:rsid w:val="00C043E8"/>
    <w:rsid w:val="00C0441E"/>
    <w:rsid w:val="00C113C5"/>
    <w:rsid w:val="00C147B6"/>
    <w:rsid w:val="00C21B56"/>
    <w:rsid w:val="00C42A27"/>
    <w:rsid w:val="00C504E7"/>
    <w:rsid w:val="00C61C21"/>
    <w:rsid w:val="00C76039"/>
    <w:rsid w:val="00C81C45"/>
    <w:rsid w:val="00C9642F"/>
    <w:rsid w:val="00CA7005"/>
    <w:rsid w:val="00CC68EF"/>
    <w:rsid w:val="00D46DC4"/>
    <w:rsid w:val="00D73474"/>
    <w:rsid w:val="00D835F9"/>
    <w:rsid w:val="00E2592A"/>
    <w:rsid w:val="00E27E46"/>
    <w:rsid w:val="00E70215"/>
    <w:rsid w:val="00E973C7"/>
    <w:rsid w:val="00EB0852"/>
    <w:rsid w:val="00ED1317"/>
    <w:rsid w:val="00EF2B94"/>
    <w:rsid w:val="00F11CB5"/>
    <w:rsid w:val="00F17D68"/>
    <w:rsid w:val="00F427A5"/>
    <w:rsid w:val="00FD36A6"/>
    <w:rsid w:val="00FF6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32B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5548E"/>
    <w:rPr>
      <w:rFonts w:ascii="Tahoma" w:hAnsi="Tahoma" w:cs="Tahoma"/>
      <w:sz w:val="16"/>
      <w:szCs w:val="16"/>
    </w:rPr>
  </w:style>
  <w:style w:type="paragraph" w:customStyle="1" w:styleId="Level1">
    <w:name w:val="Level 1"/>
    <w:basedOn w:val="Normal"/>
    <w:rsid w:val="004332B7"/>
    <w:pPr>
      <w:widowControl w:val="0"/>
    </w:pPr>
  </w:style>
  <w:style w:type="character" w:customStyle="1" w:styleId="BalloonTextChar">
    <w:name w:val="Balloon Text Char"/>
    <w:basedOn w:val="DefaultParagraphFont"/>
    <w:link w:val="BalloonText"/>
    <w:rsid w:val="0015548E"/>
    <w:rPr>
      <w:rFonts w:ascii="Tahoma" w:hAnsi="Tahoma" w:cs="Tahoma"/>
      <w:sz w:val="16"/>
      <w:szCs w:val="16"/>
    </w:rPr>
  </w:style>
  <w:style w:type="character" w:styleId="CommentReference">
    <w:name w:val="annotation reference"/>
    <w:basedOn w:val="DefaultParagraphFont"/>
    <w:rsid w:val="0015548E"/>
    <w:rPr>
      <w:sz w:val="16"/>
      <w:szCs w:val="16"/>
    </w:rPr>
  </w:style>
  <w:style w:type="paragraph" w:styleId="CommentText">
    <w:name w:val="annotation text"/>
    <w:basedOn w:val="Normal"/>
    <w:link w:val="CommentTextChar"/>
    <w:rsid w:val="0015548E"/>
    <w:rPr>
      <w:sz w:val="20"/>
    </w:rPr>
  </w:style>
  <w:style w:type="character" w:customStyle="1" w:styleId="CommentTextChar">
    <w:name w:val="Comment Text Char"/>
    <w:basedOn w:val="DefaultParagraphFont"/>
    <w:link w:val="CommentText"/>
    <w:rsid w:val="0015548E"/>
  </w:style>
  <w:style w:type="paragraph" w:styleId="CommentSubject">
    <w:name w:val="annotation subject"/>
    <w:basedOn w:val="CommentText"/>
    <w:next w:val="CommentText"/>
    <w:link w:val="CommentSubjectChar"/>
    <w:rsid w:val="0015548E"/>
    <w:rPr>
      <w:b/>
      <w:bCs/>
    </w:rPr>
  </w:style>
  <w:style w:type="character" w:customStyle="1" w:styleId="CommentSubjectChar">
    <w:name w:val="Comment Subject Char"/>
    <w:basedOn w:val="CommentTextChar"/>
    <w:link w:val="CommentSubject"/>
    <w:rsid w:val="0015548E"/>
    <w:rPr>
      <w:b/>
      <w:bCs/>
    </w:rPr>
  </w:style>
  <w:style w:type="table" w:styleId="TableGrid">
    <w:name w:val="Table Grid"/>
    <w:basedOn w:val="TableNormal"/>
    <w:rsid w:val="001329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766B89"/>
    <w:rPr>
      <w:color w:val="0000FF"/>
      <w:u w:val="single"/>
    </w:rPr>
  </w:style>
  <w:style w:type="paragraph" w:styleId="HTMLPreformatted">
    <w:name w:val="HTML Preformatted"/>
    <w:basedOn w:val="Normal"/>
    <w:link w:val="HTMLPreformattedChar"/>
    <w:uiPriority w:val="99"/>
    <w:unhideWhenUsed/>
    <w:rsid w:val="00A81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81AD9"/>
    <w:rPr>
      <w:rFonts w:ascii="Courier New" w:hAnsi="Courier New" w:cs="Courier New"/>
    </w:rPr>
  </w:style>
  <w:style w:type="character" w:styleId="FollowedHyperlink">
    <w:name w:val="FollowedHyperlink"/>
    <w:basedOn w:val="DefaultParagraphFont"/>
    <w:rsid w:val="00B66755"/>
    <w:rPr>
      <w:color w:val="800080"/>
      <w:u w:val="single"/>
    </w:rPr>
  </w:style>
  <w:style w:type="paragraph" w:styleId="ListParagraph">
    <w:name w:val="List Paragraph"/>
    <w:basedOn w:val="Normal"/>
    <w:uiPriority w:val="34"/>
    <w:qFormat/>
    <w:rsid w:val="00ED1317"/>
    <w:pPr>
      <w:ind w:left="720"/>
    </w:pPr>
  </w:style>
  <w:style w:type="paragraph" w:styleId="FootnoteText">
    <w:name w:val="footnote text"/>
    <w:basedOn w:val="Normal"/>
    <w:link w:val="FootnoteTextChar"/>
    <w:rsid w:val="00587BFA"/>
    <w:rPr>
      <w:sz w:val="20"/>
    </w:rPr>
  </w:style>
  <w:style w:type="character" w:customStyle="1" w:styleId="FootnoteTextChar">
    <w:name w:val="Footnote Text Char"/>
    <w:basedOn w:val="DefaultParagraphFont"/>
    <w:link w:val="FootnoteText"/>
    <w:rsid w:val="00587BFA"/>
  </w:style>
  <w:style w:type="character" w:styleId="FootnoteReference">
    <w:name w:val="footnote reference"/>
    <w:basedOn w:val="DefaultParagraphFont"/>
    <w:rsid w:val="00587B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32B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5548E"/>
    <w:rPr>
      <w:rFonts w:ascii="Tahoma" w:hAnsi="Tahoma" w:cs="Tahoma"/>
      <w:sz w:val="16"/>
      <w:szCs w:val="16"/>
    </w:rPr>
  </w:style>
  <w:style w:type="paragraph" w:customStyle="1" w:styleId="Level1">
    <w:name w:val="Level 1"/>
    <w:basedOn w:val="Normal"/>
    <w:rsid w:val="004332B7"/>
    <w:pPr>
      <w:widowControl w:val="0"/>
    </w:pPr>
  </w:style>
  <w:style w:type="character" w:customStyle="1" w:styleId="BalloonTextChar">
    <w:name w:val="Balloon Text Char"/>
    <w:basedOn w:val="DefaultParagraphFont"/>
    <w:link w:val="BalloonText"/>
    <w:rsid w:val="0015548E"/>
    <w:rPr>
      <w:rFonts w:ascii="Tahoma" w:hAnsi="Tahoma" w:cs="Tahoma"/>
      <w:sz w:val="16"/>
      <w:szCs w:val="16"/>
    </w:rPr>
  </w:style>
  <w:style w:type="character" w:styleId="CommentReference">
    <w:name w:val="annotation reference"/>
    <w:basedOn w:val="DefaultParagraphFont"/>
    <w:rsid w:val="0015548E"/>
    <w:rPr>
      <w:sz w:val="16"/>
      <w:szCs w:val="16"/>
    </w:rPr>
  </w:style>
  <w:style w:type="paragraph" w:styleId="CommentText">
    <w:name w:val="annotation text"/>
    <w:basedOn w:val="Normal"/>
    <w:link w:val="CommentTextChar"/>
    <w:rsid w:val="0015548E"/>
    <w:rPr>
      <w:sz w:val="20"/>
    </w:rPr>
  </w:style>
  <w:style w:type="character" w:customStyle="1" w:styleId="CommentTextChar">
    <w:name w:val="Comment Text Char"/>
    <w:basedOn w:val="DefaultParagraphFont"/>
    <w:link w:val="CommentText"/>
    <w:rsid w:val="0015548E"/>
  </w:style>
  <w:style w:type="paragraph" w:styleId="CommentSubject">
    <w:name w:val="annotation subject"/>
    <w:basedOn w:val="CommentText"/>
    <w:next w:val="CommentText"/>
    <w:link w:val="CommentSubjectChar"/>
    <w:rsid w:val="0015548E"/>
    <w:rPr>
      <w:b/>
      <w:bCs/>
    </w:rPr>
  </w:style>
  <w:style w:type="character" w:customStyle="1" w:styleId="CommentSubjectChar">
    <w:name w:val="Comment Subject Char"/>
    <w:basedOn w:val="CommentTextChar"/>
    <w:link w:val="CommentSubject"/>
    <w:rsid w:val="0015548E"/>
    <w:rPr>
      <w:b/>
      <w:bCs/>
    </w:rPr>
  </w:style>
  <w:style w:type="table" w:styleId="TableGrid">
    <w:name w:val="Table Grid"/>
    <w:basedOn w:val="TableNormal"/>
    <w:rsid w:val="001329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766B89"/>
    <w:rPr>
      <w:color w:val="0000FF"/>
      <w:u w:val="single"/>
    </w:rPr>
  </w:style>
  <w:style w:type="paragraph" w:styleId="HTMLPreformatted">
    <w:name w:val="HTML Preformatted"/>
    <w:basedOn w:val="Normal"/>
    <w:link w:val="HTMLPreformattedChar"/>
    <w:uiPriority w:val="99"/>
    <w:unhideWhenUsed/>
    <w:rsid w:val="00A81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81AD9"/>
    <w:rPr>
      <w:rFonts w:ascii="Courier New" w:hAnsi="Courier New" w:cs="Courier New"/>
    </w:rPr>
  </w:style>
  <w:style w:type="character" w:styleId="FollowedHyperlink">
    <w:name w:val="FollowedHyperlink"/>
    <w:basedOn w:val="DefaultParagraphFont"/>
    <w:rsid w:val="00B66755"/>
    <w:rPr>
      <w:color w:val="800080"/>
      <w:u w:val="single"/>
    </w:rPr>
  </w:style>
  <w:style w:type="paragraph" w:styleId="ListParagraph">
    <w:name w:val="List Paragraph"/>
    <w:basedOn w:val="Normal"/>
    <w:uiPriority w:val="34"/>
    <w:qFormat/>
    <w:rsid w:val="00ED1317"/>
    <w:pPr>
      <w:ind w:left="720"/>
    </w:pPr>
  </w:style>
  <w:style w:type="paragraph" w:styleId="FootnoteText">
    <w:name w:val="footnote text"/>
    <w:basedOn w:val="Normal"/>
    <w:link w:val="FootnoteTextChar"/>
    <w:rsid w:val="00587BFA"/>
    <w:rPr>
      <w:sz w:val="20"/>
    </w:rPr>
  </w:style>
  <w:style w:type="character" w:customStyle="1" w:styleId="FootnoteTextChar">
    <w:name w:val="Footnote Text Char"/>
    <w:basedOn w:val="DefaultParagraphFont"/>
    <w:link w:val="FootnoteText"/>
    <w:rsid w:val="00587BFA"/>
  </w:style>
  <w:style w:type="character" w:styleId="FootnoteReference">
    <w:name w:val="footnote reference"/>
    <w:basedOn w:val="DefaultParagraphFont"/>
    <w:rsid w:val="00587B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702153">
      <w:bodyDiv w:val="1"/>
      <w:marLeft w:val="0"/>
      <w:marRight w:val="0"/>
      <w:marTop w:val="0"/>
      <w:marBottom w:val="0"/>
      <w:divBdr>
        <w:top w:val="none" w:sz="0" w:space="0" w:color="auto"/>
        <w:left w:val="none" w:sz="0" w:space="0" w:color="auto"/>
        <w:bottom w:val="none" w:sz="0" w:space="0" w:color="auto"/>
        <w:right w:val="none" w:sz="0" w:space="0" w:color="auto"/>
      </w:divBdr>
    </w:div>
    <w:div w:id="201244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fr.gpoaccess.gov/cgi/t/text/text-idx?c=ecfr&amp;sid=947f7139e114bc5849180dd4501d0980&amp;rgn=div8&amp;view=text&amp;node=50:9.0.1.3.6.3.13.5&amp;idno=5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cfr.gpoaccess.gov/cgi/t/text/text-idx?c=ecfr&amp;sid=947f7139e114bc5849180dd4501d0980&amp;rgn=div8&amp;view=text&amp;node=50:9.0.1.3.6.2.13.4&amp;idno=5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fs.noaa.gov/" TargetMode="External"/><Relationship Id="rId5" Type="http://schemas.openxmlformats.org/officeDocument/2006/relationships/settings" Target="settings.xml"/><Relationship Id="rId15" Type="http://schemas.openxmlformats.org/officeDocument/2006/relationships/hyperlink" Target="http://www.nmfs.noaa.gov/pr/permits/esa_permits.htm" TargetMode="External"/><Relationship Id="rId10" Type="http://schemas.openxmlformats.org/officeDocument/2006/relationships/hyperlink" Target="http://ecfr.gpoaccess.gov/cgi/t/text/text-idx?c=ecfr&amp;sid=947f7139e114bc5849180dd4501d0980&amp;rgn=div8&amp;view=text&amp;node=50:9.0.1.3.6.3.13.7&amp;idno=50"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nmfs.noaa.gov/pr/laws/esa/text.htm" TargetMode="External"/><Relationship Id="rId14" Type="http://schemas.openxmlformats.org/officeDocument/2006/relationships/hyperlink" Target="http://www.fws.gov/informationquality/section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ADD7A-04A9-40D4-88D4-5B875E467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2624</Words>
  <Characters>14963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17552</CharactersWithSpaces>
  <SharedDoc>false</SharedDoc>
  <HLinks>
    <vt:vector size="42" baseType="variant">
      <vt:variant>
        <vt:i4>1310769</vt:i4>
      </vt:variant>
      <vt:variant>
        <vt:i4>23</vt:i4>
      </vt:variant>
      <vt:variant>
        <vt:i4>0</vt:i4>
      </vt:variant>
      <vt:variant>
        <vt:i4>5</vt:i4>
      </vt:variant>
      <vt:variant>
        <vt:lpwstr>http://www.nmfs.noaa.gov/pr/permits/esa_permits.htm</vt:lpwstr>
      </vt:variant>
      <vt:variant>
        <vt:lpwstr/>
      </vt:variant>
      <vt:variant>
        <vt:i4>852034</vt:i4>
      </vt:variant>
      <vt:variant>
        <vt:i4>20</vt:i4>
      </vt:variant>
      <vt:variant>
        <vt:i4>0</vt:i4>
      </vt:variant>
      <vt:variant>
        <vt:i4>5</vt:i4>
      </vt:variant>
      <vt:variant>
        <vt:lpwstr>http://www.fws.gov/informationquality/section515.html</vt:lpwstr>
      </vt:variant>
      <vt:variant>
        <vt:lpwstr/>
      </vt:variant>
      <vt:variant>
        <vt:i4>4587537</vt:i4>
      </vt:variant>
      <vt:variant>
        <vt:i4>14</vt:i4>
      </vt:variant>
      <vt:variant>
        <vt:i4>0</vt:i4>
      </vt:variant>
      <vt:variant>
        <vt:i4>5</vt:i4>
      </vt:variant>
      <vt:variant>
        <vt:lpwstr>http://ecfr.gpoaccess.gov/cgi/t/text/text-idx?c=ecfr&amp;sid=01486ff218e32c97b90708d141341738&amp;rgn=div8&amp;view=text&amp;node=50:7.0.1.3.4.3.13.5&amp;idno=50</vt:lpwstr>
      </vt:variant>
      <vt:variant>
        <vt:lpwstr/>
      </vt:variant>
      <vt:variant>
        <vt:i4>4587536</vt:i4>
      </vt:variant>
      <vt:variant>
        <vt:i4>11</vt:i4>
      </vt:variant>
      <vt:variant>
        <vt:i4>0</vt:i4>
      </vt:variant>
      <vt:variant>
        <vt:i4>5</vt:i4>
      </vt:variant>
      <vt:variant>
        <vt:lpwstr>http://ecfr.gpoaccess.gov/cgi/t/text/text-idx?c=ecfr&amp;sid=01486ff218e32c97b90708d141341738&amp;rgn=div8&amp;view=text&amp;node=50:7.0.1.3.5.2.13.4&amp;idno=50</vt:lpwstr>
      </vt:variant>
      <vt:variant>
        <vt:lpwstr/>
      </vt:variant>
      <vt:variant>
        <vt:i4>1179648</vt:i4>
      </vt:variant>
      <vt:variant>
        <vt:i4>8</vt:i4>
      </vt:variant>
      <vt:variant>
        <vt:i4>0</vt:i4>
      </vt:variant>
      <vt:variant>
        <vt:i4>5</vt:i4>
      </vt:variant>
      <vt:variant>
        <vt:lpwstr>http://www.nmfs.noaa.gov/</vt:lpwstr>
      </vt:variant>
      <vt:variant>
        <vt:lpwstr/>
      </vt:variant>
      <vt:variant>
        <vt:i4>4587539</vt:i4>
      </vt:variant>
      <vt:variant>
        <vt:i4>5</vt:i4>
      </vt:variant>
      <vt:variant>
        <vt:i4>0</vt:i4>
      </vt:variant>
      <vt:variant>
        <vt:i4>5</vt:i4>
      </vt:variant>
      <vt:variant>
        <vt:lpwstr>http://ecfr.gpoaccess.gov/cgi/t/text/text-idx?c=ecfr&amp;sid=01486ff218e32c97b90708d141341738&amp;rgn=div8&amp;view=text&amp;node=50:7.0.1.3.4.3.13.7&amp;idno=50</vt:lpwstr>
      </vt:variant>
      <vt:variant>
        <vt:lpwstr/>
      </vt:variant>
      <vt:variant>
        <vt:i4>5701634</vt:i4>
      </vt:variant>
      <vt:variant>
        <vt:i4>2</vt:i4>
      </vt:variant>
      <vt:variant>
        <vt:i4>0</vt:i4>
      </vt:variant>
      <vt:variant>
        <vt:i4>5</vt:i4>
      </vt:variant>
      <vt:variant>
        <vt:lpwstr>http://www.nmfs.noaa.gov/pr/pdfs/laws/esa.pdf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Heather_Coll</dc:creator>
  <cp:lastModifiedBy>Sarah Brabson</cp:lastModifiedBy>
  <cp:revision>11</cp:revision>
  <cp:lastPrinted>2012-02-22T15:34:00Z</cp:lastPrinted>
  <dcterms:created xsi:type="dcterms:W3CDTF">2015-03-26T20:34:00Z</dcterms:created>
  <dcterms:modified xsi:type="dcterms:W3CDTF">2015-05-07T13:46:00Z</dcterms:modified>
</cp:coreProperties>
</file>