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6B" w:rsidRPr="0043450D" w:rsidRDefault="00534B6B" w:rsidP="00534B6B">
      <w:pPr>
        <w:suppressAutoHyphens/>
        <w:jc w:val="center"/>
        <w:rPr>
          <w:rFonts w:ascii="Times New Roman" w:hAnsi="Times New Roman"/>
          <w:b/>
        </w:rPr>
      </w:pPr>
      <w:r w:rsidRPr="0043450D">
        <w:rPr>
          <w:rFonts w:ascii="Times New Roman" w:hAnsi="Times New Roman"/>
          <w:b/>
        </w:rPr>
        <w:t>SUPPORTING STATEMENT FOR NEW AND</w:t>
      </w:r>
    </w:p>
    <w:p w:rsidR="00534B6B" w:rsidRPr="0043450D" w:rsidRDefault="00534B6B" w:rsidP="00534B6B">
      <w:pPr>
        <w:suppressAutoHyphens/>
        <w:spacing w:after="240"/>
        <w:jc w:val="center"/>
        <w:rPr>
          <w:rFonts w:ascii="Times New Roman" w:hAnsi="Times New Roman"/>
          <w:b/>
        </w:rPr>
      </w:pPr>
      <w:r w:rsidRPr="0043450D">
        <w:rPr>
          <w:rFonts w:ascii="Times New Roman" w:hAnsi="Times New Roman"/>
          <w:b/>
        </w:rPr>
        <w:t>REVISED INFORMATION COLLECTIONS</w:t>
      </w:r>
    </w:p>
    <w:p w:rsidR="00534B6B" w:rsidRPr="0043450D" w:rsidRDefault="00534B6B" w:rsidP="00534B6B">
      <w:pPr>
        <w:tabs>
          <w:tab w:val="center" w:pos="4680"/>
        </w:tabs>
        <w:suppressAutoHyphens/>
        <w:spacing w:after="240"/>
        <w:jc w:val="center"/>
        <w:rPr>
          <w:rFonts w:ascii="Times New Roman" w:hAnsi="Times New Roman"/>
          <w:b/>
        </w:rPr>
      </w:pPr>
      <w:r w:rsidRPr="0043450D">
        <w:rPr>
          <w:rFonts w:ascii="Times New Roman" w:hAnsi="Times New Roman"/>
          <w:b/>
        </w:rPr>
        <w:t>OMB CONTROL NUMBER 3038-</w:t>
      </w:r>
      <w:r w:rsidR="00C040AC">
        <w:rPr>
          <w:rFonts w:ascii="Times New Roman" w:hAnsi="Times New Roman"/>
          <w:b/>
        </w:rPr>
        <w:t>0106</w:t>
      </w:r>
    </w:p>
    <w:p w:rsidR="00534B6B" w:rsidRPr="003E1569" w:rsidRDefault="00534B6B" w:rsidP="00534B6B">
      <w:pPr>
        <w:pStyle w:val="Heading1"/>
        <w:keepNext w:val="0"/>
        <w:spacing w:after="240"/>
        <w:rPr>
          <w:rFonts w:ascii="Times New Roman" w:hAnsi="Times New Roman"/>
          <w:szCs w:val="24"/>
        </w:rPr>
      </w:pPr>
      <w:r w:rsidRPr="003E1569">
        <w:rPr>
          <w:rFonts w:ascii="Times New Roman" w:hAnsi="Times New Roman"/>
          <w:szCs w:val="24"/>
        </w:rPr>
        <w:t>Justification</w:t>
      </w:r>
    </w:p>
    <w:p w:rsidR="00534B6B" w:rsidRPr="003E1569" w:rsidRDefault="00534B6B" w:rsidP="00534B6B">
      <w:pPr>
        <w:tabs>
          <w:tab w:val="left" w:pos="-720"/>
          <w:tab w:val="left" w:pos="0"/>
        </w:tabs>
        <w:spacing w:after="240"/>
        <w:rPr>
          <w:rFonts w:ascii="Times New Roman" w:hAnsi="Times New Roman"/>
        </w:rPr>
      </w:pPr>
      <w:r w:rsidRPr="003E1569">
        <w:rPr>
          <w:rFonts w:ascii="Times New Roman" w:hAnsi="Times New Roman"/>
          <w:b/>
        </w:rPr>
        <w:t>1.</w:t>
      </w:r>
      <w:r w:rsidRPr="003E156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41431" w:rsidRDefault="00534B6B" w:rsidP="00534B6B">
      <w:pPr>
        <w:tabs>
          <w:tab w:val="left" w:pos="-720"/>
        </w:tabs>
        <w:spacing w:after="240"/>
        <w:rPr>
          <w:rFonts w:ascii="Times New Roman" w:hAnsi="Times New Roman"/>
          <w:b/>
        </w:rPr>
      </w:pPr>
      <w:r w:rsidRPr="003E1569">
        <w:rPr>
          <w:rFonts w:ascii="Times New Roman" w:hAnsi="Times New Roman"/>
        </w:rPr>
        <w:t xml:space="preserve">Section </w:t>
      </w:r>
      <w:r w:rsidR="00050D06">
        <w:rPr>
          <w:rFonts w:ascii="Times New Roman" w:hAnsi="Times New Roman"/>
        </w:rPr>
        <w:t xml:space="preserve">721 of the Dodd-Frank Act added new section </w:t>
      </w:r>
      <w:proofErr w:type="gramStart"/>
      <w:r w:rsidR="00050D06">
        <w:rPr>
          <w:rFonts w:ascii="Times New Roman" w:hAnsi="Times New Roman"/>
        </w:rPr>
        <w:t>1a(</w:t>
      </w:r>
      <w:proofErr w:type="gramEnd"/>
      <w:r w:rsidR="00050D06">
        <w:rPr>
          <w:rFonts w:ascii="Times New Roman" w:hAnsi="Times New Roman"/>
        </w:rPr>
        <w:t>47) to the Commodity Exchange Act</w:t>
      </w:r>
      <w:r w:rsidR="004864CF">
        <w:rPr>
          <w:rFonts w:ascii="Times New Roman" w:hAnsi="Times New Roman"/>
        </w:rPr>
        <w:t xml:space="preserve"> (CEA)</w:t>
      </w:r>
      <w:r w:rsidR="00050D06">
        <w:rPr>
          <w:rFonts w:ascii="Times New Roman" w:hAnsi="Times New Roman"/>
        </w:rPr>
        <w:t xml:space="preserve">, defining “swap” to include “[an] option of any kind that is for the purchase or sale, or based on the value, of 1 or more … commodities….”  Consistent with </w:t>
      </w:r>
      <w:r w:rsidR="00C41431">
        <w:rPr>
          <w:rFonts w:ascii="Times New Roman" w:hAnsi="Times New Roman"/>
        </w:rPr>
        <w:t xml:space="preserve">the </w:t>
      </w:r>
      <w:r w:rsidR="00050D06">
        <w:rPr>
          <w:rFonts w:ascii="Times New Roman" w:hAnsi="Times New Roman"/>
        </w:rPr>
        <w:t>Dodd-Frank</w:t>
      </w:r>
      <w:r w:rsidR="00C41431">
        <w:rPr>
          <w:rFonts w:ascii="Times New Roman" w:hAnsi="Times New Roman"/>
        </w:rPr>
        <w:t xml:space="preserve"> Act</w:t>
      </w:r>
      <w:r w:rsidR="00050D06">
        <w:rPr>
          <w:rFonts w:ascii="Times New Roman" w:hAnsi="Times New Roman"/>
        </w:rPr>
        <w:t xml:space="preserve">, the Commission adopted regulation 32.2 </w:t>
      </w:r>
      <w:r w:rsidR="001F0D10">
        <w:rPr>
          <w:rFonts w:ascii="Times New Roman" w:hAnsi="Times New Roman"/>
        </w:rPr>
        <w:t>directing that commodity option transactions be regulated in the same manner as other swaps.  At the same time, the Commission adopted an interim final rule</w:t>
      </w:r>
      <w:r w:rsidR="00023501">
        <w:rPr>
          <w:rFonts w:ascii="Times New Roman" w:hAnsi="Times New Roman"/>
        </w:rPr>
        <w:t>, regula</w:t>
      </w:r>
      <w:r w:rsidR="00BA68AC">
        <w:rPr>
          <w:rFonts w:ascii="Times New Roman" w:hAnsi="Times New Roman"/>
        </w:rPr>
        <w:t xml:space="preserve">tion 32.3, </w:t>
      </w:r>
      <w:r w:rsidR="00023501">
        <w:rPr>
          <w:rFonts w:ascii="Times New Roman" w:hAnsi="Times New Roman"/>
        </w:rPr>
        <w:t>gran</w:t>
      </w:r>
      <w:r w:rsidR="00BA68AC">
        <w:rPr>
          <w:rFonts w:ascii="Times New Roman" w:hAnsi="Times New Roman"/>
        </w:rPr>
        <w:t>t</w:t>
      </w:r>
      <w:r w:rsidR="00023501">
        <w:rPr>
          <w:rFonts w:ascii="Times New Roman" w:hAnsi="Times New Roman"/>
        </w:rPr>
        <w:t>i</w:t>
      </w:r>
      <w:r w:rsidR="00BA68AC">
        <w:rPr>
          <w:rFonts w:ascii="Times New Roman" w:hAnsi="Times New Roman"/>
        </w:rPr>
        <w:t xml:space="preserve">ng an exemption from most of the swaps rules to “trade options.”  A trade option is a commodity option purchased by a commercial party that, upon exercise, results in the sale of a physical commodity for immediate (spot) or deferred (forward) delivery. </w:t>
      </w:r>
      <w:r w:rsidR="00BA68AC" w:rsidRPr="00C41431">
        <w:rPr>
          <w:rFonts w:ascii="Times New Roman" w:hAnsi="Times New Roman"/>
          <w:b/>
        </w:rPr>
        <w:t xml:space="preserve"> </w:t>
      </w:r>
    </w:p>
    <w:p w:rsidR="00C41431" w:rsidRDefault="00C41431" w:rsidP="00534B6B">
      <w:pPr>
        <w:tabs>
          <w:tab w:val="left" w:pos="-720"/>
        </w:tabs>
        <w:spacing w:after="240"/>
        <w:rPr>
          <w:rFonts w:ascii="Times New Roman" w:hAnsi="Times New Roman"/>
        </w:rPr>
      </w:pPr>
      <w:r>
        <w:rPr>
          <w:rFonts w:ascii="Times New Roman" w:hAnsi="Times New Roman"/>
        </w:rPr>
        <w:t xml:space="preserve">The Commission proposes to delete from </w:t>
      </w:r>
      <w:r w:rsidR="00E325BE">
        <w:rPr>
          <w:rFonts w:ascii="Times New Roman" w:hAnsi="Times New Roman"/>
        </w:rPr>
        <w:t>32.3(b)</w:t>
      </w:r>
      <w:r w:rsidR="00023501">
        <w:rPr>
          <w:rFonts w:ascii="Times New Roman" w:hAnsi="Times New Roman"/>
        </w:rPr>
        <w:t xml:space="preserve"> </w:t>
      </w:r>
      <w:r>
        <w:rPr>
          <w:rFonts w:ascii="Times New Roman" w:hAnsi="Times New Roman"/>
        </w:rPr>
        <w:t>the requirement that</w:t>
      </w:r>
      <w:r w:rsidR="00023501">
        <w:rPr>
          <w:rFonts w:ascii="Times New Roman" w:hAnsi="Times New Roman"/>
        </w:rPr>
        <w:t xml:space="preserve"> counterparties to “unreported trade options” (i.e., trade options that are not otherwise reported to a swap data repository pursuant to part 45 of the Commission’s rules) </w:t>
      </w:r>
      <w:r>
        <w:rPr>
          <w:rFonts w:ascii="Times New Roman" w:hAnsi="Times New Roman"/>
        </w:rPr>
        <w:t>must</w:t>
      </w:r>
      <w:r w:rsidR="00023501">
        <w:rPr>
          <w:rFonts w:ascii="Times New Roman" w:hAnsi="Times New Roman"/>
        </w:rPr>
        <w:t xml:space="preserve"> file an annual report with the Commission on Form TO</w:t>
      </w:r>
      <w:r w:rsidR="00534B6B" w:rsidRPr="003E1569">
        <w:rPr>
          <w:rFonts w:ascii="Times New Roman" w:hAnsi="Times New Roman"/>
        </w:rPr>
        <w:t>.</w:t>
      </w:r>
      <w:r w:rsidR="00CA1B6D">
        <w:rPr>
          <w:rFonts w:ascii="Times New Roman" w:hAnsi="Times New Roman"/>
        </w:rPr>
        <w:t xml:space="preserve"> </w:t>
      </w:r>
      <w:r w:rsidR="00E325BE">
        <w:rPr>
          <w:rFonts w:ascii="Times New Roman" w:hAnsi="Times New Roman"/>
        </w:rPr>
        <w:t xml:space="preserve"> </w:t>
      </w:r>
      <w:r w:rsidR="00E325BE" w:rsidRPr="00E325BE">
        <w:rPr>
          <w:rFonts w:ascii="Times New Roman" w:hAnsi="Times New Roman"/>
        </w:rPr>
        <w:t>The</w:t>
      </w:r>
      <w:r w:rsidR="00E325BE">
        <w:rPr>
          <w:rFonts w:ascii="Times New Roman" w:hAnsi="Times New Roman"/>
        </w:rPr>
        <w:t xml:space="preserve"> Commission proposes to further amend </w:t>
      </w:r>
      <w:r w:rsidR="00E325BE" w:rsidRPr="00E325BE">
        <w:rPr>
          <w:rFonts w:ascii="Times New Roman" w:hAnsi="Times New Roman"/>
        </w:rPr>
        <w:t>32.3(b) b</w:t>
      </w:r>
      <w:r w:rsidR="00E325BE">
        <w:rPr>
          <w:rFonts w:ascii="Times New Roman" w:hAnsi="Times New Roman"/>
        </w:rPr>
        <w:t xml:space="preserve">y adding a requirement that </w:t>
      </w:r>
      <w:r w:rsidR="00E325BE" w:rsidRPr="00E325BE">
        <w:rPr>
          <w:rFonts w:ascii="Times New Roman" w:hAnsi="Times New Roman"/>
        </w:rPr>
        <w:t xml:space="preserve">trade option counterparties </w:t>
      </w:r>
      <w:r w:rsidR="00E325BE">
        <w:rPr>
          <w:rFonts w:ascii="Times New Roman" w:hAnsi="Times New Roman"/>
        </w:rPr>
        <w:t xml:space="preserve">that are not swap dealers or major swap participants (“Non-SD/MSP”) </w:t>
      </w:r>
      <w:r w:rsidR="00E325BE" w:rsidRPr="00E325BE">
        <w:rPr>
          <w:rFonts w:ascii="Times New Roman" w:hAnsi="Times New Roman"/>
        </w:rPr>
        <w:t>must provide notice by email to DMO within 30 days after entering into trade options, whether reported or unreported, that have an aggregate notional value in excess of $1 billion in any calendar year (the “1 Billion Notice”).   In the alternative, a Non-SD/MSP may provide notice by email to DMO that it reasonably expects to enter into trade options, whether reported or unreported, having an aggregate notional value in excess of $1 billion during any calendar year (the “Alternative Notice”).</w:t>
      </w:r>
    </w:p>
    <w:p w:rsidR="00E325BE" w:rsidRDefault="00E325BE" w:rsidP="00534B6B">
      <w:pPr>
        <w:tabs>
          <w:tab w:val="left" w:pos="-720"/>
        </w:tabs>
        <w:spacing w:after="240"/>
        <w:rPr>
          <w:rFonts w:ascii="Times New Roman" w:hAnsi="Times New Roman"/>
        </w:rPr>
      </w:pPr>
      <w:r w:rsidRPr="00E325BE">
        <w:rPr>
          <w:rFonts w:ascii="Times New Roman" w:hAnsi="Times New Roman"/>
        </w:rPr>
        <w:t xml:space="preserve">In light of the other proposed amendments that would generally remove reporting requirements for Non-SD/MSP counterparties to trade options, the proposed $1 Billion Notice </w:t>
      </w:r>
      <w:r>
        <w:rPr>
          <w:rFonts w:ascii="Times New Roman" w:hAnsi="Times New Roman"/>
        </w:rPr>
        <w:t>collection</w:t>
      </w:r>
      <w:r w:rsidRPr="00E325BE">
        <w:rPr>
          <w:rFonts w:ascii="Times New Roman" w:hAnsi="Times New Roman"/>
        </w:rPr>
        <w:t xml:space="preserve"> would </w:t>
      </w:r>
      <w:r w:rsidR="00E230AB">
        <w:rPr>
          <w:rFonts w:ascii="Times New Roman" w:hAnsi="Times New Roman"/>
        </w:rPr>
        <w:t xml:space="preserve">be necessary to </w:t>
      </w:r>
      <w:r w:rsidRPr="00E325BE">
        <w:rPr>
          <w:rFonts w:ascii="Times New Roman" w:hAnsi="Times New Roman"/>
        </w:rPr>
        <w:t>provide the Commission insight into the size of the market for unreported trade options and the identities of the most significant market players.  Additionally, the $1 Billion Notice would help guide the Commission’s efforts to collect additional information through its authority to obtain copies of books or records required to be kept pursuant to the CEA and the Commission’s regulations should market circumstances dictate.</w:t>
      </w:r>
      <w:r>
        <w:rPr>
          <w:rFonts w:ascii="Times New Roman" w:hAnsi="Times New Roman"/>
        </w:rPr>
        <w:t xml:space="preserve"> </w:t>
      </w:r>
      <w:r w:rsidR="005C7E0A" w:rsidRPr="005C7E0A">
        <w:rPr>
          <w:rFonts w:ascii="Times New Roman" w:hAnsi="Times New Roman"/>
        </w:rPr>
        <w:t>Accordingly, the Commission is amending OMB control number 3038-0106, to provide for the new $1 Billion Notice.</w:t>
      </w:r>
      <w:r>
        <w:rPr>
          <w:rFonts w:ascii="Times New Roman" w:hAnsi="Times New Roman"/>
        </w:rPr>
        <w:t xml:space="preserve"> </w:t>
      </w:r>
    </w:p>
    <w:p w:rsidR="00534B6B" w:rsidRPr="003E1569" w:rsidRDefault="00534B6B" w:rsidP="00534B6B">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 xml:space="preserve">Indicate how, by whom, and for what purpose the </w:t>
      </w:r>
      <w:r w:rsidR="001D0F77" w:rsidRPr="003E1569">
        <w:rPr>
          <w:rFonts w:ascii="Times New Roman" w:hAnsi="Times New Roman"/>
          <w:b/>
        </w:rPr>
        <w:t>dat</w:t>
      </w:r>
      <w:r w:rsidR="001D0F77">
        <w:rPr>
          <w:rFonts w:ascii="Times New Roman" w:hAnsi="Times New Roman"/>
          <w:b/>
        </w:rPr>
        <w:t>a</w:t>
      </w:r>
      <w:r w:rsidR="001D0F77" w:rsidRPr="003E1569">
        <w:rPr>
          <w:rFonts w:ascii="Times New Roman" w:hAnsi="Times New Roman"/>
          <w:b/>
        </w:rPr>
        <w:t xml:space="preserve"> </w:t>
      </w:r>
      <w:r w:rsidRPr="003E1569">
        <w:rPr>
          <w:rFonts w:ascii="Times New Roman" w:hAnsi="Times New Roman"/>
          <w:b/>
        </w:rPr>
        <w:t>would be used.  Except for a new collection, indicate the actual use the agency has made of the information received from the current collection.</w:t>
      </w:r>
    </w:p>
    <w:p w:rsidR="00534B6B" w:rsidRPr="003E1569" w:rsidRDefault="00534B6B" w:rsidP="00534B6B">
      <w:pPr>
        <w:spacing w:after="240"/>
        <w:rPr>
          <w:rFonts w:ascii="Times New Roman" w:hAnsi="Times New Roman"/>
        </w:rPr>
      </w:pPr>
      <w:r w:rsidRPr="003E1569">
        <w:rPr>
          <w:rFonts w:ascii="Times New Roman" w:hAnsi="Times New Roman"/>
        </w:rPr>
        <w:lastRenderedPageBreak/>
        <w:t xml:space="preserve">The </w:t>
      </w:r>
      <w:r w:rsidR="00875D3B">
        <w:rPr>
          <w:rFonts w:ascii="Times New Roman" w:hAnsi="Times New Roman"/>
        </w:rPr>
        <w:t xml:space="preserve">Commission would use the information generated by </w:t>
      </w:r>
      <w:r w:rsidR="00E325BE" w:rsidRPr="00E325BE">
        <w:rPr>
          <w:rFonts w:ascii="Times New Roman" w:hAnsi="Times New Roman"/>
        </w:rPr>
        <w:t xml:space="preserve">$1 </w:t>
      </w:r>
      <w:r w:rsidR="00E325BE" w:rsidRPr="0034177E">
        <w:rPr>
          <w:rFonts w:ascii="Times New Roman" w:hAnsi="Times New Roman"/>
        </w:rPr>
        <w:t>Billion Notice collection</w:t>
      </w:r>
      <w:r w:rsidR="00E230AB" w:rsidRPr="0034177E">
        <w:rPr>
          <w:rFonts w:ascii="Times New Roman" w:hAnsi="Times New Roman"/>
        </w:rPr>
        <w:t xml:space="preserve"> </w:t>
      </w:r>
      <w:r w:rsidR="0034177E" w:rsidRPr="0034177E">
        <w:rPr>
          <w:rFonts w:ascii="Times New Roman" w:hAnsi="Times New Roman"/>
        </w:rPr>
        <w:t xml:space="preserve">of </w:t>
      </w:r>
      <w:r w:rsidR="00E230AB" w:rsidRPr="0034177E">
        <w:rPr>
          <w:rFonts w:ascii="Times New Roman" w:hAnsi="Times New Roman"/>
        </w:rPr>
        <w:t>email</w:t>
      </w:r>
      <w:r w:rsidR="0034177E" w:rsidRPr="0034177E">
        <w:rPr>
          <w:rFonts w:ascii="Times New Roman" w:hAnsi="Times New Roman"/>
        </w:rPr>
        <w:t>s</w:t>
      </w:r>
      <w:r w:rsidR="00E230AB" w:rsidRPr="0034177E">
        <w:rPr>
          <w:rFonts w:ascii="Times New Roman" w:hAnsi="Times New Roman"/>
        </w:rPr>
        <w:t xml:space="preserve"> by </w:t>
      </w:r>
      <w:r w:rsidR="0034177E" w:rsidRPr="0034177E">
        <w:rPr>
          <w:rFonts w:ascii="Times New Roman" w:hAnsi="Times New Roman"/>
        </w:rPr>
        <w:t xml:space="preserve">trade option counterparties that are </w:t>
      </w:r>
      <w:r w:rsidR="00E230AB" w:rsidRPr="0034177E">
        <w:rPr>
          <w:rFonts w:ascii="Times New Roman" w:hAnsi="Times New Roman"/>
        </w:rPr>
        <w:t>Non-SD/MSP</w:t>
      </w:r>
      <w:r w:rsidR="0034177E" w:rsidRPr="0034177E">
        <w:rPr>
          <w:rFonts w:ascii="Times New Roman" w:hAnsi="Times New Roman"/>
        </w:rPr>
        <w:t>s</w:t>
      </w:r>
      <w:r w:rsidR="00E325BE" w:rsidRPr="0034177E">
        <w:rPr>
          <w:rFonts w:ascii="Times New Roman" w:hAnsi="Times New Roman"/>
        </w:rPr>
        <w:t xml:space="preserve"> </w:t>
      </w:r>
      <w:r w:rsidR="00875D3B" w:rsidRPr="0034177E">
        <w:rPr>
          <w:rFonts w:ascii="Times New Roman" w:hAnsi="Times New Roman"/>
        </w:rPr>
        <w:t xml:space="preserve">to </w:t>
      </w:r>
      <w:r w:rsidR="00E7242A" w:rsidRPr="0034177E">
        <w:rPr>
          <w:rFonts w:ascii="Times New Roman" w:hAnsi="Times New Roman"/>
        </w:rPr>
        <w:t>determine</w:t>
      </w:r>
      <w:r w:rsidR="00875D3B" w:rsidRPr="0034177E">
        <w:rPr>
          <w:rFonts w:ascii="Times New Roman" w:hAnsi="Times New Roman"/>
        </w:rPr>
        <w:t xml:space="preserve"> the </w:t>
      </w:r>
      <w:r w:rsidR="00E325BE" w:rsidRPr="0034177E">
        <w:rPr>
          <w:rFonts w:ascii="Times New Roman" w:hAnsi="Times New Roman"/>
        </w:rPr>
        <w:t xml:space="preserve">most significant market players </w:t>
      </w:r>
      <w:r w:rsidR="00E7242A" w:rsidRPr="0034177E">
        <w:rPr>
          <w:rFonts w:ascii="Times New Roman" w:hAnsi="Times New Roman"/>
        </w:rPr>
        <w:t xml:space="preserve">entering </w:t>
      </w:r>
      <w:r w:rsidR="00875D3B" w:rsidRPr="0034177E">
        <w:rPr>
          <w:rFonts w:ascii="Times New Roman" w:hAnsi="Times New Roman"/>
        </w:rPr>
        <w:t>in</w:t>
      </w:r>
      <w:r w:rsidR="00E7242A" w:rsidRPr="0034177E">
        <w:rPr>
          <w:rFonts w:ascii="Times New Roman" w:hAnsi="Times New Roman"/>
        </w:rPr>
        <w:t>to</w:t>
      </w:r>
      <w:r w:rsidR="00875D3B" w:rsidRPr="0034177E">
        <w:rPr>
          <w:rFonts w:ascii="Times New Roman" w:hAnsi="Times New Roman"/>
        </w:rPr>
        <w:t xml:space="preserve"> unreported trade options</w:t>
      </w:r>
      <w:r w:rsidR="00E7242A" w:rsidRPr="0034177E">
        <w:rPr>
          <w:rFonts w:ascii="Times New Roman" w:hAnsi="Times New Roman"/>
        </w:rPr>
        <w:t>, and, if warranted</w:t>
      </w:r>
      <w:r w:rsidR="00E7242A">
        <w:rPr>
          <w:rFonts w:ascii="Times New Roman" w:hAnsi="Times New Roman"/>
        </w:rPr>
        <w:t>, to conduct</w:t>
      </w:r>
      <w:r w:rsidR="005F0AD3">
        <w:rPr>
          <w:rFonts w:ascii="Times New Roman" w:hAnsi="Times New Roman"/>
        </w:rPr>
        <w:t xml:space="preserve"> market analysis and</w:t>
      </w:r>
      <w:r w:rsidR="00E7242A">
        <w:rPr>
          <w:rFonts w:ascii="Times New Roman" w:hAnsi="Times New Roman"/>
        </w:rPr>
        <w:t xml:space="preserve"> investigations and in connection with litigation</w:t>
      </w:r>
      <w:r w:rsidR="00875D3B">
        <w:rPr>
          <w:rFonts w:ascii="Times New Roman" w:hAnsi="Times New Roman"/>
        </w:rPr>
        <w:t xml:space="preserve">.  That </w:t>
      </w:r>
      <w:r w:rsidR="00E325BE">
        <w:rPr>
          <w:rFonts w:ascii="Times New Roman" w:hAnsi="Times New Roman"/>
        </w:rPr>
        <w:t xml:space="preserve">information </w:t>
      </w:r>
      <w:r w:rsidR="00875D3B">
        <w:rPr>
          <w:rFonts w:ascii="Times New Roman" w:hAnsi="Times New Roman"/>
        </w:rPr>
        <w:t>would, in turn, guide the Commission’s efforts</w:t>
      </w:r>
      <w:r w:rsidR="002E26B4">
        <w:rPr>
          <w:rFonts w:ascii="Times New Roman" w:hAnsi="Times New Roman"/>
        </w:rPr>
        <w:t xml:space="preserve"> to collect more detailed information, through its authority to inspect books and records, </w:t>
      </w:r>
      <w:r w:rsidR="00E7242A">
        <w:rPr>
          <w:rFonts w:ascii="Times New Roman" w:hAnsi="Times New Roman"/>
        </w:rPr>
        <w:t>when warranted</w:t>
      </w:r>
      <w:r w:rsidR="002E26B4">
        <w:rPr>
          <w:rFonts w:ascii="Times New Roman" w:hAnsi="Times New Roman"/>
        </w:rPr>
        <w:t xml:space="preserve"> (e.g., threatened or actual market disruption).  </w:t>
      </w:r>
    </w:p>
    <w:p w:rsidR="00534B6B" w:rsidRPr="003E1569" w:rsidRDefault="00534B6B" w:rsidP="00534B6B">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3E1569" w:rsidRDefault="00534B6B" w:rsidP="00534B6B">
      <w:pPr>
        <w:tabs>
          <w:tab w:val="left" w:pos="-720"/>
          <w:tab w:val="left" w:pos="0"/>
        </w:tabs>
        <w:spacing w:after="240"/>
        <w:rPr>
          <w:rFonts w:ascii="Times New Roman" w:hAnsi="Times New Roman"/>
        </w:rPr>
      </w:pPr>
      <w:r w:rsidRPr="003E1569">
        <w:rPr>
          <w:rFonts w:ascii="Times New Roman" w:hAnsi="Times New Roman"/>
        </w:rPr>
        <w:tab/>
        <w:t xml:space="preserve">Information </w:t>
      </w:r>
      <w:r w:rsidR="00566191">
        <w:rPr>
          <w:rFonts w:ascii="Times New Roman" w:hAnsi="Times New Roman"/>
        </w:rPr>
        <w:t>will</w:t>
      </w:r>
      <w:r w:rsidR="00D05785" w:rsidRPr="003E1569">
        <w:rPr>
          <w:rFonts w:ascii="Times New Roman" w:hAnsi="Times New Roman"/>
        </w:rPr>
        <w:t xml:space="preserve"> </w:t>
      </w:r>
      <w:r w:rsidR="00E325BE">
        <w:rPr>
          <w:rFonts w:ascii="Times New Roman" w:hAnsi="Times New Roman"/>
        </w:rPr>
        <w:t>be submitted via email</w:t>
      </w:r>
      <w:r w:rsidRPr="003E1569">
        <w:rPr>
          <w:rFonts w:ascii="Times New Roman" w:hAnsi="Times New Roman"/>
        </w:rPr>
        <w:t>.</w:t>
      </w:r>
      <w:r w:rsidR="005F0AD3">
        <w:rPr>
          <w:rFonts w:ascii="Times New Roman" w:hAnsi="Times New Roman"/>
        </w:rPr>
        <w:t xml:space="preserve">  The Commission chose this approach due to its belief that </w:t>
      </w:r>
      <w:r w:rsidR="00E325BE">
        <w:rPr>
          <w:rFonts w:ascii="Times New Roman" w:hAnsi="Times New Roman"/>
        </w:rPr>
        <w:t xml:space="preserve">submission via email would be </w:t>
      </w:r>
      <w:r w:rsidR="00566191">
        <w:rPr>
          <w:rFonts w:ascii="Times New Roman" w:hAnsi="Times New Roman"/>
        </w:rPr>
        <w:t xml:space="preserve">the </w:t>
      </w:r>
      <w:r w:rsidR="00E325BE">
        <w:rPr>
          <w:rFonts w:ascii="Times New Roman" w:hAnsi="Times New Roman"/>
        </w:rPr>
        <w:t xml:space="preserve">least burdensome </w:t>
      </w:r>
      <w:r w:rsidR="00566191">
        <w:rPr>
          <w:rFonts w:ascii="Times New Roman" w:hAnsi="Times New Roman"/>
        </w:rPr>
        <w:t>form of submission for</w:t>
      </w:r>
      <w:r w:rsidR="00E325BE">
        <w:rPr>
          <w:rFonts w:ascii="Times New Roman" w:hAnsi="Times New Roman"/>
        </w:rPr>
        <w:t xml:space="preserve"> affected market participants.</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Pr="00D73078">
        <w:rPr>
          <w:rFonts w:ascii="Times New Roman" w:hAnsi="Times New Roman"/>
        </w:rPr>
        <w:t>The required information is not available from any other source</w:t>
      </w:r>
      <w:r w:rsidR="00D05785" w:rsidRPr="00D73078">
        <w:rPr>
          <w:rFonts w:ascii="Times New Roman" w:hAnsi="Times New Roman"/>
        </w:rPr>
        <w:t xml:space="preserve"> because </w:t>
      </w:r>
      <w:r w:rsidR="00D73078">
        <w:rPr>
          <w:rFonts w:ascii="Times New Roman" w:hAnsi="Times New Roman"/>
        </w:rPr>
        <w:t>the $</w:t>
      </w:r>
      <w:r w:rsidR="00D73078" w:rsidRPr="00E325BE">
        <w:rPr>
          <w:rFonts w:ascii="Times New Roman" w:hAnsi="Times New Roman"/>
        </w:rPr>
        <w:t>1 Billion Notice</w:t>
      </w:r>
      <w:r w:rsidR="00D73078">
        <w:rPr>
          <w:rFonts w:ascii="Times New Roman" w:hAnsi="Times New Roman"/>
        </w:rPr>
        <w:t xml:space="preserve"> and Alternative Notice were </w:t>
      </w:r>
      <w:r w:rsidR="00D05785" w:rsidRPr="00D73078">
        <w:rPr>
          <w:rFonts w:ascii="Times New Roman" w:hAnsi="Times New Roman"/>
        </w:rPr>
        <w:t>designed to capture information not reported to the Commission pursuant to other Commission reporting regulations</w:t>
      </w:r>
      <w:r w:rsidRPr="00D73078">
        <w:rPr>
          <w:rFonts w:ascii="Times New Roman" w:hAnsi="Times New Roman"/>
        </w:rPr>
        <w:t>.</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If the collection of information involves small business or other small entities (Item 5 of OMB F</w:t>
      </w:r>
      <w:r w:rsidR="00CC009F">
        <w:rPr>
          <w:rFonts w:ascii="Times New Roman" w:hAnsi="Times New Roman"/>
          <w:b/>
        </w:rPr>
        <w:t>or</w:t>
      </w:r>
      <w:r w:rsidRPr="0019376E">
        <w:rPr>
          <w:rFonts w:ascii="Times New Roman" w:hAnsi="Times New Roman"/>
          <w:b/>
        </w:rPr>
        <w:t>m 83-I), describe the methods used to minimize burden.</w:t>
      </w:r>
    </w:p>
    <w:p w:rsidR="00D73078" w:rsidRDefault="00534B6B" w:rsidP="00D73078">
      <w:pPr>
        <w:tabs>
          <w:tab w:val="left" w:pos="-720"/>
        </w:tabs>
        <w:spacing w:after="240"/>
        <w:rPr>
          <w:rFonts w:ascii="Times New Roman" w:hAnsi="Times New Roman"/>
        </w:rPr>
      </w:pPr>
      <w:r w:rsidRPr="003E1569">
        <w:rPr>
          <w:rFonts w:ascii="Times New Roman" w:hAnsi="Times New Roman"/>
        </w:rPr>
        <w:tab/>
      </w:r>
      <w:r w:rsidR="00D73078" w:rsidRPr="00D73078">
        <w:rPr>
          <w:rFonts w:ascii="Times New Roman" w:hAnsi="Times New Roman"/>
        </w:rPr>
        <w:t xml:space="preserve">While the proposal would impose a new requirement on certain Non-SD/MSPs to provide DMO by email with either the $1 Billion Notice or </w:t>
      </w:r>
      <w:r w:rsidR="00D73078">
        <w:rPr>
          <w:rFonts w:ascii="Times New Roman" w:hAnsi="Times New Roman"/>
        </w:rPr>
        <w:t>the Alternative Notice annually</w:t>
      </w:r>
      <w:r w:rsidR="00D73078" w:rsidRPr="00D73078">
        <w:rPr>
          <w:rFonts w:ascii="Times New Roman" w:hAnsi="Times New Roman"/>
        </w:rPr>
        <w:t xml:space="preserve">, the Commission does not believe that this requirement would impact many small entities, if any at all.  </w:t>
      </w:r>
      <w:r w:rsidR="00552770">
        <w:rPr>
          <w:rFonts w:ascii="Times New Roman" w:hAnsi="Times New Roman"/>
        </w:rPr>
        <w:t>Nevertheless, the proposal includes an Initial Regulatory Flexibility Act analysis, to the extent there may be small entities impacted by the proposed rule.  Yet, g</w:t>
      </w:r>
      <w:r w:rsidR="00D73078" w:rsidRPr="00D73078">
        <w:rPr>
          <w:rFonts w:ascii="Times New Roman" w:hAnsi="Times New Roman"/>
        </w:rPr>
        <w:t>iven the significant volume of trade options required to trigger the $1 Billion Notice or the Alternative Notice requirement, the Commission expects that it would apply to only a small number of entities and that such entities would likely be dominant in their field.   The Commission’s view is supported by DMO’s previous experience with the $ 1 Billion Notice</w:t>
      </w:r>
      <w:r w:rsidR="00D73078">
        <w:rPr>
          <w:rFonts w:ascii="Times New Roman" w:hAnsi="Times New Roman"/>
        </w:rPr>
        <w:t xml:space="preserve"> provision in CFTC No-Action Letter No. 13-08</w:t>
      </w:r>
      <w:r w:rsidR="00D73078" w:rsidRPr="00D73078">
        <w:rPr>
          <w:rFonts w:ascii="Times New Roman" w:hAnsi="Times New Roman"/>
        </w:rPr>
        <w:t>:  DMO received a $1 Billion Notice from only sixteen of the more than 300 Non-SD/MSPs that filed a Form TO in 2014, only slightly more than the nine entities that submitted</w:t>
      </w:r>
      <w:r w:rsidR="00D73078">
        <w:rPr>
          <w:rFonts w:ascii="Times New Roman" w:hAnsi="Times New Roman"/>
        </w:rPr>
        <w:t xml:space="preserve"> a $1 Billion Notice in 2014, </w:t>
      </w:r>
      <w:r w:rsidR="00D73078" w:rsidRPr="00D73078">
        <w:rPr>
          <w:rFonts w:ascii="Times New Roman" w:hAnsi="Times New Roman"/>
        </w:rPr>
        <w:t>and all such entities were generally well-known in their respective industries.</w:t>
      </w:r>
    </w:p>
    <w:p w:rsidR="00534B6B" w:rsidRPr="0019376E" w:rsidRDefault="00534B6B" w:rsidP="00D73078">
      <w:pPr>
        <w:tabs>
          <w:tab w:val="left" w:pos="-720"/>
        </w:tabs>
        <w:spacing w:after="240"/>
        <w:rPr>
          <w:rFonts w:ascii="Times New Roman" w:hAnsi="Times New Roman"/>
          <w:b/>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F63EC3">
        <w:rPr>
          <w:rFonts w:ascii="Times New Roman" w:hAnsi="Times New Roman"/>
        </w:rPr>
        <w:t xml:space="preserve">Failure to collect the information annually </w:t>
      </w:r>
      <w:r w:rsidR="00F63EC3" w:rsidRPr="00F63EC3">
        <w:rPr>
          <w:rFonts w:ascii="Times New Roman" w:hAnsi="Times New Roman"/>
        </w:rPr>
        <w:t>would adversely affect the Commission’s ability to</w:t>
      </w:r>
      <w:r w:rsidR="00F654DB">
        <w:rPr>
          <w:rFonts w:ascii="Times New Roman" w:hAnsi="Times New Roman"/>
        </w:rPr>
        <w:t xml:space="preserve"> oversee </w:t>
      </w:r>
      <w:r w:rsidR="00D73078">
        <w:rPr>
          <w:rFonts w:ascii="Times New Roman" w:hAnsi="Times New Roman"/>
        </w:rPr>
        <w:t>the market for unreported trade options, which are swaps,</w:t>
      </w:r>
      <w:r w:rsidR="00F654DB">
        <w:rPr>
          <w:rFonts w:ascii="Times New Roman" w:hAnsi="Times New Roman"/>
        </w:rPr>
        <w:t xml:space="preserve"> by significantly </w:t>
      </w:r>
      <w:r w:rsidR="00F654DB">
        <w:rPr>
          <w:rFonts w:ascii="Times New Roman" w:hAnsi="Times New Roman"/>
        </w:rPr>
        <w:lastRenderedPageBreak/>
        <w:t xml:space="preserve">delaying its ability to investigate suspected market misconduct or other </w:t>
      </w:r>
      <w:r w:rsidR="005F0AD3">
        <w:rPr>
          <w:rFonts w:ascii="Times New Roman" w:hAnsi="Times New Roman"/>
        </w:rPr>
        <w:t xml:space="preserve">relevant </w:t>
      </w:r>
      <w:r w:rsidR="00F654DB">
        <w:rPr>
          <w:rFonts w:ascii="Times New Roman" w:hAnsi="Times New Roman"/>
        </w:rPr>
        <w:t>market events</w:t>
      </w:r>
      <w:r w:rsidR="00B24358">
        <w:rPr>
          <w:rFonts w:ascii="Times New Roman" w:hAnsi="Times New Roman"/>
        </w:rPr>
        <w:t xml:space="preserve">.  </w:t>
      </w:r>
      <w:r w:rsidR="00F654DB">
        <w:rPr>
          <w:rFonts w:ascii="Times New Roman" w:hAnsi="Times New Roman"/>
        </w:rPr>
        <w:t>C</w:t>
      </w:r>
      <w:r w:rsidR="00B24358">
        <w:rPr>
          <w:rFonts w:ascii="Times New Roman" w:hAnsi="Times New Roman"/>
        </w:rPr>
        <w:t>ollect</w:t>
      </w:r>
      <w:r w:rsidR="00F654DB">
        <w:rPr>
          <w:rFonts w:ascii="Times New Roman" w:hAnsi="Times New Roman"/>
        </w:rPr>
        <w:t>ing</w:t>
      </w:r>
      <w:r w:rsidR="00B24358">
        <w:rPr>
          <w:rFonts w:ascii="Times New Roman" w:hAnsi="Times New Roman"/>
        </w:rPr>
        <w:t xml:space="preserve"> </w:t>
      </w:r>
      <w:r w:rsidR="00F654DB">
        <w:rPr>
          <w:rFonts w:ascii="Times New Roman" w:hAnsi="Times New Roman"/>
        </w:rPr>
        <w:t xml:space="preserve">information </w:t>
      </w:r>
      <w:r w:rsidR="00B24358">
        <w:rPr>
          <w:rFonts w:ascii="Times New Roman" w:hAnsi="Times New Roman"/>
        </w:rPr>
        <w:t xml:space="preserve">less frequently would </w:t>
      </w:r>
      <w:r w:rsidR="00F63EC3">
        <w:rPr>
          <w:rFonts w:ascii="Times New Roman" w:hAnsi="Times New Roman"/>
        </w:rPr>
        <w:t xml:space="preserve">limit the </w:t>
      </w:r>
      <w:r w:rsidRPr="003E1569">
        <w:rPr>
          <w:rFonts w:ascii="Times New Roman" w:hAnsi="Times New Roman"/>
        </w:rPr>
        <w:t xml:space="preserve">enforcement of Commission rules </w:t>
      </w:r>
      <w:r w:rsidR="00B24358">
        <w:rPr>
          <w:rFonts w:ascii="Times New Roman" w:hAnsi="Times New Roman"/>
        </w:rPr>
        <w:t>intended to protect market integrity</w:t>
      </w:r>
      <w:r w:rsidRPr="003E1569">
        <w:rPr>
          <w:rFonts w:ascii="Times New Roman" w:hAnsi="Times New Roman"/>
        </w:rPr>
        <w:t>.</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r>
      <w:r w:rsidRPr="00D73078">
        <w:rPr>
          <w:rFonts w:ascii="Times New Roman" w:hAnsi="Times New Roman"/>
          <w:b/>
        </w:rPr>
        <w:t>Explain any special circumstances that require the collection to be conducted in a manner:</w:t>
      </w:r>
    </w:p>
    <w:p w:rsidR="002102C2" w:rsidRDefault="00534B6B" w:rsidP="002102C2">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2102C2" w:rsidRPr="00BF5F7A" w:rsidRDefault="00CA12F8" w:rsidP="00BF5F7A">
      <w:pPr>
        <w:tabs>
          <w:tab w:val="left" w:pos="-720"/>
          <w:tab w:val="left" w:pos="0"/>
          <w:tab w:val="left" w:pos="720"/>
        </w:tabs>
        <w:spacing w:after="240"/>
        <w:rPr>
          <w:rFonts w:ascii="Times New Roman" w:hAnsi="Times New Roman"/>
        </w:rPr>
      </w:pPr>
      <w:r>
        <w:rPr>
          <w:rFonts w:ascii="Times New Roman" w:hAnsi="Times New Roman"/>
        </w:rPr>
        <w:tab/>
      </w:r>
      <w:r w:rsidR="002102C2" w:rsidRPr="00BF5F7A">
        <w:rPr>
          <w:rFonts w:ascii="Times New Roman" w:hAnsi="Times New Roman"/>
        </w:rPr>
        <w:t>This question does not apply</w:t>
      </w:r>
      <w:r w:rsidR="002102C2" w:rsidRPr="002102C2">
        <w:rPr>
          <w:rFonts w:ascii="Times New Roman" w:hAnsi="Times New Roman"/>
          <w:b/>
        </w:rPr>
        <w:t>.</w:t>
      </w:r>
      <w:r w:rsidR="002102C2">
        <w:rPr>
          <w:rFonts w:ascii="Times New Roman" w:hAnsi="Times New Roman"/>
          <w:b/>
        </w:rPr>
        <w:t xml:space="preserve">  </w:t>
      </w:r>
      <w:r w:rsidR="002102C2">
        <w:rPr>
          <w:rFonts w:ascii="Times New Roman" w:hAnsi="Times New Roman"/>
        </w:rPr>
        <w:t>The information would be collected annually.</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2102C2" w:rsidRPr="00BF5F7A" w:rsidRDefault="00CA12F8" w:rsidP="00BF5F7A">
      <w:pPr>
        <w:tabs>
          <w:tab w:val="left" w:pos="-720"/>
          <w:tab w:val="left" w:pos="0"/>
          <w:tab w:val="left" w:pos="720"/>
        </w:tabs>
        <w:spacing w:after="240"/>
        <w:jc w:val="both"/>
        <w:rPr>
          <w:rFonts w:ascii="Times New Roman" w:hAnsi="Times New Roman"/>
        </w:rPr>
      </w:pPr>
      <w:r>
        <w:rPr>
          <w:rFonts w:ascii="Times New Roman" w:hAnsi="Times New Roman"/>
        </w:rPr>
        <w:tab/>
      </w:r>
      <w:r w:rsidR="002102C2">
        <w:rPr>
          <w:rFonts w:ascii="Times New Roman" w:hAnsi="Times New Roman"/>
        </w:rPr>
        <w:t>This question does not apply.</w:t>
      </w:r>
      <w:r w:rsidR="00F654DB">
        <w:rPr>
          <w:rFonts w:ascii="Times New Roman" w:hAnsi="Times New Roman"/>
        </w:rPr>
        <w:t xml:space="preserve">  </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that an original and two copies of any document;</w:t>
      </w:r>
    </w:p>
    <w:p w:rsidR="00473EEC" w:rsidRPr="00BF5F7A" w:rsidRDefault="00CA12F8" w:rsidP="00F654DB">
      <w:pPr>
        <w:tabs>
          <w:tab w:val="left" w:pos="-720"/>
        </w:tabs>
        <w:spacing w:after="240"/>
        <w:jc w:val="both"/>
        <w:rPr>
          <w:rFonts w:ascii="Times New Roman" w:hAnsi="Times New Roman"/>
        </w:rPr>
      </w:pPr>
      <w:r>
        <w:rPr>
          <w:rFonts w:ascii="Times New Roman" w:hAnsi="Times New Roman"/>
        </w:rPr>
        <w:tab/>
      </w:r>
      <w:r w:rsidR="00473EEC">
        <w:rPr>
          <w:rFonts w:ascii="Times New Roman" w:hAnsi="Times New Roman"/>
        </w:rPr>
        <w:t xml:space="preserve">This question does not apply.  </w:t>
      </w:r>
      <w:r w:rsidR="00D73078">
        <w:rPr>
          <w:rFonts w:ascii="Times New Roman" w:hAnsi="Times New Roman"/>
        </w:rPr>
        <w:t xml:space="preserve">The </w:t>
      </w:r>
      <w:r w:rsidR="00D73078" w:rsidRPr="00D73078">
        <w:rPr>
          <w:rFonts w:ascii="Times New Roman" w:hAnsi="Times New Roman"/>
        </w:rPr>
        <w:t xml:space="preserve">$1 Billion Notice </w:t>
      </w:r>
      <w:r w:rsidR="00D73078">
        <w:rPr>
          <w:rFonts w:ascii="Times New Roman" w:hAnsi="Times New Roman"/>
        </w:rPr>
        <w:t>and</w:t>
      </w:r>
      <w:r w:rsidR="00D73078" w:rsidRPr="00D73078">
        <w:rPr>
          <w:rFonts w:ascii="Times New Roman" w:hAnsi="Times New Roman"/>
        </w:rPr>
        <w:t xml:space="preserve"> Alternative Notice </w:t>
      </w:r>
      <w:r w:rsidR="00D73078">
        <w:rPr>
          <w:rFonts w:ascii="Times New Roman" w:hAnsi="Times New Roman"/>
        </w:rPr>
        <w:t>do</w:t>
      </w:r>
      <w:r w:rsidR="00473EEC">
        <w:rPr>
          <w:rFonts w:ascii="Times New Roman" w:hAnsi="Times New Roman"/>
        </w:rPr>
        <w:t xml:space="preserve"> not impose any requirements that would obligate a respondent to submit more than an original and two copies of any document.</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640D5B" w:rsidRDefault="00CA12F8" w:rsidP="00640D5B">
      <w:pPr>
        <w:tabs>
          <w:tab w:val="left" w:pos="-720"/>
        </w:tabs>
        <w:spacing w:after="240"/>
        <w:rPr>
          <w:rFonts w:ascii="Times New Roman" w:hAnsi="Times New Roman"/>
        </w:rPr>
      </w:pPr>
      <w:r>
        <w:rPr>
          <w:rFonts w:ascii="Times New Roman" w:hAnsi="Times New Roman"/>
        </w:rPr>
        <w:tab/>
      </w:r>
      <w:r w:rsidR="00D73078">
        <w:rPr>
          <w:rFonts w:ascii="Times New Roman" w:hAnsi="Times New Roman"/>
        </w:rPr>
        <w:t xml:space="preserve">The </w:t>
      </w:r>
      <w:r w:rsidR="00D73078" w:rsidRPr="00D73078">
        <w:rPr>
          <w:rFonts w:ascii="Times New Roman" w:hAnsi="Times New Roman"/>
        </w:rPr>
        <w:t xml:space="preserve">$1 Billion Notice </w:t>
      </w:r>
      <w:r w:rsidR="00D73078">
        <w:rPr>
          <w:rFonts w:ascii="Times New Roman" w:hAnsi="Times New Roman"/>
        </w:rPr>
        <w:t>and</w:t>
      </w:r>
      <w:r w:rsidR="00D73078" w:rsidRPr="00D73078">
        <w:rPr>
          <w:rFonts w:ascii="Times New Roman" w:hAnsi="Times New Roman"/>
        </w:rPr>
        <w:t xml:space="preserve"> Alternative Notice</w:t>
      </w:r>
      <w:r w:rsidR="006D224C">
        <w:rPr>
          <w:rFonts w:ascii="Times New Roman" w:hAnsi="Times New Roman"/>
        </w:rPr>
        <w:t xml:space="preserve"> does not im</w:t>
      </w:r>
      <w:r w:rsidR="005768BA">
        <w:rPr>
          <w:rFonts w:ascii="Times New Roman" w:hAnsi="Times New Roman"/>
        </w:rPr>
        <w:t>p</w:t>
      </w:r>
      <w:r w:rsidR="006D224C">
        <w:rPr>
          <w:rFonts w:ascii="Times New Roman" w:hAnsi="Times New Roman"/>
        </w:rPr>
        <w:t xml:space="preserve">ose any requirements requiring respondents to retain records other than </w:t>
      </w:r>
      <w:r w:rsidR="00640D5B">
        <w:rPr>
          <w:rFonts w:ascii="Times New Roman" w:hAnsi="Times New Roman"/>
        </w:rPr>
        <w:t xml:space="preserve">health, medical, government contract, </w:t>
      </w:r>
      <w:proofErr w:type="gramStart"/>
      <w:r w:rsidR="00640D5B">
        <w:rPr>
          <w:rFonts w:ascii="Times New Roman" w:hAnsi="Times New Roman"/>
        </w:rPr>
        <w:t>grant</w:t>
      </w:r>
      <w:proofErr w:type="gramEnd"/>
      <w:r w:rsidR="00640D5B">
        <w:rPr>
          <w:rFonts w:ascii="Times New Roman" w:hAnsi="Times New Roman"/>
        </w:rPr>
        <w:t>-in-aid or tax records for more than three years.</w:t>
      </w:r>
      <w:r w:rsidR="00640D5B" w:rsidRPr="003E1569" w:rsidDel="00640D5B">
        <w:rPr>
          <w:rFonts w:ascii="Times New Roman" w:hAnsi="Times New Roman"/>
        </w:rPr>
        <w:t xml:space="preserve"> </w:t>
      </w:r>
    </w:p>
    <w:p w:rsidR="00534B6B" w:rsidRPr="00640D5B" w:rsidRDefault="00534B6B" w:rsidP="00640D5B">
      <w:pPr>
        <w:pStyle w:val="ListParagraph"/>
        <w:numPr>
          <w:ilvl w:val="0"/>
          <w:numId w:val="3"/>
        </w:numPr>
        <w:tabs>
          <w:tab w:val="left" w:pos="-720"/>
        </w:tabs>
        <w:spacing w:after="240"/>
        <w:rPr>
          <w:rFonts w:ascii="Times New Roman" w:hAnsi="Times New Roman"/>
          <w:b/>
        </w:rPr>
      </w:pPr>
      <w:r w:rsidRPr="00640D5B">
        <w:rPr>
          <w:rFonts w:ascii="Times New Roman" w:hAnsi="Times New Roman"/>
          <w:b/>
        </w:rPr>
        <w:t xml:space="preserve">in connection with a statistical survey, that is not designed to produce valid and reliable results that can be generalized to the universe of study; </w:t>
      </w:r>
    </w:p>
    <w:p w:rsidR="00473EEC" w:rsidRPr="00640D5B" w:rsidRDefault="00CA12F8" w:rsidP="00640D5B">
      <w:pPr>
        <w:tabs>
          <w:tab w:val="left" w:pos="-720"/>
          <w:tab w:val="left" w:pos="0"/>
          <w:tab w:val="left" w:pos="720"/>
        </w:tabs>
        <w:spacing w:after="240"/>
        <w:rPr>
          <w:rFonts w:ascii="Times New Roman" w:hAnsi="Times New Roman"/>
        </w:rPr>
      </w:pPr>
      <w:r>
        <w:rPr>
          <w:rFonts w:ascii="Times New Roman" w:hAnsi="Times New Roman"/>
        </w:rPr>
        <w:tab/>
      </w:r>
      <w:r w:rsidR="00473EEC" w:rsidRPr="00640D5B">
        <w:rPr>
          <w:rFonts w:ascii="Times New Roman" w:hAnsi="Times New Roman"/>
        </w:rPr>
        <w:t xml:space="preserve">This question does not apply.  </w:t>
      </w:r>
      <w:r w:rsidR="00D73078">
        <w:rPr>
          <w:rFonts w:ascii="Times New Roman" w:hAnsi="Times New Roman"/>
        </w:rPr>
        <w:t xml:space="preserve">The </w:t>
      </w:r>
      <w:r w:rsidR="00D73078" w:rsidRPr="00D73078">
        <w:rPr>
          <w:rFonts w:ascii="Times New Roman" w:hAnsi="Times New Roman"/>
        </w:rPr>
        <w:t xml:space="preserve">$1 Billion Notice </w:t>
      </w:r>
      <w:r w:rsidR="00D73078">
        <w:rPr>
          <w:rFonts w:ascii="Times New Roman" w:hAnsi="Times New Roman"/>
        </w:rPr>
        <w:t>and</w:t>
      </w:r>
      <w:r w:rsidR="00D73078" w:rsidRPr="00D73078">
        <w:rPr>
          <w:rFonts w:ascii="Times New Roman" w:hAnsi="Times New Roman"/>
        </w:rPr>
        <w:t xml:space="preserve"> Alternative Notice </w:t>
      </w:r>
      <w:r w:rsidR="00473EEC" w:rsidRPr="00640D5B">
        <w:rPr>
          <w:rFonts w:ascii="Times New Roman" w:hAnsi="Times New Roman"/>
        </w:rPr>
        <w:t>do not require nor involve any statistical surveys.</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473EEC" w:rsidRPr="00640D5B" w:rsidRDefault="00CA12F8" w:rsidP="00640D5B">
      <w:pPr>
        <w:tabs>
          <w:tab w:val="left" w:pos="-720"/>
          <w:tab w:val="left" w:pos="0"/>
          <w:tab w:val="left" w:pos="720"/>
        </w:tabs>
        <w:spacing w:after="240"/>
        <w:rPr>
          <w:rFonts w:ascii="Times New Roman" w:hAnsi="Times New Roman"/>
        </w:rPr>
      </w:pPr>
      <w:r>
        <w:rPr>
          <w:rFonts w:ascii="Times New Roman" w:hAnsi="Times New Roman"/>
        </w:rPr>
        <w:tab/>
      </w:r>
      <w:r w:rsidR="00473EEC" w:rsidRPr="00640D5B">
        <w:rPr>
          <w:rFonts w:ascii="Times New Roman" w:hAnsi="Times New Roman"/>
        </w:rPr>
        <w:t xml:space="preserve">This question does not apply. </w:t>
      </w:r>
      <w:r w:rsidR="00D73078">
        <w:rPr>
          <w:rFonts w:ascii="Times New Roman" w:hAnsi="Times New Roman"/>
        </w:rPr>
        <w:t xml:space="preserve">The </w:t>
      </w:r>
      <w:r w:rsidR="00D73078" w:rsidRPr="00D73078">
        <w:rPr>
          <w:rFonts w:ascii="Times New Roman" w:hAnsi="Times New Roman"/>
        </w:rPr>
        <w:t xml:space="preserve">$1 Billion Notice </w:t>
      </w:r>
      <w:r w:rsidR="00D73078">
        <w:rPr>
          <w:rFonts w:ascii="Times New Roman" w:hAnsi="Times New Roman"/>
        </w:rPr>
        <w:t>and</w:t>
      </w:r>
      <w:r w:rsidR="00D73078" w:rsidRPr="00D73078">
        <w:rPr>
          <w:rFonts w:ascii="Times New Roman" w:hAnsi="Times New Roman"/>
        </w:rPr>
        <w:t xml:space="preserve"> Alternative Notice </w:t>
      </w:r>
      <w:r w:rsidR="00473EEC" w:rsidRPr="00640D5B">
        <w:rPr>
          <w:rFonts w:ascii="Times New Roman" w:hAnsi="Times New Roman"/>
        </w:rPr>
        <w:t>do not require nor involve the use of any statistical data classification.</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73EEC" w:rsidRPr="00640D5B" w:rsidRDefault="00CA12F8" w:rsidP="00640D5B">
      <w:pPr>
        <w:tabs>
          <w:tab w:val="left" w:pos="-720"/>
          <w:tab w:val="left" w:pos="0"/>
          <w:tab w:val="left" w:pos="720"/>
        </w:tabs>
        <w:spacing w:after="240"/>
        <w:rPr>
          <w:rFonts w:ascii="Times New Roman" w:hAnsi="Times New Roman"/>
        </w:rPr>
      </w:pPr>
      <w:r>
        <w:rPr>
          <w:rFonts w:ascii="Times New Roman" w:hAnsi="Times New Roman"/>
        </w:rPr>
        <w:lastRenderedPageBreak/>
        <w:tab/>
      </w:r>
      <w:r w:rsidR="00473EEC" w:rsidRPr="00640D5B">
        <w:rPr>
          <w:rFonts w:ascii="Times New Roman" w:hAnsi="Times New Roman"/>
        </w:rPr>
        <w:t xml:space="preserve">This question does not apply.  </w:t>
      </w:r>
      <w:r w:rsidR="005768BA">
        <w:rPr>
          <w:rFonts w:ascii="Times New Roman" w:hAnsi="Times New Roman"/>
        </w:rPr>
        <w:t xml:space="preserve">The </w:t>
      </w:r>
      <w:r w:rsidR="00D73078">
        <w:rPr>
          <w:rFonts w:ascii="Times New Roman" w:hAnsi="Times New Roman"/>
        </w:rPr>
        <w:t xml:space="preserve">proposed </w:t>
      </w:r>
      <w:r w:rsidR="005768BA">
        <w:rPr>
          <w:rFonts w:ascii="Times New Roman" w:hAnsi="Times New Roman"/>
        </w:rPr>
        <w:t>regulations do not make a pledge of confidentiality, let alone an unsupported confidentiality pledge.</w:t>
      </w:r>
    </w:p>
    <w:p w:rsidR="00896177" w:rsidRDefault="00534B6B" w:rsidP="005768BA">
      <w:pPr>
        <w:pStyle w:val="ListParagraph"/>
        <w:numPr>
          <w:ilvl w:val="0"/>
          <w:numId w:val="4"/>
        </w:numPr>
        <w:tabs>
          <w:tab w:val="left" w:pos="-720"/>
          <w:tab w:val="left" w:pos="0"/>
          <w:tab w:val="left" w:pos="720"/>
        </w:tabs>
        <w:spacing w:after="240"/>
        <w:rPr>
          <w:rFonts w:ascii="Times New Roman" w:hAnsi="Times New Roman"/>
        </w:rPr>
      </w:pPr>
      <w:proofErr w:type="gramStart"/>
      <w:r w:rsidRPr="005768BA">
        <w:rPr>
          <w:rFonts w:ascii="Times New Roman" w:hAnsi="Times New Roman"/>
          <w:b/>
        </w:rPr>
        <w:t>requiring</w:t>
      </w:r>
      <w:proofErr w:type="gramEnd"/>
      <w:r w:rsidRPr="005768BA">
        <w:rPr>
          <w:rFonts w:ascii="Times New Roman" w:hAnsi="Times New Roman"/>
          <w:b/>
        </w:rPr>
        <w:t xml:space="preserve"> respondents to submit proprietary trade secrets, or other confidential information unless the agency can demonstrate that it has instituted procedures to protect the information's confidentiality to the extent permitted by law.</w:t>
      </w:r>
      <w:r w:rsidRPr="005768BA">
        <w:rPr>
          <w:rFonts w:ascii="Times New Roman" w:hAnsi="Times New Roman"/>
        </w:rPr>
        <w:tab/>
      </w:r>
    </w:p>
    <w:p w:rsidR="00473EEC" w:rsidRPr="005768BA" w:rsidRDefault="00CA12F8" w:rsidP="00896177">
      <w:pPr>
        <w:tabs>
          <w:tab w:val="left" w:pos="-720"/>
          <w:tab w:val="left" w:pos="0"/>
          <w:tab w:val="left" w:pos="720"/>
        </w:tabs>
        <w:spacing w:after="240"/>
        <w:rPr>
          <w:rFonts w:ascii="Times New Roman" w:hAnsi="Times New Roman"/>
        </w:rPr>
      </w:pPr>
      <w:r>
        <w:rPr>
          <w:rFonts w:ascii="Times New Roman" w:hAnsi="Times New Roman"/>
        </w:rPr>
        <w:tab/>
      </w:r>
      <w:r w:rsidR="00282686" w:rsidRPr="00282686">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8.</w:t>
      </w:r>
      <w:r w:rsidRPr="0019376E">
        <w:rPr>
          <w:rFonts w:ascii="Times New Roman" w:hAnsi="Times New Roman"/>
          <w:b/>
        </w:rPr>
        <w:tab/>
      </w:r>
      <w:r w:rsidRPr="002C0B39">
        <w:rPr>
          <w:rFonts w:ascii="Times New Roman" w:hAnsi="Times New Roman"/>
          <w:b/>
        </w:rPr>
        <w:t xml:space="preserve">If applicable, provide a copy and identify the date and page number of publication in the </w:t>
      </w:r>
      <w:r w:rsidRPr="002C0B39">
        <w:rPr>
          <w:rFonts w:ascii="Times New Roman" w:hAnsi="Times New Roman"/>
          <w:b/>
          <w:i/>
        </w:rPr>
        <w:t>Federal Register</w:t>
      </w:r>
      <w:r w:rsidRPr="002C0B39">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338DC" w:rsidRDefault="00534B6B" w:rsidP="002C0B39">
      <w:pPr>
        <w:pStyle w:val="TOC6"/>
        <w:tabs>
          <w:tab w:val="clear" w:pos="9360"/>
          <w:tab w:val="left" w:pos="-720"/>
          <w:tab w:val="left" w:pos="0"/>
        </w:tabs>
        <w:suppressAutoHyphens w:val="0"/>
        <w:spacing w:after="240"/>
        <w:ind w:left="0" w:firstLine="0"/>
        <w:rPr>
          <w:rFonts w:ascii="Times New Roman" w:hAnsi="Times New Roman"/>
        </w:rPr>
      </w:pPr>
      <w:r w:rsidRPr="003E1569">
        <w:rPr>
          <w:rFonts w:ascii="Times New Roman" w:hAnsi="Times New Roman"/>
          <w:szCs w:val="24"/>
        </w:rPr>
        <w:tab/>
      </w:r>
      <w:r w:rsidR="0084419F" w:rsidRPr="0084419F">
        <w:rPr>
          <w:rFonts w:ascii="Times New Roman" w:hAnsi="Times New Roman"/>
        </w:rPr>
        <w:t>In the proposing Federal Register release, the Commission seeks public comment on any aspect of the proposed collection of information.</w:t>
      </w:r>
    </w:p>
    <w:p w:rsidR="00534B6B" w:rsidRPr="002C0B39" w:rsidRDefault="00654BB3" w:rsidP="00534B6B">
      <w:pPr>
        <w:tabs>
          <w:tab w:val="left" w:pos="-720"/>
          <w:tab w:val="left" w:pos="0"/>
        </w:tabs>
        <w:spacing w:after="240"/>
        <w:rPr>
          <w:rFonts w:ascii="Times New Roman" w:hAnsi="Times New Roman"/>
          <w:b/>
        </w:rPr>
      </w:pPr>
      <w:r>
        <w:rPr>
          <w:rFonts w:ascii="Times New Roman" w:hAnsi="Times New Roman"/>
          <w:b/>
        </w:rPr>
        <w:tab/>
      </w:r>
      <w:r w:rsidR="00534B6B" w:rsidRPr="0067455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w:t>
      </w:r>
      <w:r w:rsidR="004864CF">
        <w:rPr>
          <w:rFonts w:ascii="Times New Roman" w:hAnsi="Times New Roman"/>
          <w:b/>
        </w:rPr>
        <w:t>)</w:t>
      </w:r>
      <w:r w:rsidR="00534B6B" w:rsidRPr="00674558">
        <w:rPr>
          <w:rFonts w:ascii="Times New Roman" w:hAnsi="Times New Roman"/>
          <w:b/>
        </w:rPr>
        <w:t xml:space="preserve">, and on the data elements to be recorded, </w:t>
      </w:r>
      <w:r w:rsidR="00534B6B" w:rsidRPr="002C0B39">
        <w:rPr>
          <w:rFonts w:ascii="Times New Roman" w:hAnsi="Times New Roman"/>
          <w:b/>
        </w:rPr>
        <w:t>disclosed, or reported.</w:t>
      </w:r>
    </w:p>
    <w:p w:rsidR="002C0B39" w:rsidRDefault="00534B6B" w:rsidP="002C0B39">
      <w:pPr>
        <w:pStyle w:val="FootnoteText"/>
        <w:rPr>
          <w:rFonts w:eastAsia="Calibri"/>
          <w:sz w:val="24"/>
          <w:szCs w:val="24"/>
        </w:rPr>
      </w:pPr>
      <w:r w:rsidRPr="002C0B39">
        <w:rPr>
          <w:sz w:val="24"/>
          <w:szCs w:val="24"/>
        </w:rPr>
        <w:tab/>
      </w:r>
      <w:r w:rsidR="002C0B39">
        <w:rPr>
          <w:rFonts w:eastAsia="Calibri"/>
          <w:sz w:val="24"/>
          <w:szCs w:val="24"/>
        </w:rPr>
        <w:t>T</w:t>
      </w:r>
      <w:r w:rsidR="002C0B39" w:rsidRPr="002C0B39">
        <w:rPr>
          <w:rFonts w:eastAsia="Calibri"/>
          <w:sz w:val="24"/>
          <w:szCs w:val="24"/>
        </w:rPr>
        <w:t xml:space="preserve">he Commission has sought comments relating to the trade option exemption in connection with other related Commission actions.  </w:t>
      </w:r>
      <w:r w:rsidR="002C0B39" w:rsidRPr="002C0B39">
        <w:rPr>
          <w:rFonts w:eastAsia="Calibri"/>
          <w:sz w:val="24"/>
          <w:szCs w:val="24"/>
          <w:u w:val="single"/>
        </w:rPr>
        <w:t>See</w:t>
      </w:r>
      <w:r w:rsidR="002C0B39" w:rsidRPr="002C0B39">
        <w:rPr>
          <w:rFonts w:eastAsia="Calibri"/>
          <w:sz w:val="24"/>
          <w:szCs w:val="24"/>
        </w:rPr>
        <w:t xml:space="preserve"> </w:t>
      </w:r>
      <w:r w:rsidR="002C0B39" w:rsidRPr="002C0B39">
        <w:rPr>
          <w:rFonts w:eastAsia="Calibri"/>
          <w:sz w:val="24"/>
          <w:szCs w:val="24"/>
          <w:u w:val="single"/>
        </w:rPr>
        <w:t>e.g.</w:t>
      </w:r>
      <w:r w:rsidR="002C0B39" w:rsidRPr="002C0B39">
        <w:rPr>
          <w:rFonts w:eastAsia="Calibri"/>
          <w:sz w:val="24"/>
          <w:szCs w:val="24"/>
        </w:rPr>
        <w:t xml:space="preserve">, </w:t>
      </w:r>
      <w:r w:rsidR="002C0B39" w:rsidRPr="002C0B39">
        <w:rPr>
          <w:rFonts w:eastAsia="Calibri"/>
          <w:sz w:val="24"/>
          <w:szCs w:val="24"/>
          <w:u w:val="single"/>
        </w:rPr>
        <w:t>Further Definition of “Swap,” Security-Based Swap,” and “Security-Based Swap Agreement”; Mixed Swaps; Security-Based Swap Agreement Recordkeeping</w:t>
      </w:r>
      <w:r w:rsidR="002C0B39" w:rsidRPr="002C0B39">
        <w:rPr>
          <w:rFonts w:eastAsia="Calibri"/>
          <w:sz w:val="24"/>
          <w:szCs w:val="24"/>
        </w:rPr>
        <w:t xml:space="preserve">, 77 FR 48207 (Aug. 13, 2012); </w:t>
      </w:r>
      <w:r w:rsidR="002C0B39" w:rsidRPr="002C0B39">
        <w:rPr>
          <w:rFonts w:eastAsia="Calibri"/>
          <w:sz w:val="24"/>
          <w:szCs w:val="24"/>
          <w:u w:val="single"/>
        </w:rPr>
        <w:t>Agency Information Collection Activities: Proposed Collection, Comment Request: Form TO, Annual Notice Filing for Counterparties to Unreported Trade Options</w:t>
      </w:r>
      <w:r w:rsidR="002C0B39" w:rsidRPr="002C0B39">
        <w:rPr>
          <w:rFonts w:eastAsia="Calibri"/>
          <w:sz w:val="24"/>
          <w:szCs w:val="24"/>
        </w:rPr>
        <w:t xml:space="preserve">, 77 FR 74647 (Dec. 17, 2012); </w:t>
      </w:r>
      <w:r w:rsidR="002C0B39" w:rsidRPr="002C0B39">
        <w:rPr>
          <w:rFonts w:eastAsia="Calibri"/>
          <w:sz w:val="24"/>
          <w:szCs w:val="24"/>
          <w:u w:val="single"/>
        </w:rPr>
        <w:t>Agency Information Collection Activities under OMB Review</w:t>
      </w:r>
      <w:r w:rsidR="002C0B39" w:rsidRPr="002C0B39">
        <w:rPr>
          <w:rFonts w:eastAsia="Calibri"/>
          <w:sz w:val="24"/>
          <w:szCs w:val="24"/>
        </w:rPr>
        <w:t xml:space="preserve">, 78 FR 11856 (Feb. 20, 2013); </w:t>
      </w:r>
      <w:r w:rsidR="002C0B39" w:rsidRPr="002C0B39">
        <w:rPr>
          <w:rFonts w:eastAsia="Calibri"/>
          <w:sz w:val="24"/>
          <w:szCs w:val="24"/>
          <w:u w:val="single"/>
        </w:rPr>
        <w:t>Forward Contracts With Embedded Volumetric Optionality</w:t>
      </w:r>
      <w:r w:rsidR="002C0B39" w:rsidRPr="002C0B39">
        <w:rPr>
          <w:rFonts w:eastAsia="Calibri"/>
          <w:sz w:val="24"/>
          <w:szCs w:val="24"/>
        </w:rPr>
        <w:t xml:space="preserve">, 79 FR 69073 (Nov. 20, 2014).  CFTC staff also invited comment in connection with an April 2014 public roundtable regarding issues concerning end users and the Dodd-Frank Act.  The Commission has reviewed these comment letters and taken into account any significant issues raised therein in issuing this proposal.  </w:t>
      </w:r>
    </w:p>
    <w:p w:rsidR="002C0B39" w:rsidRPr="002C0B39" w:rsidRDefault="002C0B39" w:rsidP="002C0B39">
      <w:pPr>
        <w:pStyle w:val="FootnoteText"/>
        <w:rPr>
          <w:rFonts w:eastAsia="Calibri"/>
          <w:sz w:val="24"/>
          <w:szCs w:val="24"/>
        </w:rPr>
      </w:pP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64CF" w:rsidRDefault="00534B6B" w:rsidP="008547ED">
      <w:pPr>
        <w:tabs>
          <w:tab w:val="left" w:pos="-720"/>
        </w:tabs>
        <w:spacing w:after="240"/>
        <w:rPr>
          <w:rFonts w:ascii="Times New Roman" w:hAnsi="Times New Roman"/>
        </w:rPr>
      </w:pPr>
      <w:r>
        <w:rPr>
          <w:rFonts w:ascii="Times New Roman" w:hAnsi="Times New Roman"/>
        </w:rPr>
        <w:tab/>
      </w:r>
      <w:r w:rsidR="005B323F" w:rsidRPr="005B323F">
        <w:rPr>
          <w:rFonts w:ascii="Times New Roman" w:hAnsi="Times New Roman"/>
        </w:rPr>
        <w:t>No such circumstances are anticipated</w:t>
      </w:r>
      <w:r w:rsidR="00B94AFA">
        <w:rPr>
          <w:rFonts w:ascii="Times New Roman" w:hAnsi="Times New Roman"/>
        </w:rPr>
        <w:t>.</w:t>
      </w:r>
    </w:p>
    <w:p w:rsidR="00534B6B" w:rsidRPr="00674558" w:rsidRDefault="00534B6B" w:rsidP="008547ED">
      <w:pPr>
        <w:tabs>
          <w:tab w:val="left" w:pos="-720"/>
        </w:tabs>
        <w:spacing w:after="240"/>
        <w:rPr>
          <w:rFonts w:ascii="Times New Roman" w:hAnsi="Times New Roman"/>
          <w:b/>
        </w:rPr>
      </w:pPr>
      <w:r w:rsidRPr="00674558">
        <w:rPr>
          <w:rFonts w:ascii="Times New Roman" w:hAnsi="Times New Roman"/>
          <w:b/>
        </w:rPr>
        <w:lastRenderedPageBreak/>
        <w:t>9.</w:t>
      </w:r>
      <w:r w:rsidRPr="00674558">
        <w:rPr>
          <w:rFonts w:ascii="Times New Roman" w:hAnsi="Times New Roman"/>
          <w:b/>
        </w:rPr>
        <w:tab/>
        <w:t xml:space="preserve">Explain any decision to provide any payment or gift to respondents, other than </w:t>
      </w:r>
      <w:proofErr w:type="spellStart"/>
      <w:r w:rsidRPr="00674558">
        <w:rPr>
          <w:rFonts w:ascii="Times New Roman" w:hAnsi="Times New Roman"/>
          <w:b/>
        </w:rPr>
        <w:t>renumeration</w:t>
      </w:r>
      <w:proofErr w:type="spellEnd"/>
      <w:r w:rsidRPr="00674558">
        <w:rPr>
          <w:rFonts w:ascii="Times New Roman" w:hAnsi="Times New Roman"/>
          <w:b/>
        </w:rPr>
        <w:t xml:space="preserve"> of contractors or grantees.</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8547ED">
        <w:rPr>
          <w:rFonts w:ascii="Times New Roman" w:hAnsi="Times New Roman"/>
        </w:rPr>
        <w:t>This question d</w:t>
      </w:r>
      <w:r w:rsidRPr="003E1569">
        <w:rPr>
          <w:rFonts w:ascii="Times New Roman" w:hAnsi="Times New Roman"/>
        </w:rPr>
        <w:t>oes not apply.</w:t>
      </w:r>
      <w:r w:rsidR="00493781">
        <w:rPr>
          <w:rFonts w:ascii="Times New Roman" w:hAnsi="Times New Roman"/>
        </w:rPr>
        <w:t xml:space="preserve">  The Commission has neither considered not made any payment or gift to a respondent.</w:t>
      </w:r>
    </w:p>
    <w:p w:rsidR="008547ED" w:rsidRPr="008547ED" w:rsidRDefault="00534B6B" w:rsidP="008547ED">
      <w:pPr>
        <w:tabs>
          <w:tab w:val="left" w:pos="-720"/>
        </w:tabs>
        <w:spacing w:after="240"/>
        <w:rPr>
          <w:rFonts w:ascii="Times New Roman" w:hAnsi="Times New Roman"/>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r w:rsidRPr="003E1569">
        <w:rPr>
          <w:rFonts w:ascii="Times New Roman" w:hAnsi="Times New Roman"/>
        </w:rPr>
        <w:tab/>
      </w:r>
    </w:p>
    <w:p w:rsidR="008547ED" w:rsidRPr="008547ED" w:rsidRDefault="00C70013" w:rsidP="008547ED">
      <w:pPr>
        <w:tabs>
          <w:tab w:val="left" w:pos="-720"/>
        </w:tabs>
        <w:spacing w:after="240"/>
        <w:rPr>
          <w:rFonts w:ascii="Times New Roman" w:hAnsi="Times New Roman"/>
        </w:rPr>
      </w:pPr>
      <w:r>
        <w:rPr>
          <w:rFonts w:ascii="Times New Roman" w:hAnsi="Times New Roman"/>
        </w:rPr>
        <w:tab/>
      </w:r>
      <w:r w:rsidR="008547ED" w:rsidRPr="008547ED">
        <w:rPr>
          <w:rFonts w:ascii="Times New Roman" w:hAnsi="Times New Roman"/>
        </w:rPr>
        <w:t>The Commission does not provide respondents with an</w:t>
      </w:r>
      <w:r w:rsidR="004864CF">
        <w:rPr>
          <w:rFonts w:ascii="Times New Roman" w:hAnsi="Times New Roman"/>
        </w:rPr>
        <w:t>y</w:t>
      </w:r>
      <w:r w:rsidR="008547ED" w:rsidRPr="008547ED">
        <w:rPr>
          <w:rFonts w:ascii="Times New Roman" w:hAnsi="Times New Roman"/>
        </w:rPr>
        <w:t xml:space="preserve"> assurance of confidentiality</w:t>
      </w:r>
      <w:r w:rsidR="004864CF">
        <w:rPr>
          <w:rFonts w:ascii="Times New Roman" w:hAnsi="Times New Roman"/>
        </w:rPr>
        <w:t xml:space="preserve"> beyond the confidentiality assured by the CEA</w:t>
      </w:r>
      <w:r w:rsidR="008547ED" w:rsidRPr="008547ED">
        <w:rPr>
          <w:rFonts w:ascii="Times New Roman" w:hAnsi="Times New Roman"/>
        </w:rPr>
        <w:t xml:space="preserve">.  </w:t>
      </w:r>
      <w:r w:rsidR="002E06B0">
        <w:rPr>
          <w:rFonts w:ascii="Times New Roman" w:hAnsi="Times New Roman"/>
        </w:rPr>
        <w:t>T</w:t>
      </w:r>
      <w:r w:rsidR="002E06B0" w:rsidRPr="005768BA">
        <w:rPr>
          <w:rFonts w:ascii="Times New Roman" w:hAnsi="Times New Roman"/>
        </w:rPr>
        <w:t>he Commission has promulgated regulations to protect the confidentiality of any information collected from respondents.  Such regulations are set forth in 17 CFR Part 145.  The protection of such information also is governed by section 8 of the Commodity Exchange Act, by the Trade Secrets Act, and by the Privacy Act of 1974.</w:t>
      </w:r>
      <w:r w:rsidR="002E06B0">
        <w:rPr>
          <w:rFonts w:ascii="Times New Roman" w:hAnsi="Times New Roman"/>
        </w:rPr>
        <w:t xml:space="preserve">  </w:t>
      </w:r>
    </w:p>
    <w:p w:rsidR="00534B6B" w:rsidRPr="00674558" w:rsidRDefault="00534B6B" w:rsidP="00534B6B">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8547ED" w:rsidRPr="008547ED">
        <w:rPr>
          <w:rFonts w:ascii="Times New Roman" w:hAnsi="Times New Roman"/>
        </w:rPr>
        <w:t xml:space="preserve">This question does not apply.  </w:t>
      </w:r>
      <w:r w:rsidR="00A7542F">
        <w:rPr>
          <w:rFonts w:ascii="Times New Roman" w:hAnsi="Times New Roman"/>
        </w:rPr>
        <w:t xml:space="preserve">The </w:t>
      </w:r>
      <w:r w:rsidR="00A7542F" w:rsidRPr="00D73078">
        <w:rPr>
          <w:rFonts w:ascii="Times New Roman" w:hAnsi="Times New Roman"/>
        </w:rPr>
        <w:t xml:space="preserve">$1 Billion Notice </w:t>
      </w:r>
      <w:r w:rsidR="00A7542F">
        <w:rPr>
          <w:rFonts w:ascii="Times New Roman" w:hAnsi="Times New Roman"/>
        </w:rPr>
        <w:t>and</w:t>
      </w:r>
      <w:r w:rsidR="00A7542F" w:rsidRPr="00D73078">
        <w:rPr>
          <w:rFonts w:ascii="Times New Roman" w:hAnsi="Times New Roman"/>
        </w:rPr>
        <w:t xml:space="preserve"> Alternative Notice </w:t>
      </w:r>
      <w:r w:rsidR="00A7542F">
        <w:rPr>
          <w:rFonts w:ascii="Times New Roman" w:hAnsi="Times New Roman"/>
        </w:rPr>
        <w:t>do</w:t>
      </w:r>
      <w:r w:rsidR="006C6EF4">
        <w:rPr>
          <w:rFonts w:ascii="Times New Roman" w:hAnsi="Times New Roman"/>
        </w:rPr>
        <w:t xml:space="preserve"> not</w:t>
      </w:r>
      <w:r w:rsidRPr="003E1569">
        <w:rPr>
          <w:rFonts w:ascii="Times New Roman" w:hAnsi="Times New Roman"/>
        </w:rPr>
        <w:t xml:space="preserve"> require the giving of </w:t>
      </w:r>
      <w:r w:rsidR="00C70013">
        <w:rPr>
          <w:rFonts w:ascii="Times New Roman" w:hAnsi="Times New Roman"/>
        </w:rPr>
        <w:t>“</w:t>
      </w:r>
      <w:r w:rsidRPr="003E1569">
        <w:rPr>
          <w:rFonts w:ascii="Times New Roman" w:hAnsi="Times New Roman"/>
        </w:rPr>
        <w:t>sensitive</w:t>
      </w:r>
      <w:r w:rsidR="00C70013">
        <w:rPr>
          <w:rFonts w:ascii="Times New Roman" w:hAnsi="Times New Roman"/>
        </w:rPr>
        <w:t>”</w:t>
      </w:r>
      <w:r w:rsidRPr="003E1569">
        <w:rPr>
          <w:rFonts w:ascii="Times New Roman" w:hAnsi="Times New Roman"/>
        </w:rPr>
        <w:t xml:space="preserve"> information, as that term is used in Question 11.</w:t>
      </w:r>
    </w:p>
    <w:p w:rsidR="00534B6B" w:rsidRPr="00674558" w:rsidRDefault="00534B6B" w:rsidP="00534B6B">
      <w:pPr>
        <w:tabs>
          <w:tab w:val="left" w:pos="-720"/>
          <w:tab w:val="left" w:pos="0"/>
        </w:tabs>
        <w:spacing w:after="240"/>
        <w:rPr>
          <w:rFonts w:ascii="Times New Roman" w:hAnsi="Times New Roman"/>
          <w:b/>
        </w:rPr>
      </w:pPr>
      <w:r w:rsidRPr="0075384F">
        <w:rPr>
          <w:rFonts w:ascii="Times New Roman" w:hAnsi="Times New Roman"/>
          <w:b/>
        </w:rPr>
        <w:t>12.</w:t>
      </w:r>
      <w:r w:rsidRPr="0075384F">
        <w:rPr>
          <w:rFonts w:ascii="Times New Roman" w:hAnsi="Times New Roman"/>
          <w:b/>
        </w:rPr>
        <w:tab/>
        <w:t>Provide estimates of the hour burden of the collection of information</w:t>
      </w:r>
      <w:r w:rsidRPr="00674558">
        <w:rPr>
          <w:rFonts w:ascii="Times New Roman" w:hAnsi="Times New Roman"/>
          <w:b/>
        </w:rPr>
        <w:t>.  The Statement should:</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Provide estimates of annualized cost to respondents for the hours burdens for collections of information, identifying and using appropriate wage rate categories.  The cost of contracting </w:t>
      </w:r>
      <w:proofErr w:type="spellStart"/>
      <w:r w:rsidRPr="00674558">
        <w:rPr>
          <w:rFonts w:ascii="Times New Roman" w:hAnsi="Times New Roman"/>
          <w:b/>
        </w:rPr>
        <w:t>our</w:t>
      </w:r>
      <w:proofErr w:type="spellEnd"/>
      <w:r w:rsidRPr="00674558">
        <w:rPr>
          <w:rFonts w:ascii="Times New Roman" w:hAnsi="Times New Roman"/>
          <w:b/>
        </w:rPr>
        <w:t xml:space="preserve"> or paying outside parties for information collection activities should not be included here.  Instead, this cost should be included in Item 13.</w:t>
      </w:r>
    </w:p>
    <w:p w:rsidR="00534B6B" w:rsidRPr="00CC2C21" w:rsidRDefault="00534B6B" w:rsidP="00CC2C21">
      <w:pPr>
        <w:tabs>
          <w:tab w:val="left" w:pos="-720"/>
        </w:tabs>
        <w:spacing w:after="240"/>
        <w:rPr>
          <w:rFonts w:ascii="Times New Roman" w:hAnsi="Times New Roman"/>
        </w:rPr>
      </w:pPr>
      <w:r w:rsidRPr="003E1569">
        <w:rPr>
          <w:rFonts w:ascii="Times New Roman" w:hAnsi="Times New Roman"/>
        </w:rPr>
        <w:lastRenderedPageBreak/>
        <w:tab/>
      </w:r>
      <w:r w:rsidRPr="00CC2C21">
        <w:rPr>
          <w:rFonts w:ascii="Times New Roman" w:hAnsi="Times New Roman"/>
        </w:rPr>
        <w:t xml:space="preserve">See Attachment A.  The Commission estimates that </w:t>
      </w:r>
      <w:r w:rsidR="0075384F" w:rsidRPr="00CC2C21">
        <w:rPr>
          <w:rFonts w:ascii="Times New Roman" w:hAnsi="Times New Roman"/>
        </w:rPr>
        <w:t>20</w:t>
      </w:r>
      <w:r w:rsidRPr="00CC2C21">
        <w:rPr>
          <w:rFonts w:ascii="Times New Roman" w:hAnsi="Times New Roman"/>
        </w:rPr>
        <w:t xml:space="preserve"> respondents will file a total of </w:t>
      </w:r>
      <w:r w:rsidR="006C6EF4" w:rsidRPr="00CC2C21">
        <w:rPr>
          <w:rFonts w:ascii="Times New Roman" w:hAnsi="Times New Roman"/>
        </w:rPr>
        <w:t>one response each</w:t>
      </w:r>
      <w:r w:rsidRPr="00CC2C21">
        <w:rPr>
          <w:rFonts w:ascii="Times New Roman" w:hAnsi="Times New Roman"/>
        </w:rPr>
        <w:t xml:space="preserve"> annually.  The estimated average number of hours per response is 2.  The cost of the hourly burden is estimated to be </w:t>
      </w:r>
      <w:r w:rsidR="0075384F" w:rsidRPr="00CC2C21">
        <w:rPr>
          <w:rFonts w:ascii="Times New Roman" w:hAnsi="Times New Roman"/>
        </w:rPr>
        <w:t>$</w:t>
      </w:r>
      <w:r w:rsidR="00CC2C21">
        <w:rPr>
          <w:rFonts w:ascii="Times New Roman" w:hAnsi="Times New Roman"/>
        </w:rPr>
        <w:t>413</w:t>
      </w:r>
      <w:r w:rsidRPr="00CC2C21">
        <w:rPr>
          <w:rFonts w:ascii="Times New Roman" w:hAnsi="Times New Roman"/>
        </w:rPr>
        <w:t xml:space="preserve"> per hour.</w:t>
      </w:r>
      <w:r w:rsidR="0075384F" w:rsidRPr="00CC2C21">
        <w:rPr>
          <w:rFonts w:ascii="Times New Roman" w:hAnsi="Times New Roman"/>
        </w:rPr>
        <w:t xml:space="preserve">  </w:t>
      </w:r>
      <w:r w:rsidR="00E3672D" w:rsidRPr="00CC2C21">
        <w:rPr>
          <w:rFonts w:ascii="Times New Roman" w:hAnsi="Times New Roman"/>
        </w:rPr>
        <w:t>Thus, the total annual cost burden is $</w:t>
      </w:r>
      <w:r w:rsidR="0075384F" w:rsidRPr="00CC2C21">
        <w:rPr>
          <w:rFonts w:ascii="Times New Roman" w:hAnsi="Times New Roman"/>
        </w:rPr>
        <w:t>16,520</w:t>
      </w:r>
      <w:r w:rsidR="00E3672D" w:rsidRPr="00CC2C21">
        <w:rPr>
          <w:rFonts w:ascii="Times New Roman" w:hAnsi="Times New Roman"/>
        </w:rPr>
        <w:t>.</w:t>
      </w:r>
    </w:p>
    <w:p w:rsidR="00CC2C21" w:rsidRDefault="0075384F" w:rsidP="00CC2C21">
      <w:pPr>
        <w:tabs>
          <w:tab w:val="left" w:pos="-720"/>
        </w:tabs>
        <w:spacing w:after="240"/>
        <w:rPr>
          <w:rFonts w:ascii="Times New Roman" w:hAnsi="Times New Roman"/>
        </w:rPr>
      </w:pPr>
      <w:r w:rsidRPr="00CC2C21">
        <w:rPr>
          <w:rFonts w:ascii="Times New Roman" w:hAnsi="Times New Roman"/>
        </w:rPr>
        <w:tab/>
        <w:t xml:space="preserve">The Commission’s $413 per hour estimate is based on hourly wage estimates contained in SIFMA’s </w:t>
      </w:r>
      <w:r w:rsidRPr="00CC2C21">
        <w:rPr>
          <w:rFonts w:ascii="Times New Roman" w:hAnsi="Times New Roman"/>
          <w:u w:val="single"/>
        </w:rPr>
        <w:t>Report on Management &amp; Professional Earnings in the Securities Industry—2013</w:t>
      </w:r>
      <w:r w:rsidRPr="00CC2C21">
        <w:rPr>
          <w:rFonts w:ascii="Times New Roman" w:hAnsi="Times New Roman"/>
        </w:rPr>
        <w:t xml:space="preserve">. </w:t>
      </w:r>
      <w:proofErr w:type="gramStart"/>
      <w:r w:rsidRPr="00CC2C21">
        <w:rPr>
          <w:rFonts w:ascii="Times New Roman" w:hAnsi="Times New Roman"/>
        </w:rPr>
        <w:t>(“SIFMA 2013 Report”).</w:t>
      </w:r>
      <w:proofErr w:type="gramEnd"/>
      <w:r w:rsidRPr="00CC2C21">
        <w:rPr>
          <w:rFonts w:ascii="Times New Roman" w:hAnsi="Times New Roman"/>
        </w:rPr>
        <w:t xml:space="preserve">  The SIFMA 2013 Report </w:t>
      </w:r>
      <w:r w:rsidR="00CC2C21" w:rsidRPr="00CC2C21">
        <w:rPr>
          <w:rFonts w:ascii="Times New Roman" w:hAnsi="Times New Roman"/>
        </w:rPr>
        <w:t>estimated</w:t>
      </w:r>
      <w:r w:rsidRPr="00CC2C21">
        <w:rPr>
          <w:rFonts w:ascii="Times New Roman" w:hAnsi="Times New Roman"/>
        </w:rPr>
        <w:t xml:space="preserve"> the average wage of a compliance attorney at $684 per hour, and </w:t>
      </w:r>
      <w:r w:rsidR="00CC2C21">
        <w:rPr>
          <w:rFonts w:ascii="Times New Roman" w:hAnsi="Times New Roman"/>
        </w:rPr>
        <w:t xml:space="preserve">that </w:t>
      </w:r>
      <w:r w:rsidRPr="00CC2C21">
        <w:rPr>
          <w:rFonts w:ascii="Times New Roman" w:hAnsi="Times New Roman"/>
        </w:rPr>
        <w:t>of a junior compliance specialist at $141</w:t>
      </w:r>
      <w:r w:rsidR="00CC2C21" w:rsidRPr="00CC2C21">
        <w:rPr>
          <w:rFonts w:ascii="Times New Roman" w:hAnsi="Times New Roman"/>
        </w:rPr>
        <w:t xml:space="preserve"> per </w:t>
      </w:r>
      <w:r w:rsidRPr="00CC2C21">
        <w:rPr>
          <w:rFonts w:ascii="Times New Roman" w:hAnsi="Times New Roman"/>
        </w:rPr>
        <w:t>hour.</w:t>
      </w:r>
      <w:r w:rsidR="00CC2C21" w:rsidRPr="00CC2C21">
        <w:rPr>
          <w:rFonts w:ascii="Times New Roman" w:hAnsi="Times New Roman"/>
        </w:rPr>
        <w:t xml:space="preserve">  The Commission recognizes that particular entities within each range of complexity may, based on their circumstances, incur costs substantially greater or less than the estimated averages.  </w:t>
      </w:r>
    </w:p>
    <w:p w:rsidR="00CC2C21" w:rsidRPr="003E1569" w:rsidRDefault="00CC2C21" w:rsidP="00CC2C21">
      <w:pPr>
        <w:tabs>
          <w:tab w:val="left" w:pos="-720"/>
        </w:tabs>
        <w:spacing w:after="240"/>
        <w:rPr>
          <w:rFonts w:ascii="Times New Roman" w:hAnsi="Times New Roman"/>
        </w:rPr>
      </w:pPr>
      <w:r>
        <w:rPr>
          <w:rFonts w:ascii="Times New Roman" w:hAnsi="Times New Roman"/>
        </w:rPr>
        <w:tab/>
      </w:r>
      <w:r w:rsidRPr="00CC2C21">
        <w:rPr>
          <w:rFonts w:ascii="Times New Roman" w:hAnsi="Times New Roman"/>
        </w:rPr>
        <w:t xml:space="preserve">The Commission estimates a one-hour burden to draft </w:t>
      </w:r>
      <w:r>
        <w:rPr>
          <w:rFonts w:ascii="Times New Roman" w:hAnsi="Times New Roman"/>
        </w:rPr>
        <w:t>either the $1 B</w:t>
      </w:r>
      <w:r w:rsidRPr="00CC2C21">
        <w:rPr>
          <w:rFonts w:ascii="Times New Roman" w:hAnsi="Times New Roman"/>
        </w:rPr>
        <w:t xml:space="preserve">illion </w:t>
      </w:r>
      <w:r>
        <w:rPr>
          <w:rFonts w:ascii="Times New Roman" w:hAnsi="Times New Roman"/>
        </w:rPr>
        <w:t>N</w:t>
      </w:r>
      <w:r w:rsidRPr="00CC2C21">
        <w:rPr>
          <w:rFonts w:ascii="Times New Roman" w:hAnsi="Times New Roman"/>
        </w:rPr>
        <w:t>otice email or Alternative Notice email by a Compliance Attorney, at a cost of $684 per hour. The Commission estimates a</w:t>
      </w:r>
      <w:r>
        <w:rPr>
          <w:rFonts w:ascii="Times New Roman" w:hAnsi="Times New Roman"/>
        </w:rPr>
        <w:t>n additional</w:t>
      </w:r>
      <w:r w:rsidRPr="00CC2C21">
        <w:rPr>
          <w:rFonts w:ascii="Times New Roman" w:hAnsi="Times New Roman"/>
        </w:rPr>
        <w:t xml:space="preserve"> one-hour burden </w:t>
      </w:r>
      <w:r>
        <w:rPr>
          <w:rFonts w:ascii="Times New Roman" w:hAnsi="Times New Roman"/>
        </w:rPr>
        <w:t>for adding</w:t>
      </w:r>
      <w:r w:rsidRPr="00CC2C21">
        <w:rPr>
          <w:rFonts w:ascii="Times New Roman" w:hAnsi="Times New Roman"/>
        </w:rPr>
        <w:t xml:space="preserve"> the notional amount</w:t>
      </w:r>
      <w:r>
        <w:rPr>
          <w:rFonts w:ascii="Times New Roman" w:hAnsi="Times New Roman"/>
        </w:rPr>
        <w:t>s of trade options in a spread</w:t>
      </w:r>
      <w:r w:rsidRPr="00CC2C21">
        <w:rPr>
          <w:rFonts w:ascii="Times New Roman" w:hAnsi="Times New Roman"/>
        </w:rPr>
        <w:t xml:space="preserve">sheet or similar program by a junior compliance specialist, at a cost of $141 per hour. </w:t>
      </w:r>
      <w:r>
        <w:rPr>
          <w:rFonts w:ascii="Times New Roman" w:hAnsi="Times New Roman"/>
        </w:rPr>
        <w:t xml:space="preserve"> These would be recurring, annual costs.  </w:t>
      </w:r>
    </w:p>
    <w:p w:rsidR="00534B6B" w:rsidRPr="00674558" w:rsidRDefault="00534B6B" w:rsidP="00534B6B">
      <w:pPr>
        <w:keepNext/>
        <w:tabs>
          <w:tab w:val="left" w:pos="-720"/>
          <w:tab w:val="left" w:pos="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 xml:space="preserve">Provide an estimate of the total annual cost burden to respondents or </w:t>
      </w:r>
      <w:proofErr w:type="spellStart"/>
      <w:r w:rsidRPr="00674558">
        <w:rPr>
          <w:rFonts w:ascii="Times New Roman" w:hAnsi="Times New Roman"/>
          <w:b/>
        </w:rPr>
        <w:t>recordkeepers</w:t>
      </w:r>
      <w:proofErr w:type="spellEnd"/>
      <w:r w:rsidRPr="00674558">
        <w:rPr>
          <w:rFonts w:ascii="Times New Roman" w:hAnsi="Times New Roman"/>
          <w:b/>
        </w:rPr>
        <w:t xml:space="preserve"> resulting fr</w:t>
      </w:r>
      <w:r w:rsidR="00493781" w:rsidRPr="00674558">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74558">
        <w:rPr>
          <w:rFonts w:ascii="Times New Roman" w:hAnsi="Times New Roman"/>
          <w:b/>
        </w:rPr>
        <w:t>government,</w:t>
      </w:r>
      <w:proofErr w:type="gramEnd"/>
      <w:r w:rsidRPr="00674558">
        <w:rPr>
          <w:rFonts w:ascii="Times New Roman" w:hAnsi="Times New Roman"/>
          <w:b/>
        </w:rPr>
        <w:t xml:space="preserve"> or (4) as part of customary and usual business or private practices.</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lastRenderedPageBreak/>
        <w:tab/>
      </w:r>
      <w:r w:rsidR="0075384F" w:rsidRPr="0075384F">
        <w:rPr>
          <w:rFonts w:ascii="Times New Roman" w:hAnsi="Times New Roman"/>
        </w:rPr>
        <w:t xml:space="preserve">There are no additional capital costs associated with this collection because all respondents are already required to create and store detailed records of their trade option transactions pursuant to § 32.3(b).  </w:t>
      </w:r>
    </w:p>
    <w:p w:rsidR="00353F98" w:rsidRPr="00353F98" w:rsidRDefault="00534B6B" w:rsidP="00353F98">
      <w:pPr>
        <w:tabs>
          <w:tab w:val="left" w:pos="-720"/>
        </w:tabs>
        <w:spacing w:after="240"/>
        <w:rPr>
          <w:rFonts w:ascii="Times New Roman" w:hAnsi="Times New Roman"/>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3E1569" w:rsidRDefault="00387BF2" w:rsidP="00353F98">
      <w:pPr>
        <w:tabs>
          <w:tab w:val="left" w:pos="-720"/>
        </w:tabs>
        <w:spacing w:after="240"/>
        <w:rPr>
          <w:rFonts w:ascii="Times New Roman" w:hAnsi="Times New Roman"/>
        </w:rPr>
      </w:pPr>
      <w:r>
        <w:rPr>
          <w:rFonts w:ascii="Times New Roman" w:hAnsi="Times New Roman"/>
        </w:rPr>
        <w:tab/>
      </w:r>
      <w:r w:rsidR="00353F98">
        <w:rPr>
          <w:rFonts w:ascii="Times New Roman" w:hAnsi="Times New Roman"/>
        </w:rPr>
        <w:t>Annualized costs to the Commission would include t</w:t>
      </w:r>
      <w:r w:rsidR="00353F98" w:rsidRPr="00353F98">
        <w:rPr>
          <w:rFonts w:ascii="Times New Roman" w:hAnsi="Times New Roman"/>
        </w:rPr>
        <w:t>he costs for reviewing the</w:t>
      </w:r>
      <w:r w:rsidR="00353F98">
        <w:rPr>
          <w:rFonts w:ascii="Times New Roman" w:hAnsi="Times New Roman"/>
        </w:rPr>
        <w:t xml:space="preserve"> information provided in </w:t>
      </w:r>
      <w:r w:rsidR="00CC2C21">
        <w:rPr>
          <w:rFonts w:ascii="Times New Roman" w:hAnsi="Times New Roman"/>
        </w:rPr>
        <w:t>$1 B</w:t>
      </w:r>
      <w:r w:rsidR="00CC2C21" w:rsidRPr="00CC2C21">
        <w:rPr>
          <w:rFonts w:ascii="Times New Roman" w:hAnsi="Times New Roman"/>
        </w:rPr>
        <w:t xml:space="preserve">illion </w:t>
      </w:r>
      <w:r w:rsidR="00CC2C21">
        <w:rPr>
          <w:rFonts w:ascii="Times New Roman" w:hAnsi="Times New Roman"/>
        </w:rPr>
        <w:t>N</w:t>
      </w:r>
      <w:r w:rsidR="00CC2C21" w:rsidRPr="00CC2C21">
        <w:rPr>
          <w:rFonts w:ascii="Times New Roman" w:hAnsi="Times New Roman"/>
        </w:rPr>
        <w:t xml:space="preserve">otice </w:t>
      </w:r>
      <w:r w:rsidR="00CC2C21">
        <w:rPr>
          <w:rFonts w:ascii="Times New Roman" w:hAnsi="Times New Roman"/>
        </w:rPr>
        <w:t>and</w:t>
      </w:r>
      <w:r w:rsidR="00CC2C21" w:rsidRPr="00CC2C21">
        <w:rPr>
          <w:rFonts w:ascii="Times New Roman" w:hAnsi="Times New Roman"/>
        </w:rPr>
        <w:t xml:space="preserve"> Alternative Notice email</w:t>
      </w:r>
      <w:r w:rsidR="00CC2C21">
        <w:rPr>
          <w:rFonts w:ascii="Times New Roman" w:hAnsi="Times New Roman"/>
        </w:rPr>
        <w:t>s</w:t>
      </w:r>
      <w:r w:rsidR="00353F98">
        <w:rPr>
          <w:rFonts w:ascii="Times New Roman" w:hAnsi="Times New Roman"/>
        </w:rPr>
        <w:t xml:space="preserve">, incurred by Commission </w:t>
      </w:r>
      <w:r w:rsidR="00353F98" w:rsidRPr="00353F98">
        <w:rPr>
          <w:rFonts w:ascii="Times New Roman" w:hAnsi="Times New Roman"/>
        </w:rPr>
        <w:t xml:space="preserve">staff.  The Commission estimates </w:t>
      </w:r>
      <w:r w:rsidR="00353F98">
        <w:rPr>
          <w:rFonts w:ascii="Times New Roman" w:hAnsi="Times New Roman"/>
        </w:rPr>
        <w:t xml:space="preserve">that </w:t>
      </w:r>
      <w:r w:rsidR="00353F98" w:rsidRPr="00353F98">
        <w:rPr>
          <w:rFonts w:ascii="Times New Roman" w:hAnsi="Times New Roman"/>
        </w:rPr>
        <w:t>on aver</w:t>
      </w:r>
      <w:r w:rsidR="00327429">
        <w:rPr>
          <w:rFonts w:ascii="Times New Roman" w:hAnsi="Times New Roman"/>
        </w:rPr>
        <w:t xml:space="preserve">age it will take approximately </w:t>
      </w:r>
      <w:r w:rsidR="00CC2C21">
        <w:rPr>
          <w:rFonts w:ascii="Times New Roman" w:hAnsi="Times New Roman"/>
        </w:rPr>
        <w:t>5 minutes</w:t>
      </w:r>
      <w:r w:rsidR="00353F98" w:rsidRPr="00353F98">
        <w:rPr>
          <w:rFonts w:ascii="Times New Roman" w:hAnsi="Times New Roman"/>
        </w:rPr>
        <w:t xml:space="preserve"> of </w:t>
      </w:r>
      <w:r w:rsidR="00327429">
        <w:rPr>
          <w:rFonts w:ascii="Times New Roman" w:hAnsi="Times New Roman"/>
        </w:rPr>
        <w:t xml:space="preserve">staff </w:t>
      </w:r>
      <w:r w:rsidR="00353F98" w:rsidRPr="00353F98">
        <w:rPr>
          <w:rFonts w:ascii="Times New Roman" w:hAnsi="Times New Roman"/>
        </w:rPr>
        <w:t xml:space="preserve">time to review </w:t>
      </w:r>
      <w:r w:rsidR="00CC2C21">
        <w:rPr>
          <w:rFonts w:ascii="Times New Roman" w:hAnsi="Times New Roman"/>
        </w:rPr>
        <w:t>each of the</w:t>
      </w:r>
      <w:r w:rsidR="00353F98" w:rsidRPr="00353F98">
        <w:rPr>
          <w:rFonts w:ascii="Times New Roman" w:hAnsi="Times New Roman"/>
        </w:rPr>
        <w:t xml:space="preserve"> </w:t>
      </w:r>
      <w:r w:rsidR="00CC2C21">
        <w:rPr>
          <w:rFonts w:ascii="Times New Roman" w:hAnsi="Times New Roman"/>
        </w:rPr>
        <w:t>$1 B</w:t>
      </w:r>
      <w:r w:rsidR="00CC2C21" w:rsidRPr="00CC2C21">
        <w:rPr>
          <w:rFonts w:ascii="Times New Roman" w:hAnsi="Times New Roman"/>
        </w:rPr>
        <w:t xml:space="preserve">illion </w:t>
      </w:r>
      <w:r w:rsidR="00CC2C21">
        <w:rPr>
          <w:rFonts w:ascii="Times New Roman" w:hAnsi="Times New Roman"/>
        </w:rPr>
        <w:t>N</w:t>
      </w:r>
      <w:r w:rsidR="00CC2C21" w:rsidRPr="00CC2C21">
        <w:rPr>
          <w:rFonts w:ascii="Times New Roman" w:hAnsi="Times New Roman"/>
        </w:rPr>
        <w:t xml:space="preserve">otice </w:t>
      </w:r>
      <w:r w:rsidR="00CC2C21">
        <w:rPr>
          <w:rFonts w:ascii="Times New Roman" w:hAnsi="Times New Roman"/>
        </w:rPr>
        <w:t>and</w:t>
      </w:r>
      <w:r w:rsidR="00CC2C21" w:rsidRPr="00CC2C21">
        <w:rPr>
          <w:rFonts w:ascii="Times New Roman" w:hAnsi="Times New Roman"/>
        </w:rPr>
        <w:t xml:space="preserve"> Alternative Notice email</w:t>
      </w:r>
      <w:r w:rsidR="00CC2C21">
        <w:rPr>
          <w:rFonts w:ascii="Times New Roman" w:hAnsi="Times New Roman"/>
        </w:rPr>
        <w:t>s</w:t>
      </w:r>
      <w:r w:rsidR="00327429">
        <w:rPr>
          <w:rFonts w:ascii="Times New Roman" w:hAnsi="Times New Roman"/>
        </w:rPr>
        <w:t>.  B</w:t>
      </w:r>
      <w:r w:rsidR="00353F98" w:rsidRPr="00353F98">
        <w:rPr>
          <w:rFonts w:ascii="Times New Roman" w:hAnsi="Times New Roman"/>
        </w:rPr>
        <w:t xml:space="preserve">ased on the staff estimate that </w:t>
      </w:r>
      <w:r w:rsidR="00327429">
        <w:rPr>
          <w:rFonts w:ascii="Times New Roman" w:hAnsi="Times New Roman"/>
        </w:rPr>
        <w:t>there will be</w:t>
      </w:r>
      <w:r w:rsidR="00F44C0A">
        <w:rPr>
          <w:rFonts w:ascii="Times New Roman" w:hAnsi="Times New Roman"/>
        </w:rPr>
        <w:t xml:space="preserve"> one</w:t>
      </w:r>
      <w:r w:rsidR="00327429">
        <w:rPr>
          <w:rFonts w:ascii="Times New Roman" w:hAnsi="Times New Roman"/>
        </w:rPr>
        <w:t xml:space="preserve"> </w:t>
      </w:r>
      <w:r w:rsidR="00032852">
        <w:rPr>
          <w:rFonts w:ascii="Times New Roman" w:hAnsi="Times New Roman"/>
        </w:rPr>
        <w:t>$1 B</w:t>
      </w:r>
      <w:r w:rsidR="00032852" w:rsidRPr="00CC2C21">
        <w:rPr>
          <w:rFonts w:ascii="Times New Roman" w:hAnsi="Times New Roman"/>
        </w:rPr>
        <w:t xml:space="preserve">illion </w:t>
      </w:r>
      <w:r w:rsidR="00032852">
        <w:rPr>
          <w:rFonts w:ascii="Times New Roman" w:hAnsi="Times New Roman"/>
        </w:rPr>
        <w:t>N</w:t>
      </w:r>
      <w:r w:rsidR="00032852" w:rsidRPr="00CC2C21">
        <w:rPr>
          <w:rFonts w:ascii="Times New Roman" w:hAnsi="Times New Roman"/>
        </w:rPr>
        <w:t xml:space="preserve">otice </w:t>
      </w:r>
      <w:r w:rsidR="00032852">
        <w:rPr>
          <w:rFonts w:ascii="Times New Roman" w:hAnsi="Times New Roman"/>
        </w:rPr>
        <w:t xml:space="preserve">or </w:t>
      </w:r>
      <w:r w:rsidR="00032852" w:rsidRPr="00CC2C21">
        <w:rPr>
          <w:rFonts w:ascii="Times New Roman" w:hAnsi="Times New Roman"/>
        </w:rPr>
        <w:t>Alternative Notice email</w:t>
      </w:r>
      <w:r w:rsidR="00032852">
        <w:rPr>
          <w:rFonts w:ascii="Times New Roman" w:hAnsi="Times New Roman"/>
        </w:rPr>
        <w:t xml:space="preserve"> </w:t>
      </w:r>
      <w:r w:rsidR="00327429">
        <w:rPr>
          <w:rFonts w:ascii="Times New Roman" w:hAnsi="Times New Roman"/>
        </w:rPr>
        <w:t>submitted annually</w:t>
      </w:r>
      <w:r w:rsidR="00353F98" w:rsidRPr="00353F98">
        <w:rPr>
          <w:rFonts w:ascii="Times New Roman" w:hAnsi="Times New Roman"/>
        </w:rPr>
        <w:t xml:space="preserve">, the </w:t>
      </w:r>
      <w:r w:rsidR="00327429">
        <w:rPr>
          <w:rFonts w:ascii="Times New Roman" w:hAnsi="Times New Roman"/>
        </w:rPr>
        <w:t xml:space="preserve">average </w:t>
      </w:r>
      <w:r w:rsidR="00353F98" w:rsidRPr="00353F98">
        <w:rPr>
          <w:rFonts w:ascii="Times New Roman" w:hAnsi="Times New Roman"/>
        </w:rPr>
        <w:t xml:space="preserve">aggregate hourly burden to review and analyze </w:t>
      </w:r>
      <w:r w:rsidR="00327429">
        <w:rPr>
          <w:rFonts w:ascii="Times New Roman" w:hAnsi="Times New Roman"/>
        </w:rPr>
        <w:t xml:space="preserve">the information </w:t>
      </w:r>
      <w:r w:rsidR="00224F8A">
        <w:rPr>
          <w:rFonts w:ascii="Times New Roman" w:hAnsi="Times New Roman"/>
        </w:rPr>
        <w:t>for all</w:t>
      </w:r>
      <w:r w:rsidR="00327429">
        <w:rPr>
          <w:rFonts w:ascii="Times New Roman" w:hAnsi="Times New Roman"/>
        </w:rPr>
        <w:t xml:space="preserve"> </w:t>
      </w:r>
      <w:r w:rsidR="00032852">
        <w:rPr>
          <w:rFonts w:ascii="Times New Roman" w:hAnsi="Times New Roman"/>
        </w:rPr>
        <w:t>such emails</w:t>
      </w:r>
      <w:r w:rsidR="00327429">
        <w:rPr>
          <w:rFonts w:ascii="Times New Roman" w:hAnsi="Times New Roman"/>
        </w:rPr>
        <w:t xml:space="preserve"> </w:t>
      </w:r>
      <w:r w:rsidR="00224F8A">
        <w:rPr>
          <w:rFonts w:ascii="Times New Roman" w:hAnsi="Times New Roman"/>
        </w:rPr>
        <w:t xml:space="preserve">submitted </w:t>
      </w:r>
      <w:r w:rsidR="00353F98" w:rsidRPr="00353F98">
        <w:rPr>
          <w:rFonts w:ascii="Times New Roman" w:hAnsi="Times New Roman"/>
        </w:rPr>
        <w:t xml:space="preserve">would be </w:t>
      </w:r>
      <w:r w:rsidR="00BC5765">
        <w:rPr>
          <w:rFonts w:ascii="Times New Roman" w:hAnsi="Times New Roman"/>
        </w:rPr>
        <w:t xml:space="preserve">approximately </w:t>
      </w:r>
      <w:r w:rsidR="00032852">
        <w:rPr>
          <w:rFonts w:ascii="Times New Roman" w:hAnsi="Times New Roman"/>
        </w:rPr>
        <w:t>2 hours</w:t>
      </w:r>
      <w:r w:rsidR="00327429">
        <w:rPr>
          <w:rFonts w:ascii="Times New Roman" w:hAnsi="Times New Roman"/>
        </w:rPr>
        <w:t xml:space="preserve"> </w:t>
      </w:r>
      <w:r w:rsidR="00353F98" w:rsidRPr="00353F98">
        <w:rPr>
          <w:rFonts w:ascii="Times New Roman" w:hAnsi="Times New Roman"/>
        </w:rPr>
        <w:t>at the CT-14 level</w:t>
      </w:r>
      <w:r w:rsidR="003E6A92">
        <w:rPr>
          <w:rFonts w:ascii="Times New Roman" w:hAnsi="Times New Roman"/>
        </w:rPr>
        <w:t xml:space="preserve"> of $91 an hour, </w:t>
      </w:r>
      <w:r w:rsidR="00224F8A">
        <w:rPr>
          <w:rFonts w:ascii="Times New Roman" w:hAnsi="Times New Roman"/>
        </w:rPr>
        <w:t xml:space="preserve">for </w:t>
      </w:r>
      <w:r w:rsidR="003E6A92">
        <w:rPr>
          <w:rFonts w:ascii="Times New Roman" w:hAnsi="Times New Roman"/>
        </w:rPr>
        <w:t>t</w:t>
      </w:r>
      <w:r w:rsidR="00353F98" w:rsidRPr="00353F98">
        <w:rPr>
          <w:rFonts w:ascii="Times New Roman" w:hAnsi="Times New Roman"/>
        </w:rPr>
        <w:t xml:space="preserve">he total </w:t>
      </w:r>
      <w:r w:rsidR="00224F8A">
        <w:rPr>
          <w:rFonts w:ascii="Times New Roman" w:hAnsi="Times New Roman"/>
        </w:rPr>
        <w:t xml:space="preserve">estimated </w:t>
      </w:r>
      <w:r w:rsidR="00353F98" w:rsidRPr="00353F98">
        <w:rPr>
          <w:rFonts w:ascii="Times New Roman" w:hAnsi="Times New Roman"/>
        </w:rPr>
        <w:t xml:space="preserve">aggregate cost </w:t>
      </w:r>
      <w:r w:rsidR="00224F8A">
        <w:rPr>
          <w:rFonts w:ascii="Times New Roman" w:hAnsi="Times New Roman"/>
        </w:rPr>
        <w:t>of</w:t>
      </w:r>
      <w:r w:rsidR="003E6A92">
        <w:rPr>
          <w:rFonts w:ascii="Times New Roman" w:hAnsi="Times New Roman"/>
        </w:rPr>
        <w:t xml:space="preserve"> </w:t>
      </w:r>
      <w:r w:rsidR="00353F98" w:rsidRPr="00353F98">
        <w:rPr>
          <w:rFonts w:ascii="Times New Roman" w:hAnsi="Times New Roman"/>
        </w:rPr>
        <w:t>$</w:t>
      </w:r>
      <w:r w:rsidR="00032852">
        <w:rPr>
          <w:rFonts w:ascii="Times New Roman" w:hAnsi="Times New Roman"/>
        </w:rPr>
        <w:t>182</w:t>
      </w:r>
      <w:r w:rsidR="00353F98" w:rsidRPr="00353F98">
        <w:rPr>
          <w:rFonts w:ascii="Times New Roman" w:hAnsi="Times New Roman"/>
        </w:rPr>
        <w:t>.</w:t>
      </w:r>
      <w:r w:rsidR="003E6A92">
        <w:rPr>
          <w:rStyle w:val="FootnoteReference"/>
        </w:rPr>
        <w:footnoteReference w:id="1"/>
      </w: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r>
      <w:r w:rsidRPr="00A43061">
        <w:rPr>
          <w:rFonts w:ascii="Times New Roman" w:hAnsi="Times New Roman"/>
          <w:b/>
        </w:rPr>
        <w:t>Explain the reasons for any program changes or adjustments reported in Items 13 or 14 of the OMB Form 83-I.</w:t>
      </w:r>
    </w:p>
    <w:p w:rsidR="00C74A20" w:rsidRDefault="00534B6B" w:rsidP="00A43061">
      <w:pPr>
        <w:tabs>
          <w:tab w:val="left" w:pos="-720"/>
        </w:tabs>
        <w:spacing w:after="240"/>
        <w:rPr>
          <w:rFonts w:ascii="Times New Roman" w:hAnsi="Times New Roman"/>
        </w:rPr>
      </w:pPr>
      <w:r w:rsidRPr="003E1569">
        <w:rPr>
          <w:rFonts w:ascii="Times New Roman" w:hAnsi="Times New Roman"/>
        </w:rPr>
        <w:tab/>
      </w:r>
      <w:r w:rsidR="00E733F8">
        <w:rPr>
          <w:rFonts w:ascii="Times New Roman" w:hAnsi="Times New Roman"/>
        </w:rPr>
        <w:t>T</w:t>
      </w:r>
      <w:r w:rsidR="00E733F8" w:rsidRPr="00E733F8">
        <w:rPr>
          <w:rFonts w:ascii="Times New Roman" w:hAnsi="Times New Roman"/>
        </w:rPr>
        <w:t xml:space="preserve">he Commission </w:t>
      </w:r>
      <w:r w:rsidR="00E733F8">
        <w:rPr>
          <w:rFonts w:ascii="Times New Roman" w:hAnsi="Times New Roman"/>
        </w:rPr>
        <w:t xml:space="preserve">is </w:t>
      </w:r>
      <w:r w:rsidR="00E733F8" w:rsidRPr="00E733F8">
        <w:rPr>
          <w:rFonts w:ascii="Times New Roman" w:hAnsi="Times New Roman"/>
        </w:rPr>
        <w:t>propos</w:t>
      </w:r>
      <w:r w:rsidR="00E733F8">
        <w:rPr>
          <w:rFonts w:ascii="Times New Roman" w:hAnsi="Times New Roman"/>
        </w:rPr>
        <w:t>ing</w:t>
      </w:r>
      <w:r w:rsidR="00E733F8" w:rsidRPr="00E733F8">
        <w:rPr>
          <w:rFonts w:ascii="Times New Roman" w:hAnsi="Times New Roman"/>
        </w:rPr>
        <w:t xml:space="preserve"> to add the Notice Requirement for trade option counterparties that are Non-SD/MSPs, which requirement is considered to be a collection of information within the meaning of the PRA.  </w:t>
      </w:r>
      <w:r w:rsidR="00E733F8">
        <w:rPr>
          <w:rFonts w:ascii="Times New Roman" w:hAnsi="Times New Roman"/>
        </w:rPr>
        <w:t>T</w:t>
      </w:r>
      <w:r w:rsidR="00E733F8" w:rsidRPr="00E733F8">
        <w:rPr>
          <w:rFonts w:ascii="Times New Roman" w:hAnsi="Times New Roman"/>
        </w:rPr>
        <w:t xml:space="preserve">he proposed rules will not result in the creation of any new information collection subject to OMB review or approval under the PRA, except for the annual Notice Requirement.  </w:t>
      </w:r>
      <w:bookmarkStart w:id="0" w:name="_GoBack"/>
      <w:bookmarkEnd w:id="0"/>
    </w:p>
    <w:p w:rsidR="00534B6B" w:rsidRPr="00674558" w:rsidRDefault="00534B6B" w:rsidP="00353F98">
      <w:pPr>
        <w:tabs>
          <w:tab w:val="left" w:pos="-72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w:t>
      </w:r>
      <w:r w:rsidR="00493781">
        <w:rPr>
          <w:rFonts w:ascii="Times New Roman" w:hAnsi="Times New Roman"/>
          <w:b/>
        </w:rPr>
        <w:t>, p</w:t>
      </w:r>
      <w:r w:rsidRPr="00674558">
        <w:rPr>
          <w:rFonts w:ascii="Times New Roman" w:hAnsi="Times New Roman"/>
          <w:b/>
        </w:rPr>
        <w:t>rovide the time schedule for the entire project, including beginning and ending dates of the collection of information, completion of report, publication dates, and other actions.</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rsidR="00534B6B" w:rsidRPr="00674558" w:rsidRDefault="00534B6B" w:rsidP="00534B6B">
      <w:pPr>
        <w:keepNext/>
        <w:tabs>
          <w:tab w:val="left" w:pos="-720"/>
          <w:tab w:val="left" w:pos="0"/>
        </w:tabs>
        <w:spacing w:after="240"/>
        <w:rPr>
          <w:rFonts w:ascii="Times New Roman" w:hAnsi="Times New Roman"/>
          <w:b/>
        </w:rPr>
      </w:pPr>
      <w:r w:rsidRPr="00674558">
        <w:rPr>
          <w:rFonts w:ascii="Times New Roman" w:hAnsi="Times New Roman"/>
          <w:b/>
        </w:rPr>
        <w:lastRenderedPageBreak/>
        <w:t>18.</w:t>
      </w:r>
      <w:r w:rsidRPr="00674558">
        <w:rPr>
          <w:rFonts w:ascii="Times New Roman" w:hAnsi="Times New Roman"/>
          <w:b/>
        </w:rPr>
        <w:tab/>
        <w:t>Explain each exception to the certification statement identified in Item 19, "Certification for Paperwork Reduction Act Submissions," of OMB Form 83-I.</w:t>
      </w:r>
    </w:p>
    <w:p w:rsidR="00534B6B"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rsidR="00550FDD" w:rsidRDefault="00550FDD">
      <w:pPr>
        <w:rPr>
          <w:rFonts w:ascii="Times New Roman" w:hAnsi="Times New Roman"/>
        </w:rPr>
      </w:pPr>
      <w:r>
        <w:rPr>
          <w:rFonts w:ascii="Times New Roman" w:hAnsi="Times New Roman"/>
        </w:rPr>
        <w:br w:type="page"/>
      </w:r>
    </w:p>
    <w:p w:rsidR="00550FDD" w:rsidRPr="00550FDD" w:rsidRDefault="00550FDD" w:rsidP="00550FDD">
      <w:pPr>
        <w:tabs>
          <w:tab w:val="left" w:pos="-720"/>
        </w:tabs>
        <w:spacing w:after="240"/>
        <w:jc w:val="center"/>
        <w:rPr>
          <w:rFonts w:ascii="Times New Roman" w:hAnsi="Times New Roman"/>
          <w:b/>
        </w:rPr>
      </w:pPr>
      <w:r w:rsidRPr="00550FDD">
        <w:rPr>
          <w:rFonts w:ascii="Times New Roman" w:hAnsi="Times New Roman"/>
          <w:b/>
        </w:rPr>
        <w:lastRenderedPageBreak/>
        <w:t>Attachment A</w:t>
      </w:r>
    </w:p>
    <w:p w:rsidR="00550FDD" w:rsidRPr="00550FDD" w:rsidRDefault="00550FDD" w:rsidP="00550FDD">
      <w:pPr>
        <w:jc w:val="center"/>
        <w:rPr>
          <w:rFonts w:ascii="Times New Roman" w:hAnsi="Times New Roman"/>
          <w:b/>
        </w:rPr>
      </w:pPr>
    </w:p>
    <w:p w:rsidR="00550FDD" w:rsidRPr="00550FDD" w:rsidRDefault="00642680" w:rsidP="00550FDD">
      <w:pPr>
        <w:jc w:val="center"/>
        <w:rPr>
          <w:rFonts w:ascii="Times New Roman" w:hAnsi="Times New Roman"/>
          <w:b/>
        </w:rPr>
      </w:pPr>
      <w:r>
        <w:rPr>
          <w:rFonts w:ascii="Times New Roman" w:hAnsi="Times New Roman"/>
          <w:b/>
        </w:rPr>
        <w:t xml:space="preserve">Amendment to </w:t>
      </w:r>
      <w:r w:rsidR="00550FDD" w:rsidRPr="00550FDD">
        <w:rPr>
          <w:rFonts w:ascii="Times New Roman" w:hAnsi="Times New Roman"/>
          <w:b/>
        </w:rPr>
        <w:t>OMB Control Number 3038-</w:t>
      </w:r>
      <w:r w:rsidR="00550FDD">
        <w:rPr>
          <w:rFonts w:ascii="Times New Roman" w:hAnsi="Times New Roman"/>
          <w:b/>
        </w:rPr>
        <w:t>0106</w:t>
      </w:r>
      <w:r w:rsidR="00550FDD" w:rsidRPr="00550FDD">
        <w:rPr>
          <w:rFonts w:ascii="Times New Roman" w:hAnsi="Times New Roman"/>
          <w:b/>
        </w:rPr>
        <w:t xml:space="preserve"> – </w:t>
      </w:r>
      <w:r w:rsidRPr="00642680">
        <w:rPr>
          <w:rFonts w:ascii="Times New Roman" w:hAnsi="Times New Roman"/>
          <w:b/>
        </w:rPr>
        <w:t>Form TO, Annual Notice Filing for Counterparties to Unreported Trade Option</w:t>
      </w:r>
    </w:p>
    <w:p w:rsidR="00550FDD" w:rsidRPr="00550FDD" w:rsidRDefault="00550FDD" w:rsidP="00550FDD">
      <w:pPr>
        <w:jc w:val="center"/>
        <w:rPr>
          <w:rFonts w:ascii="Times New Roman" w:hAnsi="Times New Roman"/>
          <w:b/>
        </w:rPr>
      </w:pPr>
    </w:p>
    <w:p w:rsidR="00550FDD" w:rsidRPr="00550FDD" w:rsidRDefault="00550FDD" w:rsidP="00550FDD">
      <w:pPr>
        <w:jc w:val="center"/>
        <w:rPr>
          <w:rFonts w:ascii="Times New Roman" w:hAnsi="Times New Roman"/>
        </w:rPr>
      </w:pPr>
      <w:r w:rsidRPr="00550FDD">
        <w:rPr>
          <w:rFonts w:ascii="Times New Roman" w:hAnsi="Times New Roman"/>
        </w:rPr>
        <w:t>Reporting Burden</w:t>
      </w:r>
      <w:r w:rsidR="00642680">
        <w:rPr>
          <w:rFonts w:ascii="Times New Roman" w:hAnsi="Times New Roman"/>
        </w:rPr>
        <w:t xml:space="preserve"> for New $1 Billion</w:t>
      </w:r>
      <w:r w:rsidR="00642680" w:rsidRPr="00642680">
        <w:rPr>
          <w:rFonts w:ascii="Times New Roman" w:hAnsi="Times New Roman"/>
        </w:rPr>
        <w:t xml:space="preserve"> Notice or Alternative Notice</w:t>
      </w:r>
      <w:r w:rsidR="00642680">
        <w:rPr>
          <w:rFonts w:ascii="Times New Roman" w:hAnsi="Times New Roman"/>
        </w:rPr>
        <w:t xml:space="preserve"> </w:t>
      </w:r>
    </w:p>
    <w:p w:rsidR="004864CF" w:rsidRDefault="004864CF"/>
    <w:p w:rsidR="00C74A20" w:rsidRPr="00FE4F8C" w:rsidRDefault="00C74A20" w:rsidP="00C74A20">
      <w:pPr>
        <w:spacing w:line="480" w:lineRule="auto"/>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620"/>
        <w:gridCol w:w="1620"/>
        <w:gridCol w:w="1440"/>
        <w:gridCol w:w="1350"/>
        <w:gridCol w:w="1530"/>
      </w:tblGrid>
      <w:tr w:rsidR="00C74A20" w:rsidRPr="000227AB" w:rsidTr="00A43061">
        <w:trPr>
          <w:cantSplit/>
          <w:trHeight w:val="520"/>
        </w:trPr>
        <w:tc>
          <w:tcPr>
            <w:tcW w:w="8928" w:type="dxa"/>
            <w:gridSpan w:val="6"/>
          </w:tcPr>
          <w:p w:rsidR="00C74A20" w:rsidRPr="000227AB" w:rsidRDefault="00C74A20" w:rsidP="004A33BA">
            <w:pPr>
              <w:spacing w:line="480" w:lineRule="auto"/>
            </w:pPr>
            <w:r w:rsidRPr="000227AB">
              <w:t xml:space="preserve">Estimated </w:t>
            </w:r>
            <w:r>
              <w:t xml:space="preserve">Annual </w:t>
            </w:r>
            <w:r w:rsidRPr="000227AB">
              <w:t>Reporting Burden</w:t>
            </w:r>
            <w:r>
              <w:t xml:space="preserve"> Hours and Burden Hour Costs</w:t>
            </w:r>
          </w:p>
        </w:tc>
      </w:tr>
      <w:tr w:rsidR="00C74A20" w:rsidRPr="000227AB" w:rsidTr="0034177E">
        <w:trPr>
          <w:cantSplit/>
          <w:trHeight w:val="2134"/>
        </w:trPr>
        <w:tc>
          <w:tcPr>
            <w:tcW w:w="1368" w:type="dxa"/>
          </w:tcPr>
          <w:p w:rsidR="00C74A20" w:rsidRPr="0034177E" w:rsidRDefault="00C74A20" w:rsidP="004A33BA">
            <w:pPr>
              <w:spacing w:line="480" w:lineRule="auto"/>
              <w:rPr>
                <w:sz w:val="20"/>
                <w:szCs w:val="20"/>
              </w:rPr>
            </w:pPr>
            <w:r w:rsidRPr="0034177E">
              <w:rPr>
                <w:sz w:val="20"/>
                <w:szCs w:val="20"/>
              </w:rPr>
              <w:t xml:space="preserve">17 C.F.R. </w:t>
            </w:r>
          </w:p>
        </w:tc>
        <w:tc>
          <w:tcPr>
            <w:tcW w:w="1620" w:type="dxa"/>
          </w:tcPr>
          <w:p w:rsidR="00C74A20" w:rsidRPr="0034177E" w:rsidRDefault="00C74A20" w:rsidP="004A33BA">
            <w:pPr>
              <w:spacing w:line="480" w:lineRule="auto"/>
              <w:rPr>
                <w:sz w:val="20"/>
                <w:szCs w:val="20"/>
              </w:rPr>
            </w:pPr>
            <w:r w:rsidRPr="0034177E">
              <w:rPr>
                <w:sz w:val="20"/>
                <w:szCs w:val="20"/>
              </w:rPr>
              <w:t>Annual Number of Respondents</w:t>
            </w:r>
          </w:p>
        </w:tc>
        <w:tc>
          <w:tcPr>
            <w:tcW w:w="1620" w:type="dxa"/>
          </w:tcPr>
          <w:p w:rsidR="00C74A20" w:rsidRPr="0034177E" w:rsidRDefault="00487DD9" w:rsidP="00487DD9">
            <w:pPr>
              <w:spacing w:line="480" w:lineRule="auto"/>
              <w:rPr>
                <w:sz w:val="20"/>
                <w:szCs w:val="20"/>
              </w:rPr>
            </w:pPr>
            <w:r>
              <w:rPr>
                <w:sz w:val="20"/>
                <w:szCs w:val="20"/>
              </w:rPr>
              <w:t xml:space="preserve">Annual </w:t>
            </w:r>
            <w:r w:rsidR="00C74A20" w:rsidRPr="0034177E">
              <w:rPr>
                <w:sz w:val="20"/>
                <w:szCs w:val="20"/>
              </w:rPr>
              <w:t>Re</w:t>
            </w:r>
            <w:r>
              <w:rPr>
                <w:sz w:val="20"/>
                <w:szCs w:val="20"/>
              </w:rPr>
              <w:t>ports</w:t>
            </w:r>
            <w:r w:rsidR="00C74A20" w:rsidRPr="0034177E">
              <w:rPr>
                <w:sz w:val="20"/>
                <w:szCs w:val="20"/>
              </w:rPr>
              <w:t xml:space="preserve"> per Respondent</w:t>
            </w:r>
          </w:p>
        </w:tc>
        <w:tc>
          <w:tcPr>
            <w:tcW w:w="1440" w:type="dxa"/>
          </w:tcPr>
          <w:p w:rsidR="00C74A20" w:rsidRPr="0034177E" w:rsidRDefault="00C74A20" w:rsidP="004A33BA">
            <w:pPr>
              <w:spacing w:line="480" w:lineRule="auto"/>
              <w:rPr>
                <w:sz w:val="20"/>
                <w:szCs w:val="20"/>
              </w:rPr>
            </w:pPr>
            <w:r w:rsidRPr="0034177E">
              <w:rPr>
                <w:sz w:val="20"/>
                <w:szCs w:val="20"/>
              </w:rPr>
              <w:t>Hours per Response  and cost</w:t>
            </w:r>
          </w:p>
        </w:tc>
        <w:tc>
          <w:tcPr>
            <w:tcW w:w="1350" w:type="dxa"/>
          </w:tcPr>
          <w:p w:rsidR="00C74A20" w:rsidRPr="0034177E" w:rsidRDefault="00C74A20" w:rsidP="004A33BA">
            <w:pPr>
              <w:spacing w:line="480" w:lineRule="auto"/>
              <w:rPr>
                <w:sz w:val="20"/>
                <w:szCs w:val="20"/>
              </w:rPr>
            </w:pPr>
            <w:r w:rsidRPr="0034177E">
              <w:rPr>
                <w:sz w:val="20"/>
                <w:szCs w:val="20"/>
              </w:rPr>
              <w:t>Total Annual Responses</w:t>
            </w:r>
          </w:p>
        </w:tc>
        <w:tc>
          <w:tcPr>
            <w:tcW w:w="1530" w:type="dxa"/>
          </w:tcPr>
          <w:p w:rsidR="00C74A20" w:rsidRPr="0034177E" w:rsidRDefault="00C74A20" w:rsidP="004A33BA">
            <w:pPr>
              <w:spacing w:line="480" w:lineRule="auto"/>
              <w:rPr>
                <w:sz w:val="20"/>
                <w:szCs w:val="20"/>
              </w:rPr>
            </w:pPr>
            <w:r w:rsidRPr="0034177E">
              <w:rPr>
                <w:sz w:val="20"/>
                <w:szCs w:val="20"/>
              </w:rPr>
              <w:t>Total Hours Cost</w:t>
            </w:r>
          </w:p>
        </w:tc>
      </w:tr>
      <w:tr w:rsidR="00C74A20" w:rsidRPr="000227AB" w:rsidTr="00A43061">
        <w:trPr>
          <w:cantSplit/>
          <w:trHeight w:val="3228"/>
        </w:trPr>
        <w:tc>
          <w:tcPr>
            <w:tcW w:w="1368" w:type="dxa"/>
          </w:tcPr>
          <w:p w:rsidR="00A43061" w:rsidRPr="0034177E" w:rsidRDefault="00A43061" w:rsidP="004A33BA">
            <w:pPr>
              <w:spacing w:line="480" w:lineRule="auto"/>
              <w:rPr>
                <w:sz w:val="20"/>
                <w:szCs w:val="20"/>
              </w:rPr>
            </w:pPr>
            <w:r w:rsidRPr="0034177E">
              <w:rPr>
                <w:sz w:val="20"/>
                <w:szCs w:val="20"/>
              </w:rPr>
              <w:t>32.3(b)(3)</w:t>
            </w:r>
          </w:p>
        </w:tc>
        <w:tc>
          <w:tcPr>
            <w:tcW w:w="1620" w:type="dxa"/>
          </w:tcPr>
          <w:p w:rsidR="00C74A20" w:rsidRPr="0034177E" w:rsidRDefault="00A43061" w:rsidP="004A33BA">
            <w:pPr>
              <w:spacing w:line="480" w:lineRule="auto"/>
              <w:rPr>
                <w:sz w:val="20"/>
                <w:szCs w:val="20"/>
              </w:rPr>
            </w:pPr>
            <w:r w:rsidRPr="0034177E">
              <w:rPr>
                <w:sz w:val="20"/>
                <w:szCs w:val="20"/>
              </w:rPr>
              <w:t>20</w:t>
            </w:r>
          </w:p>
        </w:tc>
        <w:tc>
          <w:tcPr>
            <w:tcW w:w="1620" w:type="dxa"/>
          </w:tcPr>
          <w:p w:rsidR="00C74A20" w:rsidRPr="0034177E" w:rsidRDefault="00487DD9" w:rsidP="00487DD9">
            <w:pPr>
              <w:spacing w:line="480" w:lineRule="auto"/>
              <w:rPr>
                <w:sz w:val="20"/>
                <w:szCs w:val="20"/>
              </w:rPr>
            </w:pPr>
            <w:r>
              <w:rPr>
                <w:sz w:val="20"/>
                <w:szCs w:val="20"/>
              </w:rPr>
              <w:t>1</w:t>
            </w:r>
          </w:p>
        </w:tc>
        <w:tc>
          <w:tcPr>
            <w:tcW w:w="1440" w:type="dxa"/>
          </w:tcPr>
          <w:p w:rsidR="00C74A20" w:rsidRPr="0034177E" w:rsidRDefault="00C74A20" w:rsidP="004A33BA">
            <w:pPr>
              <w:spacing w:line="480" w:lineRule="auto"/>
              <w:rPr>
                <w:sz w:val="20"/>
                <w:szCs w:val="20"/>
              </w:rPr>
            </w:pPr>
            <w:r w:rsidRPr="0034177E">
              <w:rPr>
                <w:sz w:val="20"/>
                <w:szCs w:val="20"/>
              </w:rPr>
              <w:t>2 hours at $</w:t>
            </w:r>
            <w:r w:rsidR="00A43061" w:rsidRPr="0034177E">
              <w:rPr>
                <w:sz w:val="20"/>
                <w:szCs w:val="20"/>
              </w:rPr>
              <w:t>82</w:t>
            </w:r>
            <w:r w:rsidR="0034177E">
              <w:rPr>
                <w:sz w:val="20"/>
                <w:szCs w:val="20"/>
              </w:rPr>
              <w:t>6</w:t>
            </w:r>
            <w:r w:rsidRPr="0034177E">
              <w:rPr>
                <w:sz w:val="20"/>
                <w:szCs w:val="20"/>
              </w:rPr>
              <w:t xml:space="preserve"> per response.</w:t>
            </w:r>
            <w:r w:rsidR="00A43061" w:rsidRPr="0034177E">
              <w:rPr>
                <w:rStyle w:val="FootnoteReference"/>
                <w:sz w:val="20"/>
                <w:szCs w:val="20"/>
              </w:rPr>
              <w:footnoteReference w:id="2"/>
            </w:r>
          </w:p>
          <w:p w:rsidR="00C74A20" w:rsidRPr="0034177E" w:rsidRDefault="00C74A20" w:rsidP="004A33BA">
            <w:pPr>
              <w:spacing w:line="480" w:lineRule="auto"/>
              <w:rPr>
                <w:sz w:val="20"/>
                <w:szCs w:val="20"/>
              </w:rPr>
            </w:pPr>
          </w:p>
        </w:tc>
        <w:tc>
          <w:tcPr>
            <w:tcW w:w="1350" w:type="dxa"/>
          </w:tcPr>
          <w:p w:rsidR="00C74A20" w:rsidRPr="0034177E" w:rsidRDefault="00A43061" w:rsidP="004A33BA">
            <w:pPr>
              <w:spacing w:line="480" w:lineRule="auto"/>
              <w:rPr>
                <w:sz w:val="20"/>
                <w:szCs w:val="20"/>
              </w:rPr>
            </w:pPr>
            <w:r w:rsidRPr="0034177E">
              <w:rPr>
                <w:sz w:val="20"/>
                <w:szCs w:val="20"/>
              </w:rPr>
              <w:t>20</w:t>
            </w:r>
          </w:p>
        </w:tc>
        <w:tc>
          <w:tcPr>
            <w:tcW w:w="1530" w:type="dxa"/>
          </w:tcPr>
          <w:p w:rsidR="00C74A20" w:rsidRPr="0034177E" w:rsidRDefault="00BC5765" w:rsidP="00A43061">
            <w:pPr>
              <w:spacing w:line="480" w:lineRule="auto"/>
              <w:rPr>
                <w:sz w:val="20"/>
                <w:szCs w:val="20"/>
              </w:rPr>
            </w:pPr>
            <w:r w:rsidRPr="0034177E">
              <w:rPr>
                <w:sz w:val="20"/>
                <w:szCs w:val="20"/>
              </w:rPr>
              <w:t>$</w:t>
            </w:r>
            <w:r w:rsidR="00A43061" w:rsidRPr="0034177E">
              <w:rPr>
                <w:rFonts w:ascii="Times New Roman" w:hAnsi="Times New Roman"/>
                <w:sz w:val="20"/>
                <w:szCs w:val="20"/>
              </w:rPr>
              <w:t>16,520</w:t>
            </w:r>
            <w:r w:rsidR="00A43061" w:rsidRPr="0034177E">
              <w:rPr>
                <w:sz w:val="20"/>
                <w:szCs w:val="20"/>
              </w:rPr>
              <w:t xml:space="preserve"> </w:t>
            </w:r>
            <w:r w:rsidRPr="0034177E">
              <w:rPr>
                <w:sz w:val="20"/>
                <w:szCs w:val="20"/>
              </w:rPr>
              <w:t>(</w:t>
            </w:r>
            <w:r w:rsidR="00A43061" w:rsidRPr="0034177E">
              <w:rPr>
                <w:sz w:val="20"/>
                <w:szCs w:val="20"/>
              </w:rPr>
              <w:t>20</w:t>
            </w:r>
            <w:r w:rsidR="00C74A20" w:rsidRPr="0034177E">
              <w:rPr>
                <w:sz w:val="20"/>
                <w:szCs w:val="20"/>
              </w:rPr>
              <w:t xml:space="preserve"> responses times 2 hours per response, based on $</w:t>
            </w:r>
            <w:r w:rsidR="00A43061" w:rsidRPr="0034177E">
              <w:rPr>
                <w:sz w:val="20"/>
                <w:szCs w:val="20"/>
              </w:rPr>
              <w:t>413</w:t>
            </w:r>
            <w:r w:rsidR="00C74A20" w:rsidRPr="0034177E">
              <w:rPr>
                <w:sz w:val="20"/>
                <w:szCs w:val="20"/>
              </w:rPr>
              <w:t>/hour.)</w:t>
            </w:r>
          </w:p>
        </w:tc>
      </w:tr>
    </w:tbl>
    <w:p w:rsidR="00C74A20" w:rsidRDefault="00C74A20" w:rsidP="00C74A20">
      <w:pPr>
        <w:spacing w:line="480" w:lineRule="auto"/>
      </w:pPr>
    </w:p>
    <w:p w:rsidR="00C74A20" w:rsidRPr="00FE4F8C" w:rsidRDefault="00C74A20" w:rsidP="00C74A20">
      <w:pPr>
        <w:spacing w:line="480" w:lineRule="auto"/>
      </w:pPr>
      <w:r w:rsidRPr="00FE4F8C">
        <w:lastRenderedPageBreak/>
        <w:t xml:space="preserve">Respondents/Affected Entities: </w:t>
      </w:r>
      <w:r w:rsidR="00A43061">
        <w:t>20</w:t>
      </w:r>
      <w:r w:rsidRPr="00FE4F8C">
        <w:t>.</w:t>
      </w:r>
    </w:p>
    <w:p w:rsidR="00C74A20" w:rsidRPr="00FE4F8C" w:rsidRDefault="00C74A20" w:rsidP="00C74A20">
      <w:r w:rsidRPr="00FE4F8C">
        <w:t>E</w:t>
      </w:r>
      <w:r>
        <w:t>stimated average number of responses</w:t>
      </w:r>
      <w:r w:rsidRPr="00FE4F8C">
        <w:t xml:space="preserve">:  </w:t>
      </w:r>
      <w:r w:rsidR="00A43061">
        <w:t>20</w:t>
      </w:r>
      <w:r>
        <w:t xml:space="preserve"> </w:t>
      </w:r>
      <w:r w:rsidR="00BC5765">
        <w:t>(one form per year per respondent).</w:t>
      </w:r>
    </w:p>
    <w:p w:rsidR="00C74A20" w:rsidRPr="00FE4F8C" w:rsidRDefault="00C74A20" w:rsidP="00C74A20"/>
    <w:p w:rsidR="00C74A20" w:rsidRPr="00FE4F8C" w:rsidRDefault="00C74A20" w:rsidP="00C74A20">
      <w:r w:rsidRPr="00FE4F8C">
        <w:t xml:space="preserve">Estimated total </w:t>
      </w:r>
      <w:r>
        <w:t xml:space="preserve">average </w:t>
      </w:r>
      <w:r w:rsidRPr="00FE4F8C">
        <w:t xml:space="preserve">annual burden on respondents:  </w:t>
      </w:r>
      <w:r>
        <w:t xml:space="preserve">2 </w:t>
      </w:r>
      <w:r w:rsidRPr="00FE4F8C">
        <w:t>hours</w:t>
      </w:r>
    </w:p>
    <w:p w:rsidR="00C74A20" w:rsidRPr="00FE4F8C" w:rsidRDefault="00C74A20" w:rsidP="00C74A20"/>
    <w:p w:rsidR="00C74A20" w:rsidRDefault="00C74A20" w:rsidP="00C74A20">
      <w:r w:rsidRPr="00FE4F8C">
        <w:t xml:space="preserve">Frequency of collection:  </w:t>
      </w:r>
      <w:r w:rsidRPr="00476CFB">
        <w:t>annually</w:t>
      </w:r>
    </w:p>
    <w:p w:rsidR="00C74A20" w:rsidRDefault="00C74A20" w:rsidP="00C74A20"/>
    <w:p w:rsidR="00C74A20" w:rsidRDefault="00BC5765" w:rsidP="00C74A20">
      <w:r>
        <w:t>Average total cost</w:t>
      </w:r>
      <w:r w:rsidR="00CB42CD">
        <w:t xml:space="preserve"> per response</w:t>
      </w:r>
      <w:r>
        <w:t>: $</w:t>
      </w:r>
      <w:r w:rsidR="00A43061">
        <w:t>82</w:t>
      </w:r>
      <w:r w:rsidR="0034177E">
        <w:t>6</w:t>
      </w:r>
    </w:p>
    <w:p w:rsidR="00C74A20" w:rsidRDefault="00C74A20" w:rsidP="00C74A20"/>
    <w:p w:rsidR="004864CF" w:rsidRDefault="004864CF"/>
    <w:sectPr w:rsidR="004864CF" w:rsidSect="00AD72CD">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F8" w:rsidRDefault="00202AF8" w:rsidP="00CB60C7">
      <w:r>
        <w:separator/>
      </w:r>
    </w:p>
  </w:endnote>
  <w:endnote w:type="continuationSeparator" w:id="0">
    <w:p w:rsidR="00202AF8" w:rsidRDefault="00202AF8" w:rsidP="00CB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335096"/>
      <w:docPartObj>
        <w:docPartGallery w:val="Page Numbers (Bottom of Page)"/>
        <w:docPartUnique/>
      </w:docPartObj>
    </w:sdtPr>
    <w:sdtEndPr>
      <w:rPr>
        <w:noProof/>
      </w:rPr>
    </w:sdtEndPr>
    <w:sdtContent>
      <w:p w:rsidR="007E7174" w:rsidRDefault="007E7174">
        <w:pPr>
          <w:pStyle w:val="Footer"/>
          <w:jc w:val="center"/>
        </w:pPr>
        <w:r>
          <w:fldChar w:fldCharType="begin"/>
        </w:r>
        <w:r>
          <w:instrText xml:space="preserve"> PAGE   \* MERGEFORMAT </w:instrText>
        </w:r>
        <w:r>
          <w:fldChar w:fldCharType="separate"/>
        </w:r>
        <w:r w:rsidR="003E0B57">
          <w:rPr>
            <w:noProof/>
          </w:rPr>
          <w:t>1</w:t>
        </w:r>
        <w:r>
          <w:rPr>
            <w:noProof/>
          </w:rPr>
          <w:fldChar w:fldCharType="end"/>
        </w:r>
      </w:p>
    </w:sdtContent>
  </w:sdt>
  <w:p w:rsidR="00566191" w:rsidRDefault="00566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F8" w:rsidRDefault="00202AF8" w:rsidP="00CB60C7">
      <w:r>
        <w:separator/>
      </w:r>
    </w:p>
  </w:footnote>
  <w:footnote w:type="continuationSeparator" w:id="0">
    <w:p w:rsidR="00202AF8" w:rsidRDefault="00202AF8" w:rsidP="00CB60C7">
      <w:r>
        <w:continuationSeparator/>
      </w:r>
    </w:p>
  </w:footnote>
  <w:footnote w:id="1">
    <w:p w:rsidR="004864CF" w:rsidRDefault="004864CF">
      <w:pPr>
        <w:pStyle w:val="FootnoteText"/>
      </w:pPr>
      <w:r>
        <w:rPr>
          <w:rStyle w:val="FootnoteReference"/>
        </w:rPr>
        <w:footnoteRef/>
      </w:r>
      <w:r>
        <w:t xml:space="preserve"> </w:t>
      </w:r>
      <w:r w:rsidRPr="003E6A92">
        <w:t xml:space="preserve">Using the average salary (base plus locality pay) for the CT-14 pay grade for Commission employees in Washington, D.C. as of June 15, 2012, or $149,438, multiplied by 1.271 to account for benefits, the annual cost to the Commission for each GS-14 employee would be $189,936.  Based on a work year for all Federal employees of 2,087 hours, </w:t>
      </w:r>
      <w:r>
        <w:t xml:space="preserve">the </w:t>
      </w:r>
      <w:r w:rsidR="00A43061">
        <w:t>average hourly wage rate</w:t>
      </w:r>
      <w:r>
        <w:t xml:space="preserve"> is</w:t>
      </w:r>
      <w:r w:rsidRPr="003E6A92">
        <w:t xml:space="preserve"> $91.00</w:t>
      </w:r>
      <w:r>
        <w:t>.  It will therefore cost the Commission $</w:t>
      </w:r>
      <w:r w:rsidR="00A43061">
        <w:t>9</w:t>
      </w:r>
      <w:r>
        <w:t xml:space="preserve"> per </w:t>
      </w:r>
      <w:r w:rsidR="00A43061">
        <w:t>$1 B</w:t>
      </w:r>
      <w:r w:rsidR="00A43061" w:rsidRPr="00CC2C21">
        <w:t xml:space="preserve">illion </w:t>
      </w:r>
      <w:r w:rsidR="00A43061">
        <w:t>N</w:t>
      </w:r>
      <w:r w:rsidR="00A43061" w:rsidRPr="00CC2C21">
        <w:t xml:space="preserve">otice </w:t>
      </w:r>
      <w:r w:rsidR="00A43061">
        <w:t>or</w:t>
      </w:r>
      <w:r w:rsidR="00A43061" w:rsidRPr="00CC2C21">
        <w:t xml:space="preserve"> Alternative Notice email</w:t>
      </w:r>
      <w:r>
        <w:t>, and a total of $18</w:t>
      </w:r>
      <w:r w:rsidR="00A43061">
        <w:t xml:space="preserve">2 </w:t>
      </w:r>
      <w:r>
        <w:t xml:space="preserve">to analyze all </w:t>
      </w:r>
      <w:r w:rsidR="00A43061">
        <w:t>$1 B</w:t>
      </w:r>
      <w:r w:rsidR="00A43061" w:rsidRPr="00CC2C21">
        <w:t xml:space="preserve">illion </w:t>
      </w:r>
      <w:r w:rsidR="00A43061">
        <w:t>N</w:t>
      </w:r>
      <w:r w:rsidR="00A43061" w:rsidRPr="00CC2C21">
        <w:t xml:space="preserve">otice </w:t>
      </w:r>
      <w:r w:rsidR="00A43061">
        <w:t>and</w:t>
      </w:r>
      <w:r w:rsidR="00A43061" w:rsidRPr="00CC2C21">
        <w:t xml:space="preserve"> Alternative Notice email</w:t>
      </w:r>
      <w:r w:rsidR="00A43061">
        <w:t xml:space="preserve">s </w:t>
      </w:r>
      <w:r>
        <w:t>submitted annually.</w:t>
      </w:r>
    </w:p>
  </w:footnote>
  <w:footnote w:id="2">
    <w:p w:rsidR="00A43061" w:rsidRDefault="00A43061" w:rsidP="00A43061">
      <w:pPr>
        <w:pStyle w:val="FootnoteText"/>
      </w:pPr>
      <w:r>
        <w:rPr>
          <w:rStyle w:val="FootnoteReference"/>
        </w:rPr>
        <w:footnoteRef/>
      </w:r>
      <w:r>
        <w:t xml:space="preserve"> </w:t>
      </w:r>
      <w:r w:rsidRPr="00A43061">
        <w:t>The Commission estimates that 20 respondents will file a total of one response each annually.  The estimated average number of hours per response is 2.  The cost of the hourly burden is estimated to be $413 per hour.  Thus, the total annual cost burden is $16,520.</w:t>
      </w:r>
    </w:p>
    <w:p w:rsidR="00A43061" w:rsidRDefault="00A43061" w:rsidP="00A43061">
      <w:pPr>
        <w:pStyle w:val="FootnoteText"/>
      </w:pPr>
    </w:p>
    <w:p w:rsidR="00A43061" w:rsidRDefault="00A43061" w:rsidP="00A43061">
      <w:pPr>
        <w:pStyle w:val="FootnoteText"/>
      </w:pPr>
      <w:r w:rsidRPr="00A43061">
        <w:t xml:space="preserve">The Commission’s $413 per hour estimate is based on hourly wage estimates contained in SIFMA’s </w:t>
      </w:r>
      <w:r w:rsidRPr="00A43061">
        <w:rPr>
          <w:u w:val="single"/>
        </w:rPr>
        <w:t>Report on Management &amp; Professional Earnings in the Securities Industry—2013</w:t>
      </w:r>
      <w:r w:rsidRPr="00A43061">
        <w:t xml:space="preserve">. </w:t>
      </w:r>
      <w:proofErr w:type="gramStart"/>
      <w:r w:rsidRPr="00A43061">
        <w:t>(“SIFMA 2013 Report”).</w:t>
      </w:r>
      <w:proofErr w:type="gramEnd"/>
      <w:r w:rsidRPr="00A43061">
        <w:t xml:space="preserve">  The SIFMA 2013 Report estimated the average wage of a compliance attorney at $684 per hour, and that of a junior compliance specialist at $141 per hour.  The Commission recognizes that particular entities within each range of complexity may, based on their circumstances, incur costs substantially greater or less than the estimated averages.  </w:t>
      </w:r>
    </w:p>
    <w:p w:rsidR="00A43061" w:rsidRDefault="00A43061" w:rsidP="00A43061">
      <w:pPr>
        <w:pStyle w:val="FootnoteText"/>
      </w:pPr>
    </w:p>
    <w:p w:rsidR="00A43061" w:rsidRPr="00A43061" w:rsidRDefault="00A43061" w:rsidP="00A43061">
      <w:pPr>
        <w:pStyle w:val="FootnoteText"/>
      </w:pPr>
      <w:r w:rsidRPr="00A43061">
        <w:t xml:space="preserve">The Commission estimates a one-hour burden to draft either the $1 Billion Notice email or Alternative Notice email by a Compliance Attorney, at a cost of $684 per hour. The Commission estimates an additional one-hour burden for adding the notional amounts of trade options in a spreadsheet or similar program by a junior compliance specialist, at a cost of $141 per hour.  These would be recurring, annual costs.  </w:t>
      </w:r>
    </w:p>
    <w:p w:rsidR="00A43061" w:rsidRDefault="00A4306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D2044"/>
    <w:multiLevelType w:val="hybridMultilevel"/>
    <w:tmpl w:val="FDA6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9C23C6"/>
    <w:multiLevelType w:val="hybridMultilevel"/>
    <w:tmpl w:val="51CC5150"/>
    <w:lvl w:ilvl="0" w:tplc="D390C0B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3C92E85"/>
    <w:multiLevelType w:val="hybridMultilevel"/>
    <w:tmpl w:val="9C4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175EB"/>
    <w:rsid w:val="000232F0"/>
    <w:rsid w:val="00023501"/>
    <w:rsid w:val="0002390B"/>
    <w:rsid w:val="000277A5"/>
    <w:rsid w:val="00030EBB"/>
    <w:rsid w:val="00032852"/>
    <w:rsid w:val="000341C4"/>
    <w:rsid w:val="00050D06"/>
    <w:rsid w:val="00057324"/>
    <w:rsid w:val="000600B6"/>
    <w:rsid w:val="000605D8"/>
    <w:rsid w:val="00063FBB"/>
    <w:rsid w:val="00065329"/>
    <w:rsid w:val="00081341"/>
    <w:rsid w:val="000835F6"/>
    <w:rsid w:val="0008745D"/>
    <w:rsid w:val="00090615"/>
    <w:rsid w:val="000939F0"/>
    <w:rsid w:val="000966F0"/>
    <w:rsid w:val="000A4158"/>
    <w:rsid w:val="000B26DF"/>
    <w:rsid w:val="000B37A1"/>
    <w:rsid w:val="000C30AD"/>
    <w:rsid w:val="000E216C"/>
    <w:rsid w:val="000F16B8"/>
    <w:rsid w:val="000F413A"/>
    <w:rsid w:val="000F43CF"/>
    <w:rsid w:val="000F7C4A"/>
    <w:rsid w:val="00124A68"/>
    <w:rsid w:val="00132FB8"/>
    <w:rsid w:val="0015194E"/>
    <w:rsid w:val="001570FA"/>
    <w:rsid w:val="0016662F"/>
    <w:rsid w:val="0016738E"/>
    <w:rsid w:val="00171C64"/>
    <w:rsid w:val="001737C1"/>
    <w:rsid w:val="00173E2B"/>
    <w:rsid w:val="0017723B"/>
    <w:rsid w:val="0018176A"/>
    <w:rsid w:val="00182FBB"/>
    <w:rsid w:val="00184A5F"/>
    <w:rsid w:val="00190146"/>
    <w:rsid w:val="00193363"/>
    <w:rsid w:val="00196D55"/>
    <w:rsid w:val="001A1542"/>
    <w:rsid w:val="001A21D2"/>
    <w:rsid w:val="001A315C"/>
    <w:rsid w:val="001B1D9B"/>
    <w:rsid w:val="001C06D6"/>
    <w:rsid w:val="001D0F77"/>
    <w:rsid w:val="001D0FB2"/>
    <w:rsid w:val="001D1FAF"/>
    <w:rsid w:val="001E0D04"/>
    <w:rsid w:val="001F0D10"/>
    <w:rsid w:val="001F4DED"/>
    <w:rsid w:val="00202AF8"/>
    <w:rsid w:val="002037F6"/>
    <w:rsid w:val="00206095"/>
    <w:rsid w:val="002102C2"/>
    <w:rsid w:val="00224F8A"/>
    <w:rsid w:val="002331B0"/>
    <w:rsid w:val="00235DD2"/>
    <w:rsid w:val="00241951"/>
    <w:rsid w:val="002469B1"/>
    <w:rsid w:val="00247D20"/>
    <w:rsid w:val="00256058"/>
    <w:rsid w:val="0026473C"/>
    <w:rsid w:val="002658B3"/>
    <w:rsid w:val="00266723"/>
    <w:rsid w:val="00280090"/>
    <w:rsid w:val="00282686"/>
    <w:rsid w:val="00296AC1"/>
    <w:rsid w:val="002A3CC2"/>
    <w:rsid w:val="002A3DCA"/>
    <w:rsid w:val="002B386D"/>
    <w:rsid w:val="002C013D"/>
    <w:rsid w:val="002C0B39"/>
    <w:rsid w:val="002C52D2"/>
    <w:rsid w:val="002D3E29"/>
    <w:rsid w:val="002D50DC"/>
    <w:rsid w:val="002D69B6"/>
    <w:rsid w:val="002E06B0"/>
    <w:rsid w:val="002E1502"/>
    <w:rsid w:val="002E26B4"/>
    <w:rsid w:val="002F1336"/>
    <w:rsid w:val="002F2092"/>
    <w:rsid w:val="002F498B"/>
    <w:rsid w:val="002F7400"/>
    <w:rsid w:val="0030293E"/>
    <w:rsid w:val="00315A5F"/>
    <w:rsid w:val="00315A79"/>
    <w:rsid w:val="003168A3"/>
    <w:rsid w:val="00327429"/>
    <w:rsid w:val="0034177E"/>
    <w:rsid w:val="00346CCF"/>
    <w:rsid w:val="00353F98"/>
    <w:rsid w:val="00355CD8"/>
    <w:rsid w:val="00371B63"/>
    <w:rsid w:val="00372F94"/>
    <w:rsid w:val="003742D1"/>
    <w:rsid w:val="00380D74"/>
    <w:rsid w:val="00383EE8"/>
    <w:rsid w:val="00386BD9"/>
    <w:rsid w:val="00387BF2"/>
    <w:rsid w:val="00387DE0"/>
    <w:rsid w:val="00390223"/>
    <w:rsid w:val="003A04C2"/>
    <w:rsid w:val="003A65CB"/>
    <w:rsid w:val="003B60A5"/>
    <w:rsid w:val="003D4314"/>
    <w:rsid w:val="003D49DE"/>
    <w:rsid w:val="003D597E"/>
    <w:rsid w:val="003E0B57"/>
    <w:rsid w:val="003E256B"/>
    <w:rsid w:val="003E6A92"/>
    <w:rsid w:val="003F0037"/>
    <w:rsid w:val="003F308D"/>
    <w:rsid w:val="003F4662"/>
    <w:rsid w:val="003F7037"/>
    <w:rsid w:val="004024C0"/>
    <w:rsid w:val="00402BC8"/>
    <w:rsid w:val="004056E1"/>
    <w:rsid w:val="00410397"/>
    <w:rsid w:val="00415146"/>
    <w:rsid w:val="00420535"/>
    <w:rsid w:val="00427241"/>
    <w:rsid w:val="004309D9"/>
    <w:rsid w:val="00440F94"/>
    <w:rsid w:val="004435EB"/>
    <w:rsid w:val="0044398D"/>
    <w:rsid w:val="00453576"/>
    <w:rsid w:val="00457CD5"/>
    <w:rsid w:val="00461BE7"/>
    <w:rsid w:val="00473EEC"/>
    <w:rsid w:val="00484030"/>
    <w:rsid w:val="00484368"/>
    <w:rsid w:val="004864CF"/>
    <w:rsid w:val="00487DD9"/>
    <w:rsid w:val="00493781"/>
    <w:rsid w:val="0049540F"/>
    <w:rsid w:val="004A282C"/>
    <w:rsid w:val="004B7C1F"/>
    <w:rsid w:val="004D06A4"/>
    <w:rsid w:val="004D2594"/>
    <w:rsid w:val="004D36F7"/>
    <w:rsid w:val="004E77DC"/>
    <w:rsid w:val="004F5BCC"/>
    <w:rsid w:val="00503C27"/>
    <w:rsid w:val="005159C1"/>
    <w:rsid w:val="00517B58"/>
    <w:rsid w:val="00524271"/>
    <w:rsid w:val="00525E95"/>
    <w:rsid w:val="0052625D"/>
    <w:rsid w:val="00526447"/>
    <w:rsid w:val="0053053A"/>
    <w:rsid w:val="00534983"/>
    <w:rsid w:val="00534B6B"/>
    <w:rsid w:val="00542723"/>
    <w:rsid w:val="00550FDD"/>
    <w:rsid w:val="00552770"/>
    <w:rsid w:val="005652AC"/>
    <w:rsid w:val="00565921"/>
    <w:rsid w:val="00566191"/>
    <w:rsid w:val="00574C2F"/>
    <w:rsid w:val="00576890"/>
    <w:rsid w:val="005768BA"/>
    <w:rsid w:val="00583E5B"/>
    <w:rsid w:val="00586F7E"/>
    <w:rsid w:val="00591252"/>
    <w:rsid w:val="00592165"/>
    <w:rsid w:val="0059221E"/>
    <w:rsid w:val="00596D53"/>
    <w:rsid w:val="005A1669"/>
    <w:rsid w:val="005A4D99"/>
    <w:rsid w:val="005A56CC"/>
    <w:rsid w:val="005B0BE6"/>
    <w:rsid w:val="005B27BA"/>
    <w:rsid w:val="005B323F"/>
    <w:rsid w:val="005C0DD3"/>
    <w:rsid w:val="005C479A"/>
    <w:rsid w:val="005C7E0A"/>
    <w:rsid w:val="005D0314"/>
    <w:rsid w:val="005E536C"/>
    <w:rsid w:val="005F0AD3"/>
    <w:rsid w:val="005F4138"/>
    <w:rsid w:val="005F449F"/>
    <w:rsid w:val="005F6628"/>
    <w:rsid w:val="0060418F"/>
    <w:rsid w:val="006046B6"/>
    <w:rsid w:val="006101E5"/>
    <w:rsid w:val="0062259E"/>
    <w:rsid w:val="00625474"/>
    <w:rsid w:val="00634796"/>
    <w:rsid w:val="006371A5"/>
    <w:rsid w:val="00640D5B"/>
    <w:rsid w:val="006423E7"/>
    <w:rsid w:val="00642680"/>
    <w:rsid w:val="006500E8"/>
    <w:rsid w:val="00654BB3"/>
    <w:rsid w:val="00664257"/>
    <w:rsid w:val="00675296"/>
    <w:rsid w:val="00677F55"/>
    <w:rsid w:val="00682E2C"/>
    <w:rsid w:val="00692A25"/>
    <w:rsid w:val="006A05A1"/>
    <w:rsid w:val="006A3336"/>
    <w:rsid w:val="006A6FCF"/>
    <w:rsid w:val="006C1D44"/>
    <w:rsid w:val="006C6EF4"/>
    <w:rsid w:val="006D0492"/>
    <w:rsid w:val="006D224C"/>
    <w:rsid w:val="006D38A6"/>
    <w:rsid w:val="006D4EA5"/>
    <w:rsid w:val="006D759D"/>
    <w:rsid w:val="006E3F07"/>
    <w:rsid w:val="006F2C4E"/>
    <w:rsid w:val="006F4F75"/>
    <w:rsid w:val="006F6771"/>
    <w:rsid w:val="006F7274"/>
    <w:rsid w:val="007003B8"/>
    <w:rsid w:val="00701D5C"/>
    <w:rsid w:val="0074513D"/>
    <w:rsid w:val="007536D5"/>
    <w:rsid w:val="0075384F"/>
    <w:rsid w:val="00753B6E"/>
    <w:rsid w:val="00754164"/>
    <w:rsid w:val="007602AC"/>
    <w:rsid w:val="007616A9"/>
    <w:rsid w:val="00773F48"/>
    <w:rsid w:val="00775781"/>
    <w:rsid w:val="00793467"/>
    <w:rsid w:val="00794BD7"/>
    <w:rsid w:val="00796330"/>
    <w:rsid w:val="007A49AE"/>
    <w:rsid w:val="007B2CE3"/>
    <w:rsid w:val="007D270C"/>
    <w:rsid w:val="007E7174"/>
    <w:rsid w:val="007E7868"/>
    <w:rsid w:val="007F2D28"/>
    <w:rsid w:val="007F5475"/>
    <w:rsid w:val="00803774"/>
    <w:rsid w:val="00807DB0"/>
    <w:rsid w:val="00810F14"/>
    <w:rsid w:val="008159FE"/>
    <w:rsid w:val="008207B9"/>
    <w:rsid w:val="00834DD7"/>
    <w:rsid w:val="0084419F"/>
    <w:rsid w:val="00847761"/>
    <w:rsid w:val="008519D2"/>
    <w:rsid w:val="0085370C"/>
    <w:rsid w:val="008547ED"/>
    <w:rsid w:val="00860CE6"/>
    <w:rsid w:val="00863A6C"/>
    <w:rsid w:val="00864576"/>
    <w:rsid w:val="00875D3B"/>
    <w:rsid w:val="0087790C"/>
    <w:rsid w:val="008827E0"/>
    <w:rsid w:val="0088767B"/>
    <w:rsid w:val="00896177"/>
    <w:rsid w:val="008A1115"/>
    <w:rsid w:val="008B4817"/>
    <w:rsid w:val="008C1109"/>
    <w:rsid w:val="008C3257"/>
    <w:rsid w:val="008C3CA7"/>
    <w:rsid w:val="008D0546"/>
    <w:rsid w:val="008D761A"/>
    <w:rsid w:val="008E3461"/>
    <w:rsid w:val="008E7AF8"/>
    <w:rsid w:val="008F1930"/>
    <w:rsid w:val="008F7E0C"/>
    <w:rsid w:val="009025A4"/>
    <w:rsid w:val="0090417E"/>
    <w:rsid w:val="00911EE7"/>
    <w:rsid w:val="0092012D"/>
    <w:rsid w:val="009220A1"/>
    <w:rsid w:val="0092581A"/>
    <w:rsid w:val="00925FF4"/>
    <w:rsid w:val="00932277"/>
    <w:rsid w:val="009367E2"/>
    <w:rsid w:val="00943BB2"/>
    <w:rsid w:val="00944106"/>
    <w:rsid w:val="00945C50"/>
    <w:rsid w:val="0095732F"/>
    <w:rsid w:val="00995D04"/>
    <w:rsid w:val="009A24BB"/>
    <w:rsid w:val="009B5165"/>
    <w:rsid w:val="009C0842"/>
    <w:rsid w:val="009C5CF2"/>
    <w:rsid w:val="009D187B"/>
    <w:rsid w:val="009D3A33"/>
    <w:rsid w:val="009E20E0"/>
    <w:rsid w:val="009E2CE2"/>
    <w:rsid w:val="009F4570"/>
    <w:rsid w:val="009F5BE2"/>
    <w:rsid w:val="00A0346E"/>
    <w:rsid w:val="00A05E23"/>
    <w:rsid w:val="00A06CDC"/>
    <w:rsid w:val="00A11B9C"/>
    <w:rsid w:val="00A20639"/>
    <w:rsid w:val="00A213BD"/>
    <w:rsid w:val="00A31CC4"/>
    <w:rsid w:val="00A43061"/>
    <w:rsid w:val="00A50199"/>
    <w:rsid w:val="00A61170"/>
    <w:rsid w:val="00A61F7A"/>
    <w:rsid w:val="00A7542F"/>
    <w:rsid w:val="00A80D36"/>
    <w:rsid w:val="00A8414C"/>
    <w:rsid w:val="00A8752C"/>
    <w:rsid w:val="00A87E91"/>
    <w:rsid w:val="00A938FE"/>
    <w:rsid w:val="00A95253"/>
    <w:rsid w:val="00AA0461"/>
    <w:rsid w:val="00AB0BBC"/>
    <w:rsid w:val="00AC00CC"/>
    <w:rsid w:val="00AC5FA8"/>
    <w:rsid w:val="00AD1B32"/>
    <w:rsid w:val="00AD716A"/>
    <w:rsid w:val="00AD72CD"/>
    <w:rsid w:val="00AE4C42"/>
    <w:rsid w:val="00AF4A73"/>
    <w:rsid w:val="00B05FA4"/>
    <w:rsid w:val="00B1019A"/>
    <w:rsid w:val="00B22DD7"/>
    <w:rsid w:val="00B22FB7"/>
    <w:rsid w:val="00B24358"/>
    <w:rsid w:val="00B24F98"/>
    <w:rsid w:val="00B31D59"/>
    <w:rsid w:val="00B36E33"/>
    <w:rsid w:val="00B50EEE"/>
    <w:rsid w:val="00B51F4A"/>
    <w:rsid w:val="00B66F38"/>
    <w:rsid w:val="00B800F8"/>
    <w:rsid w:val="00B90175"/>
    <w:rsid w:val="00B94AFA"/>
    <w:rsid w:val="00BA0CF6"/>
    <w:rsid w:val="00BA68AC"/>
    <w:rsid w:val="00BA7889"/>
    <w:rsid w:val="00BB4C1A"/>
    <w:rsid w:val="00BC4975"/>
    <w:rsid w:val="00BC5447"/>
    <w:rsid w:val="00BC5765"/>
    <w:rsid w:val="00BD4837"/>
    <w:rsid w:val="00BD553D"/>
    <w:rsid w:val="00BE1714"/>
    <w:rsid w:val="00BF20CC"/>
    <w:rsid w:val="00BF2F79"/>
    <w:rsid w:val="00BF54BE"/>
    <w:rsid w:val="00BF5F7A"/>
    <w:rsid w:val="00C040AC"/>
    <w:rsid w:val="00C07BDA"/>
    <w:rsid w:val="00C2325B"/>
    <w:rsid w:val="00C23889"/>
    <w:rsid w:val="00C33FC9"/>
    <w:rsid w:val="00C37E53"/>
    <w:rsid w:val="00C41431"/>
    <w:rsid w:val="00C424BC"/>
    <w:rsid w:val="00C4280C"/>
    <w:rsid w:val="00C4606F"/>
    <w:rsid w:val="00C50F6D"/>
    <w:rsid w:val="00C50FAC"/>
    <w:rsid w:val="00C60B24"/>
    <w:rsid w:val="00C6498B"/>
    <w:rsid w:val="00C649BE"/>
    <w:rsid w:val="00C70013"/>
    <w:rsid w:val="00C74A20"/>
    <w:rsid w:val="00C77DFA"/>
    <w:rsid w:val="00C82467"/>
    <w:rsid w:val="00C83F82"/>
    <w:rsid w:val="00C902A1"/>
    <w:rsid w:val="00CA12F8"/>
    <w:rsid w:val="00CA1B6D"/>
    <w:rsid w:val="00CB24FF"/>
    <w:rsid w:val="00CB42CD"/>
    <w:rsid w:val="00CB60C7"/>
    <w:rsid w:val="00CB7148"/>
    <w:rsid w:val="00CC009F"/>
    <w:rsid w:val="00CC2C21"/>
    <w:rsid w:val="00CD542F"/>
    <w:rsid w:val="00CE0382"/>
    <w:rsid w:val="00CF7673"/>
    <w:rsid w:val="00D0206D"/>
    <w:rsid w:val="00D03F7B"/>
    <w:rsid w:val="00D04857"/>
    <w:rsid w:val="00D05785"/>
    <w:rsid w:val="00D05B93"/>
    <w:rsid w:val="00D14348"/>
    <w:rsid w:val="00D20989"/>
    <w:rsid w:val="00D21740"/>
    <w:rsid w:val="00D24617"/>
    <w:rsid w:val="00D338DC"/>
    <w:rsid w:val="00D40FE0"/>
    <w:rsid w:val="00D41450"/>
    <w:rsid w:val="00D4197D"/>
    <w:rsid w:val="00D443F5"/>
    <w:rsid w:val="00D52101"/>
    <w:rsid w:val="00D55CAE"/>
    <w:rsid w:val="00D56D12"/>
    <w:rsid w:val="00D67916"/>
    <w:rsid w:val="00D73078"/>
    <w:rsid w:val="00D77105"/>
    <w:rsid w:val="00D8025D"/>
    <w:rsid w:val="00D9298D"/>
    <w:rsid w:val="00D93BA9"/>
    <w:rsid w:val="00DA691A"/>
    <w:rsid w:val="00DB03AA"/>
    <w:rsid w:val="00DB2157"/>
    <w:rsid w:val="00DC2B99"/>
    <w:rsid w:val="00DC4E38"/>
    <w:rsid w:val="00DC522E"/>
    <w:rsid w:val="00DE297F"/>
    <w:rsid w:val="00E013D8"/>
    <w:rsid w:val="00E05D75"/>
    <w:rsid w:val="00E11EED"/>
    <w:rsid w:val="00E1421F"/>
    <w:rsid w:val="00E17DE8"/>
    <w:rsid w:val="00E22E82"/>
    <w:rsid w:val="00E230AB"/>
    <w:rsid w:val="00E2335E"/>
    <w:rsid w:val="00E236E5"/>
    <w:rsid w:val="00E240FB"/>
    <w:rsid w:val="00E25077"/>
    <w:rsid w:val="00E25F97"/>
    <w:rsid w:val="00E268D0"/>
    <w:rsid w:val="00E313D8"/>
    <w:rsid w:val="00E325BE"/>
    <w:rsid w:val="00E3672D"/>
    <w:rsid w:val="00E36FCD"/>
    <w:rsid w:val="00E42631"/>
    <w:rsid w:val="00E54A26"/>
    <w:rsid w:val="00E55422"/>
    <w:rsid w:val="00E605B7"/>
    <w:rsid w:val="00E639DE"/>
    <w:rsid w:val="00E7242A"/>
    <w:rsid w:val="00E733F8"/>
    <w:rsid w:val="00E90F3F"/>
    <w:rsid w:val="00E93DA6"/>
    <w:rsid w:val="00E944C1"/>
    <w:rsid w:val="00EA260E"/>
    <w:rsid w:val="00EA6B86"/>
    <w:rsid w:val="00EB4997"/>
    <w:rsid w:val="00EB7F98"/>
    <w:rsid w:val="00EC0E5E"/>
    <w:rsid w:val="00EC0E78"/>
    <w:rsid w:val="00EC2551"/>
    <w:rsid w:val="00EC7005"/>
    <w:rsid w:val="00ED0361"/>
    <w:rsid w:val="00ED609B"/>
    <w:rsid w:val="00EE03B3"/>
    <w:rsid w:val="00EE2608"/>
    <w:rsid w:val="00EE44CA"/>
    <w:rsid w:val="00EE4E0D"/>
    <w:rsid w:val="00EE677F"/>
    <w:rsid w:val="00EE7872"/>
    <w:rsid w:val="00EE7D31"/>
    <w:rsid w:val="00F12BA6"/>
    <w:rsid w:val="00F24E01"/>
    <w:rsid w:val="00F264B6"/>
    <w:rsid w:val="00F36F82"/>
    <w:rsid w:val="00F437AA"/>
    <w:rsid w:val="00F44C0A"/>
    <w:rsid w:val="00F45CC6"/>
    <w:rsid w:val="00F50479"/>
    <w:rsid w:val="00F52D41"/>
    <w:rsid w:val="00F53604"/>
    <w:rsid w:val="00F570E2"/>
    <w:rsid w:val="00F62252"/>
    <w:rsid w:val="00F63EC3"/>
    <w:rsid w:val="00F654DB"/>
    <w:rsid w:val="00F706E4"/>
    <w:rsid w:val="00F80680"/>
    <w:rsid w:val="00F85FEA"/>
    <w:rsid w:val="00F86BB6"/>
    <w:rsid w:val="00F86F2A"/>
    <w:rsid w:val="00F91BB4"/>
    <w:rsid w:val="00F940C0"/>
    <w:rsid w:val="00F955CA"/>
    <w:rsid w:val="00F978BB"/>
    <w:rsid w:val="00FA241F"/>
    <w:rsid w:val="00FB404A"/>
    <w:rsid w:val="00FC5158"/>
    <w:rsid w:val="00FC59D7"/>
    <w:rsid w:val="00FC64FD"/>
    <w:rsid w:val="00FD0FBE"/>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CommentReference">
    <w:name w:val="annotation reference"/>
    <w:basedOn w:val="DefaultParagraphFont"/>
    <w:rsid w:val="0087790C"/>
    <w:rPr>
      <w:sz w:val="16"/>
      <w:szCs w:val="16"/>
    </w:rPr>
  </w:style>
  <w:style w:type="paragraph" w:styleId="CommentText">
    <w:name w:val="annotation text"/>
    <w:basedOn w:val="Normal"/>
    <w:link w:val="CommentTextChar"/>
    <w:rsid w:val="0087790C"/>
    <w:rPr>
      <w:sz w:val="20"/>
      <w:szCs w:val="20"/>
    </w:rPr>
  </w:style>
  <w:style w:type="character" w:customStyle="1" w:styleId="CommentTextChar">
    <w:name w:val="Comment Text Char"/>
    <w:basedOn w:val="DefaultParagraphFont"/>
    <w:link w:val="CommentText"/>
    <w:rsid w:val="0087790C"/>
    <w:rPr>
      <w:rFonts w:ascii="Arial" w:hAnsi="Arial"/>
    </w:rPr>
  </w:style>
  <w:style w:type="paragraph" w:styleId="CommentSubject">
    <w:name w:val="annotation subject"/>
    <w:basedOn w:val="CommentText"/>
    <w:next w:val="CommentText"/>
    <w:link w:val="CommentSubjectChar"/>
    <w:rsid w:val="0087790C"/>
    <w:rPr>
      <w:b/>
      <w:bCs/>
    </w:rPr>
  </w:style>
  <w:style w:type="character" w:customStyle="1" w:styleId="CommentSubjectChar">
    <w:name w:val="Comment Subject Char"/>
    <w:basedOn w:val="CommentTextChar"/>
    <w:link w:val="CommentSubject"/>
    <w:rsid w:val="0087790C"/>
    <w:rPr>
      <w:rFonts w:ascii="Arial" w:hAnsi="Arial"/>
      <w:b/>
      <w:bCs/>
    </w:rPr>
  </w:style>
  <w:style w:type="paragraph" w:styleId="BalloonText">
    <w:name w:val="Balloon Text"/>
    <w:basedOn w:val="Normal"/>
    <w:link w:val="BalloonTextChar"/>
    <w:rsid w:val="0087790C"/>
    <w:rPr>
      <w:rFonts w:ascii="Tahoma" w:hAnsi="Tahoma" w:cs="Tahoma"/>
      <w:sz w:val="16"/>
      <w:szCs w:val="16"/>
    </w:rPr>
  </w:style>
  <w:style w:type="character" w:customStyle="1" w:styleId="BalloonTextChar">
    <w:name w:val="Balloon Text Char"/>
    <w:basedOn w:val="DefaultParagraphFont"/>
    <w:link w:val="BalloonText"/>
    <w:rsid w:val="0087790C"/>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rsid w:val="00CB60C7"/>
    <w:rPr>
      <w:rFonts w:ascii="Times New Roman" w:hAnsi="Times New Roman"/>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CB60C7"/>
  </w:style>
  <w:style w:type="character" w:styleId="FootnoteReference">
    <w:name w:val="footnote reference"/>
    <w:aliases w:val="fr,Style 19,Style 16,Style 35"/>
    <w:uiPriority w:val="99"/>
    <w:unhideWhenUsed/>
    <w:rsid w:val="00CB60C7"/>
    <w:rPr>
      <w:rFonts w:ascii="Times New Roman" w:hAnsi="Times New Roman" w:cs="Times New Roman" w:hint="default"/>
      <w:vertAlign w:val="superscript"/>
    </w:rPr>
  </w:style>
  <w:style w:type="paragraph" w:styleId="ListParagraph">
    <w:name w:val="List Paragraph"/>
    <w:basedOn w:val="Normal"/>
    <w:uiPriority w:val="34"/>
    <w:qFormat/>
    <w:rsid w:val="00640D5B"/>
    <w:pPr>
      <w:ind w:left="720"/>
      <w:contextualSpacing/>
    </w:pPr>
  </w:style>
  <w:style w:type="character" w:styleId="Hyperlink">
    <w:name w:val="Hyperlink"/>
    <w:uiPriority w:val="99"/>
    <w:unhideWhenUsed/>
    <w:rsid w:val="00C74A20"/>
    <w:rPr>
      <w:color w:val="0000FF"/>
      <w:u w:val="single"/>
    </w:rPr>
  </w:style>
  <w:style w:type="character" w:styleId="FollowedHyperlink">
    <w:name w:val="FollowedHyperlink"/>
    <w:basedOn w:val="DefaultParagraphFont"/>
    <w:rsid w:val="00C74A20"/>
    <w:rPr>
      <w:color w:val="800080" w:themeColor="followedHyperlink"/>
      <w:u w:val="single"/>
    </w:rPr>
  </w:style>
  <w:style w:type="paragraph" w:styleId="Revision">
    <w:name w:val="Revision"/>
    <w:hidden/>
    <w:uiPriority w:val="99"/>
    <w:semiHidden/>
    <w:rsid w:val="002C52D2"/>
    <w:rPr>
      <w:rFonts w:ascii="Arial" w:hAnsi="Arial"/>
      <w:sz w:val="24"/>
      <w:szCs w:val="24"/>
    </w:rPr>
  </w:style>
  <w:style w:type="paragraph" w:styleId="Header">
    <w:name w:val="header"/>
    <w:basedOn w:val="Normal"/>
    <w:link w:val="HeaderChar"/>
    <w:rsid w:val="00566191"/>
    <w:pPr>
      <w:tabs>
        <w:tab w:val="center" w:pos="4680"/>
        <w:tab w:val="right" w:pos="9360"/>
      </w:tabs>
    </w:pPr>
  </w:style>
  <w:style w:type="character" w:customStyle="1" w:styleId="HeaderChar">
    <w:name w:val="Header Char"/>
    <w:basedOn w:val="DefaultParagraphFont"/>
    <w:link w:val="Header"/>
    <w:rsid w:val="00566191"/>
    <w:rPr>
      <w:rFonts w:ascii="Arial" w:hAnsi="Arial"/>
      <w:sz w:val="24"/>
      <w:szCs w:val="24"/>
    </w:rPr>
  </w:style>
  <w:style w:type="paragraph" w:styleId="Footer">
    <w:name w:val="footer"/>
    <w:basedOn w:val="Normal"/>
    <w:link w:val="FooterChar"/>
    <w:uiPriority w:val="99"/>
    <w:rsid w:val="00566191"/>
    <w:pPr>
      <w:tabs>
        <w:tab w:val="center" w:pos="4680"/>
        <w:tab w:val="right" w:pos="9360"/>
      </w:tabs>
    </w:pPr>
  </w:style>
  <w:style w:type="character" w:customStyle="1" w:styleId="FooterChar">
    <w:name w:val="Footer Char"/>
    <w:basedOn w:val="DefaultParagraphFont"/>
    <w:link w:val="Footer"/>
    <w:uiPriority w:val="99"/>
    <w:rsid w:val="00566191"/>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CommentReference">
    <w:name w:val="annotation reference"/>
    <w:basedOn w:val="DefaultParagraphFont"/>
    <w:rsid w:val="0087790C"/>
    <w:rPr>
      <w:sz w:val="16"/>
      <w:szCs w:val="16"/>
    </w:rPr>
  </w:style>
  <w:style w:type="paragraph" w:styleId="CommentText">
    <w:name w:val="annotation text"/>
    <w:basedOn w:val="Normal"/>
    <w:link w:val="CommentTextChar"/>
    <w:rsid w:val="0087790C"/>
    <w:rPr>
      <w:sz w:val="20"/>
      <w:szCs w:val="20"/>
    </w:rPr>
  </w:style>
  <w:style w:type="character" w:customStyle="1" w:styleId="CommentTextChar">
    <w:name w:val="Comment Text Char"/>
    <w:basedOn w:val="DefaultParagraphFont"/>
    <w:link w:val="CommentText"/>
    <w:rsid w:val="0087790C"/>
    <w:rPr>
      <w:rFonts w:ascii="Arial" w:hAnsi="Arial"/>
    </w:rPr>
  </w:style>
  <w:style w:type="paragraph" w:styleId="CommentSubject">
    <w:name w:val="annotation subject"/>
    <w:basedOn w:val="CommentText"/>
    <w:next w:val="CommentText"/>
    <w:link w:val="CommentSubjectChar"/>
    <w:rsid w:val="0087790C"/>
    <w:rPr>
      <w:b/>
      <w:bCs/>
    </w:rPr>
  </w:style>
  <w:style w:type="character" w:customStyle="1" w:styleId="CommentSubjectChar">
    <w:name w:val="Comment Subject Char"/>
    <w:basedOn w:val="CommentTextChar"/>
    <w:link w:val="CommentSubject"/>
    <w:rsid w:val="0087790C"/>
    <w:rPr>
      <w:rFonts w:ascii="Arial" w:hAnsi="Arial"/>
      <w:b/>
      <w:bCs/>
    </w:rPr>
  </w:style>
  <w:style w:type="paragraph" w:styleId="BalloonText">
    <w:name w:val="Balloon Text"/>
    <w:basedOn w:val="Normal"/>
    <w:link w:val="BalloonTextChar"/>
    <w:rsid w:val="0087790C"/>
    <w:rPr>
      <w:rFonts w:ascii="Tahoma" w:hAnsi="Tahoma" w:cs="Tahoma"/>
      <w:sz w:val="16"/>
      <w:szCs w:val="16"/>
    </w:rPr>
  </w:style>
  <w:style w:type="character" w:customStyle="1" w:styleId="BalloonTextChar">
    <w:name w:val="Balloon Text Char"/>
    <w:basedOn w:val="DefaultParagraphFont"/>
    <w:link w:val="BalloonText"/>
    <w:rsid w:val="0087790C"/>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rsid w:val="00CB60C7"/>
    <w:rPr>
      <w:rFonts w:ascii="Times New Roman" w:hAnsi="Times New Roman"/>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CB60C7"/>
  </w:style>
  <w:style w:type="character" w:styleId="FootnoteReference">
    <w:name w:val="footnote reference"/>
    <w:aliases w:val="fr,Style 19,Style 16,Style 35"/>
    <w:uiPriority w:val="99"/>
    <w:unhideWhenUsed/>
    <w:rsid w:val="00CB60C7"/>
    <w:rPr>
      <w:rFonts w:ascii="Times New Roman" w:hAnsi="Times New Roman" w:cs="Times New Roman" w:hint="default"/>
      <w:vertAlign w:val="superscript"/>
    </w:rPr>
  </w:style>
  <w:style w:type="paragraph" w:styleId="ListParagraph">
    <w:name w:val="List Paragraph"/>
    <w:basedOn w:val="Normal"/>
    <w:uiPriority w:val="34"/>
    <w:qFormat/>
    <w:rsid w:val="00640D5B"/>
    <w:pPr>
      <w:ind w:left="720"/>
      <w:contextualSpacing/>
    </w:pPr>
  </w:style>
  <w:style w:type="character" w:styleId="Hyperlink">
    <w:name w:val="Hyperlink"/>
    <w:uiPriority w:val="99"/>
    <w:unhideWhenUsed/>
    <w:rsid w:val="00C74A20"/>
    <w:rPr>
      <w:color w:val="0000FF"/>
      <w:u w:val="single"/>
    </w:rPr>
  </w:style>
  <w:style w:type="character" w:styleId="FollowedHyperlink">
    <w:name w:val="FollowedHyperlink"/>
    <w:basedOn w:val="DefaultParagraphFont"/>
    <w:rsid w:val="00C74A20"/>
    <w:rPr>
      <w:color w:val="800080" w:themeColor="followedHyperlink"/>
      <w:u w:val="single"/>
    </w:rPr>
  </w:style>
  <w:style w:type="paragraph" w:styleId="Revision">
    <w:name w:val="Revision"/>
    <w:hidden/>
    <w:uiPriority w:val="99"/>
    <w:semiHidden/>
    <w:rsid w:val="002C52D2"/>
    <w:rPr>
      <w:rFonts w:ascii="Arial" w:hAnsi="Arial"/>
      <w:sz w:val="24"/>
      <w:szCs w:val="24"/>
    </w:rPr>
  </w:style>
  <w:style w:type="paragraph" w:styleId="Header">
    <w:name w:val="header"/>
    <w:basedOn w:val="Normal"/>
    <w:link w:val="HeaderChar"/>
    <w:rsid w:val="00566191"/>
    <w:pPr>
      <w:tabs>
        <w:tab w:val="center" w:pos="4680"/>
        <w:tab w:val="right" w:pos="9360"/>
      </w:tabs>
    </w:pPr>
  </w:style>
  <w:style w:type="character" w:customStyle="1" w:styleId="HeaderChar">
    <w:name w:val="Header Char"/>
    <w:basedOn w:val="DefaultParagraphFont"/>
    <w:link w:val="Header"/>
    <w:rsid w:val="00566191"/>
    <w:rPr>
      <w:rFonts w:ascii="Arial" w:hAnsi="Arial"/>
      <w:sz w:val="24"/>
      <w:szCs w:val="24"/>
    </w:rPr>
  </w:style>
  <w:style w:type="paragraph" w:styleId="Footer">
    <w:name w:val="footer"/>
    <w:basedOn w:val="Normal"/>
    <w:link w:val="FooterChar"/>
    <w:uiPriority w:val="99"/>
    <w:rsid w:val="00566191"/>
    <w:pPr>
      <w:tabs>
        <w:tab w:val="center" w:pos="4680"/>
        <w:tab w:val="right" w:pos="9360"/>
      </w:tabs>
    </w:pPr>
  </w:style>
  <w:style w:type="character" w:customStyle="1" w:styleId="FooterChar">
    <w:name w:val="Footer Char"/>
    <w:basedOn w:val="DefaultParagraphFont"/>
    <w:link w:val="Footer"/>
    <w:uiPriority w:val="99"/>
    <w:rsid w:val="0056619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9075">
      <w:bodyDiv w:val="1"/>
      <w:marLeft w:val="0"/>
      <w:marRight w:val="0"/>
      <w:marTop w:val="0"/>
      <w:marBottom w:val="0"/>
      <w:divBdr>
        <w:top w:val="none" w:sz="0" w:space="0" w:color="auto"/>
        <w:left w:val="none" w:sz="0" w:space="0" w:color="auto"/>
        <w:bottom w:val="none" w:sz="0" w:space="0" w:color="auto"/>
        <w:right w:val="none" w:sz="0" w:space="0" w:color="auto"/>
      </w:divBdr>
    </w:div>
    <w:div w:id="303698887">
      <w:bodyDiv w:val="1"/>
      <w:marLeft w:val="0"/>
      <w:marRight w:val="0"/>
      <w:marTop w:val="0"/>
      <w:marBottom w:val="0"/>
      <w:divBdr>
        <w:top w:val="none" w:sz="0" w:space="0" w:color="auto"/>
        <w:left w:val="none" w:sz="0" w:space="0" w:color="auto"/>
        <w:bottom w:val="none" w:sz="0" w:space="0" w:color="auto"/>
        <w:right w:val="none" w:sz="0" w:space="0" w:color="auto"/>
      </w:divBdr>
      <w:divsChild>
        <w:div w:id="1464692170">
          <w:marLeft w:val="0"/>
          <w:marRight w:val="0"/>
          <w:marTop w:val="0"/>
          <w:marBottom w:val="0"/>
          <w:divBdr>
            <w:top w:val="none" w:sz="0" w:space="0" w:color="auto"/>
            <w:left w:val="none" w:sz="0" w:space="0" w:color="auto"/>
            <w:bottom w:val="none" w:sz="0" w:space="0" w:color="auto"/>
            <w:right w:val="none" w:sz="0" w:space="0" w:color="auto"/>
          </w:divBdr>
          <w:divsChild>
            <w:div w:id="1141189844">
              <w:marLeft w:val="0"/>
              <w:marRight w:val="0"/>
              <w:marTop w:val="100"/>
              <w:marBottom w:val="100"/>
              <w:divBdr>
                <w:top w:val="none" w:sz="0" w:space="0" w:color="auto"/>
                <w:left w:val="none" w:sz="0" w:space="0" w:color="auto"/>
                <w:bottom w:val="none" w:sz="0" w:space="0" w:color="auto"/>
                <w:right w:val="none" w:sz="0" w:space="0" w:color="auto"/>
              </w:divBdr>
              <w:divsChild>
                <w:div w:id="625694431">
                  <w:marLeft w:val="0"/>
                  <w:marRight w:val="0"/>
                  <w:marTop w:val="0"/>
                  <w:marBottom w:val="0"/>
                  <w:divBdr>
                    <w:top w:val="none" w:sz="0" w:space="0" w:color="auto"/>
                    <w:left w:val="none" w:sz="0" w:space="0" w:color="auto"/>
                    <w:bottom w:val="none" w:sz="0" w:space="0" w:color="auto"/>
                    <w:right w:val="none" w:sz="0" w:space="0" w:color="auto"/>
                  </w:divBdr>
                  <w:divsChild>
                    <w:div w:id="613250034">
                      <w:marLeft w:val="0"/>
                      <w:marRight w:val="0"/>
                      <w:marTop w:val="0"/>
                      <w:marBottom w:val="0"/>
                      <w:divBdr>
                        <w:top w:val="none" w:sz="0" w:space="0" w:color="auto"/>
                        <w:left w:val="none" w:sz="0" w:space="0" w:color="auto"/>
                        <w:bottom w:val="none" w:sz="0" w:space="0" w:color="auto"/>
                        <w:right w:val="none" w:sz="0" w:space="0" w:color="auto"/>
                      </w:divBdr>
                      <w:divsChild>
                        <w:div w:id="1456410109">
                          <w:marLeft w:val="0"/>
                          <w:marRight w:val="0"/>
                          <w:marTop w:val="0"/>
                          <w:marBottom w:val="0"/>
                          <w:divBdr>
                            <w:top w:val="none" w:sz="0" w:space="0" w:color="auto"/>
                            <w:left w:val="none" w:sz="0" w:space="0" w:color="auto"/>
                            <w:bottom w:val="none" w:sz="0" w:space="0" w:color="auto"/>
                            <w:right w:val="none" w:sz="0" w:space="0" w:color="auto"/>
                          </w:divBdr>
                          <w:divsChild>
                            <w:div w:id="14037625">
                              <w:marLeft w:val="0"/>
                              <w:marRight w:val="0"/>
                              <w:marTop w:val="0"/>
                              <w:marBottom w:val="0"/>
                              <w:divBdr>
                                <w:top w:val="none" w:sz="0" w:space="0" w:color="auto"/>
                                <w:left w:val="none" w:sz="0" w:space="0" w:color="auto"/>
                                <w:bottom w:val="none" w:sz="0" w:space="0" w:color="auto"/>
                                <w:right w:val="none" w:sz="0" w:space="0" w:color="auto"/>
                              </w:divBdr>
                              <w:divsChild>
                                <w:div w:id="882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723542">
      <w:bodyDiv w:val="1"/>
      <w:marLeft w:val="0"/>
      <w:marRight w:val="0"/>
      <w:marTop w:val="0"/>
      <w:marBottom w:val="0"/>
      <w:divBdr>
        <w:top w:val="none" w:sz="0" w:space="0" w:color="auto"/>
        <w:left w:val="none" w:sz="0" w:space="0" w:color="auto"/>
        <w:bottom w:val="none" w:sz="0" w:space="0" w:color="auto"/>
        <w:right w:val="none" w:sz="0" w:space="0" w:color="auto"/>
      </w:divBdr>
    </w:div>
    <w:div w:id="1986816649">
      <w:bodyDiv w:val="1"/>
      <w:marLeft w:val="0"/>
      <w:marRight w:val="0"/>
      <w:marTop w:val="0"/>
      <w:marBottom w:val="0"/>
      <w:divBdr>
        <w:top w:val="none" w:sz="0" w:space="0" w:color="auto"/>
        <w:left w:val="none" w:sz="0" w:space="0" w:color="auto"/>
        <w:bottom w:val="none" w:sz="0" w:space="0" w:color="auto"/>
        <w:right w:val="none" w:sz="0" w:space="0" w:color="auto"/>
      </w:divBdr>
    </w:div>
    <w:div w:id="2089501812">
      <w:bodyDiv w:val="1"/>
      <w:marLeft w:val="0"/>
      <w:marRight w:val="0"/>
      <w:marTop w:val="0"/>
      <w:marBottom w:val="0"/>
      <w:divBdr>
        <w:top w:val="none" w:sz="0" w:space="0" w:color="auto"/>
        <w:left w:val="none" w:sz="0" w:space="0" w:color="auto"/>
        <w:bottom w:val="none" w:sz="0" w:space="0" w:color="auto"/>
        <w:right w:val="none" w:sz="0" w:space="0" w:color="auto"/>
      </w:divBdr>
      <w:divsChild>
        <w:div w:id="1408725297">
          <w:marLeft w:val="0"/>
          <w:marRight w:val="0"/>
          <w:marTop w:val="0"/>
          <w:marBottom w:val="0"/>
          <w:divBdr>
            <w:top w:val="none" w:sz="0" w:space="0" w:color="auto"/>
            <w:left w:val="none" w:sz="0" w:space="0" w:color="auto"/>
            <w:bottom w:val="none" w:sz="0" w:space="0" w:color="auto"/>
            <w:right w:val="none" w:sz="0" w:space="0" w:color="auto"/>
          </w:divBdr>
          <w:divsChild>
            <w:div w:id="476424">
              <w:marLeft w:val="0"/>
              <w:marRight w:val="0"/>
              <w:marTop w:val="100"/>
              <w:marBottom w:val="100"/>
              <w:divBdr>
                <w:top w:val="none" w:sz="0" w:space="0" w:color="auto"/>
                <w:left w:val="none" w:sz="0" w:space="0" w:color="auto"/>
                <w:bottom w:val="none" w:sz="0" w:space="0" w:color="auto"/>
                <w:right w:val="none" w:sz="0" w:space="0" w:color="auto"/>
              </w:divBdr>
              <w:divsChild>
                <w:div w:id="84812892">
                  <w:marLeft w:val="0"/>
                  <w:marRight w:val="0"/>
                  <w:marTop w:val="0"/>
                  <w:marBottom w:val="0"/>
                  <w:divBdr>
                    <w:top w:val="none" w:sz="0" w:space="0" w:color="auto"/>
                    <w:left w:val="none" w:sz="0" w:space="0" w:color="auto"/>
                    <w:bottom w:val="none" w:sz="0" w:space="0" w:color="auto"/>
                    <w:right w:val="none" w:sz="0" w:space="0" w:color="auto"/>
                  </w:divBdr>
                  <w:divsChild>
                    <w:div w:id="2136368549">
                      <w:marLeft w:val="0"/>
                      <w:marRight w:val="0"/>
                      <w:marTop w:val="0"/>
                      <w:marBottom w:val="0"/>
                      <w:divBdr>
                        <w:top w:val="none" w:sz="0" w:space="0" w:color="auto"/>
                        <w:left w:val="none" w:sz="0" w:space="0" w:color="auto"/>
                        <w:bottom w:val="none" w:sz="0" w:space="0" w:color="auto"/>
                        <w:right w:val="none" w:sz="0" w:space="0" w:color="auto"/>
                      </w:divBdr>
                      <w:divsChild>
                        <w:div w:id="940265327">
                          <w:marLeft w:val="0"/>
                          <w:marRight w:val="0"/>
                          <w:marTop w:val="0"/>
                          <w:marBottom w:val="0"/>
                          <w:divBdr>
                            <w:top w:val="none" w:sz="0" w:space="0" w:color="auto"/>
                            <w:left w:val="none" w:sz="0" w:space="0" w:color="auto"/>
                            <w:bottom w:val="none" w:sz="0" w:space="0" w:color="auto"/>
                            <w:right w:val="none" w:sz="0" w:space="0" w:color="auto"/>
                          </w:divBdr>
                          <w:divsChild>
                            <w:div w:id="511992714">
                              <w:marLeft w:val="0"/>
                              <w:marRight w:val="0"/>
                              <w:marTop w:val="0"/>
                              <w:marBottom w:val="0"/>
                              <w:divBdr>
                                <w:top w:val="none" w:sz="0" w:space="0" w:color="auto"/>
                                <w:left w:val="none" w:sz="0" w:space="0" w:color="auto"/>
                                <w:bottom w:val="none" w:sz="0" w:space="0" w:color="auto"/>
                                <w:right w:val="none" w:sz="0" w:space="0" w:color="auto"/>
                              </w:divBdr>
                              <w:divsChild>
                                <w:div w:id="21396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2FA435B106243B587CD00A38FF32A" ma:contentTypeVersion="1" ma:contentTypeDescription="Create a new document." ma:contentTypeScope="" ma:versionID="9ca1f96f0de7228e8fbc8cafcc99467a">
  <xsd:schema xmlns:xsd="http://www.w3.org/2001/XMLSchema" xmlns:xs="http://www.w3.org/2001/XMLSchema" xmlns:p="http://schemas.microsoft.com/office/2006/metadata/properties" xmlns:ns2="519a324c-c87a-4454-928d-3b5a2f2a1d3c" xmlns:ns3="37f5a773-bf7c-4c4b-ace6-6d62900f0b29" targetNamespace="http://schemas.microsoft.com/office/2006/metadata/properties" ma:root="true" ma:fieldsID="2bff8e9bdb42cae5db1c1e22225d206f" ns2:_="" ns3:_="">
    <xsd:import namespace="519a324c-c87a-4454-928d-3b5a2f2a1d3c"/>
    <xsd:import namespace="37f5a773-bf7c-4c4b-ace6-6d62900f0b29"/>
    <xsd:element name="properties">
      <xsd:complexType>
        <xsd:sequence>
          <xsd:element name="documentManagement">
            <xsd:complexType>
              <xsd:all>
                <xsd:element ref="ns2:Office" minOccurs="0"/>
                <xsd:element ref="ns2:OI_x0020_Category" minOccurs="0"/>
                <xsd:element ref="ns2:Policy_x0020_Type" minOccurs="0"/>
                <xsd:element ref="ns3:Short_x0020_Title" minOccurs="0"/>
                <xsd:element ref="ns2:External"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324c-c87a-4454-928d-3b5a2f2a1d3c" elementFormDefault="qualified">
    <xsd:import namespace="http://schemas.microsoft.com/office/2006/documentManagement/types"/>
    <xsd:import namespace="http://schemas.microsoft.com/office/infopath/2007/PartnerControls"/>
    <xsd:element name="Office" ma:index="8" nillable="true" ma:displayName="Office" ma:default="ODT" ma:internalName="Office">
      <xsd:complexType>
        <xsd:complexContent>
          <xsd:extension base="dms:MultiChoice">
            <xsd:sequence>
              <xsd:element name="Value" maxOccurs="unbounded" minOccurs="0" nillable="true">
                <xsd:simpleType>
                  <xsd:restriction base="dms:Choice">
                    <xsd:enumeration value="ODT"/>
                    <xsd:enumeration value="LO"/>
                    <xsd:enumeration value="OED"/>
                    <xsd:enumeration value="HR"/>
                    <xsd:enumeration value="CED"/>
                    <xsd:enumeration value="FM"/>
                  </xsd:restriction>
                </xsd:simpleType>
              </xsd:element>
            </xsd:sequence>
          </xsd:extension>
        </xsd:complexContent>
      </xsd:complexType>
    </xsd:element>
    <xsd:element name="OI_x0020_Category" ma:index="9" nillable="true" ma:displayName="Topic" ma:internalName="OI_x0020_Category">
      <xsd:complexType>
        <xsd:complexContent>
          <xsd:extension base="dms:MultiChoiceFillIn">
            <xsd:sequence>
              <xsd:element name="Value" maxOccurs="unbounded" minOccurs="0" nillable="true">
                <xsd:simpleType>
                  <xsd:union memberTypes="dms:Text">
                    <xsd:simpleType>
                      <xsd:restriction base="dms:Choice">
                        <xsd:enumeration value="Administrative Matters"/>
                        <xsd:enumeration value="Administrative Guidance"/>
                        <xsd:enumeration value="Computer Security"/>
                        <xsd:enumeration value="Email"/>
                        <xsd:enumeration value="Ethics &amp; Financial Reporting"/>
                        <xsd:enumeration value="Employee Rights &amp; Protections"/>
                        <xsd:enumeration value="Health &amp; Safety"/>
                        <xsd:enumeration value="Information Technology Resources"/>
                        <xsd:enumeration value="Leave &amp; Work Schedules"/>
                        <xsd:enumeration value="Mobile Computing"/>
                        <xsd:enumeration value="Pay &amp; Performance"/>
                        <xsd:enumeration value="Privacy and Data Management"/>
                        <xsd:enumeration value="Procurement"/>
                        <xsd:enumeration value="Records"/>
                        <xsd:enumeration value="Rulemaking"/>
                        <xsd:enumeration value="Security"/>
                        <xsd:enumeration value="Travel"/>
                        <xsd:enumeration value="Websites: Internal, External, and Public"/>
                      </xsd:restriction>
                    </xsd:simpleType>
                  </xsd:union>
                </xsd:simpleType>
              </xsd:element>
            </xsd:sequence>
          </xsd:extension>
        </xsd:complexContent>
      </xsd:complexType>
    </xsd:element>
    <xsd:element name="Policy_x0020_Type" ma:index="10" nillable="true" ma:displayName="Policy Type" ma:default="Policy" ma:format="Dropdown" ma:internalName="Policy_x0020_Type">
      <xsd:simpleType>
        <xsd:union memberTypes="dms:Text">
          <xsd:simpleType>
            <xsd:restriction base="dms:Choice">
              <xsd:enumeration value="Policy"/>
              <xsd:enumeration value="Guideline"/>
              <xsd:enumeration value="__Guidelines"/>
              <xsd:enumeration value="__Procedures"/>
              <xsd:enumeration value="Procedures"/>
            </xsd:restriction>
          </xsd:simpleType>
        </xsd:union>
      </xsd:simpleType>
    </xsd:element>
    <xsd:element name="External" ma:index="12" nillable="true" ma:displayName="External" ma:format="Hyperlink" ma:internalName="External">
      <xsd:complexType>
        <xsd:complexContent>
          <xsd:extension base="dms:URL">
            <xsd:sequence>
              <xsd:element name="Url" type="dms:ValidUrl" minOccurs="0" nillable="true"/>
              <xsd:element name="Description" type="xsd:string" nillable="true"/>
            </xsd:sequence>
          </xsd:extension>
        </xsd:complexContent>
      </xsd:complexType>
    </xsd:element>
    <xsd:element name="ShortDescription" ma:index="13" nillable="true" ma:displayName="ShortDescription" ma:internalName="Shor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5a773-bf7c-4c4b-ace6-6d62900f0b29" elementFormDefault="qualified">
    <xsd:import namespace="http://schemas.microsoft.com/office/2006/documentManagement/types"/>
    <xsd:import namespace="http://schemas.microsoft.com/office/infopath/2007/PartnerControls"/>
    <xsd:element name="Short_x0020_Title" ma:index="11" nillable="true" ma:displayName="Short Title" ma:description="short version of title for display in lists, etc. Maximum of 40 characters." ma:internalName="Short_x0020_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21;#Office of the Executive Director|44b51e04-d645-4c0b-aade-f0cf9ba119f7;#773;#information collection;#60;#Information Technology;#59;#Office of Data and Technology;#14;#All CFTC Locations|07b51532-ca12-475e-8433-c139a58bc2c8;#13;#All CFTC Staff;#771;#supporting statement;#769;#Paperwork Reduction Act;#598;#Guideline|acccf278-929a-4c72-8ad6-6437fa71ecc4]]></LongProp>
</LongProperties>
</file>

<file path=customXml/item4.xml><?xml version="1.0" encoding="utf-8"?>
<p:properties xmlns:p="http://schemas.microsoft.com/office/2006/metadata/properties" xmlns:xsi="http://www.w3.org/2001/XMLSchema-instance" xmlns:pc="http://schemas.microsoft.com/office/infopath/2007/PartnerControls">
  <documentManagement>
    <Office xmlns="519a324c-c87a-4454-928d-3b5a2f2a1d3c">
      <Value>ODT</Value>
    </Office>
    <Policy_x0020_Type xmlns="519a324c-c87a-4454-928d-3b5a2f2a1d3c">Guidelines</Policy_x0020_Type>
    <OI_x0020_Category xmlns="519a324c-c87a-4454-928d-3b5a2f2a1d3c">
      <Value>Rulemaking</Value>
    </OI_x0020_Category>
    <ShortDescription xmlns="519a324c-c87a-4454-928d-3b5a2f2a1d3c">Sample of the Supporting Statement required by OMB justifying any proposed collection of information subject to the Paperwork Reduction Act. 
</ShortDescription>
    <Short_x0020_Title xmlns="37f5a773-bf7c-4c4b-ace6-6d62900f0b29" xsi:nil="true"/>
    <External xmlns="519a324c-c87a-4454-928d-3b5a2f2a1d3c">
      <Url>http://cftcnet/Commission/Divisions-and-Offices/OGC/Documents/sample_pra-supportstatement.doc</Url>
      <Description>Supporting Statement for New and Revised Information Collections</Description>
    </Externa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A4F4-25FF-4C38-B9B3-B317E38D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324c-c87a-4454-928d-3b5a2f2a1d3c"/>
    <ds:schemaRef ds:uri="37f5a773-bf7c-4c4b-ace6-6d62900f0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7B520-7C19-4F1E-8F6D-3FC9C558FE4A}">
  <ds:schemaRefs>
    <ds:schemaRef ds:uri="http://schemas.microsoft.com/sharepoint/v3/contenttype/forms"/>
  </ds:schemaRefs>
</ds:datastoreItem>
</file>

<file path=customXml/itemProps3.xml><?xml version="1.0" encoding="utf-8"?>
<ds:datastoreItem xmlns:ds="http://schemas.openxmlformats.org/officeDocument/2006/customXml" ds:itemID="{B2C7AE76-4EAA-4DEC-94ED-B6F80488BBFE}">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E2A9D30-3D28-40BB-94E5-3E25073F6585}">
  <ds:schemaRefs>
    <ds:schemaRef ds:uri="37f5a773-bf7c-4c4b-ace6-6d62900f0b29"/>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519a324c-c87a-4454-928d-3b5a2f2a1d3c"/>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BBD264DF-A3F6-4665-8917-9F7049D1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3133</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20580</CharactersWithSpaces>
  <SharedDoc>false</SharedDoc>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supporting statement; information collection</cp:keywords>
  <cp:lastModifiedBy>HCastro</cp:lastModifiedBy>
  <cp:revision>2</cp:revision>
  <dcterms:created xsi:type="dcterms:W3CDTF">2015-04-17T19:30:00Z</dcterms:created>
  <dcterms:modified xsi:type="dcterms:W3CDTF">2015-04-17T19:30:00Z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Paperwork Reduction Act|dcfe938f-281b-4329-b85e-6c1086beb829;information collection|966a1cd8-e91d-4f69-abce-162e324c6836;supporting statement|193f742d-a5ff-43e3-8bf9-ed025f07987e</vt:lpwstr>
  </property>
  <property fmtid="{D5CDD505-2E9C-101B-9397-08002B2CF9AE}" pid="3" name="TaxKeyword">
    <vt:lpwstr>769;#Paperwork Reduction Act|dcfe938f-281b-4329-b85e-6c1086beb829;#773;#information collection|966a1cd8-e91d-4f69-abce-162e324c6836;#771;#supporting statement|193f742d-a5ff-43e3-8bf9-ed025f07987e</vt:lpwstr>
  </property>
  <property fmtid="{D5CDD505-2E9C-101B-9397-08002B2CF9AE}" pid="4" name="TaxCatchAll">
    <vt:lpwstr>21;#Office of the Executive Director|44b51e04-d645-4c0b-aade-f0cf9ba119f7;#773;#information collection;#60;#Information Technology;#59;#Office of Data and Technology;#14;#All CFTC Locations|07b51532-ca12-475e-8433-c139a58bc2c8;#13;#All CFTC Staff;#771;#su</vt:lpwstr>
  </property>
  <property fmtid="{D5CDD505-2E9C-101B-9397-08002B2CF9AE}" pid="5" name="CFTC Location">
    <vt:lpwstr>14;#All CFTC Locations|07b51532-ca12-475e-8433-c139a58bc2c8</vt:lpwstr>
  </property>
  <property fmtid="{D5CDD505-2E9C-101B-9397-08002B2CF9AE}" pid="6" name="PublishingPageContent">
    <vt:lpwstr/>
  </property>
  <property fmtid="{D5CDD505-2E9C-101B-9397-08002B2CF9AE}" pid="7" name="ShowTabs">
    <vt:lpwstr>0</vt:lpwstr>
  </property>
  <property fmtid="{D5CDD505-2E9C-101B-9397-08002B2CF9AE}" pid="8" name="PublishingRollupImage">
    <vt:lpwstr/>
  </property>
  <property fmtid="{D5CDD505-2E9C-101B-9397-08002B2CF9AE}" pid="9" name="ShowAbout">
    <vt:lpwstr>0</vt:lpwstr>
  </property>
  <property fmtid="{D5CDD505-2E9C-101B-9397-08002B2CF9AE}" pid="10" name="Page Contacts">
    <vt:lpwstr/>
  </property>
  <property fmtid="{D5CDD505-2E9C-101B-9397-08002B2CF9AE}" pid="11" name="Language">
    <vt:lpwstr/>
  </property>
  <property fmtid="{D5CDD505-2E9C-101B-9397-08002B2CF9AE}" pid="12" name="Topic">
    <vt:lpwstr>Rulemaking</vt:lpwstr>
  </property>
  <property fmtid="{D5CDD505-2E9C-101B-9397-08002B2CF9AE}" pid="13" name="PublishingImageCaption">
    <vt:lpwstr/>
  </property>
  <property fmtid="{D5CDD505-2E9C-101B-9397-08002B2CF9AE}" pid="14" name="Located">
    <vt:lpwstr>14;#All CFTC Locations|07b51532-ca12-475e-8433-c139a58bc2c8</vt:lpwstr>
  </property>
  <property fmtid="{D5CDD505-2E9C-101B-9397-08002B2CF9AE}" pid="15" name="b4bb4b986e0a44a0a9411b2abc57f916">
    <vt:lpwstr>Guideline|acccf278-929a-4c72-8ad6-6437fa71ecc4</vt:lpwstr>
  </property>
  <property fmtid="{D5CDD505-2E9C-101B-9397-08002B2CF9AE}" pid="16" name="ShowRatings">
    <vt:lpwstr>0</vt:lpwstr>
  </property>
  <property fmtid="{D5CDD505-2E9C-101B-9397-08002B2CF9AE}" pid="17" name="ShowResources">
    <vt:lpwstr>0</vt:lpwstr>
  </property>
  <property fmtid="{D5CDD505-2E9C-101B-9397-08002B2CF9AE}" pid="18" name="From1">
    <vt:lpwstr>21;#Office of the Executive Director|44b51e04-d645-4c0b-aade-f0cf9ba119f7</vt:lpwstr>
  </property>
  <property fmtid="{D5CDD505-2E9C-101B-9397-08002B2CF9AE}" pid="19" name="p7ecdebd02384e98be869253b89d4fb0">
    <vt:lpwstr>All CFTC Locations|07b51532-ca12-475e-8433-c139a58bc2c8</vt:lpwstr>
  </property>
  <property fmtid="{D5CDD505-2E9C-101B-9397-08002B2CF9AE}" pid="20" name="PublishingPageImage">
    <vt:lpwstr/>
  </property>
  <property fmtid="{D5CDD505-2E9C-101B-9397-08002B2CF9AE}" pid="21" name="CFTC Type">
    <vt:lpwstr>598;#Guideline|acccf278-929a-4c72-8ad6-6437fa71ecc4</vt:lpwstr>
  </property>
  <property fmtid="{D5CDD505-2E9C-101B-9397-08002B2CF9AE}" pid="22" name="k3c9ad76739644c1894bbc499279e545">
    <vt:lpwstr>Information Technology|0a261eeb-60a5-4ca2-be5f-83cc10c8f22c</vt:lpwstr>
  </property>
  <property fmtid="{D5CDD505-2E9C-101B-9397-08002B2CF9AE}" pid="23" name="ee72ba57bc5643e9a5519ea43925ba2f">
    <vt:lpwstr>14;#All CFTC Locations|07b51532-ca12-475e-8433-c139a58bc2c8</vt:lpwstr>
  </property>
  <property fmtid="{D5CDD505-2E9C-101B-9397-08002B2CF9AE}" pid="24" name="jf3d9360dbf847029cb44cf2a7cc8e5c">
    <vt:lpwstr>21;#Office of the Executive Director|44b51e04-d645-4c0b-aade-f0cf9ba119f7</vt:lpwstr>
  </property>
  <property fmtid="{D5CDD505-2E9C-101B-9397-08002B2CF9AE}" pid="25" name="nbdc0facc3f6481f91140e086e98764d">
    <vt:lpwstr>Office of Data and Technology|f6d399d8-0f86-43fc-9265-d39a7c1275d1</vt:lpwstr>
  </property>
  <property fmtid="{D5CDD505-2E9C-101B-9397-08002B2CF9AE}" pid="26" name="b3a4ddb808af4c59b570ff7c833dee0f">
    <vt:lpwstr>All CFTC Staff|4f9c852f-d497-40c4-b357-3897abf65c10</vt:lpwstr>
  </property>
  <property fmtid="{D5CDD505-2E9C-101B-9397-08002B2CF9AE}" pid="27" name="Order">
    <vt:lpwstr>7300.00000000000</vt:lpwstr>
  </property>
  <property fmtid="{D5CDD505-2E9C-101B-9397-08002B2CF9AE}" pid="28" name="xd_Signature">
    <vt:lpwstr/>
  </property>
  <property fmtid="{D5CDD505-2E9C-101B-9397-08002B2CF9AE}" pid="29" name="xd_ProgID">
    <vt:lpwstr/>
  </property>
  <property fmtid="{D5CDD505-2E9C-101B-9397-08002B2CF9AE}" pid="30" name="TemplateUrl">
    <vt:lpwstr/>
  </property>
  <property fmtid="{D5CDD505-2E9C-101B-9397-08002B2CF9AE}" pid="31" name="ContentTypeId">
    <vt:lpwstr>0x010100B5B2FA435B106243B587CD00A38FF32A</vt:lpwstr>
  </property>
  <property fmtid="{D5CDD505-2E9C-101B-9397-08002B2CF9AE}" pid="32" name="PublishingStartDate">
    <vt:lpwstr/>
  </property>
  <property fmtid="{D5CDD505-2E9C-101B-9397-08002B2CF9AE}" pid="33" name="PublishingExpirationDate">
    <vt:lpwstr/>
  </property>
</Properties>
</file>