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9AFC29" w14:textId="64D2AD75" w:rsidR="00C32344" w:rsidRDefault="00C32344" w:rsidP="00C32344">
      <w:pPr>
        <w:jc w:val="center"/>
        <w:rPr>
          <w:b/>
          <w:bCs/>
          <w:sz w:val="28"/>
          <w:szCs w:val="28"/>
        </w:rPr>
      </w:pPr>
      <w:r w:rsidRPr="001F3A52">
        <w:rPr>
          <w:b/>
          <w:bCs/>
          <w:sz w:val="28"/>
          <w:szCs w:val="28"/>
        </w:rPr>
        <w:t>RENEWAL OF INFORMATION COLLECTION REQUEST FOR THE CONTINUOUS RELEASE REPORTING REQUIREMENT</w:t>
      </w:r>
      <w:r w:rsidR="00E37F61">
        <w:rPr>
          <w:b/>
          <w:bCs/>
          <w:sz w:val="28"/>
          <w:szCs w:val="28"/>
        </w:rPr>
        <w:t>S</w:t>
      </w:r>
      <w:r w:rsidR="008D0726">
        <w:rPr>
          <w:b/>
          <w:bCs/>
          <w:sz w:val="28"/>
          <w:szCs w:val="28"/>
        </w:rPr>
        <w:t xml:space="preserve"> </w:t>
      </w:r>
    </w:p>
    <w:p w14:paraId="42C88F28" w14:textId="77777777" w:rsidR="00F23FEC" w:rsidRDefault="00F23FEC" w:rsidP="00C32344">
      <w:pPr>
        <w:jc w:val="center"/>
        <w:rPr>
          <w:b/>
          <w:bCs/>
          <w:sz w:val="28"/>
          <w:szCs w:val="28"/>
        </w:rPr>
      </w:pPr>
    </w:p>
    <w:p w14:paraId="2328B857" w14:textId="77777777" w:rsidR="00C32344" w:rsidRPr="00613D9D" w:rsidRDefault="00BC6C17" w:rsidP="00BC6C17">
      <w:pPr>
        <w:jc w:val="center"/>
        <w:rPr>
          <w:b/>
          <w:bCs/>
          <w:color w:val="008000"/>
          <w:sz w:val="28"/>
          <w:szCs w:val="28"/>
        </w:rPr>
        <w:sectPr w:rsidR="00C32344" w:rsidRPr="00613D9D" w:rsidSect="0082631E">
          <w:headerReference w:type="default" r:id="rId8"/>
          <w:footerReference w:type="default" r:id="rId9"/>
          <w:pgSz w:w="12240" w:h="15840"/>
          <w:pgMar w:top="1440" w:right="1440" w:bottom="1440" w:left="1440" w:header="1195" w:footer="1195" w:gutter="0"/>
          <w:cols w:space="720"/>
          <w:vAlign w:val="center"/>
          <w:noEndnote/>
          <w:docGrid w:linePitch="326"/>
        </w:sectPr>
      </w:pPr>
      <w:r w:rsidRPr="00613D9D">
        <w:rPr>
          <w:b/>
          <w:bCs/>
          <w:color w:val="008000"/>
          <w:sz w:val="28"/>
          <w:szCs w:val="28"/>
        </w:rPr>
        <w:t>Including</w:t>
      </w:r>
      <w:r w:rsidR="00F23FEC" w:rsidRPr="00613D9D">
        <w:rPr>
          <w:b/>
          <w:bCs/>
          <w:color w:val="008000"/>
          <w:sz w:val="28"/>
          <w:szCs w:val="28"/>
        </w:rPr>
        <w:t xml:space="preserve"> Analysis for Use of Continuous Release Reporting Forms</w:t>
      </w:r>
    </w:p>
    <w:p w14:paraId="6C34AE08" w14:textId="77777777" w:rsidR="001D1D4B" w:rsidRDefault="00092850">
      <w:pPr>
        <w:pStyle w:val="TOC1"/>
        <w:tabs>
          <w:tab w:val="right" w:leader="dot" w:pos="9710"/>
        </w:tabs>
        <w:rPr>
          <w:rFonts w:asciiTheme="minorHAnsi" w:eastAsiaTheme="minorEastAsia" w:hAnsiTheme="minorHAnsi" w:cstheme="minorBidi"/>
          <w:noProof/>
          <w:sz w:val="22"/>
          <w:szCs w:val="22"/>
        </w:rPr>
      </w:pPr>
      <w:r>
        <w:lastRenderedPageBreak/>
        <w:fldChar w:fldCharType="begin"/>
      </w:r>
      <w:r w:rsidR="007A4310">
        <w:instrText xml:space="preserve"> TOC \o "1-5" \h \z \u </w:instrText>
      </w:r>
      <w:r>
        <w:fldChar w:fldCharType="separate"/>
      </w:r>
      <w:hyperlink w:anchor="_Toc302552472" w:history="1">
        <w:r w:rsidR="001D1D4B" w:rsidRPr="00ED1CD2">
          <w:rPr>
            <w:rStyle w:val="Hyperlink"/>
            <w:noProof/>
          </w:rPr>
          <w:t>1.</w:t>
        </w:r>
        <w:r w:rsidR="001D1D4B">
          <w:rPr>
            <w:rFonts w:asciiTheme="minorHAnsi" w:eastAsiaTheme="minorEastAsia" w:hAnsiTheme="minorHAnsi" w:cstheme="minorBidi"/>
            <w:noProof/>
            <w:sz w:val="22"/>
            <w:szCs w:val="22"/>
          </w:rPr>
          <w:tab/>
        </w:r>
        <w:r w:rsidR="001D1D4B" w:rsidRPr="00ED1CD2">
          <w:rPr>
            <w:rStyle w:val="Hyperlink"/>
            <w:noProof/>
          </w:rPr>
          <w:t>IDENTIFICATION OF THE INFORMATION COLLECTION</w:t>
        </w:r>
        <w:r w:rsidR="001D1D4B">
          <w:rPr>
            <w:noProof/>
            <w:webHidden/>
          </w:rPr>
          <w:tab/>
        </w:r>
        <w:r>
          <w:rPr>
            <w:noProof/>
            <w:webHidden/>
          </w:rPr>
          <w:fldChar w:fldCharType="begin"/>
        </w:r>
        <w:r w:rsidR="001D1D4B">
          <w:rPr>
            <w:noProof/>
            <w:webHidden/>
          </w:rPr>
          <w:instrText xml:space="preserve"> PAGEREF _Toc302552472 \h </w:instrText>
        </w:r>
        <w:r>
          <w:rPr>
            <w:noProof/>
            <w:webHidden/>
          </w:rPr>
        </w:r>
        <w:r>
          <w:rPr>
            <w:noProof/>
            <w:webHidden/>
          </w:rPr>
          <w:fldChar w:fldCharType="separate"/>
        </w:r>
        <w:r w:rsidR="00455976">
          <w:rPr>
            <w:noProof/>
            <w:webHidden/>
          </w:rPr>
          <w:t>4</w:t>
        </w:r>
        <w:r>
          <w:rPr>
            <w:noProof/>
            <w:webHidden/>
          </w:rPr>
          <w:fldChar w:fldCharType="end"/>
        </w:r>
      </w:hyperlink>
    </w:p>
    <w:p w14:paraId="3C054D3C" w14:textId="77777777" w:rsidR="001D1D4B" w:rsidRDefault="000D513E">
      <w:pPr>
        <w:pStyle w:val="TOC2"/>
        <w:tabs>
          <w:tab w:val="left" w:pos="1080"/>
        </w:tabs>
        <w:rPr>
          <w:rFonts w:asciiTheme="minorHAnsi" w:eastAsiaTheme="minorEastAsia" w:hAnsiTheme="minorHAnsi" w:cstheme="minorBidi"/>
          <w:noProof/>
          <w:sz w:val="22"/>
          <w:szCs w:val="22"/>
        </w:rPr>
      </w:pPr>
      <w:hyperlink w:anchor="_Toc302552473" w:history="1">
        <w:r w:rsidR="001D1D4B" w:rsidRPr="00ED1CD2">
          <w:rPr>
            <w:rStyle w:val="Hyperlink"/>
            <w:noProof/>
          </w:rPr>
          <w:t>1a.</w:t>
        </w:r>
        <w:r w:rsidR="001D1D4B">
          <w:rPr>
            <w:rFonts w:asciiTheme="minorHAnsi" w:eastAsiaTheme="minorEastAsia" w:hAnsiTheme="minorHAnsi" w:cstheme="minorBidi"/>
            <w:noProof/>
            <w:sz w:val="22"/>
            <w:szCs w:val="22"/>
          </w:rPr>
          <w:tab/>
        </w:r>
        <w:r w:rsidR="001D1D4B" w:rsidRPr="00ED1CD2">
          <w:rPr>
            <w:rStyle w:val="Hyperlink"/>
            <w:noProof/>
          </w:rPr>
          <w:t>Title of the Information Collection</w:t>
        </w:r>
        <w:r w:rsidR="001D1D4B">
          <w:rPr>
            <w:noProof/>
            <w:webHidden/>
          </w:rPr>
          <w:tab/>
        </w:r>
        <w:r w:rsidR="00092850">
          <w:rPr>
            <w:noProof/>
            <w:webHidden/>
          </w:rPr>
          <w:fldChar w:fldCharType="begin"/>
        </w:r>
        <w:r w:rsidR="001D1D4B">
          <w:rPr>
            <w:noProof/>
            <w:webHidden/>
          </w:rPr>
          <w:instrText xml:space="preserve"> PAGEREF _Toc302552473 \h </w:instrText>
        </w:r>
        <w:r w:rsidR="00092850">
          <w:rPr>
            <w:noProof/>
            <w:webHidden/>
          </w:rPr>
        </w:r>
        <w:r w:rsidR="00092850">
          <w:rPr>
            <w:noProof/>
            <w:webHidden/>
          </w:rPr>
          <w:fldChar w:fldCharType="separate"/>
        </w:r>
        <w:r w:rsidR="00455976">
          <w:rPr>
            <w:noProof/>
            <w:webHidden/>
          </w:rPr>
          <w:t>4</w:t>
        </w:r>
        <w:r w:rsidR="00092850">
          <w:rPr>
            <w:noProof/>
            <w:webHidden/>
          </w:rPr>
          <w:fldChar w:fldCharType="end"/>
        </w:r>
      </w:hyperlink>
    </w:p>
    <w:p w14:paraId="3270D907" w14:textId="77777777" w:rsidR="001D1D4B" w:rsidRDefault="000D513E">
      <w:pPr>
        <w:pStyle w:val="TOC2"/>
        <w:tabs>
          <w:tab w:val="left" w:pos="1080"/>
        </w:tabs>
        <w:rPr>
          <w:rFonts w:asciiTheme="minorHAnsi" w:eastAsiaTheme="minorEastAsia" w:hAnsiTheme="minorHAnsi" w:cstheme="minorBidi"/>
          <w:noProof/>
          <w:sz w:val="22"/>
          <w:szCs w:val="22"/>
        </w:rPr>
      </w:pPr>
      <w:hyperlink w:anchor="_Toc302552474" w:history="1">
        <w:r w:rsidR="001D1D4B" w:rsidRPr="00ED1CD2">
          <w:rPr>
            <w:rStyle w:val="Hyperlink"/>
            <w:noProof/>
          </w:rPr>
          <w:t>1b.</w:t>
        </w:r>
        <w:r w:rsidR="001D1D4B">
          <w:rPr>
            <w:rFonts w:asciiTheme="minorHAnsi" w:eastAsiaTheme="minorEastAsia" w:hAnsiTheme="minorHAnsi" w:cstheme="minorBidi"/>
            <w:noProof/>
            <w:sz w:val="22"/>
            <w:szCs w:val="22"/>
          </w:rPr>
          <w:tab/>
        </w:r>
        <w:r w:rsidR="001D1D4B" w:rsidRPr="00ED1CD2">
          <w:rPr>
            <w:rStyle w:val="Hyperlink"/>
            <w:noProof/>
          </w:rPr>
          <w:t>Short Characterization/Abstract</w:t>
        </w:r>
        <w:r w:rsidR="001D1D4B">
          <w:rPr>
            <w:noProof/>
            <w:webHidden/>
          </w:rPr>
          <w:tab/>
        </w:r>
        <w:r w:rsidR="00092850">
          <w:rPr>
            <w:noProof/>
            <w:webHidden/>
          </w:rPr>
          <w:fldChar w:fldCharType="begin"/>
        </w:r>
        <w:r w:rsidR="001D1D4B">
          <w:rPr>
            <w:noProof/>
            <w:webHidden/>
          </w:rPr>
          <w:instrText xml:space="preserve"> PAGEREF _Toc302552474 \h </w:instrText>
        </w:r>
        <w:r w:rsidR="00092850">
          <w:rPr>
            <w:noProof/>
            <w:webHidden/>
          </w:rPr>
        </w:r>
        <w:r w:rsidR="00092850">
          <w:rPr>
            <w:noProof/>
            <w:webHidden/>
          </w:rPr>
          <w:fldChar w:fldCharType="separate"/>
        </w:r>
        <w:r w:rsidR="00455976">
          <w:rPr>
            <w:noProof/>
            <w:webHidden/>
          </w:rPr>
          <w:t>4</w:t>
        </w:r>
        <w:r w:rsidR="00092850">
          <w:rPr>
            <w:noProof/>
            <w:webHidden/>
          </w:rPr>
          <w:fldChar w:fldCharType="end"/>
        </w:r>
      </w:hyperlink>
    </w:p>
    <w:p w14:paraId="2E42C067" w14:textId="77777777" w:rsidR="001D1D4B" w:rsidRDefault="000D513E">
      <w:pPr>
        <w:pStyle w:val="TOC1"/>
        <w:tabs>
          <w:tab w:val="right" w:leader="dot" w:pos="9710"/>
        </w:tabs>
        <w:rPr>
          <w:rFonts w:asciiTheme="minorHAnsi" w:eastAsiaTheme="minorEastAsia" w:hAnsiTheme="minorHAnsi" w:cstheme="minorBidi"/>
          <w:noProof/>
          <w:sz w:val="22"/>
          <w:szCs w:val="22"/>
        </w:rPr>
      </w:pPr>
      <w:hyperlink w:anchor="_Toc302552475" w:history="1">
        <w:r w:rsidR="001D1D4B" w:rsidRPr="00ED1CD2">
          <w:rPr>
            <w:rStyle w:val="Hyperlink"/>
            <w:noProof/>
          </w:rPr>
          <w:t>2.</w:t>
        </w:r>
        <w:r w:rsidR="001D1D4B">
          <w:rPr>
            <w:rFonts w:asciiTheme="minorHAnsi" w:eastAsiaTheme="minorEastAsia" w:hAnsiTheme="minorHAnsi" w:cstheme="minorBidi"/>
            <w:noProof/>
            <w:sz w:val="22"/>
            <w:szCs w:val="22"/>
          </w:rPr>
          <w:tab/>
        </w:r>
        <w:r w:rsidR="001D1D4B" w:rsidRPr="00ED1CD2">
          <w:rPr>
            <w:rStyle w:val="Hyperlink"/>
            <w:noProof/>
          </w:rPr>
          <w:t>NEED FOR AND USE OF THE COLLECTION</w:t>
        </w:r>
        <w:r w:rsidR="001D1D4B">
          <w:rPr>
            <w:noProof/>
            <w:webHidden/>
          </w:rPr>
          <w:tab/>
        </w:r>
        <w:r w:rsidR="00092850">
          <w:rPr>
            <w:noProof/>
            <w:webHidden/>
          </w:rPr>
          <w:fldChar w:fldCharType="begin"/>
        </w:r>
        <w:r w:rsidR="001D1D4B">
          <w:rPr>
            <w:noProof/>
            <w:webHidden/>
          </w:rPr>
          <w:instrText xml:space="preserve"> PAGEREF _Toc302552475 \h </w:instrText>
        </w:r>
        <w:r w:rsidR="00092850">
          <w:rPr>
            <w:noProof/>
            <w:webHidden/>
          </w:rPr>
        </w:r>
        <w:r w:rsidR="00092850">
          <w:rPr>
            <w:noProof/>
            <w:webHidden/>
          </w:rPr>
          <w:fldChar w:fldCharType="separate"/>
        </w:r>
        <w:r w:rsidR="00455976">
          <w:rPr>
            <w:noProof/>
            <w:webHidden/>
          </w:rPr>
          <w:t>6</w:t>
        </w:r>
        <w:r w:rsidR="00092850">
          <w:rPr>
            <w:noProof/>
            <w:webHidden/>
          </w:rPr>
          <w:fldChar w:fldCharType="end"/>
        </w:r>
      </w:hyperlink>
    </w:p>
    <w:p w14:paraId="51DC079C" w14:textId="77777777" w:rsidR="001D1D4B" w:rsidRDefault="000D513E">
      <w:pPr>
        <w:pStyle w:val="TOC2"/>
        <w:tabs>
          <w:tab w:val="left" w:pos="1080"/>
        </w:tabs>
        <w:rPr>
          <w:rFonts w:asciiTheme="minorHAnsi" w:eastAsiaTheme="minorEastAsia" w:hAnsiTheme="minorHAnsi" w:cstheme="minorBidi"/>
          <w:noProof/>
          <w:sz w:val="22"/>
          <w:szCs w:val="22"/>
        </w:rPr>
      </w:pPr>
      <w:hyperlink w:anchor="_Toc302552476" w:history="1">
        <w:r w:rsidR="001D1D4B" w:rsidRPr="00ED1CD2">
          <w:rPr>
            <w:rStyle w:val="Hyperlink"/>
            <w:noProof/>
          </w:rPr>
          <w:t>2a.</w:t>
        </w:r>
        <w:r w:rsidR="001D1D4B">
          <w:rPr>
            <w:rFonts w:asciiTheme="minorHAnsi" w:eastAsiaTheme="minorEastAsia" w:hAnsiTheme="minorHAnsi" w:cstheme="minorBidi"/>
            <w:noProof/>
            <w:sz w:val="22"/>
            <w:szCs w:val="22"/>
          </w:rPr>
          <w:tab/>
        </w:r>
        <w:r w:rsidR="001D1D4B" w:rsidRPr="00ED1CD2">
          <w:rPr>
            <w:rStyle w:val="Hyperlink"/>
            <w:noProof/>
          </w:rPr>
          <w:t>Need and Authority for the Collection</w:t>
        </w:r>
        <w:r w:rsidR="001D1D4B">
          <w:rPr>
            <w:noProof/>
            <w:webHidden/>
          </w:rPr>
          <w:tab/>
        </w:r>
        <w:r w:rsidR="00092850">
          <w:rPr>
            <w:noProof/>
            <w:webHidden/>
          </w:rPr>
          <w:fldChar w:fldCharType="begin"/>
        </w:r>
        <w:r w:rsidR="001D1D4B">
          <w:rPr>
            <w:noProof/>
            <w:webHidden/>
          </w:rPr>
          <w:instrText xml:space="preserve"> PAGEREF _Toc302552476 \h </w:instrText>
        </w:r>
        <w:r w:rsidR="00092850">
          <w:rPr>
            <w:noProof/>
            <w:webHidden/>
          </w:rPr>
        </w:r>
        <w:r w:rsidR="00092850">
          <w:rPr>
            <w:noProof/>
            <w:webHidden/>
          </w:rPr>
          <w:fldChar w:fldCharType="separate"/>
        </w:r>
        <w:r w:rsidR="00455976">
          <w:rPr>
            <w:noProof/>
            <w:webHidden/>
          </w:rPr>
          <w:t>6</w:t>
        </w:r>
        <w:r w:rsidR="00092850">
          <w:rPr>
            <w:noProof/>
            <w:webHidden/>
          </w:rPr>
          <w:fldChar w:fldCharType="end"/>
        </w:r>
      </w:hyperlink>
    </w:p>
    <w:p w14:paraId="011CBD7F" w14:textId="77777777" w:rsidR="001D1D4B" w:rsidRDefault="000D513E">
      <w:pPr>
        <w:pStyle w:val="TOC2"/>
        <w:tabs>
          <w:tab w:val="left" w:pos="1080"/>
        </w:tabs>
        <w:rPr>
          <w:rFonts w:asciiTheme="minorHAnsi" w:eastAsiaTheme="minorEastAsia" w:hAnsiTheme="minorHAnsi" w:cstheme="minorBidi"/>
          <w:noProof/>
          <w:sz w:val="22"/>
          <w:szCs w:val="22"/>
        </w:rPr>
      </w:pPr>
      <w:hyperlink w:anchor="_Toc302552477" w:history="1">
        <w:r w:rsidR="001D1D4B" w:rsidRPr="00ED1CD2">
          <w:rPr>
            <w:rStyle w:val="Hyperlink"/>
            <w:noProof/>
          </w:rPr>
          <w:t>2b.</w:t>
        </w:r>
        <w:r w:rsidR="001D1D4B">
          <w:rPr>
            <w:rFonts w:asciiTheme="minorHAnsi" w:eastAsiaTheme="minorEastAsia" w:hAnsiTheme="minorHAnsi" w:cstheme="minorBidi"/>
            <w:noProof/>
            <w:sz w:val="22"/>
            <w:szCs w:val="22"/>
          </w:rPr>
          <w:tab/>
        </w:r>
        <w:r w:rsidR="001D1D4B" w:rsidRPr="00ED1CD2">
          <w:rPr>
            <w:rStyle w:val="Hyperlink"/>
            <w:noProof/>
          </w:rPr>
          <w:t>Practical Utility and Users of the Data</w:t>
        </w:r>
        <w:r w:rsidR="001D1D4B">
          <w:rPr>
            <w:noProof/>
            <w:webHidden/>
          </w:rPr>
          <w:tab/>
        </w:r>
        <w:r w:rsidR="00092850">
          <w:rPr>
            <w:noProof/>
            <w:webHidden/>
          </w:rPr>
          <w:fldChar w:fldCharType="begin"/>
        </w:r>
        <w:r w:rsidR="001D1D4B">
          <w:rPr>
            <w:noProof/>
            <w:webHidden/>
          </w:rPr>
          <w:instrText xml:space="preserve"> PAGEREF _Toc302552477 \h </w:instrText>
        </w:r>
        <w:r w:rsidR="00092850">
          <w:rPr>
            <w:noProof/>
            <w:webHidden/>
          </w:rPr>
        </w:r>
        <w:r w:rsidR="00092850">
          <w:rPr>
            <w:noProof/>
            <w:webHidden/>
          </w:rPr>
          <w:fldChar w:fldCharType="separate"/>
        </w:r>
        <w:r w:rsidR="00455976">
          <w:rPr>
            <w:noProof/>
            <w:webHidden/>
          </w:rPr>
          <w:t>7</w:t>
        </w:r>
        <w:r w:rsidR="00092850">
          <w:rPr>
            <w:noProof/>
            <w:webHidden/>
          </w:rPr>
          <w:fldChar w:fldCharType="end"/>
        </w:r>
      </w:hyperlink>
    </w:p>
    <w:p w14:paraId="469E7219" w14:textId="77777777" w:rsidR="001D1D4B" w:rsidRDefault="000D513E">
      <w:pPr>
        <w:pStyle w:val="TOC1"/>
        <w:tabs>
          <w:tab w:val="right" w:leader="dot" w:pos="9710"/>
        </w:tabs>
        <w:rPr>
          <w:rFonts w:asciiTheme="minorHAnsi" w:eastAsiaTheme="minorEastAsia" w:hAnsiTheme="minorHAnsi" w:cstheme="minorBidi"/>
          <w:noProof/>
          <w:sz w:val="22"/>
          <w:szCs w:val="22"/>
        </w:rPr>
      </w:pPr>
      <w:hyperlink w:anchor="_Toc302552478" w:history="1">
        <w:r w:rsidR="001D1D4B" w:rsidRPr="00ED1CD2">
          <w:rPr>
            <w:rStyle w:val="Hyperlink"/>
            <w:noProof/>
          </w:rPr>
          <w:t>3.</w:t>
        </w:r>
        <w:r w:rsidR="001D1D4B">
          <w:rPr>
            <w:rFonts w:asciiTheme="minorHAnsi" w:eastAsiaTheme="minorEastAsia" w:hAnsiTheme="minorHAnsi" w:cstheme="minorBidi"/>
            <w:noProof/>
            <w:sz w:val="22"/>
            <w:szCs w:val="22"/>
          </w:rPr>
          <w:tab/>
        </w:r>
        <w:r w:rsidR="001D1D4B" w:rsidRPr="00ED1CD2">
          <w:rPr>
            <w:rStyle w:val="Hyperlink"/>
            <w:noProof/>
          </w:rPr>
          <w:t>NON DUPLICATION, CONSULTATIONS, AND OTHER COLLECTION CRITERIA</w:t>
        </w:r>
        <w:r w:rsidR="001D1D4B">
          <w:rPr>
            <w:noProof/>
            <w:webHidden/>
          </w:rPr>
          <w:tab/>
        </w:r>
        <w:r w:rsidR="00092850">
          <w:rPr>
            <w:noProof/>
            <w:webHidden/>
          </w:rPr>
          <w:fldChar w:fldCharType="begin"/>
        </w:r>
        <w:r w:rsidR="001D1D4B">
          <w:rPr>
            <w:noProof/>
            <w:webHidden/>
          </w:rPr>
          <w:instrText xml:space="preserve"> PAGEREF _Toc302552478 \h </w:instrText>
        </w:r>
        <w:r w:rsidR="00092850">
          <w:rPr>
            <w:noProof/>
            <w:webHidden/>
          </w:rPr>
        </w:r>
        <w:r w:rsidR="00092850">
          <w:rPr>
            <w:noProof/>
            <w:webHidden/>
          </w:rPr>
          <w:fldChar w:fldCharType="separate"/>
        </w:r>
        <w:r w:rsidR="00455976">
          <w:rPr>
            <w:noProof/>
            <w:webHidden/>
          </w:rPr>
          <w:t>7</w:t>
        </w:r>
        <w:r w:rsidR="00092850">
          <w:rPr>
            <w:noProof/>
            <w:webHidden/>
          </w:rPr>
          <w:fldChar w:fldCharType="end"/>
        </w:r>
      </w:hyperlink>
    </w:p>
    <w:p w14:paraId="478C156E" w14:textId="77777777" w:rsidR="001D1D4B" w:rsidRDefault="000D513E">
      <w:pPr>
        <w:pStyle w:val="TOC2"/>
        <w:tabs>
          <w:tab w:val="left" w:pos="1080"/>
        </w:tabs>
        <w:rPr>
          <w:rFonts w:asciiTheme="minorHAnsi" w:eastAsiaTheme="minorEastAsia" w:hAnsiTheme="minorHAnsi" w:cstheme="minorBidi"/>
          <w:noProof/>
          <w:sz w:val="22"/>
          <w:szCs w:val="22"/>
        </w:rPr>
      </w:pPr>
      <w:hyperlink w:anchor="_Toc302552479" w:history="1">
        <w:r w:rsidR="001D1D4B" w:rsidRPr="00ED1CD2">
          <w:rPr>
            <w:rStyle w:val="Hyperlink"/>
            <w:noProof/>
          </w:rPr>
          <w:t>3a.</w:t>
        </w:r>
        <w:r w:rsidR="001D1D4B">
          <w:rPr>
            <w:rFonts w:asciiTheme="minorHAnsi" w:eastAsiaTheme="minorEastAsia" w:hAnsiTheme="minorHAnsi" w:cstheme="minorBidi"/>
            <w:noProof/>
            <w:sz w:val="22"/>
            <w:szCs w:val="22"/>
          </w:rPr>
          <w:tab/>
        </w:r>
        <w:r w:rsidR="001D1D4B" w:rsidRPr="00ED1CD2">
          <w:rPr>
            <w:rStyle w:val="Hyperlink"/>
            <w:noProof/>
          </w:rPr>
          <w:t>Non Duplication</w:t>
        </w:r>
        <w:r w:rsidR="001D1D4B">
          <w:rPr>
            <w:noProof/>
            <w:webHidden/>
          </w:rPr>
          <w:tab/>
        </w:r>
        <w:r w:rsidR="00092850">
          <w:rPr>
            <w:noProof/>
            <w:webHidden/>
          </w:rPr>
          <w:fldChar w:fldCharType="begin"/>
        </w:r>
        <w:r w:rsidR="001D1D4B">
          <w:rPr>
            <w:noProof/>
            <w:webHidden/>
          </w:rPr>
          <w:instrText xml:space="preserve"> PAGEREF _Toc302552479 \h </w:instrText>
        </w:r>
        <w:r w:rsidR="00092850">
          <w:rPr>
            <w:noProof/>
            <w:webHidden/>
          </w:rPr>
        </w:r>
        <w:r w:rsidR="00092850">
          <w:rPr>
            <w:noProof/>
            <w:webHidden/>
          </w:rPr>
          <w:fldChar w:fldCharType="separate"/>
        </w:r>
        <w:r w:rsidR="00455976">
          <w:rPr>
            <w:noProof/>
            <w:webHidden/>
          </w:rPr>
          <w:t>7</w:t>
        </w:r>
        <w:r w:rsidR="00092850">
          <w:rPr>
            <w:noProof/>
            <w:webHidden/>
          </w:rPr>
          <w:fldChar w:fldCharType="end"/>
        </w:r>
      </w:hyperlink>
    </w:p>
    <w:p w14:paraId="641EF4ED" w14:textId="77777777" w:rsidR="001D1D4B" w:rsidRDefault="000D513E">
      <w:pPr>
        <w:pStyle w:val="TOC2"/>
        <w:tabs>
          <w:tab w:val="left" w:pos="1080"/>
        </w:tabs>
        <w:rPr>
          <w:rFonts w:asciiTheme="minorHAnsi" w:eastAsiaTheme="minorEastAsia" w:hAnsiTheme="minorHAnsi" w:cstheme="minorBidi"/>
          <w:noProof/>
          <w:sz w:val="22"/>
          <w:szCs w:val="22"/>
        </w:rPr>
      </w:pPr>
      <w:hyperlink w:anchor="_Toc302552480" w:history="1">
        <w:r w:rsidR="001D1D4B" w:rsidRPr="00ED1CD2">
          <w:rPr>
            <w:rStyle w:val="Hyperlink"/>
            <w:noProof/>
          </w:rPr>
          <w:t>3b.</w:t>
        </w:r>
        <w:r w:rsidR="001D1D4B">
          <w:rPr>
            <w:rFonts w:asciiTheme="minorHAnsi" w:eastAsiaTheme="minorEastAsia" w:hAnsiTheme="minorHAnsi" w:cstheme="minorBidi"/>
            <w:noProof/>
            <w:sz w:val="22"/>
            <w:szCs w:val="22"/>
          </w:rPr>
          <w:tab/>
        </w:r>
        <w:r w:rsidR="001D1D4B" w:rsidRPr="00ED1CD2">
          <w:rPr>
            <w:rStyle w:val="Hyperlink"/>
            <w:noProof/>
          </w:rPr>
          <w:t>Public Notice Required Prior to ICR Submission to OMB</w:t>
        </w:r>
        <w:r w:rsidR="001D1D4B">
          <w:rPr>
            <w:noProof/>
            <w:webHidden/>
          </w:rPr>
          <w:tab/>
        </w:r>
        <w:r w:rsidR="00092850">
          <w:rPr>
            <w:noProof/>
            <w:webHidden/>
          </w:rPr>
          <w:fldChar w:fldCharType="begin"/>
        </w:r>
        <w:r w:rsidR="001D1D4B">
          <w:rPr>
            <w:noProof/>
            <w:webHidden/>
          </w:rPr>
          <w:instrText xml:space="preserve"> PAGEREF _Toc302552480 \h </w:instrText>
        </w:r>
        <w:r w:rsidR="00092850">
          <w:rPr>
            <w:noProof/>
            <w:webHidden/>
          </w:rPr>
        </w:r>
        <w:r w:rsidR="00092850">
          <w:rPr>
            <w:noProof/>
            <w:webHidden/>
          </w:rPr>
          <w:fldChar w:fldCharType="separate"/>
        </w:r>
        <w:r w:rsidR="00455976">
          <w:rPr>
            <w:noProof/>
            <w:webHidden/>
          </w:rPr>
          <w:t>8</w:t>
        </w:r>
        <w:r w:rsidR="00092850">
          <w:rPr>
            <w:noProof/>
            <w:webHidden/>
          </w:rPr>
          <w:fldChar w:fldCharType="end"/>
        </w:r>
      </w:hyperlink>
    </w:p>
    <w:p w14:paraId="12A70B61" w14:textId="77777777" w:rsidR="001D1D4B" w:rsidRDefault="000D513E">
      <w:pPr>
        <w:pStyle w:val="TOC2"/>
        <w:tabs>
          <w:tab w:val="left" w:pos="1080"/>
        </w:tabs>
        <w:rPr>
          <w:rFonts w:asciiTheme="minorHAnsi" w:eastAsiaTheme="minorEastAsia" w:hAnsiTheme="minorHAnsi" w:cstheme="minorBidi"/>
          <w:noProof/>
          <w:sz w:val="22"/>
          <w:szCs w:val="22"/>
        </w:rPr>
      </w:pPr>
      <w:hyperlink w:anchor="_Toc302552481" w:history="1">
        <w:r w:rsidR="001D1D4B" w:rsidRPr="00ED1CD2">
          <w:rPr>
            <w:rStyle w:val="Hyperlink"/>
            <w:noProof/>
          </w:rPr>
          <w:t>3c.</w:t>
        </w:r>
        <w:r w:rsidR="001D1D4B">
          <w:rPr>
            <w:rFonts w:asciiTheme="minorHAnsi" w:eastAsiaTheme="minorEastAsia" w:hAnsiTheme="minorHAnsi" w:cstheme="minorBidi"/>
            <w:noProof/>
            <w:sz w:val="22"/>
            <w:szCs w:val="22"/>
          </w:rPr>
          <w:tab/>
        </w:r>
        <w:r w:rsidR="001D1D4B" w:rsidRPr="00ED1CD2">
          <w:rPr>
            <w:rStyle w:val="Hyperlink"/>
            <w:noProof/>
          </w:rPr>
          <w:t>Consultations</w:t>
        </w:r>
        <w:r w:rsidR="001D1D4B">
          <w:rPr>
            <w:noProof/>
            <w:webHidden/>
          </w:rPr>
          <w:tab/>
        </w:r>
        <w:r w:rsidR="00092850">
          <w:rPr>
            <w:noProof/>
            <w:webHidden/>
          </w:rPr>
          <w:fldChar w:fldCharType="begin"/>
        </w:r>
        <w:r w:rsidR="001D1D4B">
          <w:rPr>
            <w:noProof/>
            <w:webHidden/>
          </w:rPr>
          <w:instrText xml:space="preserve"> PAGEREF _Toc302552481 \h </w:instrText>
        </w:r>
        <w:r w:rsidR="00092850">
          <w:rPr>
            <w:noProof/>
            <w:webHidden/>
          </w:rPr>
        </w:r>
        <w:r w:rsidR="00092850">
          <w:rPr>
            <w:noProof/>
            <w:webHidden/>
          </w:rPr>
          <w:fldChar w:fldCharType="separate"/>
        </w:r>
        <w:r w:rsidR="00455976">
          <w:rPr>
            <w:noProof/>
            <w:webHidden/>
          </w:rPr>
          <w:t>8</w:t>
        </w:r>
        <w:r w:rsidR="00092850">
          <w:rPr>
            <w:noProof/>
            <w:webHidden/>
          </w:rPr>
          <w:fldChar w:fldCharType="end"/>
        </w:r>
      </w:hyperlink>
    </w:p>
    <w:p w14:paraId="2D6C5591" w14:textId="77777777" w:rsidR="001D1D4B" w:rsidRDefault="000D513E">
      <w:pPr>
        <w:pStyle w:val="TOC2"/>
        <w:tabs>
          <w:tab w:val="left" w:pos="1080"/>
        </w:tabs>
        <w:rPr>
          <w:rFonts w:asciiTheme="minorHAnsi" w:eastAsiaTheme="minorEastAsia" w:hAnsiTheme="minorHAnsi" w:cstheme="minorBidi"/>
          <w:noProof/>
          <w:sz w:val="22"/>
          <w:szCs w:val="22"/>
        </w:rPr>
      </w:pPr>
      <w:hyperlink w:anchor="_Toc302552482" w:history="1">
        <w:r w:rsidR="001D1D4B" w:rsidRPr="00ED1CD2">
          <w:rPr>
            <w:rStyle w:val="Hyperlink"/>
            <w:noProof/>
          </w:rPr>
          <w:t>3d.</w:t>
        </w:r>
        <w:r w:rsidR="001D1D4B">
          <w:rPr>
            <w:rFonts w:asciiTheme="minorHAnsi" w:eastAsiaTheme="minorEastAsia" w:hAnsiTheme="minorHAnsi" w:cstheme="minorBidi"/>
            <w:noProof/>
            <w:sz w:val="22"/>
            <w:szCs w:val="22"/>
          </w:rPr>
          <w:tab/>
        </w:r>
        <w:r w:rsidR="001D1D4B" w:rsidRPr="00ED1CD2">
          <w:rPr>
            <w:rStyle w:val="Hyperlink"/>
            <w:noProof/>
          </w:rPr>
          <w:t>Effects of Less Frequent Collection</w:t>
        </w:r>
        <w:r w:rsidR="001D1D4B">
          <w:rPr>
            <w:noProof/>
            <w:webHidden/>
          </w:rPr>
          <w:tab/>
        </w:r>
        <w:r w:rsidR="00092850">
          <w:rPr>
            <w:noProof/>
            <w:webHidden/>
          </w:rPr>
          <w:fldChar w:fldCharType="begin"/>
        </w:r>
        <w:r w:rsidR="001D1D4B">
          <w:rPr>
            <w:noProof/>
            <w:webHidden/>
          </w:rPr>
          <w:instrText xml:space="preserve"> PAGEREF _Toc302552482 \h </w:instrText>
        </w:r>
        <w:r w:rsidR="00092850">
          <w:rPr>
            <w:noProof/>
            <w:webHidden/>
          </w:rPr>
        </w:r>
        <w:r w:rsidR="00092850">
          <w:rPr>
            <w:noProof/>
            <w:webHidden/>
          </w:rPr>
          <w:fldChar w:fldCharType="separate"/>
        </w:r>
        <w:r w:rsidR="00455976">
          <w:rPr>
            <w:noProof/>
            <w:webHidden/>
          </w:rPr>
          <w:t>9</w:t>
        </w:r>
        <w:r w:rsidR="00092850">
          <w:rPr>
            <w:noProof/>
            <w:webHidden/>
          </w:rPr>
          <w:fldChar w:fldCharType="end"/>
        </w:r>
      </w:hyperlink>
    </w:p>
    <w:p w14:paraId="301B6089" w14:textId="77777777" w:rsidR="001D1D4B" w:rsidRDefault="000D513E">
      <w:pPr>
        <w:pStyle w:val="TOC2"/>
        <w:tabs>
          <w:tab w:val="left" w:pos="1080"/>
        </w:tabs>
        <w:rPr>
          <w:rFonts w:asciiTheme="minorHAnsi" w:eastAsiaTheme="minorEastAsia" w:hAnsiTheme="minorHAnsi" w:cstheme="minorBidi"/>
          <w:noProof/>
          <w:sz w:val="22"/>
          <w:szCs w:val="22"/>
        </w:rPr>
      </w:pPr>
      <w:hyperlink w:anchor="_Toc302552483" w:history="1">
        <w:r w:rsidR="001D1D4B" w:rsidRPr="00ED1CD2">
          <w:rPr>
            <w:rStyle w:val="Hyperlink"/>
            <w:noProof/>
          </w:rPr>
          <w:t>3e.</w:t>
        </w:r>
        <w:r w:rsidR="001D1D4B">
          <w:rPr>
            <w:rFonts w:asciiTheme="minorHAnsi" w:eastAsiaTheme="minorEastAsia" w:hAnsiTheme="minorHAnsi" w:cstheme="minorBidi"/>
            <w:noProof/>
            <w:sz w:val="22"/>
            <w:szCs w:val="22"/>
          </w:rPr>
          <w:tab/>
        </w:r>
        <w:r w:rsidR="001D1D4B" w:rsidRPr="00ED1CD2">
          <w:rPr>
            <w:rStyle w:val="Hyperlink"/>
            <w:noProof/>
          </w:rPr>
          <w:t>General Guidelines</w:t>
        </w:r>
        <w:r w:rsidR="001D1D4B">
          <w:rPr>
            <w:noProof/>
            <w:webHidden/>
          </w:rPr>
          <w:tab/>
        </w:r>
        <w:r w:rsidR="00092850">
          <w:rPr>
            <w:noProof/>
            <w:webHidden/>
          </w:rPr>
          <w:fldChar w:fldCharType="begin"/>
        </w:r>
        <w:r w:rsidR="001D1D4B">
          <w:rPr>
            <w:noProof/>
            <w:webHidden/>
          </w:rPr>
          <w:instrText xml:space="preserve"> PAGEREF _Toc302552483 \h </w:instrText>
        </w:r>
        <w:r w:rsidR="00092850">
          <w:rPr>
            <w:noProof/>
            <w:webHidden/>
          </w:rPr>
        </w:r>
        <w:r w:rsidR="00092850">
          <w:rPr>
            <w:noProof/>
            <w:webHidden/>
          </w:rPr>
          <w:fldChar w:fldCharType="separate"/>
        </w:r>
        <w:r w:rsidR="00455976">
          <w:rPr>
            <w:noProof/>
            <w:webHidden/>
          </w:rPr>
          <w:t>9</w:t>
        </w:r>
        <w:r w:rsidR="00092850">
          <w:rPr>
            <w:noProof/>
            <w:webHidden/>
          </w:rPr>
          <w:fldChar w:fldCharType="end"/>
        </w:r>
      </w:hyperlink>
    </w:p>
    <w:p w14:paraId="25533ED7" w14:textId="77777777" w:rsidR="001D1D4B" w:rsidRDefault="000D513E">
      <w:pPr>
        <w:pStyle w:val="TOC2"/>
        <w:tabs>
          <w:tab w:val="left" w:pos="1080"/>
        </w:tabs>
        <w:rPr>
          <w:rFonts w:asciiTheme="minorHAnsi" w:eastAsiaTheme="minorEastAsia" w:hAnsiTheme="minorHAnsi" w:cstheme="minorBidi"/>
          <w:noProof/>
          <w:sz w:val="22"/>
          <w:szCs w:val="22"/>
        </w:rPr>
      </w:pPr>
      <w:hyperlink w:anchor="_Toc302552484" w:history="1">
        <w:r w:rsidR="001D1D4B" w:rsidRPr="00ED1CD2">
          <w:rPr>
            <w:rStyle w:val="Hyperlink"/>
            <w:noProof/>
          </w:rPr>
          <w:t>3f.</w:t>
        </w:r>
        <w:r w:rsidR="001D1D4B">
          <w:rPr>
            <w:rFonts w:asciiTheme="minorHAnsi" w:eastAsiaTheme="minorEastAsia" w:hAnsiTheme="minorHAnsi" w:cstheme="minorBidi"/>
            <w:noProof/>
            <w:sz w:val="22"/>
            <w:szCs w:val="22"/>
          </w:rPr>
          <w:tab/>
        </w:r>
        <w:r w:rsidR="001D1D4B" w:rsidRPr="00ED1CD2">
          <w:rPr>
            <w:rStyle w:val="Hyperlink"/>
            <w:noProof/>
          </w:rPr>
          <w:t>Confidentiality</w:t>
        </w:r>
        <w:r w:rsidR="001D1D4B">
          <w:rPr>
            <w:noProof/>
            <w:webHidden/>
          </w:rPr>
          <w:tab/>
        </w:r>
        <w:r w:rsidR="00092850">
          <w:rPr>
            <w:noProof/>
            <w:webHidden/>
          </w:rPr>
          <w:fldChar w:fldCharType="begin"/>
        </w:r>
        <w:r w:rsidR="001D1D4B">
          <w:rPr>
            <w:noProof/>
            <w:webHidden/>
          </w:rPr>
          <w:instrText xml:space="preserve"> PAGEREF _Toc302552484 \h </w:instrText>
        </w:r>
        <w:r w:rsidR="00092850">
          <w:rPr>
            <w:noProof/>
            <w:webHidden/>
          </w:rPr>
        </w:r>
        <w:r w:rsidR="00092850">
          <w:rPr>
            <w:noProof/>
            <w:webHidden/>
          </w:rPr>
          <w:fldChar w:fldCharType="separate"/>
        </w:r>
        <w:r w:rsidR="00455976">
          <w:rPr>
            <w:noProof/>
            <w:webHidden/>
          </w:rPr>
          <w:t>9</w:t>
        </w:r>
        <w:r w:rsidR="00092850">
          <w:rPr>
            <w:noProof/>
            <w:webHidden/>
          </w:rPr>
          <w:fldChar w:fldCharType="end"/>
        </w:r>
      </w:hyperlink>
    </w:p>
    <w:p w14:paraId="059E7422" w14:textId="77777777" w:rsidR="001D1D4B" w:rsidRDefault="000D513E">
      <w:pPr>
        <w:pStyle w:val="TOC2"/>
        <w:tabs>
          <w:tab w:val="left" w:pos="1080"/>
        </w:tabs>
        <w:rPr>
          <w:rFonts w:asciiTheme="minorHAnsi" w:eastAsiaTheme="minorEastAsia" w:hAnsiTheme="minorHAnsi" w:cstheme="minorBidi"/>
          <w:noProof/>
          <w:sz w:val="22"/>
          <w:szCs w:val="22"/>
        </w:rPr>
      </w:pPr>
      <w:hyperlink w:anchor="_Toc302552485" w:history="1">
        <w:r w:rsidR="001D1D4B" w:rsidRPr="00ED1CD2">
          <w:rPr>
            <w:rStyle w:val="Hyperlink"/>
            <w:noProof/>
          </w:rPr>
          <w:t>3g.</w:t>
        </w:r>
        <w:r w:rsidR="001D1D4B">
          <w:rPr>
            <w:rFonts w:asciiTheme="minorHAnsi" w:eastAsiaTheme="minorEastAsia" w:hAnsiTheme="minorHAnsi" w:cstheme="minorBidi"/>
            <w:noProof/>
            <w:sz w:val="22"/>
            <w:szCs w:val="22"/>
          </w:rPr>
          <w:tab/>
        </w:r>
        <w:r w:rsidR="001D1D4B" w:rsidRPr="00ED1CD2">
          <w:rPr>
            <w:rStyle w:val="Hyperlink"/>
            <w:noProof/>
          </w:rPr>
          <w:t>Sensitive Questions</w:t>
        </w:r>
        <w:r w:rsidR="001D1D4B">
          <w:rPr>
            <w:noProof/>
            <w:webHidden/>
          </w:rPr>
          <w:tab/>
        </w:r>
        <w:r w:rsidR="00092850">
          <w:rPr>
            <w:noProof/>
            <w:webHidden/>
          </w:rPr>
          <w:fldChar w:fldCharType="begin"/>
        </w:r>
        <w:r w:rsidR="001D1D4B">
          <w:rPr>
            <w:noProof/>
            <w:webHidden/>
          </w:rPr>
          <w:instrText xml:space="preserve"> PAGEREF _Toc302552485 \h </w:instrText>
        </w:r>
        <w:r w:rsidR="00092850">
          <w:rPr>
            <w:noProof/>
            <w:webHidden/>
          </w:rPr>
        </w:r>
        <w:r w:rsidR="00092850">
          <w:rPr>
            <w:noProof/>
            <w:webHidden/>
          </w:rPr>
          <w:fldChar w:fldCharType="separate"/>
        </w:r>
        <w:r w:rsidR="00455976">
          <w:rPr>
            <w:noProof/>
            <w:webHidden/>
          </w:rPr>
          <w:t>9</w:t>
        </w:r>
        <w:r w:rsidR="00092850">
          <w:rPr>
            <w:noProof/>
            <w:webHidden/>
          </w:rPr>
          <w:fldChar w:fldCharType="end"/>
        </w:r>
      </w:hyperlink>
    </w:p>
    <w:p w14:paraId="2AD9EE68" w14:textId="77777777" w:rsidR="001D1D4B" w:rsidRDefault="000D513E">
      <w:pPr>
        <w:pStyle w:val="TOC1"/>
        <w:tabs>
          <w:tab w:val="right" w:leader="dot" w:pos="9710"/>
        </w:tabs>
        <w:rPr>
          <w:rFonts w:asciiTheme="minorHAnsi" w:eastAsiaTheme="minorEastAsia" w:hAnsiTheme="minorHAnsi" w:cstheme="minorBidi"/>
          <w:noProof/>
          <w:sz w:val="22"/>
          <w:szCs w:val="22"/>
        </w:rPr>
      </w:pPr>
      <w:hyperlink w:anchor="_Toc302552486" w:history="1">
        <w:r w:rsidR="001D1D4B" w:rsidRPr="00ED1CD2">
          <w:rPr>
            <w:rStyle w:val="Hyperlink"/>
            <w:noProof/>
          </w:rPr>
          <w:t>4.</w:t>
        </w:r>
        <w:r w:rsidR="001D1D4B">
          <w:rPr>
            <w:rFonts w:asciiTheme="minorHAnsi" w:eastAsiaTheme="minorEastAsia" w:hAnsiTheme="minorHAnsi" w:cstheme="minorBidi"/>
            <w:noProof/>
            <w:sz w:val="22"/>
            <w:szCs w:val="22"/>
          </w:rPr>
          <w:tab/>
        </w:r>
        <w:r w:rsidR="001D1D4B" w:rsidRPr="00ED1CD2">
          <w:rPr>
            <w:rStyle w:val="Hyperlink"/>
            <w:noProof/>
          </w:rPr>
          <w:t>THE RESPONDENTS AND THE INFORMATION REQUESTED</w:t>
        </w:r>
        <w:r w:rsidR="001D1D4B">
          <w:rPr>
            <w:noProof/>
            <w:webHidden/>
          </w:rPr>
          <w:tab/>
        </w:r>
        <w:r w:rsidR="00092850">
          <w:rPr>
            <w:noProof/>
            <w:webHidden/>
          </w:rPr>
          <w:fldChar w:fldCharType="begin"/>
        </w:r>
        <w:r w:rsidR="001D1D4B">
          <w:rPr>
            <w:noProof/>
            <w:webHidden/>
          </w:rPr>
          <w:instrText xml:space="preserve"> PAGEREF _Toc302552486 \h </w:instrText>
        </w:r>
        <w:r w:rsidR="00092850">
          <w:rPr>
            <w:noProof/>
            <w:webHidden/>
          </w:rPr>
        </w:r>
        <w:r w:rsidR="00092850">
          <w:rPr>
            <w:noProof/>
            <w:webHidden/>
          </w:rPr>
          <w:fldChar w:fldCharType="separate"/>
        </w:r>
        <w:r w:rsidR="00455976">
          <w:rPr>
            <w:noProof/>
            <w:webHidden/>
          </w:rPr>
          <w:t>10</w:t>
        </w:r>
        <w:r w:rsidR="00092850">
          <w:rPr>
            <w:noProof/>
            <w:webHidden/>
          </w:rPr>
          <w:fldChar w:fldCharType="end"/>
        </w:r>
      </w:hyperlink>
    </w:p>
    <w:p w14:paraId="059BCC26" w14:textId="77777777" w:rsidR="001D1D4B" w:rsidRDefault="000D513E">
      <w:pPr>
        <w:pStyle w:val="TOC2"/>
        <w:tabs>
          <w:tab w:val="left" w:pos="1080"/>
        </w:tabs>
        <w:rPr>
          <w:rFonts w:asciiTheme="minorHAnsi" w:eastAsiaTheme="minorEastAsia" w:hAnsiTheme="minorHAnsi" w:cstheme="minorBidi"/>
          <w:noProof/>
          <w:sz w:val="22"/>
          <w:szCs w:val="22"/>
        </w:rPr>
      </w:pPr>
      <w:hyperlink w:anchor="_Toc302552487" w:history="1">
        <w:r w:rsidR="001D1D4B" w:rsidRPr="00ED1CD2">
          <w:rPr>
            <w:rStyle w:val="Hyperlink"/>
            <w:noProof/>
          </w:rPr>
          <w:t>4a.</w:t>
        </w:r>
        <w:r w:rsidR="001D1D4B">
          <w:rPr>
            <w:rFonts w:asciiTheme="minorHAnsi" w:eastAsiaTheme="minorEastAsia" w:hAnsiTheme="minorHAnsi" w:cstheme="minorBidi"/>
            <w:noProof/>
            <w:sz w:val="22"/>
            <w:szCs w:val="22"/>
          </w:rPr>
          <w:tab/>
        </w:r>
        <w:r w:rsidR="001D1D4B" w:rsidRPr="00ED1CD2">
          <w:rPr>
            <w:rStyle w:val="Hyperlink"/>
            <w:noProof/>
          </w:rPr>
          <w:t>Respondents and SIC Codes</w:t>
        </w:r>
        <w:r w:rsidR="001D1D4B">
          <w:rPr>
            <w:noProof/>
            <w:webHidden/>
          </w:rPr>
          <w:tab/>
        </w:r>
        <w:r w:rsidR="00092850">
          <w:rPr>
            <w:noProof/>
            <w:webHidden/>
          </w:rPr>
          <w:fldChar w:fldCharType="begin"/>
        </w:r>
        <w:r w:rsidR="001D1D4B">
          <w:rPr>
            <w:noProof/>
            <w:webHidden/>
          </w:rPr>
          <w:instrText xml:space="preserve"> PAGEREF _Toc302552487 \h </w:instrText>
        </w:r>
        <w:r w:rsidR="00092850">
          <w:rPr>
            <w:noProof/>
            <w:webHidden/>
          </w:rPr>
        </w:r>
        <w:r w:rsidR="00092850">
          <w:rPr>
            <w:noProof/>
            <w:webHidden/>
          </w:rPr>
          <w:fldChar w:fldCharType="separate"/>
        </w:r>
        <w:r w:rsidR="00455976">
          <w:rPr>
            <w:noProof/>
            <w:webHidden/>
          </w:rPr>
          <w:t>10</w:t>
        </w:r>
        <w:r w:rsidR="00092850">
          <w:rPr>
            <w:noProof/>
            <w:webHidden/>
          </w:rPr>
          <w:fldChar w:fldCharType="end"/>
        </w:r>
      </w:hyperlink>
    </w:p>
    <w:p w14:paraId="44F38268" w14:textId="77777777" w:rsidR="001D1D4B" w:rsidRDefault="000D513E">
      <w:pPr>
        <w:pStyle w:val="TOC2"/>
        <w:tabs>
          <w:tab w:val="left" w:pos="1080"/>
        </w:tabs>
        <w:rPr>
          <w:rFonts w:asciiTheme="minorHAnsi" w:eastAsiaTheme="minorEastAsia" w:hAnsiTheme="minorHAnsi" w:cstheme="minorBidi"/>
          <w:noProof/>
          <w:sz w:val="22"/>
          <w:szCs w:val="22"/>
        </w:rPr>
      </w:pPr>
      <w:hyperlink w:anchor="_Toc302552488" w:history="1">
        <w:r w:rsidR="001D1D4B" w:rsidRPr="00ED1CD2">
          <w:rPr>
            <w:rStyle w:val="Hyperlink"/>
            <w:noProof/>
          </w:rPr>
          <w:t>4b.</w:t>
        </w:r>
        <w:r w:rsidR="001D1D4B">
          <w:rPr>
            <w:rFonts w:asciiTheme="minorHAnsi" w:eastAsiaTheme="minorEastAsia" w:hAnsiTheme="minorHAnsi" w:cstheme="minorBidi"/>
            <w:noProof/>
            <w:sz w:val="22"/>
            <w:szCs w:val="22"/>
          </w:rPr>
          <w:tab/>
        </w:r>
        <w:r w:rsidR="001D1D4B" w:rsidRPr="00ED1CD2">
          <w:rPr>
            <w:rStyle w:val="Hyperlink"/>
            <w:noProof/>
          </w:rPr>
          <w:t>Information Requested</w:t>
        </w:r>
        <w:r w:rsidR="001D1D4B">
          <w:rPr>
            <w:noProof/>
            <w:webHidden/>
          </w:rPr>
          <w:tab/>
        </w:r>
        <w:r w:rsidR="00092850">
          <w:rPr>
            <w:noProof/>
            <w:webHidden/>
          </w:rPr>
          <w:fldChar w:fldCharType="begin"/>
        </w:r>
        <w:r w:rsidR="001D1D4B">
          <w:rPr>
            <w:noProof/>
            <w:webHidden/>
          </w:rPr>
          <w:instrText xml:space="preserve"> PAGEREF _Toc302552488 \h </w:instrText>
        </w:r>
        <w:r w:rsidR="00092850">
          <w:rPr>
            <w:noProof/>
            <w:webHidden/>
          </w:rPr>
        </w:r>
        <w:r w:rsidR="00092850">
          <w:rPr>
            <w:noProof/>
            <w:webHidden/>
          </w:rPr>
          <w:fldChar w:fldCharType="separate"/>
        </w:r>
        <w:r w:rsidR="00455976">
          <w:rPr>
            <w:noProof/>
            <w:webHidden/>
          </w:rPr>
          <w:t>10</w:t>
        </w:r>
        <w:r w:rsidR="00092850">
          <w:rPr>
            <w:noProof/>
            <w:webHidden/>
          </w:rPr>
          <w:fldChar w:fldCharType="end"/>
        </w:r>
      </w:hyperlink>
    </w:p>
    <w:p w14:paraId="4CDE96E3" w14:textId="77777777" w:rsidR="001D1D4B" w:rsidRDefault="000D513E">
      <w:pPr>
        <w:pStyle w:val="TOC3"/>
        <w:rPr>
          <w:rFonts w:asciiTheme="minorHAnsi" w:eastAsiaTheme="minorEastAsia" w:hAnsiTheme="minorHAnsi" w:cstheme="minorBidi"/>
          <w:noProof/>
          <w:sz w:val="22"/>
          <w:szCs w:val="22"/>
        </w:rPr>
      </w:pPr>
      <w:hyperlink w:anchor="_Toc302552489" w:history="1">
        <w:r w:rsidR="001D1D4B" w:rsidRPr="00ED1CD2">
          <w:rPr>
            <w:rStyle w:val="Hyperlink"/>
            <w:noProof/>
          </w:rPr>
          <w:t>i.</w:t>
        </w:r>
        <w:r w:rsidR="001D1D4B">
          <w:rPr>
            <w:rFonts w:asciiTheme="minorHAnsi" w:eastAsiaTheme="minorEastAsia" w:hAnsiTheme="minorHAnsi" w:cstheme="minorBidi"/>
            <w:noProof/>
            <w:sz w:val="22"/>
            <w:szCs w:val="22"/>
          </w:rPr>
          <w:tab/>
        </w:r>
        <w:r w:rsidR="001D1D4B" w:rsidRPr="00ED1CD2">
          <w:rPr>
            <w:rStyle w:val="Hyperlink"/>
            <w:noProof/>
          </w:rPr>
          <w:t>Data items, including record keeping requirements</w:t>
        </w:r>
        <w:r w:rsidR="001D1D4B">
          <w:rPr>
            <w:noProof/>
            <w:webHidden/>
          </w:rPr>
          <w:tab/>
        </w:r>
        <w:r w:rsidR="00092850">
          <w:rPr>
            <w:noProof/>
            <w:webHidden/>
          </w:rPr>
          <w:fldChar w:fldCharType="begin"/>
        </w:r>
        <w:r w:rsidR="001D1D4B">
          <w:rPr>
            <w:noProof/>
            <w:webHidden/>
          </w:rPr>
          <w:instrText xml:space="preserve"> PAGEREF _Toc302552489 \h </w:instrText>
        </w:r>
        <w:r w:rsidR="00092850">
          <w:rPr>
            <w:noProof/>
            <w:webHidden/>
          </w:rPr>
        </w:r>
        <w:r w:rsidR="00092850">
          <w:rPr>
            <w:noProof/>
            <w:webHidden/>
          </w:rPr>
          <w:fldChar w:fldCharType="separate"/>
        </w:r>
        <w:r w:rsidR="00455976">
          <w:rPr>
            <w:noProof/>
            <w:webHidden/>
          </w:rPr>
          <w:t>10</w:t>
        </w:r>
        <w:r w:rsidR="00092850">
          <w:rPr>
            <w:noProof/>
            <w:webHidden/>
          </w:rPr>
          <w:fldChar w:fldCharType="end"/>
        </w:r>
      </w:hyperlink>
    </w:p>
    <w:p w14:paraId="124F6AC5" w14:textId="77777777" w:rsidR="001D1D4B" w:rsidRDefault="000D513E">
      <w:pPr>
        <w:pStyle w:val="TOC3"/>
        <w:rPr>
          <w:rFonts w:asciiTheme="minorHAnsi" w:eastAsiaTheme="minorEastAsia" w:hAnsiTheme="minorHAnsi" w:cstheme="minorBidi"/>
          <w:noProof/>
          <w:sz w:val="22"/>
          <w:szCs w:val="22"/>
        </w:rPr>
      </w:pPr>
      <w:hyperlink w:anchor="_Toc302552490" w:history="1">
        <w:r w:rsidR="001D1D4B" w:rsidRPr="00ED1CD2">
          <w:rPr>
            <w:rStyle w:val="Hyperlink"/>
            <w:noProof/>
          </w:rPr>
          <w:t>ii.</w:t>
        </w:r>
        <w:r w:rsidR="001D1D4B">
          <w:rPr>
            <w:rFonts w:asciiTheme="minorHAnsi" w:eastAsiaTheme="minorEastAsia" w:hAnsiTheme="minorHAnsi" w:cstheme="minorBidi"/>
            <w:noProof/>
            <w:sz w:val="22"/>
            <w:szCs w:val="22"/>
          </w:rPr>
          <w:tab/>
        </w:r>
        <w:r w:rsidR="001D1D4B" w:rsidRPr="00ED1CD2">
          <w:rPr>
            <w:rStyle w:val="Hyperlink"/>
            <w:noProof/>
          </w:rPr>
          <w:t>Respondent Activities</w:t>
        </w:r>
        <w:r w:rsidR="001D1D4B">
          <w:rPr>
            <w:noProof/>
            <w:webHidden/>
          </w:rPr>
          <w:tab/>
        </w:r>
        <w:r w:rsidR="00092850">
          <w:rPr>
            <w:noProof/>
            <w:webHidden/>
          </w:rPr>
          <w:fldChar w:fldCharType="begin"/>
        </w:r>
        <w:r w:rsidR="001D1D4B">
          <w:rPr>
            <w:noProof/>
            <w:webHidden/>
          </w:rPr>
          <w:instrText xml:space="preserve"> PAGEREF _Toc302552490 \h </w:instrText>
        </w:r>
        <w:r w:rsidR="00092850">
          <w:rPr>
            <w:noProof/>
            <w:webHidden/>
          </w:rPr>
        </w:r>
        <w:r w:rsidR="00092850">
          <w:rPr>
            <w:noProof/>
            <w:webHidden/>
          </w:rPr>
          <w:fldChar w:fldCharType="separate"/>
        </w:r>
        <w:r w:rsidR="00455976">
          <w:rPr>
            <w:noProof/>
            <w:webHidden/>
          </w:rPr>
          <w:t>14</w:t>
        </w:r>
        <w:r w:rsidR="00092850">
          <w:rPr>
            <w:noProof/>
            <w:webHidden/>
          </w:rPr>
          <w:fldChar w:fldCharType="end"/>
        </w:r>
      </w:hyperlink>
    </w:p>
    <w:p w14:paraId="0BBFB50D" w14:textId="77777777" w:rsidR="001D1D4B" w:rsidRDefault="000D513E">
      <w:pPr>
        <w:pStyle w:val="TOC1"/>
        <w:tabs>
          <w:tab w:val="right" w:leader="dot" w:pos="9710"/>
        </w:tabs>
        <w:rPr>
          <w:rFonts w:asciiTheme="minorHAnsi" w:eastAsiaTheme="minorEastAsia" w:hAnsiTheme="minorHAnsi" w:cstheme="minorBidi"/>
          <w:noProof/>
          <w:sz w:val="22"/>
          <w:szCs w:val="22"/>
        </w:rPr>
      </w:pPr>
      <w:hyperlink w:anchor="_Toc302552491" w:history="1">
        <w:r w:rsidR="001D1D4B" w:rsidRPr="00ED1CD2">
          <w:rPr>
            <w:rStyle w:val="Hyperlink"/>
            <w:noProof/>
          </w:rPr>
          <w:t>5.</w:t>
        </w:r>
        <w:r w:rsidR="001D1D4B">
          <w:rPr>
            <w:rFonts w:asciiTheme="minorHAnsi" w:eastAsiaTheme="minorEastAsia" w:hAnsiTheme="minorHAnsi" w:cstheme="minorBidi"/>
            <w:noProof/>
            <w:sz w:val="22"/>
            <w:szCs w:val="22"/>
          </w:rPr>
          <w:tab/>
        </w:r>
        <w:r w:rsidR="001D1D4B" w:rsidRPr="00ED1CD2">
          <w:rPr>
            <w:rStyle w:val="Hyperlink"/>
            <w:noProof/>
          </w:rPr>
          <w:t>THE INFORMATION COLLECTED – AGENCY ACTIVITIES, COLLECTION METHODOLOGY, AND INFORMATION MANAGEMENT</w:t>
        </w:r>
        <w:r w:rsidR="001D1D4B">
          <w:rPr>
            <w:noProof/>
            <w:webHidden/>
          </w:rPr>
          <w:tab/>
        </w:r>
        <w:r w:rsidR="00092850">
          <w:rPr>
            <w:noProof/>
            <w:webHidden/>
          </w:rPr>
          <w:fldChar w:fldCharType="begin"/>
        </w:r>
        <w:r w:rsidR="001D1D4B">
          <w:rPr>
            <w:noProof/>
            <w:webHidden/>
          </w:rPr>
          <w:instrText xml:space="preserve"> PAGEREF _Toc302552491 \h </w:instrText>
        </w:r>
        <w:r w:rsidR="00092850">
          <w:rPr>
            <w:noProof/>
            <w:webHidden/>
          </w:rPr>
        </w:r>
        <w:r w:rsidR="00092850">
          <w:rPr>
            <w:noProof/>
            <w:webHidden/>
          </w:rPr>
          <w:fldChar w:fldCharType="separate"/>
        </w:r>
        <w:r w:rsidR="00455976">
          <w:rPr>
            <w:noProof/>
            <w:webHidden/>
          </w:rPr>
          <w:t>15</w:t>
        </w:r>
        <w:r w:rsidR="00092850">
          <w:rPr>
            <w:noProof/>
            <w:webHidden/>
          </w:rPr>
          <w:fldChar w:fldCharType="end"/>
        </w:r>
      </w:hyperlink>
    </w:p>
    <w:p w14:paraId="54917103" w14:textId="77777777" w:rsidR="001D1D4B" w:rsidRDefault="000D513E">
      <w:pPr>
        <w:pStyle w:val="TOC2"/>
        <w:tabs>
          <w:tab w:val="left" w:pos="1080"/>
        </w:tabs>
        <w:rPr>
          <w:rFonts w:asciiTheme="minorHAnsi" w:eastAsiaTheme="minorEastAsia" w:hAnsiTheme="minorHAnsi" w:cstheme="minorBidi"/>
          <w:noProof/>
          <w:sz w:val="22"/>
          <w:szCs w:val="22"/>
        </w:rPr>
      </w:pPr>
      <w:hyperlink w:anchor="_Toc302552492" w:history="1">
        <w:r w:rsidR="001D1D4B" w:rsidRPr="00ED1CD2">
          <w:rPr>
            <w:rStyle w:val="Hyperlink"/>
            <w:noProof/>
          </w:rPr>
          <w:t>5a.</w:t>
        </w:r>
        <w:r w:rsidR="001D1D4B">
          <w:rPr>
            <w:rFonts w:asciiTheme="minorHAnsi" w:eastAsiaTheme="minorEastAsia" w:hAnsiTheme="minorHAnsi" w:cstheme="minorBidi"/>
            <w:noProof/>
            <w:sz w:val="22"/>
            <w:szCs w:val="22"/>
          </w:rPr>
          <w:tab/>
        </w:r>
        <w:r w:rsidR="001D1D4B" w:rsidRPr="00ED1CD2">
          <w:rPr>
            <w:rStyle w:val="Hyperlink"/>
            <w:noProof/>
          </w:rPr>
          <w:t>Agency Activities</w:t>
        </w:r>
        <w:r w:rsidR="001D1D4B">
          <w:rPr>
            <w:noProof/>
            <w:webHidden/>
          </w:rPr>
          <w:tab/>
        </w:r>
        <w:r w:rsidR="00092850">
          <w:rPr>
            <w:noProof/>
            <w:webHidden/>
          </w:rPr>
          <w:fldChar w:fldCharType="begin"/>
        </w:r>
        <w:r w:rsidR="001D1D4B">
          <w:rPr>
            <w:noProof/>
            <w:webHidden/>
          </w:rPr>
          <w:instrText xml:space="preserve"> PAGEREF _Toc302552492 \h </w:instrText>
        </w:r>
        <w:r w:rsidR="00092850">
          <w:rPr>
            <w:noProof/>
            <w:webHidden/>
          </w:rPr>
        </w:r>
        <w:r w:rsidR="00092850">
          <w:rPr>
            <w:noProof/>
            <w:webHidden/>
          </w:rPr>
          <w:fldChar w:fldCharType="separate"/>
        </w:r>
        <w:r w:rsidR="00455976">
          <w:rPr>
            <w:noProof/>
            <w:webHidden/>
          </w:rPr>
          <w:t>15</w:t>
        </w:r>
        <w:r w:rsidR="00092850">
          <w:rPr>
            <w:noProof/>
            <w:webHidden/>
          </w:rPr>
          <w:fldChar w:fldCharType="end"/>
        </w:r>
      </w:hyperlink>
    </w:p>
    <w:p w14:paraId="6AA97041" w14:textId="77777777" w:rsidR="001D1D4B" w:rsidRDefault="000D513E">
      <w:pPr>
        <w:pStyle w:val="TOC2"/>
        <w:tabs>
          <w:tab w:val="left" w:pos="1080"/>
        </w:tabs>
        <w:rPr>
          <w:rFonts w:asciiTheme="minorHAnsi" w:eastAsiaTheme="minorEastAsia" w:hAnsiTheme="minorHAnsi" w:cstheme="minorBidi"/>
          <w:noProof/>
          <w:sz w:val="22"/>
          <w:szCs w:val="22"/>
        </w:rPr>
      </w:pPr>
      <w:hyperlink w:anchor="_Toc302552493" w:history="1">
        <w:r w:rsidR="001D1D4B" w:rsidRPr="00ED1CD2">
          <w:rPr>
            <w:rStyle w:val="Hyperlink"/>
            <w:noProof/>
          </w:rPr>
          <w:t>5b.</w:t>
        </w:r>
        <w:r w:rsidR="001D1D4B">
          <w:rPr>
            <w:rFonts w:asciiTheme="minorHAnsi" w:eastAsiaTheme="minorEastAsia" w:hAnsiTheme="minorHAnsi" w:cstheme="minorBidi"/>
            <w:noProof/>
            <w:sz w:val="22"/>
            <w:szCs w:val="22"/>
          </w:rPr>
          <w:tab/>
        </w:r>
        <w:r w:rsidR="001D1D4B" w:rsidRPr="00ED1CD2">
          <w:rPr>
            <w:rStyle w:val="Hyperlink"/>
            <w:noProof/>
          </w:rPr>
          <w:t>Collection Methodology and Management</w:t>
        </w:r>
        <w:r w:rsidR="001D1D4B">
          <w:rPr>
            <w:noProof/>
            <w:webHidden/>
          </w:rPr>
          <w:tab/>
        </w:r>
        <w:r w:rsidR="00092850">
          <w:rPr>
            <w:noProof/>
            <w:webHidden/>
          </w:rPr>
          <w:fldChar w:fldCharType="begin"/>
        </w:r>
        <w:r w:rsidR="001D1D4B">
          <w:rPr>
            <w:noProof/>
            <w:webHidden/>
          </w:rPr>
          <w:instrText xml:space="preserve"> PAGEREF _Toc302552493 \h </w:instrText>
        </w:r>
        <w:r w:rsidR="00092850">
          <w:rPr>
            <w:noProof/>
            <w:webHidden/>
          </w:rPr>
        </w:r>
        <w:r w:rsidR="00092850">
          <w:rPr>
            <w:noProof/>
            <w:webHidden/>
          </w:rPr>
          <w:fldChar w:fldCharType="separate"/>
        </w:r>
        <w:r w:rsidR="00455976">
          <w:rPr>
            <w:noProof/>
            <w:webHidden/>
          </w:rPr>
          <w:t>15</w:t>
        </w:r>
        <w:r w:rsidR="00092850">
          <w:rPr>
            <w:noProof/>
            <w:webHidden/>
          </w:rPr>
          <w:fldChar w:fldCharType="end"/>
        </w:r>
      </w:hyperlink>
    </w:p>
    <w:p w14:paraId="01446A99" w14:textId="77777777" w:rsidR="001D1D4B" w:rsidRDefault="000D513E">
      <w:pPr>
        <w:pStyle w:val="TOC2"/>
        <w:tabs>
          <w:tab w:val="left" w:pos="1080"/>
        </w:tabs>
        <w:rPr>
          <w:rFonts w:asciiTheme="minorHAnsi" w:eastAsiaTheme="minorEastAsia" w:hAnsiTheme="minorHAnsi" w:cstheme="minorBidi"/>
          <w:noProof/>
          <w:sz w:val="22"/>
          <w:szCs w:val="22"/>
        </w:rPr>
      </w:pPr>
      <w:hyperlink w:anchor="_Toc302552494" w:history="1">
        <w:r w:rsidR="001D1D4B" w:rsidRPr="00ED1CD2">
          <w:rPr>
            <w:rStyle w:val="Hyperlink"/>
            <w:noProof/>
          </w:rPr>
          <w:t>5c.</w:t>
        </w:r>
        <w:r w:rsidR="001D1D4B">
          <w:rPr>
            <w:rFonts w:asciiTheme="minorHAnsi" w:eastAsiaTheme="minorEastAsia" w:hAnsiTheme="minorHAnsi" w:cstheme="minorBidi"/>
            <w:noProof/>
            <w:sz w:val="22"/>
            <w:szCs w:val="22"/>
          </w:rPr>
          <w:tab/>
        </w:r>
        <w:r w:rsidR="001D1D4B" w:rsidRPr="00ED1CD2">
          <w:rPr>
            <w:rStyle w:val="Hyperlink"/>
            <w:noProof/>
          </w:rPr>
          <w:t>Small Entity Flexibility</w:t>
        </w:r>
        <w:r w:rsidR="001D1D4B">
          <w:rPr>
            <w:noProof/>
            <w:webHidden/>
          </w:rPr>
          <w:tab/>
        </w:r>
        <w:r w:rsidR="00092850">
          <w:rPr>
            <w:noProof/>
            <w:webHidden/>
          </w:rPr>
          <w:fldChar w:fldCharType="begin"/>
        </w:r>
        <w:r w:rsidR="001D1D4B">
          <w:rPr>
            <w:noProof/>
            <w:webHidden/>
          </w:rPr>
          <w:instrText xml:space="preserve"> PAGEREF _Toc302552494 \h </w:instrText>
        </w:r>
        <w:r w:rsidR="00092850">
          <w:rPr>
            <w:noProof/>
            <w:webHidden/>
          </w:rPr>
        </w:r>
        <w:r w:rsidR="00092850">
          <w:rPr>
            <w:noProof/>
            <w:webHidden/>
          </w:rPr>
          <w:fldChar w:fldCharType="separate"/>
        </w:r>
        <w:r w:rsidR="00455976">
          <w:rPr>
            <w:noProof/>
            <w:webHidden/>
          </w:rPr>
          <w:t>16</w:t>
        </w:r>
        <w:r w:rsidR="00092850">
          <w:rPr>
            <w:noProof/>
            <w:webHidden/>
          </w:rPr>
          <w:fldChar w:fldCharType="end"/>
        </w:r>
      </w:hyperlink>
    </w:p>
    <w:p w14:paraId="38BA2229" w14:textId="77777777" w:rsidR="001D1D4B" w:rsidRDefault="000D513E">
      <w:pPr>
        <w:pStyle w:val="TOC2"/>
        <w:tabs>
          <w:tab w:val="left" w:pos="1080"/>
        </w:tabs>
        <w:rPr>
          <w:rFonts w:asciiTheme="minorHAnsi" w:eastAsiaTheme="minorEastAsia" w:hAnsiTheme="minorHAnsi" w:cstheme="minorBidi"/>
          <w:noProof/>
          <w:sz w:val="22"/>
          <w:szCs w:val="22"/>
        </w:rPr>
      </w:pPr>
      <w:hyperlink w:anchor="_Toc302552495" w:history="1">
        <w:r w:rsidR="001D1D4B" w:rsidRPr="00ED1CD2">
          <w:rPr>
            <w:rStyle w:val="Hyperlink"/>
            <w:noProof/>
          </w:rPr>
          <w:t>5d.</w:t>
        </w:r>
        <w:r w:rsidR="001D1D4B">
          <w:rPr>
            <w:rFonts w:asciiTheme="minorHAnsi" w:eastAsiaTheme="minorEastAsia" w:hAnsiTheme="minorHAnsi" w:cstheme="minorBidi"/>
            <w:noProof/>
            <w:sz w:val="22"/>
            <w:szCs w:val="22"/>
          </w:rPr>
          <w:tab/>
        </w:r>
        <w:r w:rsidR="001D1D4B" w:rsidRPr="00ED1CD2">
          <w:rPr>
            <w:rStyle w:val="Hyperlink"/>
            <w:noProof/>
          </w:rPr>
          <w:t>Collection Schedule</w:t>
        </w:r>
        <w:r w:rsidR="001D1D4B">
          <w:rPr>
            <w:noProof/>
            <w:webHidden/>
          </w:rPr>
          <w:tab/>
        </w:r>
        <w:r w:rsidR="00092850">
          <w:rPr>
            <w:noProof/>
            <w:webHidden/>
          </w:rPr>
          <w:fldChar w:fldCharType="begin"/>
        </w:r>
        <w:r w:rsidR="001D1D4B">
          <w:rPr>
            <w:noProof/>
            <w:webHidden/>
          </w:rPr>
          <w:instrText xml:space="preserve"> PAGEREF _Toc302552495 \h </w:instrText>
        </w:r>
        <w:r w:rsidR="00092850">
          <w:rPr>
            <w:noProof/>
            <w:webHidden/>
          </w:rPr>
        </w:r>
        <w:r w:rsidR="00092850">
          <w:rPr>
            <w:noProof/>
            <w:webHidden/>
          </w:rPr>
          <w:fldChar w:fldCharType="separate"/>
        </w:r>
        <w:r w:rsidR="00455976">
          <w:rPr>
            <w:noProof/>
            <w:webHidden/>
          </w:rPr>
          <w:t>16</w:t>
        </w:r>
        <w:r w:rsidR="00092850">
          <w:rPr>
            <w:noProof/>
            <w:webHidden/>
          </w:rPr>
          <w:fldChar w:fldCharType="end"/>
        </w:r>
      </w:hyperlink>
    </w:p>
    <w:p w14:paraId="57BD49AC" w14:textId="77777777" w:rsidR="001D1D4B" w:rsidRDefault="000D513E">
      <w:pPr>
        <w:pStyle w:val="TOC1"/>
        <w:tabs>
          <w:tab w:val="right" w:leader="dot" w:pos="9710"/>
        </w:tabs>
        <w:rPr>
          <w:rFonts w:asciiTheme="minorHAnsi" w:eastAsiaTheme="minorEastAsia" w:hAnsiTheme="minorHAnsi" w:cstheme="minorBidi"/>
          <w:noProof/>
          <w:sz w:val="22"/>
          <w:szCs w:val="22"/>
        </w:rPr>
      </w:pPr>
      <w:hyperlink w:anchor="_Toc302552496" w:history="1">
        <w:r w:rsidR="001D1D4B" w:rsidRPr="00ED1CD2">
          <w:rPr>
            <w:rStyle w:val="Hyperlink"/>
            <w:noProof/>
          </w:rPr>
          <w:t>6.</w:t>
        </w:r>
        <w:r w:rsidR="001D1D4B">
          <w:rPr>
            <w:rFonts w:asciiTheme="minorHAnsi" w:eastAsiaTheme="minorEastAsia" w:hAnsiTheme="minorHAnsi" w:cstheme="minorBidi"/>
            <w:noProof/>
            <w:sz w:val="22"/>
            <w:szCs w:val="22"/>
          </w:rPr>
          <w:tab/>
        </w:r>
        <w:r w:rsidR="001D1D4B" w:rsidRPr="00ED1CD2">
          <w:rPr>
            <w:rStyle w:val="Hyperlink"/>
            <w:noProof/>
          </w:rPr>
          <w:t>ESTIMATING THE BURDEN AND COST OF THE COLLECTION</w:t>
        </w:r>
        <w:r w:rsidR="001D1D4B">
          <w:rPr>
            <w:noProof/>
            <w:webHidden/>
          </w:rPr>
          <w:tab/>
        </w:r>
        <w:r w:rsidR="00092850">
          <w:rPr>
            <w:noProof/>
            <w:webHidden/>
          </w:rPr>
          <w:fldChar w:fldCharType="begin"/>
        </w:r>
        <w:r w:rsidR="001D1D4B">
          <w:rPr>
            <w:noProof/>
            <w:webHidden/>
          </w:rPr>
          <w:instrText xml:space="preserve"> PAGEREF _Toc302552496 \h </w:instrText>
        </w:r>
        <w:r w:rsidR="00092850">
          <w:rPr>
            <w:noProof/>
            <w:webHidden/>
          </w:rPr>
        </w:r>
        <w:r w:rsidR="00092850">
          <w:rPr>
            <w:noProof/>
            <w:webHidden/>
          </w:rPr>
          <w:fldChar w:fldCharType="separate"/>
        </w:r>
        <w:r w:rsidR="00455976">
          <w:rPr>
            <w:noProof/>
            <w:webHidden/>
          </w:rPr>
          <w:t>16</w:t>
        </w:r>
        <w:r w:rsidR="00092850">
          <w:rPr>
            <w:noProof/>
            <w:webHidden/>
          </w:rPr>
          <w:fldChar w:fldCharType="end"/>
        </w:r>
      </w:hyperlink>
    </w:p>
    <w:p w14:paraId="13C03B6E" w14:textId="77777777" w:rsidR="001D1D4B" w:rsidRDefault="000D513E">
      <w:pPr>
        <w:pStyle w:val="TOC2"/>
        <w:tabs>
          <w:tab w:val="left" w:pos="1080"/>
        </w:tabs>
        <w:rPr>
          <w:rFonts w:asciiTheme="minorHAnsi" w:eastAsiaTheme="minorEastAsia" w:hAnsiTheme="minorHAnsi" w:cstheme="minorBidi"/>
          <w:noProof/>
          <w:sz w:val="22"/>
          <w:szCs w:val="22"/>
        </w:rPr>
      </w:pPr>
      <w:hyperlink w:anchor="_Toc302552497" w:history="1">
        <w:r w:rsidR="001D1D4B" w:rsidRPr="00ED1CD2">
          <w:rPr>
            <w:rStyle w:val="Hyperlink"/>
            <w:noProof/>
          </w:rPr>
          <w:t>6a.</w:t>
        </w:r>
        <w:r w:rsidR="001D1D4B">
          <w:rPr>
            <w:rFonts w:asciiTheme="minorHAnsi" w:eastAsiaTheme="minorEastAsia" w:hAnsiTheme="minorHAnsi" w:cstheme="minorBidi"/>
            <w:noProof/>
            <w:sz w:val="22"/>
            <w:szCs w:val="22"/>
          </w:rPr>
          <w:tab/>
        </w:r>
        <w:r w:rsidR="001D1D4B" w:rsidRPr="00ED1CD2">
          <w:rPr>
            <w:rStyle w:val="Hyperlink"/>
            <w:noProof/>
          </w:rPr>
          <w:t>Estimating Respondent Burden</w:t>
        </w:r>
        <w:r w:rsidR="001D1D4B">
          <w:rPr>
            <w:noProof/>
            <w:webHidden/>
          </w:rPr>
          <w:tab/>
        </w:r>
        <w:r w:rsidR="00092850">
          <w:rPr>
            <w:noProof/>
            <w:webHidden/>
          </w:rPr>
          <w:fldChar w:fldCharType="begin"/>
        </w:r>
        <w:r w:rsidR="001D1D4B">
          <w:rPr>
            <w:noProof/>
            <w:webHidden/>
          </w:rPr>
          <w:instrText xml:space="preserve"> PAGEREF _Toc302552497 \h </w:instrText>
        </w:r>
        <w:r w:rsidR="00092850">
          <w:rPr>
            <w:noProof/>
            <w:webHidden/>
          </w:rPr>
        </w:r>
        <w:r w:rsidR="00092850">
          <w:rPr>
            <w:noProof/>
            <w:webHidden/>
          </w:rPr>
          <w:fldChar w:fldCharType="separate"/>
        </w:r>
        <w:r w:rsidR="00455976">
          <w:rPr>
            <w:noProof/>
            <w:webHidden/>
          </w:rPr>
          <w:t>16</w:t>
        </w:r>
        <w:r w:rsidR="00092850">
          <w:rPr>
            <w:noProof/>
            <w:webHidden/>
          </w:rPr>
          <w:fldChar w:fldCharType="end"/>
        </w:r>
      </w:hyperlink>
    </w:p>
    <w:p w14:paraId="50B4ACAC" w14:textId="77777777" w:rsidR="001D1D4B" w:rsidRDefault="000D513E">
      <w:pPr>
        <w:pStyle w:val="TOC5"/>
        <w:rPr>
          <w:rFonts w:asciiTheme="minorHAnsi" w:eastAsiaTheme="minorEastAsia" w:hAnsiTheme="minorHAnsi" w:cstheme="minorBidi"/>
          <w:noProof/>
          <w:sz w:val="22"/>
          <w:szCs w:val="22"/>
        </w:rPr>
      </w:pPr>
      <w:hyperlink w:anchor="_Toc302552498" w:history="1">
        <w:r w:rsidR="001D1D4B" w:rsidRPr="00ED1CD2">
          <w:rPr>
            <w:rStyle w:val="Hyperlink"/>
            <w:b/>
            <w:noProof/>
          </w:rPr>
          <w:t>Exhibit 1 – Unit Burden Hours per Respondent Information Collection Activity</w:t>
        </w:r>
        <w:r w:rsidR="001D1D4B">
          <w:rPr>
            <w:noProof/>
            <w:webHidden/>
          </w:rPr>
          <w:tab/>
        </w:r>
        <w:r w:rsidR="00092850">
          <w:rPr>
            <w:noProof/>
            <w:webHidden/>
          </w:rPr>
          <w:fldChar w:fldCharType="begin"/>
        </w:r>
        <w:r w:rsidR="001D1D4B">
          <w:rPr>
            <w:noProof/>
            <w:webHidden/>
          </w:rPr>
          <w:instrText xml:space="preserve"> PAGEREF _Toc302552498 \h </w:instrText>
        </w:r>
        <w:r w:rsidR="00092850">
          <w:rPr>
            <w:noProof/>
            <w:webHidden/>
          </w:rPr>
        </w:r>
        <w:r w:rsidR="00092850">
          <w:rPr>
            <w:noProof/>
            <w:webHidden/>
          </w:rPr>
          <w:fldChar w:fldCharType="separate"/>
        </w:r>
        <w:r w:rsidR="00455976">
          <w:rPr>
            <w:noProof/>
            <w:webHidden/>
          </w:rPr>
          <w:t>18</w:t>
        </w:r>
        <w:r w:rsidR="00092850">
          <w:rPr>
            <w:noProof/>
            <w:webHidden/>
          </w:rPr>
          <w:fldChar w:fldCharType="end"/>
        </w:r>
      </w:hyperlink>
    </w:p>
    <w:p w14:paraId="3E5127CA" w14:textId="77777777" w:rsidR="001D1D4B" w:rsidRDefault="000D513E">
      <w:pPr>
        <w:pStyle w:val="TOC5"/>
        <w:rPr>
          <w:rFonts w:asciiTheme="minorHAnsi" w:eastAsiaTheme="minorEastAsia" w:hAnsiTheme="minorHAnsi" w:cstheme="minorBidi"/>
          <w:noProof/>
          <w:sz w:val="22"/>
          <w:szCs w:val="22"/>
        </w:rPr>
      </w:pPr>
      <w:hyperlink w:anchor="_Toc302552499" w:history="1">
        <w:r w:rsidR="001D1D4B" w:rsidRPr="00ED1CD2">
          <w:rPr>
            <w:rStyle w:val="Hyperlink"/>
            <w:b/>
            <w:noProof/>
          </w:rPr>
          <w:t>Exhibit 1 (With Forms) – Unit Burden Hours per Respondent Information Collection Activity</w:t>
        </w:r>
        <w:r w:rsidR="001D1D4B">
          <w:rPr>
            <w:noProof/>
            <w:webHidden/>
          </w:rPr>
          <w:tab/>
        </w:r>
        <w:r w:rsidR="00092850">
          <w:rPr>
            <w:noProof/>
            <w:webHidden/>
          </w:rPr>
          <w:fldChar w:fldCharType="begin"/>
        </w:r>
        <w:r w:rsidR="001D1D4B">
          <w:rPr>
            <w:noProof/>
            <w:webHidden/>
          </w:rPr>
          <w:instrText xml:space="preserve"> PAGEREF _Toc302552499 \h </w:instrText>
        </w:r>
        <w:r w:rsidR="00092850">
          <w:rPr>
            <w:noProof/>
            <w:webHidden/>
          </w:rPr>
        </w:r>
        <w:r w:rsidR="00092850">
          <w:rPr>
            <w:noProof/>
            <w:webHidden/>
          </w:rPr>
          <w:fldChar w:fldCharType="separate"/>
        </w:r>
        <w:r w:rsidR="00455976">
          <w:rPr>
            <w:noProof/>
            <w:webHidden/>
          </w:rPr>
          <w:t>19</w:t>
        </w:r>
        <w:r w:rsidR="00092850">
          <w:rPr>
            <w:noProof/>
            <w:webHidden/>
          </w:rPr>
          <w:fldChar w:fldCharType="end"/>
        </w:r>
      </w:hyperlink>
    </w:p>
    <w:p w14:paraId="4A703A09" w14:textId="77777777" w:rsidR="001D1D4B" w:rsidRDefault="000D513E">
      <w:pPr>
        <w:pStyle w:val="TOC5"/>
        <w:rPr>
          <w:rFonts w:asciiTheme="minorHAnsi" w:eastAsiaTheme="minorEastAsia" w:hAnsiTheme="minorHAnsi" w:cstheme="minorBidi"/>
          <w:noProof/>
          <w:sz w:val="22"/>
          <w:szCs w:val="22"/>
        </w:rPr>
      </w:pPr>
      <w:hyperlink w:anchor="_Toc302552500" w:history="1">
        <w:r w:rsidR="001D1D4B" w:rsidRPr="00ED1CD2">
          <w:rPr>
            <w:rStyle w:val="Hyperlink"/>
            <w:b/>
            <w:noProof/>
          </w:rPr>
          <w:t>Exhibit 2 – Burden Hours for a Typical Facility</w:t>
        </w:r>
        <w:r w:rsidR="001D1D4B">
          <w:rPr>
            <w:noProof/>
            <w:webHidden/>
          </w:rPr>
          <w:tab/>
        </w:r>
        <w:r w:rsidR="00092850">
          <w:rPr>
            <w:noProof/>
            <w:webHidden/>
          </w:rPr>
          <w:fldChar w:fldCharType="begin"/>
        </w:r>
        <w:r w:rsidR="001D1D4B">
          <w:rPr>
            <w:noProof/>
            <w:webHidden/>
          </w:rPr>
          <w:instrText xml:space="preserve"> PAGEREF _Toc302552500 \h </w:instrText>
        </w:r>
        <w:r w:rsidR="00092850">
          <w:rPr>
            <w:noProof/>
            <w:webHidden/>
          </w:rPr>
        </w:r>
        <w:r w:rsidR="00092850">
          <w:rPr>
            <w:noProof/>
            <w:webHidden/>
          </w:rPr>
          <w:fldChar w:fldCharType="separate"/>
        </w:r>
        <w:r w:rsidR="00455976">
          <w:rPr>
            <w:noProof/>
            <w:webHidden/>
          </w:rPr>
          <w:t>24</w:t>
        </w:r>
        <w:r w:rsidR="00092850">
          <w:rPr>
            <w:noProof/>
            <w:webHidden/>
          </w:rPr>
          <w:fldChar w:fldCharType="end"/>
        </w:r>
      </w:hyperlink>
    </w:p>
    <w:p w14:paraId="4E6F5A50" w14:textId="77777777" w:rsidR="001D1D4B" w:rsidRDefault="000D513E">
      <w:pPr>
        <w:pStyle w:val="TOC5"/>
        <w:rPr>
          <w:rFonts w:asciiTheme="minorHAnsi" w:eastAsiaTheme="minorEastAsia" w:hAnsiTheme="minorHAnsi" w:cstheme="minorBidi"/>
          <w:noProof/>
          <w:sz w:val="22"/>
          <w:szCs w:val="22"/>
        </w:rPr>
      </w:pPr>
      <w:hyperlink w:anchor="_Toc302552501" w:history="1">
        <w:r w:rsidR="001D1D4B" w:rsidRPr="00ED1CD2">
          <w:rPr>
            <w:rStyle w:val="Hyperlink"/>
            <w:b/>
            <w:noProof/>
          </w:rPr>
          <w:t>Exhibit 2 (With Forms) – Burden Hours for a Typical Facility</w:t>
        </w:r>
        <w:r w:rsidR="001D1D4B">
          <w:rPr>
            <w:noProof/>
            <w:webHidden/>
          </w:rPr>
          <w:tab/>
        </w:r>
        <w:r w:rsidR="00092850">
          <w:rPr>
            <w:noProof/>
            <w:webHidden/>
          </w:rPr>
          <w:fldChar w:fldCharType="begin"/>
        </w:r>
        <w:r w:rsidR="001D1D4B">
          <w:rPr>
            <w:noProof/>
            <w:webHidden/>
          </w:rPr>
          <w:instrText xml:space="preserve"> PAGEREF _Toc302552501 \h </w:instrText>
        </w:r>
        <w:r w:rsidR="00092850">
          <w:rPr>
            <w:noProof/>
            <w:webHidden/>
          </w:rPr>
        </w:r>
        <w:r w:rsidR="00092850">
          <w:rPr>
            <w:noProof/>
            <w:webHidden/>
          </w:rPr>
          <w:fldChar w:fldCharType="separate"/>
        </w:r>
        <w:r w:rsidR="00455976">
          <w:rPr>
            <w:noProof/>
            <w:webHidden/>
          </w:rPr>
          <w:t>25</w:t>
        </w:r>
        <w:r w:rsidR="00092850">
          <w:rPr>
            <w:noProof/>
            <w:webHidden/>
          </w:rPr>
          <w:fldChar w:fldCharType="end"/>
        </w:r>
      </w:hyperlink>
    </w:p>
    <w:p w14:paraId="20E8903F" w14:textId="77777777" w:rsidR="001D1D4B" w:rsidRDefault="000D513E">
      <w:pPr>
        <w:pStyle w:val="TOC2"/>
        <w:tabs>
          <w:tab w:val="left" w:pos="1080"/>
        </w:tabs>
        <w:rPr>
          <w:rFonts w:asciiTheme="minorHAnsi" w:eastAsiaTheme="minorEastAsia" w:hAnsiTheme="minorHAnsi" w:cstheme="minorBidi"/>
          <w:noProof/>
          <w:sz w:val="22"/>
          <w:szCs w:val="22"/>
        </w:rPr>
      </w:pPr>
      <w:hyperlink w:anchor="_Toc302552502" w:history="1">
        <w:r w:rsidR="001D1D4B" w:rsidRPr="00ED1CD2">
          <w:rPr>
            <w:rStyle w:val="Hyperlink"/>
            <w:noProof/>
          </w:rPr>
          <w:t>6b.</w:t>
        </w:r>
        <w:r w:rsidR="001D1D4B">
          <w:rPr>
            <w:rFonts w:asciiTheme="minorHAnsi" w:eastAsiaTheme="minorEastAsia" w:hAnsiTheme="minorHAnsi" w:cstheme="minorBidi"/>
            <w:noProof/>
            <w:sz w:val="22"/>
            <w:szCs w:val="22"/>
          </w:rPr>
          <w:tab/>
        </w:r>
        <w:r w:rsidR="001D1D4B" w:rsidRPr="00ED1CD2">
          <w:rPr>
            <w:rStyle w:val="Hyperlink"/>
            <w:noProof/>
          </w:rPr>
          <w:t>Estimating Respondent Costs</w:t>
        </w:r>
        <w:r w:rsidR="001D1D4B">
          <w:rPr>
            <w:noProof/>
            <w:webHidden/>
          </w:rPr>
          <w:tab/>
        </w:r>
        <w:r w:rsidR="00092850">
          <w:rPr>
            <w:noProof/>
            <w:webHidden/>
          </w:rPr>
          <w:fldChar w:fldCharType="begin"/>
        </w:r>
        <w:r w:rsidR="001D1D4B">
          <w:rPr>
            <w:noProof/>
            <w:webHidden/>
          </w:rPr>
          <w:instrText xml:space="preserve"> PAGEREF _Toc302552502 \h </w:instrText>
        </w:r>
        <w:r w:rsidR="00092850">
          <w:rPr>
            <w:noProof/>
            <w:webHidden/>
          </w:rPr>
        </w:r>
        <w:r w:rsidR="00092850">
          <w:rPr>
            <w:noProof/>
            <w:webHidden/>
          </w:rPr>
          <w:fldChar w:fldCharType="separate"/>
        </w:r>
        <w:r w:rsidR="00455976">
          <w:rPr>
            <w:noProof/>
            <w:webHidden/>
          </w:rPr>
          <w:t>25</w:t>
        </w:r>
        <w:r w:rsidR="00092850">
          <w:rPr>
            <w:noProof/>
            <w:webHidden/>
          </w:rPr>
          <w:fldChar w:fldCharType="end"/>
        </w:r>
      </w:hyperlink>
    </w:p>
    <w:p w14:paraId="14F28AEB" w14:textId="77777777" w:rsidR="001D1D4B" w:rsidRDefault="000D513E">
      <w:pPr>
        <w:pStyle w:val="TOC3"/>
        <w:rPr>
          <w:rFonts w:asciiTheme="minorHAnsi" w:eastAsiaTheme="minorEastAsia" w:hAnsiTheme="minorHAnsi" w:cstheme="minorBidi"/>
          <w:noProof/>
          <w:sz w:val="22"/>
          <w:szCs w:val="22"/>
        </w:rPr>
      </w:pPr>
      <w:hyperlink w:anchor="_Toc302552503" w:history="1">
        <w:r w:rsidR="001D1D4B" w:rsidRPr="00ED1CD2">
          <w:rPr>
            <w:rStyle w:val="Hyperlink"/>
            <w:noProof/>
          </w:rPr>
          <w:t>i.</w:t>
        </w:r>
        <w:r w:rsidR="001D1D4B">
          <w:rPr>
            <w:rFonts w:asciiTheme="minorHAnsi" w:eastAsiaTheme="minorEastAsia" w:hAnsiTheme="minorHAnsi" w:cstheme="minorBidi"/>
            <w:noProof/>
            <w:sz w:val="22"/>
            <w:szCs w:val="22"/>
          </w:rPr>
          <w:tab/>
        </w:r>
        <w:r w:rsidR="001D1D4B" w:rsidRPr="00ED1CD2">
          <w:rPr>
            <w:rStyle w:val="Hyperlink"/>
            <w:noProof/>
          </w:rPr>
          <w:t>Estimating Labor Costs</w:t>
        </w:r>
        <w:r w:rsidR="001D1D4B">
          <w:rPr>
            <w:noProof/>
            <w:webHidden/>
          </w:rPr>
          <w:tab/>
        </w:r>
        <w:r w:rsidR="00092850">
          <w:rPr>
            <w:noProof/>
            <w:webHidden/>
          </w:rPr>
          <w:fldChar w:fldCharType="begin"/>
        </w:r>
        <w:r w:rsidR="001D1D4B">
          <w:rPr>
            <w:noProof/>
            <w:webHidden/>
          </w:rPr>
          <w:instrText xml:space="preserve"> PAGEREF _Toc302552503 \h </w:instrText>
        </w:r>
        <w:r w:rsidR="00092850">
          <w:rPr>
            <w:noProof/>
            <w:webHidden/>
          </w:rPr>
        </w:r>
        <w:r w:rsidR="00092850">
          <w:rPr>
            <w:noProof/>
            <w:webHidden/>
          </w:rPr>
          <w:fldChar w:fldCharType="separate"/>
        </w:r>
        <w:r w:rsidR="00455976">
          <w:rPr>
            <w:noProof/>
            <w:webHidden/>
          </w:rPr>
          <w:t>25</w:t>
        </w:r>
        <w:r w:rsidR="00092850">
          <w:rPr>
            <w:noProof/>
            <w:webHidden/>
          </w:rPr>
          <w:fldChar w:fldCharType="end"/>
        </w:r>
      </w:hyperlink>
    </w:p>
    <w:p w14:paraId="37C81E88" w14:textId="77777777" w:rsidR="001D1D4B" w:rsidRDefault="000D513E">
      <w:pPr>
        <w:pStyle w:val="TOC5"/>
        <w:rPr>
          <w:rFonts w:asciiTheme="minorHAnsi" w:eastAsiaTheme="minorEastAsia" w:hAnsiTheme="minorHAnsi" w:cstheme="minorBidi"/>
          <w:noProof/>
          <w:sz w:val="22"/>
          <w:szCs w:val="22"/>
        </w:rPr>
      </w:pPr>
      <w:hyperlink w:anchor="_Toc302552504" w:history="1">
        <w:r w:rsidR="001D1D4B" w:rsidRPr="00ED1CD2">
          <w:rPr>
            <w:rStyle w:val="Hyperlink"/>
            <w:b/>
            <w:noProof/>
          </w:rPr>
          <w:t>Exhibit 3 – Unit Labor Cost per Respondent Information Collection Activity</w:t>
        </w:r>
        <w:r w:rsidR="001D1D4B">
          <w:rPr>
            <w:noProof/>
            <w:webHidden/>
          </w:rPr>
          <w:tab/>
        </w:r>
        <w:r w:rsidR="00092850">
          <w:rPr>
            <w:noProof/>
            <w:webHidden/>
          </w:rPr>
          <w:fldChar w:fldCharType="begin"/>
        </w:r>
        <w:r w:rsidR="001D1D4B">
          <w:rPr>
            <w:noProof/>
            <w:webHidden/>
          </w:rPr>
          <w:instrText xml:space="preserve"> PAGEREF _Toc302552504 \h </w:instrText>
        </w:r>
        <w:r w:rsidR="00092850">
          <w:rPr>
            <w:noProof/>
            <w:webHidden/>
          </w:rPr>
        </w:r>
        <w:r w:rsidR="00092850">
          <w:rPr>
            <w:noProof/>
            <w:webHidden/>
          </w:rPr>
          <w:fldChar w:fldCharType="separate"/>
        </w:r>
        <w:r w:rsidR="00455976">
          <w:rPr>
            <w:noProof/>
            <w:webHidden/>
          </w:rPr>
          <w:t>27</w:t>
        </w:r>
        <w:r w:rsidR="00092850">
          <w:rPr>
            <w:noProof/>
            <w:webHidden/>
          </w:rPr>
          <w:fldChar w:fldCharType="end"/>
        </w:r>
      </w:hyperlink>
    </w:p>
    <w:p w14:paraId="134813FC" w14:textId="77777777" w:rsidR="001D1D4B" w:rsidRDefault="000D513E">
      <w:pPr>
        <w:pStyle w:val="TOC5"/>
        <w:rPr>
          <w:rFonts w:asciiTheme="minorHAnsi" w:eastAsiaTheme="minorEastAsia" w:hAnsiTheme="minorHAnsi" w:cstheme="minorBidi"/>
          <w:noProof/>
          <w:sz w:val="22"/>
          <w:szCs w:val="22"/>
        </w:rPr>
      </w:pPr>
      <w:hyperlink w:anchor="_Toc302552505" w:history="1">
        <w:r w:rsidR="001D1D4B" w:rsidRPr="00ED1CD2">
          <w:rPr>
            <w:rStyle w:val="Hyperlink"/>
            <w:b/>
            <w:noProof/>
          </w:rPr>
          <w:t>Exhibit 3 (With Forms) – Unit Labor Cost per Respondent Information Collection Activity</w:t>
        </w:r>
        <w:r w:rsidR="001D1D4B">
          <w:rPr>
            <w:noProof/>
            <w:webHidden/>
          </w:rPr>
          <w:tab/>
        </w:r>
        <w:r w:rsidR="00092850">
          <w:rPr>
            <w:noProof/>
            <w:webHidden/>
          </w:rPr>
          <w:fldChar w:fldCharType="begin"/>
        </w:r>
        <w:r w:rsidR="001D1D4B">
          <w:rPr>
            <w:noProof/>
            <w:webHidden/>
          </w:rPr>
          <w:instrText xml:space="preserve"> PAGEREF _Toc302552505 \h </w:instrText>
        </w:r>
        <w:r w:rsidR="00092850">
          <w:rPr>
            <w:noProof/>
            <w:webHidden/>
          </w:rPr>
        </w:r>
        <w:r w:rsidR="00092850">
          <w:rPr>
            <w:noProof/>
            <w:webHidden/>
          </w:rPr>
          <w:fldChar w:fldCharType="separate"/>
        </w:r>
        <w:r w:rsidR="00455976">
          <w:rPr>
            <w:noProof/>
            <w:webHidden/>
          </w:rPr>
          <w:t>28</w:t>
        </w:r>
        <w:r w:rsidR="00092850">
          <w:rPr>
            <w:noProof/>
            <w:webHidden/>
          </w:rPr>
          <w:fldChar w:fldCharType="end"/>
        </w:r>
      </w:hyperlink>
    </w:p>
    <w:p w14:paraId="4F337673" w14:textId="77777777" w:rsidR="001D1D4B" w:rsidRDefault="000D513E">
      <w:pPr>
        <w:pStyle w:val="TOC5"/>
        <w:rPr>
          <w:rFonts w:asciiTheme="minorHAnsi" w:eastAsiaTheme="minorEastAsia" w:hAnsiTheme="minorHAnsi" w:cstheme="minorBidi"/>
          <w:noProof/>
          <w:sz w:val="22"/>
          <w:szCs w:val="22"/>
        </w:rPr>
      </w:pPr>
      <w:hyperlink w:anchor="_Toc302552506" w:history="1">
        <w:r w:rsidR="001D1D4B" w:rsidRPr="00ED1CD2">
          <w:rPr>
            <w:rStyle w:val="Hyperlink"/>
            <w:b/>
            <w:noProof/>
          </w:rPr>
          <w:t>Exhibit 4 – Annual Labor Costs for a Typical Facility</w:t>
        </w:r>
        <w:r w:rsidR="001D1D4B">
          <w:rPr>
            <w:noProof/>
            <w:webHidden/>
          </w:rPr>
          <w:tab/>
        </w:r>
        <w:r w:rsidR="00092850">
          <w:rPr>
            <w:noProof/>
            <w:webHidden/>
          </w:rPr>
          <w:fldChar w:fldCharType="begin"/>
        </w:r>
        <w:r w:rsidR="001D1D4B">
          <w:rPr>
            <w:noProof/>
            <w:webHidden/>
          </w:rPr>
          <w:instrText xml:space="preserve"> PAGEREF _Toc302552506 \h </w:instrText>
        </w:r>
        <w:r w:rsidR="00092850">
          <w:rPr>
            <w:noProof/>
            <w:webHidden/>
          </w:rPr>
        </w:r>
        <w:r w:rsidR="00092850">
          <w:rPr>
            <w:noProof/>
            <w:webHidden/>
          </w:rPr>
          <w:fldChar w:fldCharType="separate"/>
        </w:r>
        <w:r w:rsidR="00455976">
          <w:rPr>
            <w:noProof/>
            <w:webHidden/>
          </w:rPr>
          <w:t>28</w:t>
        </w:r>
        <w:r w:rsidR="00092850">
          <w:rPr>
            <w:noProof/>
            <w:webHidden/>
          </w:rPr>
          <w:fldChar w:fldCharType="end"/>
        </w:r>
      </w:hyperlink>
    </w:p>
    <w:p w14:paraId="0453F3B2" w14:textId="77777777" w:rsidR="001D1D4B" w:rsidRDefault="000D513E">
      <w:pPr>
        <w:pStyle w:val="TOC5"/>
        <w:rPr>
          <w:rFonts w:asciiTheme="minorHAnsi" w:eastAsiaTheme="minorEastAsia" w:hAnsiTheme="minorHAnsi" w:cstheme="minorBidi"/>
          <w:noProof/>
          <w:sz w:val="22"/>
          <w:szCs w:val="22"/>
        </w:rPr>
      </w:pPr>
      <w:hyperlink w:anchor="_Toc302552507" w:history="1">
        <w:r w:rsidR="001D1D4B" w:rsidRPr="00ED1CD2">
          <w:rPr>
            <w:rStyle w:val="Hyperlink"/>
            <w:b/>
            <w:noProof/>
          </w:rPr>
          <w:t>Exhibit 4 (With Forms) – Annual Labor Costs for a Typical Facility</w:t>
        </w:r>
        <w:r w:rsidR="001D1D4B">
          <w:rPr>
            <w:noProof/>
            <w:webHidden/>
          </w:rPr>
          <w:tab/>
        </w:r>
        <w:r w:rsidR="00092850">
          <w:rPr>
            <w:noProof/>
            <w:webHidden/>
          </w:rPr>
          <w:fldChar w:fldCharType="begin"/>
        </w:r>
        <w:r w:rsidR="001D1D4B">
          <w:rPr>
            <w:noProof/>
            <w:webHidden/>
          </w:rPr>
          <w:instrText xml:space="preserve"> PAGEREF _Toc302552507 \h </w:instrText>
        </w:r>
        <w:r w:rsidR="00092850">
          <w:rPr>
            <w:noProof/>
            <w:webHidden/>
          </w:rPr>
        </w:r>
        <w:r w:rsidR="00092850">
          <w:rPr>
            <w:noProof/>
            <w:webHidden/>
          </w:rPr>
          <w:fldChar w:fldCharType="separate"/>
        </w:r>
        <w:r w:rsidR="00455976">
          <w:rPr>
            <w:noProof/>
            <w:webHidden/>
          </w:rPr>
          <w:t>29</w:t>
        </w:r>
        <w:r w:rsidR="00092850">
          <w:rPr>
            <w:noProof/>
            <w:webHidden/>
          </w:rPr>
          <w:fldChar w:fldCharType="end"/>
        </w:r>
      </w:hyperlink>
    </w:p>
    <w:p w14:paraId="23B8A5F1" w14:textId="77777777" w:rsidR="001D1D4B" w:rsidRDefault="000D513E">
      <w:pPr>
        <w:pStyle w:val="TOC3"/>
        <w:rPr>
          <w:rFonts w:asciiTheme="minorHAnsi" w:eastAsiaTheme="minorEastAsia" w:hAnsiTheme="minorHAnsi" w:cstheme="minorBidi"/>
          <w:noProof/>
          <w:sz w:val="22"/>
          <w:szCs w:val="22"/>
        </w:rPr>
      </w:pPr>
      <w:hyperlink w:anchor="_Toc302552508" w:history="1">
        <w:r w:rsidR="001D1D4B" w:rsidRPr="00ED1CD2">
          <w:rPr>
            <w:rStyle w:val="Hyperlink"/>
            <w:noProof/>
          </w:rPr>
          <w:t>ii.</w:t>
        </w:r>
        <w:r w:rsidR="001D1D4B">
          <w:rPr>
            <w:rFonts w:asciiTheme="minorHAnsi" w:eastAsiaTheme="minorEastAsia" w:hAnsiTheme="minorHAnsi" w:cstheme="minorBidi"/>
            <w:noProof/>
            <w:sz w:val="22"/>
            <w:szCs w:val="22"/>
          </w:rPr>
          <w:tab/>
        </w:r>
        <w:r w:rsidR="001D1D4B" w:rsidRPr="00ED1CD2">
          <w:rPr>
            <w:rStyle w:val="Hyperlink"/>
            <w:noProof/>
          </w:rPr>
          <w:t>Estimating Capital and Operations and Maintenance Costs</w:t>
        </w:r>
        <w:r w:rsidR="001D1D4B">
          <w:rPr>
            <w:noProof/>
            <w:webHidden/>
          </w:rPr>
          <w:tab/>
        </w:r>
        <w:r w:rsidR="00092850">
          <w:rPr>
            <w:noProof/>
            <w:webHidden/>
          </w:rPr>
          <w:fldChar w:fldCharType="begin"/>
        </w:r>
        <w:r w:rsidR="001D1D4B">
          <w:rPr>
            <w:noProof/>
            <w:webHidden/>
          </w:rPr>
          <w:instrText xml:space="preserve"> PAGEREF _Toc302552508 \h </w:instrText>
        </w:r>
        <w:r w:rsidR="00092850">
          <w:rPr>
            <w:noProof/>
            <w:webHidden/>
          </w:rPr>
        </w:r>
        <w:r w:rsidR="00092850">
          <w:rPr>
            <w:noProof/>
            <w:webHidden/>
          </w:rPr>
          <w:fldChar w:fldCharType="separate"/>
        </w:r>
        <w:r w:rsidR="00455976">
          <w:rPr>
            <w:noProof/>
            <w:webHidden/>
          </w:rPr>
          <w:t>29</w:t>
        </w:r>
        <w:r w:rsidR="00092850">
          <w:rPr>
            <w:noProof/>
            <w:webHidden/>
          </w:rPr>
          <w:fldChar w:fldCharType="end"/>
        </w:r>
      </w:hyperlink>
    </w:p>
    <w:p w14:paraId="7DC2E3D1" w14:textId="77777777" w:rsidR="001D1D4B" w:rsidRDefault="000D513E">
      <w:pPr>
        <w:pStyle w:val="TOC5"/>
        <w:rPr>
          <w:rFonts w:asciiTheme="minorHAnsi" w:eastAsiaTheme="minorEastAsia" w:hAnsiTheme="minorHAnsi" w:cstheme="minorBidi"/>
          <w:noProof/>
          <w:sz w:val="22"/>
          <w:szCs w:val="22"/>
        </w:rPr>
      </w:pPr>
      <w:hyperlink w:anchor="_Toc302552509" w:history="1">
        <w:r w:rsidR="001D1D4B" w:rsidRPr="00ED1CD2">
          <w:rPr>
            <w:rStyle w:val="Hyperlink"/>
            <w:b/>
            <w:noProof/>
          </w:rPr>
          <w:t>Exhibit 5 – Unit Operating and Maintenance Costs per Respondent Information Collection Activity</w:t>
        </w:r>
        <w:r w:rsidR="001D1D4B">
          <w:rPr>
            <w:noProof/>
            <w:webHidden/>
          </w:rPr>
          <w:tab/>
        </w:r>
        <w:r w:rsidR="00092850">
          <w:rPr>
            <w:noProof/>
            <w:webHidden/>
          </w:rPr>
          <w:fldChar w:fldCharType="begin"/>
        </w:r>
        <w:r w:rsidR="001D1D4B">
          <w:rPr>
            <w:noProof/>
            <w:webHidden/>
          </w:rPr>
          <w:instrText xml:space="preserve"> PAGEREF _Toc302552509 \h </w:instrText>
        </w:r>
        <w:r w:rsidR="00092850">
          <w:rPr>
            <w:noProof/>
            <w:webHidden/>
          </w:rPr>
        </w:r>
        <w:r w:rsidR="00092850">
          <w:rPr>
            <w:noProof/>
            <w:webHidden/>
          </w:rPr>
          <w:fldChar w:fldCharType="separate"/>
        </w:r>
        <w:r w:rsidR="00455976">
          <w:rPr>
            <w:noProof/>
            <w:webHidden/>
          </w:rPr>
          <w:t>30</w:t>
        </w:r>
        <w:r w:rsidR="00092850">
          <w:rPr>
            <w:noProof/>
            <w:webHidden/>
          </w:rPr>
          <w:fldChar w:fldCharType="end"/>
        </w:r>
      </w:hyperlink>
    </w:p>
    <w:p w14:paraId="38AABDE4" w14:textId="77777777" w:rsidR="001D1D4B" w:rsidRDefault="000D513E">
      <w:pPr>
        <w:pStyle w:val="TOC5"/>
        <w:rPr>
          <w:rFonts w:asciiTheme="minorHAnsi" w:eastAsiaTheme="minorEastAsia" w:hAnsiTheme="minorHAnsi" w:cstheme="minorBidi"/>
          <w:noProof/>
          <w:sz w:val="22"/>
          <w:szCs w:val="22"/>
        </w:rPr>
      </w:pPr>
      <w:hyperlink w:anchor="_Toc302552510" w:history="1">
        <w:r w:rsidR="001D1D4B" w:rsidRPr="00ED1CD2">
          <w:rPr>
            <w:rStyle w:val="Hyperlink"/>
            <w:b/>
            <w:noProof/>
          </w:rPr>
          <w:t>Exhibit 5 (With Forms) – Unit Operating and Maintenance Costs per Respondent Information Collection Activity</w:t>
        </w:r>
        <w:r w:rsidR="001D1D4B">
          <w:rPr>
            <w:noProof/>
            <w:webHidden/>
          </w:rPr>
          <w:tab/>
        </w:r>
        <w:r w:rsidR="00092850">
          <w:rPr>
            <w:noProof/>
            <w:webHidden/>
          </w:rPr>
          <w:fldChar w:fldCharType="begin"/>
        </w:r>
        <w:r w:rsidR="001D1D4B">
          <w:rPr>
            <w:noProof/>
            <w:webHidden/>
          </w:rPr>
          <w:instrText xml:space="preserve"> PAGEREF _Toc302552510 \h </w:instrText>
        </w:r>
        <w:r w:rsidR="00092850">
          <w:rPr>
            <w:noProof/>
            <w:webHidden/>
          </w:rPr>
        </w:r>
        <w:r w:rsidR="00092850">
          <w:rPr>
            <w:noProof/>
            <w:webHidden/>
          </w:rPr>
          <w:fldChar w:fldCharType="separate"/>
        </w:r>
        <w:r w:rsidR="00455976">
          <w:rPr>
            <w:noProof/>
            <w:webHidden/>
          </w:rPr>
          <w:t>31</w:t>
        </w:r>
        <w:r w:rsidR="00092850">
          <w:rPr>
            <w:noProof/>
            <w:webHidden/>
          </w:rPr>
          <w:fldChar w:fldCharType="end"/>
        </w:r>
      </w:hyperlink>
    </w:p>
    <w:p w14:paraId="09439C23" w14:textId="77777777" w:rsidR="001D1D4B" w:rsidRDefault="000D513E">
      <w:pPr>
        <w:pStyle w:val="TOC5"/>
        <w:rPr>
          <w:rFonts w:asciiTheme="minorHAnsi" w:eastAsiaTheme="minorEastAsia" w:hAnsiTheme="minorHAnsi" w:cstheme="minorBidi"/>
          <w:noProof/>
          <w:sz w:val="22"/>
          <w:szCs w:val="22"/>
        </w:rPr>
      </w:pPr>
      <w:hyperlink w:anchor="_Toc302552511" w:history="1">
        <w:r w:rsidR="001D1D4B" w:rsidRPr="00ED1CD2">
          <w:rPr>
            <w:rStyle w:val="Hyperlink"/>
            <w:b/>
            <w:noProof/>
          </w:rPr>
          <w:t>Exhibit 6 – Operating and Maintenance Costs for a Typical Facility</w:t>
        </w:r>
        <w:r w:rsidR="001D1D4B">
          <w:rPr>
            <w:noProof/>
            <w:webHidden/>
          </w:rPr>
          <w:tab/>
        </w:r>
        <w:r w:rsidR="00092850">
          <w:rPr>
            <w:noProof/>
            <w:webHidden/>
          </w:rPr>
          <w:fldChar w:fldCharType="begin"/>
        </w:r>
        <w:r w:rsidR="001D1D4B">
          <w:rPr>
            <w:noProof/>
            <w:webHidden/>
          </w:rPr>
          <w:instrText xml:space="preserve"> PAGEREF _Toc302552511 \h </w:instrText>
        </w:r>
        <w:r w:rsidR="00092850">
          <w:rPr>
            <w:noProof/>
            <w:webHidden/>
          </w:rPr>
        </w:r>
        <w:r w:rsidR="00092850">
          <w:rPr>
            <w:noProof/>
            <w:webHidden/>
          </w:rPr>
          <w:fldChar w:fldCharType="separate"/>
        </w:r>
        <w:r w:rsidR="00455976">
          <w:rPr>
            <w:noProof/>
            <w:webHidden/>
          </w:rPr>
          <w:t>31</w:t>
        </w:r>
        <w:r w:rsidR="00092850">
          <w:rPr>
            <w:noProof/>
            <w:webHidden/>
          </w:rPr>
          <w:fldChar w:fldCharType="end"/>
        </w:r>
      </w:hyperlink>
    </w:p>
    <w:p w14:paraId="01C9A90F" w14:textId="77777777" w:rsidR="001D1D4B" w:rsidRDefault="000D513E">
      <w:pPr>
        <w:pStyle w:val="TOC5"/>
        <w:rPr>
          <w:rFonts w:asciiTheme="minorHAnsi" w:eastAsiaTheme="minorEastAsia" w:hAnsiTheme="minorHAnsi" w:cstheme="minorBidi"/>
          <w:noProof/>
          <w:sz w:val="22"/>
          <w:szCs w:val="22"/>
        </w:rPr>
      </w:pPr>
      <w:hyperlink w:anchor="_Toc302552512" w:history="1">
        <w:r w:rsidR="001D1D4B" w:rsidRPr="00ED1CD2">
          <w:rPr>
            <w:rStyle w:val="Hyperlink"/>
            <w:b/>
            <w:noProof/>
          </w:rPr>
          <w:t>Exhibit 6 (With Forms) – Operating and Maintenance Costs for a Typical Facility</w:t>
        </w:r>
        <w:r w:rsidR="001D1D4B">
          <w:rPr>
            <w:noProof/>
            <w:webHidden/>
          </w:rPr>
          <w:tab/>
        </w:r>
        <w:r w:rsidR="00092850">
          <w:rPr>
            <w:noProof/>
            <w:webHidden/>
          </w:rPr>
          <w:fldChar w:fldCharType="begin"/>
        </w:r>
        <w:r w:rsidR="001D1D4B">
          <w:rPr>
            <w:noProof/>
            <w:webHidden/>
          </w:rPr>
          <w:instrText xml:space="preserve"> PAGEREF _Toc302552512 \h </w:instrText>
        </w:r>
        <w:r w:rsidR="00092850">
          <w:rPr>
            <w:noProof/>
            <w:webHidden/>
          </w:rPr>
        </w:r>
        <w:r w:rsidR="00092850">
          <w:rPr>
            <w:noProof/>
            <w:webHidden/>
          </w:rPr>
          <w:fldChar w:fldCharType="separate"/>
        </w:r>
        <w:r w:rsidR="00455976">
          <w:rPr>
            <w:noProof/>
            <w:webHidden/>
          </w:rPr>
          <w:t>32</w:t>
        </w:r>
        <w:r w:rsidR="00092850">
          <w:rPr>
            <w:noProof/>
            <w:webHidden/>
          </w:rPr>
          <w:fldChar w:fldCharType="end"/>
        </w:r>
      </w:hyperlink>
    </w:p>
    <w:p w14:paraId="30675CB9" w14:textId="77777777" w:rsidR="001D1D4B" w:rsidRDefault="000D513E">
      <w:pPr>
        <w:pStyle w:val="TOC5"/>
        <w:rPr>
          <w:rFonts w:asciiTheme="minorHAnsi" w:eastAsiaTheme="minorEastAsia" w:hAnsiTheme="minorHAnsi" w:cstheme="minorBidi"/>
          <w:noProof/>
          <w:sz w:val="22"/>
          <w:szCs w:val="22"/>
        </w:rPr>
      </w:pPr>
      <w:hyperlink w:anchor="_Toc302552513" w:history="1">
        <w:r w:rsidR="001D1D4B" w:rsidRPr="00ED1CD2">
          <w:rPr>
            <w:rStyle w:val="Hyperlink"/>
            <w:b/>
            <w:noProof/>
          </w:rPr>
          <w:t>Exhibit 8 – Labor and Operating and Maintenance Costs for a Typical Facility</w:t>
        </w:r>
        <w:r w:rsidR="001D1D4B">
          <w:rPr>
            <w:noProof/>
            <w:webHidden/>
          </w:rPr>
          <w:tab/>
        </w:r>
        <w:r w:rsidR="00092850">
          <w:rPr>
            <w:noProof/>
            <w:webHidden/>
          </w:rPr>
          <w:fldChar w:fldCharType="begin"/>
        </w:r>
        <w:r w:rsidR="001D1D4B">
          <w:rPr>
            <w:noProof/>
            <w:webHidden/>
          </w:rPr>
          <w:instrText xml:space="preserve"> PAGEREF _Toc302552513 \h </w:instrText>
        </w:r>
        <w:r w:rsidR="00092850">
          <w:rPr>
            <w:noProof/>
            <w:webHidden/>
          </w:rPr>
        </w:r>
        <w:r w:rsidR="00092850">
          <w:rPr>
            <w:noProof/>
            <w:webHidden/>
          </w:rPr>
          <w:fldChar w:fldCharType="separate"/>
        </w:r>
        <w:r w:rsidR="00455976">
          <w:rPr>
            <w:noProof/>
            <w:webHidden/>
          </w:rPr>
          <w:t>34</w:t>
        </w:r>
        <w:r w:rsidR="00092850">
          <w:rPr>
            <w:noProof/>
            <w:webHidden/>
          </w:rPr>
          <w:fldChar w:fldCharType="end"/>
        </w:r>
      </w:hyperlink>
    </w:p>
    <w:p w14:paraId="085CE880" w14:textId="77777777" w:rsidR="001D1D4B" w:rsidRDefault="000D513E">
      <w:pPr>
        <w:pStyle w:val="TOC5"/>
        <w:rPr>
          <w:rFonts w:asciiTheme="minorHAnsi" w:eastAsiaTheme="minorEastAsia" w:hAnsiTheme="minorHAnsi" w:cstheme="minorBidi"/>
          <w:noProof/>
          <w:sz w:val="22"/>
          <w:szCs w:val="22"/>
        </w:rPr>
      </w:pPr>
      <w:hyperlink w:anchor="_Toc302552514" w:history="1">
        <w:r w:rsidR="001D1D4B" w:rsidRPr="00ED1CD2">
          <w:rPr>
            <w:rStyle w:val="Hyperlink"/>
            <w:b/>
            <w:noProof/>
          </w:rPr>
          <w:t>Exhibit 8 (With Forms) – Labor and Operating and Maintenance Costs for a Typical Facility</w:t>
        </w:r>
        <w:r w:rsidR="001D1D4B">
          <w:rPr>
            <w:noProof/>
            <w:webHidden/>
          </w:rPr>
          <w:tab/>
        </w:r>
        <w:r w:rsidR="00092850">
          <w:rPr>
            <w:noProof/>
            <w:webHidden/>
          </w:rPr>
          <w:fldChar w:fldCharType="begin"/>
        </w:r>
        <w:r w:rsidR="001D1D4B">
          <w:rPr>
            <w:noProof/>
            <w:webHidden/>
          </w:rPr>
          <w:instrText xml:space="preserve"> PAGEREF _Toc302552514 \h </w:instrText>
        </w:r>
        <w:r w:rsidR="00092850">
          <w:rPr>
            <w:noProof/>
            <w:webHidden/>
          </w:rPr>
        </w:r>
        <w:r w:rsidR="00092850">
          <w:rPr>
            <w:noProof/>
            <w:webHidden/>
          </w:rPr>
          <w:fldChar w:fldCharType="separate"/>
        </w:r>
        <w:r w:rsidR="00455976">
          <w:rPr>
            <w:noProof/>
            <w:webHidden/>
          </w:rPr>
          <w:t>35</w:t>
        </w:r>
        <w:r w:rsidR="00092850">
          <w:rPr>
            <w:noProof/>
            <w:webHidden/>
          </w:rPr>
          <w:fldChar w:fldCharType="end"/>
        </w:r>
      </w:hyperlink>
    </w:p>
    <w:p w14:paraId="6F501EF5" w14:textId="77777777" w:rsidR="001D1D4B" w:rsidRDefault="000D513E">
      <w:pPr>
        <w:pStyle w:val="TOC2"/>
        <w:tabs>
          <w:tab w:val="left" w:pos="1080"/>
        </w:tabs>
        <w:rPr>
          <w:rFonts w:asciiTheme="minorHAnsi" w:eastAsiaTheme="minorEastAsia" w:hAnsiTheme="minorHAnsi" w:cstheme="minorBidi"/>
          <w:noProof/>
          <w:sz w:val="22"/>
          <w:szCs w:val="22"/>
        </w:rPr>
      </w:pPr>
      <w:hyperlink w:anchor="_Toc302552515" w:history="1">
        <w:r w:rsidR="001D1D4B" w:rsidRPr="00ED1CD2">
          <w:rPr>
            <w:rStyle w:val="Hyperlink"/>
            <w:noProof/>
          </w:rPr>
          <w:t>6c.</w:t>
        </w:r>
        <w:r w:rsidR="001D1D4B">
          <w:rPr>
            <w:rFonts w:asciiTheme="minorHAnsi" w:eastAsiaTheme="minorEastAsia" w:hAnsiTheme="minorHAnsi" w:cstheme="minorBidi"/>
            <w:noProof/>
            <w:sz w:val="22"/>
            <w:szCs w:val="22"/>
          </w:rPr>
          <w:tab/>
        </w:r>
        <w:r w:rsidR="001D1D4B" w:rsidRPr="00ED1CD2">
          <w:rPr>
            <w:rStyle w:val="Hyperlink"/>
            <w:noProof/>
          </w:rPr>
          <w:t>Estimating Agency Burden and Cost</w:t>
        </w:r>
        <w:r w:rsidR="001D1D4B">
          <w:rPr>
            <w:noProof/>
            <w:webHidden/>
          </w:rPr>
          <w:tab/>
        </w:r>
        <w:r w:rsidR="00092850">
          <w:rPr>
            <w:noProof/>
            <w:webHidden/>
          </w:rPr>
          <w:fldChar w:fldCharType="begin"/>
        </w:r>
        <w:r w:rsidR="001D1D4B">
          <w:rPr>
            <w:noProof/>
            <w:webHidden/>
          </w:rPr>
          <w:instrText xml:space="preserve"> PAGEREF _Toc302552515 \h </w:instrText>
        </w:r>
        <w:r w:rsidR="00092850">
          <w:rPr>
            <w:noProof/>
            <w:webHidden/>
          </w:rPr>
        </w:r>
        <w:r w:rsidR="00092850">
          <w:rPr>
            <w:noProof/>
            <w:webHidden/>
          </w:rPr>
          <w:fldChar w:fldCharType="separate"/>
        </w:r>
        <w:r w:rsidR="00455976">
          <w:rPr>
            <w:noProof/>
            <w:webHidden/>
          </w:rPr>
          <w:t>35</w:t>
        </w:r>
        <w:r w:rsidR="00092850">
          <w:rPr>
            <w:noProof/>
            <w:webHidden/>
          </w:rPr>
          <w:fldChar w:fldCharType="end"/>
        </w:r>
      </w:hyperlink>
    </w:p>
    <w:p w14:paraId="6FC0A080" w14:textId="77777777" w:rsidR="001D1D4B" w:rsidRDefault="000D513E">
      <w:pPr>
        <w:pStyle w:val="TOC5"/>
        <w:rPr>
          <w:rFonts w:asciiTheme="minorHAnsi" w:eastAsiaTheme="minorEastAsia" w:hAnsiTheme="minorHAnsi" w:cstheme="minorBidi"/>
          <w:noProof/>
          <w:sz w:val="22"/>
          <w:szCs w:val="22"/>
        </w:rPr>
      </w:pPr>
      <w:hyperlink w:anchor="_Toc302552516" w:history="1">
        <w:r w:rsidR="001D1D4B" w:rsidRPr="00ED1CD2">
          <w:rPr>
            <w:rStyle w:val="Hyperlink"/>
            <w:b/>
            <w:noProof/>
          </w:rPr>
          <w:t>Exhibit 9 – Unit Burden Hours and Costs Incurred by the Government per Information Collection Activity</w:t>
        </w:r>
        <w:r w:rsidR="001D1D4B">
          <w:rPr>
            <w:noProof/>
            <w:webHidden/>
          </w:rPr>
          <w:tab/>
        </w:r>
        <w:r w:rsidR="00092850">
          <w:rPr>
            <w:noProof/>
            <w:webHidden/>
          </w:rPr>
          <w:fldChar w:fldCharType="begin"/>
        </w:r>
        <w:r w:rsidR="001D1D4B">
          <w:rPr>
            <w:noProof/>
            <w:webHidden/>
          </w:rPr>
          <w:instrText xml:space="preserve"> PAGEREF _Toc302552516 \h </w:instrText>
        </w:r>
        <w:r w:rsidR="00092850">
          <w:rPr>
            <w:noProof/>
            <w:webHidden/>
          </w:rPr>
        </w:r>
        <w:r w:rsidR="00092850">
          <w:rPr>
            <w:noProof/>
            <w:webHidden/>
          </w:rPr>
          <w:fldChar w:fldCharType="separate"/>
        </w:r>
        <w:r w:rsidR="00455976">
          <w:rPr>
            <w:noProof/>
            <w:webHidden/>
          </w:rPr>
          <w:t>36</w:t>
        </w:r>
        <w:r w:rsidR="00092850">
          <w:rPr>
            <w:noProof/>
            <w:webHidden/>
          </w:rPr>
          <w:fldChar w:fldCharType="end"/>
        </w:r>
      </w:hyperlink>
    </w:p>
    <w:p w14:paraId="4BDA464F" w14:textId="77777777" w:rsidR="001D1D4B" w:rsidRDefault="000D513E">
      <w:pPr>
        <w:pStyle w:val="TOC5"/>
        <w:rPr>
          <w:rFonts w:asciiTheme="minorHAnsi" w:eastAsiaTheme="minorEastAsia" w:hAnsiTheme="minorHAnsi" w:cstheme="minorBidi"/>
          <w:noProof/>
          <w:sz w:val="22"/>
          <w:szCs w:val="22"/>
        </w:rPr>
      </w:pPr>
      <w:hyperlink w:anchor="_Toc302552517" w:history="1">
        <w:r w:rsidR="001D1D4B" w:rsidRPr="00ED1CD2">
          <w:rPr>
            <w:rStyle w:val="Hyperlink"/>
            <w:b/>
            <w:noProof/>
          </w:rPr>
          <w:t>Exhibit 9 (With Forms) – Unit Burden Hours and Costs Incurred by the Government per Information Collection Activity</w:t>
        </w:r>
        <w:r w:rsidR="001D1D4B">
          <w:rPr>
            <w:noProof/>
            <w:webHidden/>
          </w:rPr>
          <w:tab/>
        </w:r>
        <w:r w:rsidR="00092850">
          <w:rPr>
            <w:noProof/>
            <w:webHidden/>
          </w:rPr>
          <w:fldChar w:fldCharType="begin"/>
        </w:r>
        <w:r w:rsidR="001D1D4B">
          <w:rPr>
            <w:noProof/>
            <w:webHidden/>
          </w:rPr>
          <w:instrText xml:space="preserve"> PAGEREF _Toc302552517 \h </w:instrText>
        </w:r>
        <w:r w:rsidR="00092850">
          <w:rPr>
            <w:noProof/>
            <w:webHidden/>
          </w:rPr>
        </w:r>
        <w:r w:rsidR="00092850">
          <w:rPr>
            <w:noProof/>
            <w:webHidden/>
          </w:rPr>
          <w:fldChar w:fldCharType="separate"/>
        </w:r>
        <w:r w:rsidR="00455976">
          <w:rPr>
            <w:noProof/>
            <w:webHidden/>
          </w:rPr>
          <w:t>37</w:t>
        </w:r>
        <w:r w:rsidR="00092850">
          <w:rPr>
            <w:noProof/>
            <w:webHidden/>
          </w:rPr>
          <w:fldChar w:fldCharType="end"/>
        </w:r>
      </w:hyperlink>
    </w:p>
    <w:p w14:paraId="0FC82FA0" w14:textId="77777777" w:rsidR="001D1D4B" w:rsidRDefault="000D513E">
      <w:pPr>
        <w:pStyle w:val="TOC2"/>
        <w:tabs>
          <w:tab w:val="left" w:pos="1080"/>
        </w:tabs>
        <w:rPr>
          <w:rFonts w:asciiTheme="minorHAnsi" w:eastAsiaTheme="minorEastAsia" w:hAnsiTheme="minorHAnsi" w:cstheme="minorBidi"/>
          <w:noProof/>
          <w:sz w:val="22"/>
          <w:szCs w:val="22"/>
        </w:rPr>
      </w:pPr>
      <w:hyperlink w:anchor="_Toc302552518" w:history="1">
        <w:r w:rsidR="001D1D4B" w:rsidRPr="00ED1CD2">
          <w:rPr>
            <w:rStyle w:val="Hyperlink"/>
            <w:noProof/>
          </w:rPr>
          <w:t>6d.</w:t>
        </w:r>
        <w:r w:rsidR="001D1D4B">
          <w:rPr>
            <w:rFonts w:asciiTheme="minorHAnsi" w:eastAsiaTheme="minorEastAsia" w:hAnsiTheme="minorHAnsi" w:cstheme="minorBidi"/>
            <w:noProof/>
            <w:sz w:val="22"/>
            <w:szCs w:val="22"/>
          </w:rPr>
          <w:tab/>
        </w:r>
        <w:r w:rsidR="001D1D4B" w:rsidRPr="00ED1CD2">
          <w:rPr>
            <w:rStyle w:val="Hyperlink"/>
            <w:noProof/>
          </w:rPr>
          <w:t>Estimating the Respondent Universe and Total Burden and Cost</w:t>
        </w:r>
        <w:r w:rsidR="001D1D4B">
          <w:rPr>
            <w:noProof/>
            <w:webHidden/>
          </w:rPr>
          <w:tab/>
        </w:r>
        <w:r w:rsidR="00092850">
          <w:rPr>
            <w:noProof/>
            <w:webHidden/>
          </w:rPr>
          <w:fldChar w:fldCharType="begin"/>
        </w:r>
        <w:r w:rsidR="001D1D4B">
          <w:rPr>
            <w:noProof/>
            <w:webHidden/>
          </w:rPr>
          <w:instrText xml:space="preserve"> PAGEREF _Toc302552518 \h </w:instrText>
        </w:r>
        <w:r w:rsidR="00092850">
          <w:rPr>
            <w:noProof/>
            <w:webHidden/>
          </w:rPr>
        </w:r>
        <w:r w:rsidR="00092850">
          <w:rPr>
            <w:noProof/>
            <w:webHidden/>
          </w:rPr>
          <w:fldChar w:fldCharType="separate"/>
        </w:r>
        <w:r w:rsidR="00455976">
          <w:rPr>
            <w:noProof/>
            <w:webHidden/>
          </w:rPr>
          <w:t>39</w:t>
        </w:r>
        <w:r w:rsidR="00092850">
          <w:rPr>
            <w:noProof/>
            <w:webHidden/>
          </w:rPr>
          <w:fldChar w:fldCharType="end"/>
        </w:r>
      </w:hyperlink>
    </w:p>
    <w:p w14:paraId="0DD7C852" w14:textId="77777777" w:rsidR="001D1D4B" w:rsidRDefault="000D513E">
      <w:pPr>
        <w:pStyle w:val="TOC5"/>
        <w:rPr>
          <w:rFonts w:asciiTheme="minorHAnsi" w:eastAsiaTheme="minorEastAsia" w:hAnsiTheme="minorHAnsi" w:cstheme="minorBidi"/>
          <w:noProof/>
          <w:sz w:val="22"/>
          <w:szCs w:val="22"/>
        </w:rPr>
      </w:pPr>
      <w:hyperlink w:anchor="_Toc302552519" w:history="1">
        <w:r w:rsidR="001D1D4B" w:rsidRPr="00ED1CD2">
          <w:rPr>
            <w:rStyle w:val="Hyperlink"/>
            <w:b/>
            <w:noProof/>
          </w:rPr>
          <w:t>Exhibit 10 – Number of Facilities and Hazardous Substance Releases Already Affected by the CRRR</w:t>
        </w:r>
        <w:r w:rsidR="001D1D4B">
          <w:rPr>
            <w:noProof/>
            <w:webHidden/>
          </w:rPr>
          <w:tab/>
        </w:r>
        <w:r w:rsidR="00092850">
          <w:rPr>
            <w:noProof/>
            <w:webHidden/>
          </w:rPr>
          <w:fldChar w:fldCharType="begin"/>
        </w:r>
        <w:r w:rsidR="001D1D4B">
          <w:rPr>
            <w:noProof/>
            <w:webHidden/>
          </w:rPr>
          <w:instrText xml:space="preserve"> PAGEREF _Toc302552519 \h </w:instrText>
        </w:r>
        <w:r w:rsidR="00092850">
          <w:rPr>
            <w:noProof/>
            <w:webHidden/>
          </w:rPr>
        </w:r>
        <w:r w:rsidR="00092850">
          <w:rPr>
            <w:noProof/>
            <w:webHidden/>
          </w:rPr>
          <w:fldChar w:fldCharType="separate"/>
        </w:r>
        <w:r w:rsidR="00455976">
          <w:rPr>
            <w:noProof/>
            <w:webHidden/>
          </w:rPr>
          <w:t>40</w:t>
        </w:r>
        <w:r w:rsidR="00092850">
          <w:rPr>
            <w:noProof/>
            <w:webHidden/>
          </w:rPr>
          <w:fldChar w:fldCharType="end"/>
        </w:r>
      </w:hyperlink>
    </w:p>
    <w:p w14:paraId="2A2CB84C" w14:textId="77777777" w:rsidR="001D1D4B" w:rsidRDefault="000D513E">
      <w:pPr>
        <w:pStyle w:val="TOC5"/>
        <w:rPr>
          <w:rFonts w:asciiTheme="minorHAnsi" w:eastAsiaTheme="minorEastAsia" w:hAnsiTheme="minorHAnsi" w:cstheme="minorBidi"/>
          <w:noProof/>
          <w:sz w:val="22"/>
          <w:szCs w:val="22"/>
        </w:rPr>
      </w:pPr>
      <w:hyperlink w:anchor="_Toc302552520" w:history="1">
        <w:r w:rsidR="001D1D4B" w:rsidRPr="00ED1CD2">
          <w:rPr>
            <w:rStyle w:val="Hyperlink"/>
            <w:b/>
            <w:noProof/>
          </w:rPr>
          <w:t>Exhibit 11 – Number of Facilities and Hazardous Substance Releases That Will Be Affected by the CRRR in the Next Three Years</w:t>
        </w:r>
        <w:r w:rsidR="001D1D4B">
          <w:rPr>
            <w:noProof/>
            <w:webHidden/>
          </w:rPr>
          <w:tab/>
        </w:r>
        <w:r w:rsidR="00092850">
          <w:rPr>
            <w:noProof/>
            <w:webHidden/>
          </w:rPr>
          <w:fldChar w:fldCharType="begin"/>
        </w:r>
        <w:r w:rsidR="001D1D4B">
          <w:rPr>
            <w:noProof/>
            <w:webHidden/>
          </w:rPr>
          <w:instrText xml:space="preserve"> PAGEREF _Toc302552520 \h </w:instrText>
        </w:r>
        <w:r w:rsidR="00092850">
          <w:rPr>
            <w:noProof/>
            <w:webHidden/>
          </w:rPr>
        </w:r>
        <w:r w:rsidR="00092850">
          <w:rPr>
            <w:noProof/>
            <w:webHidden/>
          </w:rPr>
          <w:fldChar w:fldCharType="separate"/>
        </w:r>
        <w:r w:rsidR="00455976">
          <w:rPr>
            <w:noProof/>
            <w:webHidden/>
          </w:rPr>
          <w:t>40</w:t>
        </w:r>
        <w:r w:rsidR="00092850">
          <w:rPr>
            <w:noProof/>
            <w:webHidden/>
          </w:rPr>
          <w:fldChar w:fldCharType="end"/>
        </w:r>
      </w:hyperlink>
    </w:p>
    <w:p w14:paraId="10A71288" w14:textId="77777777" w:rsidR="001D1D4B" w:rsidRDefault="000D513E">
      <w:pPr>
        <w:pStyle w:val="TOC2"/>
        <w:tabs>
          <w:tab w:val="left" w:pos="1080"/>
        </w:tabs>
        <w:rPr>
          <w:rFonts w:asciiTheme="minorHAnsi" w:eastAsiaTheme="minorEastAsia" w:hAnsiTheme="minorHAnsi" w:cstheme="minorBidi"/>
          <w:noProof/>
          <w:sz w:val="22"/>
          <w:szCs w:val="22"/>
        </w:rPr>
      </w:pPr>
      <w:hyperlink w:anchor="_Toc302552521" w:history="1">
        <w:r w:rsidR="001D1D4B" w:rsidRPr="00ED1CD2">
          <w:rPr>
            <w:rStyle w:val="Hyperlink"/>
            <w:noProof/>
          </w:rPr>
          <w:t>6e.</w:t>
        </w:r>
        <w:r w:rsidR="001D1D4B">
          <w:rPr>
            <w:rFonts w:asciiTheme="minorHAnsi" w:eastAsiaTheme="minorEastAsia" w:hAnsiTheme="minorHAnsi" w:cstheme="minorBidi"/>
            <w:noProof/>
            <w:sz w:val="22"/>
            <w:szCs w:val="22"/>
          </w:rPr>
          <w:tab/>
        </w:r>
        <w:r w:rsidR="001D1D4B" w:rsidRPr="00ED1CD2">
          <w:rPr>
            <w:rStyle w:val="Hyperlink"/>
            <w:noProof/>
          </w:rPr>
          <w:t>Bottom Line Burden Hours and Cost Tables</w:t>
        </w:r>
        <w:r w:rsidR="001D1D4B">
          <w:rPr>
            <w:noProof/>
            <w:webHidden/>
          </w:rPr>
          <w:tab/>
        </w:r>
        <w:r w:rsidR="00092850">
          <w:rPr>
            <w:noProof/>
            <w:webHidden/>
          </w:rPr>
          <w:fldChar w:fldCharType="begin"/>
        </w:r>
        <w:r w:rsidR="001D1D4B">
          <w:rPr>
            <w:noProof/>
            <w:webHidden/>
          </w:rPr>
          <w:instrText xml:space="preserve"> PAGEREF _Toc302552521 \h </w:instrText>
        </w:r>
        <w:r w:rsidR="00092850">
          <w:rPr>
            <w:noProof/>
            <w:webHidden/>
          </w:rPr>
        </w:r>
        <w:r w:rsidR="00092850">
          <w:rPr>
            <w:noProof/>
            <w:webHidden/>
          </w:rPr>
          <w:fldChar w:fldCharType="separate"/>
        </w:r>
        <w:r w:rsidR="00455976">
          <w:rPr>
            <w:noProof/>
            <w:webHidden/>
          </w:rPr>
          <w:t>41</w:t>
        </w:r>
        <w:r w:rsidR="00092850">
          <w:rPr>
            <w:noProof/>
            <w:webHidden/>
          </w:rPr>
          <w:fldChar w:fldCharType="end"/>
        </w:r>
      </w:hyperlink>
    </w:p>
    <w:p w14:paraId="747E937D" w14:textId="77777777" w:rsidR="001D1D4B" w:rsidRDefault="000D513E">
      <w:pPr>
        <w:pStyle w:val="TOC3"/>
        <w:rPr>
          <w:rFonts w:asciiTheme="minorHAnsi" w:eastAsiaTheme="minorEastAsia" w:hAnsiTheme="minorHAnsi" w:cstheme="minorBidi"/>
          <w:noProof/>
          <w:sz w:val="22"/>
          <w:szCs w:val="22"/>
        </w:rPr>
      </w:pPr>
      <w:hyperlink w:anchor="_Toc302552522" w:history="1">
        <w:r w:rsidR="001D1D4B" w:rsidRPr="00ED1CD2">
          <w:rPr>
            <w:rStyle w:val="Hyperlink"/>
            <w:noProof/>
          </w:rPr>
          <w:t>i.</w:t>
        </w:r>
        <w:r w:rsidR="001D1D4B">
          <w:rPr>
            <w:rFonts w:asciiTheme="minorHAnsi" w:eastAsiaTheme="minorEastAsia" w:hAnsiTheme="minorHAnsi" w:cstheme="minorBidi"/>
            <w:noProof/>
            <w:sz w:val="22"/>
            <w:szCs w:val="22"/>
          </w:rPr>
          <w:tab/>
        </w:r>
        <w:r w:rsidR="001D1D4B" w:rsidRPr="00ED1CD2">
          <w:rPr>
            <w:rStyle w:val="Hyperlink"/>
            <w:noProof/>
          </w:rPr>
          <w:t>Respondent Tally</w:t>
        </w:r>
        <w:r w:rsidR="001D1D4B">
          <w:rPr>
            <w:noProof/>
            <w:webHidden/>
          </w:rPr>
          <w:tab/>
        </w:r>
        <w:r w:rsidR="00092850">
          <w:rPr>
            <w:noProof/>
            <w:webHidden/>
          </w:rPr>
          <w:fldChar w:fldCharType="begin"/>
        </w:r>
        <w:r w:rsidR="001D1D4B">
          <w:rPr>
            <w:noProof/>
            <w:webHidden/>
          </w:rPr>
          <w:instrText xml:space="preserve"> PAGEREF _Toc302552522 \h </w:instrText>
        </w:r>
        <w:r w:rsidR="00092850">
          <w:rPr>
            <w:noProof/>
            <w:webHidden/>
          </w:rPr>
        </w:r>
        <w:r w:rsidR="00092850">
          <w:rPr>
            <w:noProof/>
            <w:webHidden/>
          </w:rPr>
          <w:fldChar w:fldCharType="separate"/>
        </w:r>
        <w:r w:rsidR="00455976">
          <w:rPr>
            <w:noProof/>
            <w:webHidden/>
          </w:rPr>
          <w:t>41</w:t>
        </w:r>
        <w:r w:rsidR="00092850">
          <w:rPr>
            <w:noProof/>
            <w:webHidden/>
          </w:rPr>
          <w:fldChar w:fldCharType="end"/>
        </w:r>
      </w:hyperlink>
    </w:p>
    <w:p w14:paraId="36ED296F" w14:textId="77777777" w:rsidR="001D1D4B" w:rsidRDefault="000D513E">
      <w:pPr>
        <w:pStyle w:val="TOC5"/>
        <w:rPr>
          <w:rFonts w:asciiTheme="minorHAnsi" w:eastAsiaTheme="minorEastAsia" w:hAnsiTheme="minorHAnsi" w:cstheme="minorBidi"/>
          <w:noProof/>
          <w:sz w:val="22"/>
          <w:szCs w:val="22"/>
        </w:rPr>
      </w:pPr>
      <w:hyperlink w:anchor="_Toc302552523" w:history="1">
        <w:r w:rsidR="001D1D4B" w:rsidRPr="00ED1CD2">
          <w:rPr>
            <w:rStyle w:val="Hyperlink"/>
            <w:b/>
            <w:noProof/>
          </w:rPr>
          <w:t>Exhibit 12 – Annual Burden Hours and Costs Incurred by Industry</w:t>
        </w:r>
        <w:r w:rsidR="001D1D4B">
          <w:rPr>
            <w:noProof/>
            <w:webHidden/>
          </w:rPr>
          <w:tab/>
        </w:r>
        <w:r w:rsidR="00092850">
          <w:rPr>
            <w:noProof/>
            <w:webHidden/>
          </w:rPr>
          <w:fldChar w:fldCharType="begin"/>
        </w:r>
        <w:r w:rsidR="001D1D4B">
          <w:rPr>
            <w:noProof/>
            <w:webHidden/>
          </w:rPr>
          <w:instrText xml:space="preserve"> PAGEREF _Toc302552523 \h </w:instrText>
        </w:r>
        <w:r w:rsidR="00092850">
          <w:rPr>
            <w:noProof/>
            <w:webHidden/>
          </w:rPr>
        </w:r>
        <w:r w:rsidR="00092850">
          <w:rPr>
            <w:noProof/>
            <w:webHidden/>
          </w:rPr>
          <w:fldChar w:fldCharType="separate"/>
        </w:r>
        <w:r w:rsidR="00455976">
          <w:rPr>
            <w:noProof/>
            <w:webHidden/>
          </w:rPr>
          <w:t>42</w:t>
        </w:r>
        <w:r w:rsidR="00092850">
          <w:rPr>
            <w:noProof/>
            <w:webHidden/>
          </w:rPr>
          <w:fldChar w:fldCharType="end"/>
        </w:r>
      </w:hyperlink>
    </w:p>
    <w:p w14:paraId="435B4717" w14:textId="77777777" w:rsidR="001D1D4B" w:rsidRDefault="000D513E">
      <w:pPr>
        <w:pStyle w:val="TOC5"/>
        <w:rPr>
          <w:rFonts w:asciiTheme="minorHAnsi" w:eastAsiaTheme="minorEastAsia" w:hAnsiTheme="minorHAnsi" w:cstheme="minorBidi"/>
          <w:noProof/>
          <w:sz w:val="22"/>
          <w:szCs w:val="22"/>
        </w:rPr>
      </w:pPr>
      <w:hyperlink w:anchor="_Toc302552524" w:history="1">
        <w:r w:rsidR="001D1D4B" w:rsidRPr="00ED1CD2">
          <w:rPr>
            <w:rStyle w:val="Hyperlink"/>
            <w:b/>
            <w:noProof/>
          </w:rPr>
          <w:t>Exhibit 12 (With Forms) – Annual Burden Hours and Costs Incurred by Industry</w:t>
        </w:r>
        <w:r w:rsidR="001D1D4B">
          <w:rPr>
            <w:noProof/>
            <w:webHidden/>
          </w:rPr>
          <w:tab/>
        </w:r>
        <w:r w:rsidR="00092850">
          <w:rPr>
            <w:noProof/>
            <w:webHidden/>
          </w:rPr>
          <w:fldChar w:fldCharType="begin"/>
        </w:r>
        <w:r w:rsidR="001D1D4B">
          <w:rPr>
            <w:noProof/>
            <w:webHidden/>
          </w:rPr>
          <w:instrText xml:space="preserve"> PAGEREF _Toc302552524 \h </w:instrText>
        </w:r>
        <w:r w:rsidR="00092850">
          <w:rPr>
            <w:noProof/>
            <w:webHidden/>
          </w:rPr>
        </w:r>
        <w:r w:rsidR="00092850">
          <w:rPr>
            <w:noProof/>
            <w:webHidden/>
          </w:rPr>
          <w:fldChar w:fldCharType="separate"/>
        </w:r>
        <w:r w:rsidR="00455976">
          <w:rPr>
            <w:noProof/>
            <w:webHidden/>
          </w:rPr>
          <w:t>43</w:t>
        </w:r>
        <w:r w:rsidR="00092850">
          <w:rPr>
            <w:noProof/>
            <w:webHidden/>
          </w:rPr>
          <w:fldChar w:fldCharType="end"/>
        </w:r>
      </w:hyperlink>
    </w:p>
    <w:p w14:paraId="1FC306F0" w14:textId="77777777" w:rsidR="001D1D4B" w:rsidRDefault="000D513E">
      <w:pPr>
        <w:pStyle w:val="TOC3"/>
        <w:rPr>
          <w:rFonts w:asciiTheme="minorHAnsi" w:eastAsiaTheme="minorEastAsia" w:hAnsiTheme="minorHAnsi" w:cstheme="minorBidi"/>
          <w:noProof/>
          <w:sz w:val="22"/>
          <w:szCs w:val="22"/>
        </w:rPr>
      </w:pPr>
      <w:hyperlink w:anchor="_Toc302552525" w:history="1">
        <w:r w:rsidR="001D1D4B" w:rsidRPr="00ED1CD2">
          <w:rPr>
            <w:rStyle w:val="Hyperlink"/>
            <w:noProof/>
          </w:rPr>
          <w:t>ii.</w:t>
        </w:r>
        <w:r w:rsidR="001D1D4B">
          <w:rPr>
            <w:rFonts w:asciiTheme="minorHAnsi" w:eastAsiaTheme="minorEastAsia" w:hAnsiTheme="minorHAnsi" w:cstheme="minorBidi"/>
            <w:noProof/>
            <w:sz w:val="22"/>
            <w:szCs w:val="22"/>
          </w:rPr>
          <w:tab/>
        </w:r>
        <w:r w:rsidR="001D1D4B" w:rsidRPr="00ED1CD2">
          <w:rPr>
            <w:rStyle w:val="Hyperlink"/>
            <w:noProof/>
          </w:rPr>
          <w:t>The Agency Tally</w:t>
        </w:r>
        <w:r w:rsidR="001D1D4B">
          <w:rPr>
            <w:noProof/>
            <w:webHidden/>
          </w:rPr>
          <w:tab/>
        </w:r>
        <w:r w:rsidR="00092850">
          <w:rPr>
            <w:noProof/>
            <w:webHidden/>
          </w:rPr>
          <w:fldChar w:fldCharType="begin"/>
        </w:r>
        <w:r w:rsidR="001D1D4B">
          <w:rPr>
            <w:noProof/>
            <w:webHidden/>
          </w:rPr>
          <w:instrText xml:space="preserve"> PAGEREF _Toc302552525 \h </w:instrText>
        </w:r>
        <w:r w:rsidR="00092850">
          <w:rPr>
            <w:noProof/>
            <w:webHidden/>
          </w:rPr>
        </w:r>
        <w:r w:rsidR="00092850">
          <w:rPr>
            <w:noProof/>
            <w:webHidden/>
          </w:rPr>
          <w:fldChar w:fldCharType="separate"/>
        </w:r>
        <w:r w:rsidR="00455976">
          <w:rPr>
            <w:noProof/>
            <w:webHidden/>
          </w:rPr>
          <w:t>44</w:t>
        </w:r>
        <w:r w:rsidR="00092850">
          <w:rPr>
            <w:noProof/>
            <w:webHidden/>
          </w:rPr>
          <w:fldChar w:fldCharType="end"/>
        </w:r>
      </w:hyperlink>
    </w:p>
    <w:p w14:paraId="17EDE6E7" w14:textId="77777777" w:rsidR="001D1D4B" w:rsidRDefault="000D513E">
      <w:pPr>
        <w:pStyle w:val="TOC5"/>
        <w:rPr>
          <w:rFonts w:asciiTheme="minorHAnsi" w:eastAsiaTheme="minorEastAsia" w:hAnsiTheme="minorHAnsi" w:cstheme="minorBidi"/>
          <w:noProof/>
          <w:sz w:val="22"/>
          <w:szCs w:val="22"/>
        </w:rPr>
      </w:pPr>
      <w:hyperlink w:anchor="_Toc302552526" w:history="1">
        <w:r w:rsidR="001D1D4B" w:rsidRPr="00ED1CD2">
          <w:rPr>
            <w:rStyle w:val="Hyperlink"/>
            <w:b/>
            <w:noProof/>
          </w:rPr>
          <w:t>Exhibit 13 – Annual Burden Hours and Costs Incurred by Government</w:t>
        </w:r>
        <w:r w:rsidR="001D1D4B">
          <w:rPr>
            <w:noProof/>
            <w:webHidden/>
          </w:rPr>
          <w:tab/>
        </w:r>
        <w:r w:rsidR="00092850">
          <w:rPr>
            <w:noProof/>
            <w:webHidden/>
          </w:rPr>
          <w:fldChar w:fldCharType="begin"/>
        </w:r>
        <w:r w:rsidR="001D1D4B">
          <w:rPr>
            <w:noProof/>
            <w:webHidden/>
          </w:rPr>
          <w:instrText xml:space="preserve"> PAGEREF _Toc302552526 \h </w:instrText>
        </w:r>
        <w:r w:rsidR="00092850">
          <w:rPr>
            <w:noProof/>
            <w:webHidden/>
          </w:rPr>
        </w:r>
        <w:r w:rsidR="00092850">
          <w:rPr>
            <w:noProof/>
            <w:webHidden/>
          </w:rPr>
          <w:fldChar w:fldCharType="separate"/>
        </w:r>
        <w:r w:rsidR="00455976">
          <w:rPr>
            <w:noProof/>
            <w:webHidden/>
          </w:rPr>
          <w:t>45</w:t>
        </w:r>
        <w:r w:rsidR="00092850">
          <w:rPr>
            <w:noProof/>
            <w:webHidden/>
          </w:rPr>
          <w:fldChar w:fldCharType="end"/>
        </w:r>
      </w:hyperlink>
    </w:p>
    <w:p w14:paraId="1CBFEADC" w14:textId="77777777" w:rsidR="001D1D4B" w:rsidRDefault="000D513E">
      <w:pPr>
        <w:pStyle w:val="TOC5"/>
        <w:rPr>
          <w:rFonts w:asciiTheme="minorHAnsi" w:eastAsiaTheme="minorEastAsia" w:hAnsiTheme="minorHAnsi" w:cstheme="minorBidi"/>
          <w:noProof/>
          <w:sz w:val="22"/>
          <w:szCs w:val="22"/>
        </w:rPr>
      </w:pPr>
      <w:hyperlink w:anchor="_Toc302552527" w:history="1">
        <w:r w:rsidR="001D1D4B" w:rsidRPr="00ED1CD2">
          <w:rPr>
            <w:rStyle w:val="Hyperlink"/>
            <w:b/>
            <w:noProof/>
          </w:rPr>
          <w:t>Exhibit 13 (With Forms) – Annual Burden Hours and Costs Incurred by Government</w:t>
        </w:r>
        <w:r w:rsidR="001D1D4B">
          <w:rPr>
            <w:noProof/>
            <w:webHidden/>
          </w:rPr>
          <w:tab/>
        </w:r>
        <w:r w:rsidR="00092850">
          <w:rPr>
            <w:noProof/>
            <w:webHidden/>
          </w:rPr>
          <w:fldChar w:fldCharType="begin"/>
        </w:r>
        <w:r w:rsidR="001D1D4B">
          <w:rPr>
            <w:noProof/>
            <w:webHidden/>
          </w:rPr>
          <w:instrText xml:space="preserve"> PAGEREF _Toc302552527 \h </w:instrText>
        </w:r>
        <w:r w:rsidR="00092850">
          <w:rPr>
            <w:noProof/>
            <w:webHidden/>
          </w:rPr>
        </w:r>
        <w:r w:rsidR="00092850">
          <w:rPr>
            <w:noProof/>
            <w:webHidden/>
          </w:rPr>
          <w:fldChar w:fldCharType="separate"/>
        </w:r>
        <w:r w:rsidR="00455976">
          <w:rPr>
            <w:noProof/>
            <w:webHidden/>
          </w:rPr>
          <w:t>46</w:t>
        </w:r>
        <w:r w:rsidR="00092850">
          <w:rPr>
            <w:noProof/>
            <w:webHidden/>
          </w:rPr>
          <w:fldChar w:fldCharType="end"/>
        </w:r>
      </w:hyperlink>
    </w:p>
    <w:p w14:paraId="09A1C394" w14:textId="77777777" w:rsidR="001D1D4B" w:rsidRDefault="000D513E">
      <w:pPr>
        <w:pStyle w:val="TOC3"/>
        <w:rPr>
          <w:rFonts w:asciiTheme="minorHAnsi" w:eastAsiaTheme="minorEastAsia" w:hAnsiTheme="minorHAnsi" w:cstheme="minorBidi"/>
          <w:noProof/>
          <w:sz w:val="22"/>
          <w:szCs w:val="22"/>
        </w:rPr>
      </w:pPr>
      <w:hyperlink w:anchor="_Toc302552528" w:history="1">
        <w:r w:rsidR="001D1D4B" w:rsidRPr="00ED1CD2">
          <w:rPr>
            <w:rStyle w:val="Hyperlink"/>
            <w:noProof/>
          </w:rPr>
          <w:t>iii.</w:t>
        </w:r>
        <w:r w:rsidR="001D1D4B">
          <w:rPr>
            <w:rFonts w:asciiTheme="minorHAnsi" w:eastAsiaTheme="minorEastAsia" w:hAnsiTheme="minorHAnsi" w:cstheme="minorBidi"/>
            <w:noProof/>
            <w:sz w:val="22"/>
            <w:szCs w:val="22"/>
          </w:rPr>
          <w:tab/>
        </w:r>
        <w:r w:rsidR="001D1D4B" w:rsidRPr="00ED1CD2">
          <w:rPr>
            <w:rStyle w:val="Hyperlink"/>
            <w:noProof/>
          </w:rPr>
          <w:t>Variations in the Annual Bottom Line</w:t>
        </w:r>
        <w:r w:rsidR="001D1D4B">
          <w:rPr>
            <w:noProof/>
            <w:webHidden/>
          </w:rPr>
          <w:tab/>
        </w:r>
        <w:r w:rsidR="00092850">
          <w:rPr>
            <w:noProof/>
            <w:webHidden/>
          </w:rPr>
          <w:fldChar w:fldCharType="begin"/>
        </w:r>
        <w:r w:rsidR="001D1D4B">
          <w:rPr>
            <w:noProof/>
            <w:webHidden/>
          </w:rPr>
          <w:instrText xml:space="preserve"> PAGEREF _Toc302552528 \h </w:instrText>
        </w:r>
        <w:r w:rsidR="00092850">
          <w:rPr>
            <w:noProof/>
            <w:webHidden/>
          </w:rPr>
        </w:r>
        <w:r w:rsidR="00092850">
          <w:rPr>
            <w:noProof/>
            <w:webHidden/>
          </w:rPr>
          <w:fldChar w:fldCharType="separate"/>
        </w:r>
        <w:r w:rsidR="00455976">
          <w:rPr>
            <w:noProof/>
            <w:webHidden/>
          </w:rPr>
          <w:t>47</w:t>
        </w:r>
        <w:r w:rsidR="00092850">
          <w:rPr>
            <w:noProof/>
            <w:webHidden/>
          </w:rPr>
          <w:fldChar w:fldCharType="end"/>
        </w:r>
      </w:hyperlink>
    </w:p>
    <w:p w14:paraId="1DD8CD73" w14:textId="77777777" w:rsidR="001D1D4B" w:rsidRDefault="000D513E">
      <w:pPr>
        <w:pStyle w:val="TOC5"/>
        <w:rPr>
          <w:rFonts w:asciiTheme="minorHAnsi" w:eastAsiaTheme="minorEastAsia" w:hAnsiTheme="minorHAnsi" w:cstheme="minorBidi"/>
          <w:noProof/>
          <w:sz w:val="22"/>
          <w:szCs w:val="22"/>
        </w:rPr>
      </w:pPr>
      <w:hyperlink w:anchor="_Toc302552529" w:history="1">
        <w:r w:rsidR="001D1D4B" w:rsidRPr="00ED1CD2">
          <w:rPr>
            <w:rStyle w:val="Hyperlink"/>
            <w:b/>
            <w:noProof/>
          </w:rPr>
          <w:t>Exhibit 14 – Summary of Burden Hours and Costs Incurred by Industry</w:t>
        </w:r>
        <w:r w:rsidR="001D1D4B">
          <w:rPr>
            <w:noProof/>
            <w:webHidden/>
          </w:rPr>
          <w:tab/>
        </w:r>
        <w:r w:rsidR="00092850">
          <w:rPr>
            <w:noProof/>
            <w:webHidden/>
          </w:rPr>
          <w:fldChar w:fldCharType="begin"/>
        </w:r>
        <w:r w:rsidR="001D1D4B">
          <w:rPr>
            <w:noProof/>
            <w:webHidden/>
          </w:rPr>
          <w:instrText xml:space="preserve"> PAGEREF _Toc302552529 \h </w:instrText>
        </w:r>
        <w:r w:rsidR="00092850">
          <w:rPr>
            <w:noProof/>
            <w:webHidden/>
          </w:rPr>
        </w:r>
        <w:r w:rsidR="00092850">
          <w:rPr>
            <w:noProof/>
            <w:webHidden/>
          </w:rPr>
          <w:fldChar w:fldCharType="separate"/>
        </w:r>
        <w:r w:rsidR="00455976">
          <w:rPr>
            <w:noProof/>
            <w:webHidden/>
          </w:rPr>
          <w:t>47</w:t>
        </w:r>
        <w:r w:rsidR="00092850">
          <w:rPr>
            <w:noProof/>
            <w:webHidden/>
          </w:rPr>
          <w:fldChar w:fldCharType="end"/>
        </w:r>
      </w:hyperlink>
    </w:p>
    <w:p w14:paraId="214E6F99" w14:textId="77777777" w:rsidR="001D1D4B" w:rsidRDefault="000D513E">
      <w:pPr>
        <w:pStyle w:val="TOC5"/>
        <w:rPr>
          <w:rFonts w:asciiTheme="minorHAnsi" w:eastAsiaTheme="minorEastAsia" w:hAnsiTheme="minorHAnsi" w:cstheme="minorBidi"/>
          <w:noProof/>
          <w:sz w:val="22"/>
          <w:szCs w:val="22"/>
        </w:rPr>
      </w:pPr>
      <w:hyperlink w:anchor="_Toc302552530" w:history="1">
        <w:r w:rsidR="001D1D4B" w:rsidRPr="00ED1CD2">
          <w:rPr>
            <w:rStyle w:val="Hyperlink"/>
            <w:b/>
            <w:noProof/>
          </w:rPr>
          <w:t>Exhibit 14 (With Forms) – Summary of Burden Hours and Costs Incurred by Industry</w:t>
        </w:r>
        <w:r w:rsidR="001D1D4B">
          <w:rPr>
            <w:noProof/>
            <w:webHidden/>
          </w:rPr>
          <w:tab/>
        </w:r>
        <w:r w:rsidR="00092850">
          <w:rPr>
            <w:noProof/>
            <w:webHidden/>
          </w:rPr>
          <w:fldChar w:fldCharType="begin"/>
        </w:r>
        <w:r w:rsidR="001D1D4B">
          <w:rPr>
            <w:noProof/>
            <w:webHidden/>
          </w:rPr>
          <w:instrText xml:space="preserve"> PAGEREF _Toc302552530 \h </w:instrText>
        </w:r>
        <w:r w:rsidR="00092850">
          <w:rPr>
            <w:noProof/>
            <w:webHidden/>
          </w:rPr>
        </w:r>
        <w:r w:rsidR="00092850">
          <w:rPr>
            <w:noProof/>
            <w:webHidden/>
          </w:rPr>
          <w:fldChar w:fldCharType="separate"/>
        </w:r>
        <w:r w:rsidR="00455976">
          <w:rPr>
            <w:noProof/>
            <w:webHidden/>
          </w:rPr>
          <w:t>48</w:t>
        </w:r>
        <w:r w:rsidR="00092850">
          <w:rPr>
            <w:noProof/>
            <w:webHidden/>
          </w:rPr>
          <w:fldChar w:fldCharType="end"/>
        </w:r>
      </w:hyperlink>
    </w:p>
    <w:p w14:paraId="591C0A9C" w14:textId="77777777" w:rsidR="001D1D4B" w:rsidRDefault="000D513E">
      <w:pPr>
        <w:pStyle w:val="TOC5"/>
        <w:rPr>
          <w:rFonts w:asciiTheme="minorHAnsi" w:eastAsiaTheme="minorEastAsia" w:hAnsiTheme="minorHAnsi" w:cstheme="minorBidi"/>
          <w:noProof/>
          <w:sz w:val="22"/>
          <w:szCs w:val="22"/>
        </w:rPr>
      </w:pPr>
      <w:hyperlink w:anchor="_Toc302552531" w:history="1">
        <w:r w:rsidR="001D1D4B" w:rsidRPr="00ED1CD2">
          <w:rPr>
            <w:rStyle w:val="Hyperlink"/>
            <w:b/>
            <w:noProof/>
          </w:rPr>
          <w:t>Exhibit 15 – Summary of Burden Hours and Costs Incurred by Government</w:t>
        </w:r>
        <w:r w:rsidR="001D1D4B">
          <w:rPr>
            <w:noProof/>
            <w:webHidden/>
          </w:rPr>
          <w:tab/>
        </w:r>
        <w:r w:rsidR="00092850">
          <w:rPr>
            <w:noProof/>
            <w:webHidden/>
          </w:rPr>
          <w:fldChar w:fldCharType="begin"/>
        </w:r>
        <w:r w:rsidR="001D1D4B">
          <w:rPr>
            <w:noProof/>
            <w:webHidden/>
          </w:rPr>
          <w:instrText xml:space="preserve"> PAGEREF _Toc302552531 \h </w:instrText>
        </w:r>
        <w:r w:rsidR="00092850">
          <w:rPr>
            <w:noProof/>
            <w:webHidden/>
          </w:rPr>
        </w:r>
        <w:r w:rsidR="00092850">
          <w:rPr>
            <w:noProof/>
            <w:webHidden/>
          </w:rPr>
          <w:fldChar w:fldCharType="separate"/>
        </w:r>
        <w:r w:rsidR="00455976">
          <w:rPr>
            <w:noProof/>
            <w:webHidden/>
          </w:rPr>
          <w:t>48</w:t>
        </w:r>
        <w:r w:rsidR="00092850">
          <w:rPr>
            <w:noProof/>
            <w:webHidden/>
          </w:rPr>
          <w:fldChar w:fldCharType="end"/>
        </w:r>
      </w:hyperlink>
    </w:p>
    <w:p w14:paraId="23CFEE32" w14:textId="77777777" w:rsidR="001D1D4B" w:rsidRDefault="000D513E">
      <w:pPr>
        <w:pStyle w:val="TOC5"/>
        <w:rPr>
          <w:rFonts w:asciiTheme="minorHAnsi" w:eastAsiaTheme="minorEastAsia" w:hAnsiTheme="minorHAnsi" w:cstheme="minorBidi"/>
          <w:noProof/>
          <w:sz w:val="22"/>
          <w:szCs w:val="22"/>
        </w:rPr>
      </w:pPr>
      <w:hyperlink w:anchor="_Toc302552532" w:history="1">
        <w:r w:rsidR="001D1D4B" w:rsidRPr="00ED1CD2">
          <w:rPr>
            <w:rStyle w:val="Hyperlink"/>
            <w:b/>
            <w:noProof/>
          </w:rPr>
          <w:t>Exhibit 15 (With Forms) – Summary of Burden Hours and Costs Incurred by Government</w:t>
        </w:r>
        <w:r w:rsidR="001D1D4B">
          <w:rPr>
            <w:noProof/>
            <w:webHidden/>
          </w:rPr>
          <w:tab/>
        </w:r>
        <w:r w:rsidR="00092850">
          <w:rPr>
            <w:noProof/>
            <w:webHidden/>
          </w:rPr>
          <w:fldChar w:fldCharType="begin"/>
        </w:r>
        <w:r w:rsidR="001D1D4B">
          <w:rPr>
            <w:noProof/>
            <w:webHidden/>
          </w:rPr>
          <w:instrText xml:space="preserve"> PAGEREF _Toc302552532 \h </w:instrText>
        </w:r>
        <w:r w:rsidR="00092850">
          <w:rPr>
            <w:noProof/>
            <w:webHidden/>
          </w:rPr>
        </w:r>
        <w:r w:rsidR="00092850">
          <w:rPr>
            <w:noProof/>
            <w:webHidden/>
          </w:rPr>
          <w:fldChar w:fldCharType="separate"/>
        </w:r>
        <w:r w:rsidR="00455976">
          <w:rPr>
            <w:noProof/>
            <w:webHidden/>
          </w:rPr>
          <w:t>48</w:t>
        </w:r>
        <w:r w:rsidR="00092850">
          <w:rPr>
            <w:noProof/>
            <w:webHidden/>
          </w:rPr>
          <w:fldChar w:fldCharType="end"/>
        </w:r>
      </w:hyperlink>
    </w:p>
    <w:p w14:paraId="7AF1C0BD" w14:textId="77777777" w:rsidR="001D1D4B" w:rsidRDefault="000D513E">
      <w:pPr>
        <w:pStyle w:val="TOC2"/>
        <w:tabs>
          <w:tab w:val="left" w:pos="1080"/>
        </w:tabs>
        <w:rPr>
          <w:rFonts w:asciiTheme="minorHAnsi" w:eastAsiaTheme="minorEastAsia" w:hAnsiTheme="minorHAnsi" w:cstheme="minorBidi"/>
          <w:noProof/>
          <w:sz w:val="22"/>
          <w:szCs w:val="22"/>
        </w:rPr>
      </w:pPr>
      <w:hyperlink w:anchor="_Toc302552533" w:history="1">
        <w:r w:rsidR="001D1D4B" w:rsidRPr="00ED1CD2">
          <w:rPr>
            <w:rStyle w:val="Hyperlink"/>
            <w:noProof/>
          </w:rPr>
          <w:t>6f.</w:t>
        </w:r>
        <w:r w:rsidR="001D1D4B">
          <w:rPr>
            <w:rFonts w:asciiTheme="minorHAnsi" w:eastAsiaTheme="minorEastAsia" w:hAnsiTheme="minorHAnsi" w:cstheme="minorBidi"/>
            <w:noProof/>
            <w:sz w:val="22"/>
            <w:szCs w:val="22"/>
          </w:rPr>
          <w:tab/>
        </w:r>
        <w:r w:rsidR="001D1D4B" w:rsidRPr="00ED1CD2">
          <w:rPr>
            <w:rStyle w:val="Hyperlink"/>
            <w:noProof/>
          </w:rPr>
          <w:t>Reasons for Change in Burden</w:t>
        </w:r>
        <w:r w:rsidR="001D1D4B">
          <w:rPr>
            <w:noProof/>
            <w:webHidden/>
          </w:rPr>
          <w:tab/>
        </w:r>
        <w:r w:rsidR="00092850">
          <w:rPr>
            <w:noProof/>
            <w:webHidden/>
          </w:rPr>
          <w:fldChar w:fldCharType="begin"/>
        </w:r>
        <w:r w:rsidR="001D1D4B">
          <w:rPr>
            <w:noProof/>
            <w:webHidden/>
          </w:rPr>
          <w:instrText xml:space="preserve"> PAGEREF _Toc302552533 \h </w:instrText>
        </w:r>
        <w:r w:rsidR="00092850">
          <w:rPr>
            <w:noProof/>
            <w:webHidden/>
          </w:rPr>
        </w:r>
        <w:r w:rsidR="00092850">
          <w:rPr>
            <w:noProof/>
            <w:webHidden/>
          </w:rPr>
          <w:fldChar w:fldCharType="separate"/>
        </w:r>
        <w:r w:rsidR="00455976">
          <w:rPr>
            <w:noProof/>
            <w:webHidden/>
          </w:rPr>
          <w:t>49</w:t>
        </w:r>
        <w:r w:rsidR="00092850">
          <w:rPr>
            <w:noProof/>
            <w:webHidden/>
          </w:rPr>
          <w:fldChar w:fldCharType="end"/>
        </w:r>
      </w:hyperlink>
    </w:p>
    <w:p w14:paraId="277C04ED" w14:textId="77777777" w:rsidR="001D1D4B" w:rsidRDefault="000D513E">
      <w:pPr>
        <w:pStyle w:val="TOC2"/>
        <w:tabs>
          <w:tab w:val="left" w:pos="1080"/>
        </w:tabs>
        <w:rPr>
          <w:rFonts w:asciiTheme="minorHAnsi" w:eastAsiaTheme="minorEastAsia" w:hAnsiTheme="minorHAnsi" w:cstheme="minorBidi"/>
          <w:noProof/>
          <w:sz w:val="22"/>
          <w:szCs w:val="22"/>
        </w:rPr>
      </w:pPr>
      <w:hyperlink w:anchor="_Toc302552534" w:history="1">
        <w:r w:rsidR="001D1D4B" w:rsidRPr="00ED1CD2">
          <w:rPr>
            <w:rStyle w:val="Hyperlink"/>
            <w:noProof/>
          </w:rPr>
          <w:t>6g.</w:t>
        </w:r>
        <w:r w:rsidR="001D1D4B">
          <w:rPr>
            <w:rFonts w:asciiTheme="minorHAnsi" w:eastAsiaTheme="minorEastAsia" w:hAnsiTheme="minorHAnsi" w:cstheme="minorBidi"/>
            <w:noProof/>
            <w:sz w:val="22"/>
            <w:szCs w:val="22"/>
          </w:rPr>
          <w:tab/>
        </w:r>
        <w:r w:rsidR="001D1D4B" w:rsidRPr="00ED1CD2">
          <w:rPr>
            <w:rStyle w:val="Hyperlink"/>
            <w:noProof/>
          </w:rPr>
          <w:t>Burden Statement</w:t>
        </w:r>
        <w:r w:rsidR="001D1D4B">
          <w:rPr>
            <w:noProof/>
            <w:webHidden/>
          </w:rPr>
          <w:tab/>
        </w:r>
        <w:r w:rsidR="00092850">
          <w:rPr>
            <w:noProof/>
            <w:webHidden/>
          </w:rPr>
          <w:fldChar w:fldCharType="begin"/>
        </w:r>
        <w:r w:rsidR="001D1D4B">
          <w:rPr>
            <w:noProof/>
            <w:webHidden/>
          </w:rPr>
          <w:instrText xml:space="preserve"> PAGEREF _Toc302552534 \h </w:instrText>
        </w:r>
        <w:r w:rsidR="00092850">
          <w:rPr>
            <w:noProof/>
            <w:webHidden/>
          </w:rPr>
        </w:r>
        <w:r w:rsidR="00092850">
          <w:rPr>
            <w:noProof/>
            <w:webHidden/>
          </w:rPr>
          <w:fldChar w:fldCharType="separate"/>
        </w:r>
        <w:r w:rsidR="00455976">
          <w:rPr>
            <w:noProof/>
            <w:webHidden/>
          </w:rPr>
          <w:t>49</w:t>
        </w:r>
        <w:r w:rsidR="00092850">
          <w:rPr>
            <w:noProof/>
            <w:webHidden/>
          </w:rPr>
          <w:fldChar w:fldCharType="end"/>
        </w:r>
      </w:hyperlink>
    </w:p>
    <w:p w14:paraId="5BD5D216" w14:textId="77777777" w:rsidR="001D1D4B" w:rsidRDefault="000D513E">
      <w:pPr>
        <w:pStyle w:val="TOC1"/>
        <w:tabs>
          <w:tab w:val="right" w:leader="dot" w:pos="9710"/>
        </w:tabs>
        <w:rPr>
          <w:rFonts w:asciiTheme="minorHAnsi" w:eastAsiaTheme="minorEastAsia" w:hAnsiTheme="minorHAnsi" w:cstheme="minorBidi"/>
          <w:noProof/>
          <w:sz w:val="22"/>
          <w:szCs w:val="22"/>
        </w:rPr>
      </w:pPr>
      <w:hyperlink w:anchor="_Toc302552535" w:history="1">
        <w:r w:rsidR="001D1D4B" w:rsidRPr="00ED1CD2">
          <w:rPr>
            <w:rStyle w:val="Hyperlink"/>
            <w:b/>
            <w:noProof/>
          </w:rPr>
          <w:t>APPENDIX A</w:t>
        </w:r>
        <w:r w:rsidR="001D1D4B">
          <w:rPr>
            <w:noProof/>
            <w:webHidden/>
          </w:rPr>
          <w:tab/>
        </w:r>
        <w:r w:rsidR="00092850">
          <w:rPr>
            <w:noProof/>
            <w:webHidden/>
          </w:rPr>
          <w:fldChar w:fldCharType="begin"/>
        </w:r>
        <w:r w:rsidR="001D1D4B">
          <w:rPr>
            <w:noProof/>
            <w:webHidden/>
          </w:rPr>
          <w:instrText xml:space="preserve"> PAGEREF _Toc302552535 \h </w:instrText>
        </w:r>
        <w:r w:rsidR="00092850">
          <w:rPr>
            <w:noProof/>
            <w:webHidden/>
          </w:rPr>
        </w:r>
        <w:r w:rsidR="00092850">
          <w:rPr>
            <w:noProof/>
            <w:webHidden/>
          </w:rPr>
          <w:fldChar w:fldCharType="separate"/>
        </w:r>
        <w:r w:rsidR="00455976">
          <w:rPr>
            <w:noProof/>
            <w:webHidden/>
          </w:rPr>
          <w:t>51</w:t>
        </w:r>
        <w:r w:rsidR="00092850">
          <w:rPr>
            <w:noProof/>
            <w:webHidden/>
          </w:rPr>
          <w:fldChar w:fldCharType="end"/>
        </w:r>
      </w:hyperlink>
    </w:p>
    <w:p w14:paraId="34E9759A" w14:textId="77777777" w:rsidR="001D1D4B" w:rsidRDefault="000D513E">
      <w:pPr>
        <w:pStyle w:val="TOC1"/>
        <w:tabs>
          <w:tab w:val="right" w:leader="dot" w:pos="9710"/>
        </w:tabs>
        <w:rPr>
          <w:rFonts w:asciiTheme="minorHAnsi" w:eastAsiaTheme="minorEastAsia" w:hAnsiTheme="minorHAnsi" w:cstheme="minorBidi"/>
          <w:noProof/>
          <w:sz w:val="22"/>
          <w:szCs w:val="22"/>
        </w:rPr>
      </w:pPr>
      <w:hyperlink w:anchor="_Toc302552536" w:history="1">
        <w:r w:rsidR="001D1D4B" w:rsidRPr="00ED1CD2">
          <w:rPr>
            <w:rStyle w:val="Hyperlink"/>
            <w:b/>
            <w:noProof/>
          </w:rPr>
          <w:t>ATTACHMENT A – Continuous Release Reporting Forms</w:t>
        </w:r>
        <w:r w:rsidR="001D1D4B">
          <w:rPr>
            <w:noProof/>
            <w:webHidden/>
          </w:rPr>
          <w:tab/>
        </w:r>
        <w:r w:rsidR="00092850">
          <w:rPr>
            <w:noProof/>
            <w:webHidden/>
          </w:rPr>
          <w:fldChar w:fldCharType="begin"/>
        </w:r>
        <w:r w:rsidR="001D1D4B">
          <w:rPr>
            <w:noProof/>
            <w:webHidden/>
          </w:rPr>
          <w:instrText xml:space="preserve"> PAGEREF _Toc302552536 \h </w:instrText>
        </w:r>
        <w:r w:rsidR="00092850">
          <w:rPr>
            <w:noProof/>
            <w:webHidden/>
          </w:rPr>
        </w:r>
        <w:r w:rsidR="00092850">
          <w:rPr>
            <w:noProof/>
            <w:webHidden/>
          </w:rPr>
          <w:fldChar w:fldCharType="separate"/>
        </w:r>
        <w:r w:rsidR="00455976">
          <w:rPr>
            <w:noProof/>
            <w:webHidden/>
          </w:rPr>
          <w:t>54</w:t>
        </w:r>
        <w:r w:rsidR="00092850">
          <w:rPr>
            <w:noProof/>
            <w:webHidden/>
          </w:rPr>
          <w:fldChar w:fldCharType="end"/>
        </w:r>
      </w:hyperlink>
    </w:p>
    <w:p w14:paraId="7B516617" w14:textId="77777777" w:rsidR="0046707F" w:rsidRDefault="00092850" w:rsidP="0046707F">
      <w:pPr>
        <w:pStyle w:val="Heading1"/>
        <w:numPr>
          <w:ilvl w:val="0"/>
          <w:numId w:val="0"/>
        </w:numPr>
        <w:rPr>
          <w:rFonts w:cs="Times New Roman"/>
          <w:kern w:val="0"/>
          <w:szCs w:val="24"/>
        </w:rPr>
        <w:sectPr w:rsidR="0046707F" w:rsidSect="0082631E">
          <w:footerReference w:type="default" r:id="rId10"/>
          <w:pgSz w:w="12240" w:h="15840"/>
          <w:pgMar w:top="1397" w:right="1440" w:bottom="1339" w:left="1080" w:header="835" w:footer="1195" w:gutter="0"/>
          <w:cols w:space="720"/>
          <w:noEndnote/>
          <w:docGrid w:linePitch="326"/>
        </w:sectPr>
      </w:pPr>
      <w:r>
        <w:rPr>
          <w:rFonts w:cs="Times New Roman"/>
          <w:kern w:val="0"/>
          <w:szCs w:val="24"/>
        </w:rPr>
        <w:fldChar w:fldCharType="end"/>
      </w:r>
    </w:p>
    <w:p w14:paraId="7CC675B1" w14:textId="77777777" w:rsidR="00B51A0B" w:rsidRDefault="00B51A0B" w:rsidP="009D30AC">
      <w:pPr>
        <w:pStyle w:val="Heading1"/>
        <w:ind w:left="0" w:firstLine="0"/>
      </w:pPr>
      <w:bookmarkStart w:id="0" w:name="_Toc302552472"/>
      <w:r>
        <w:lastRenderedPageBreak/>
        <w:t>IDENTIFICATION OF THE INFORMATION COLLECTION</w:t>
      </w:r>
      <w:bookmarkEnd w:id="0"/>
    </w:p>
    <w:p w14:paraId="649DF285" w14:textId="77777777" w:rsidR="00B51A0B" w:rsidRDefault="00E205C3" w:rsidP="00E205C3">
      <w:pPr>
        <w:pStyle w:val="Heading2"/>
      </w:pPr>
      <w:bookmarkStart w:id="1" w:name="_Toc302552473"/>
      <w:r>
        <w:t>Title of the Information Collection</w:t>
      </w:r>
      <w:bookmarkEnd w:id="1"/>
    </w:p>
    <w:p w14:paraId="1A6DD5D3" w14:textId="77777777" w:rsidR="00B62D96" w:rsidRDefault="00B62D96" w:rsidP="00B62D96"/>
    <w:p w14:paraId="2BECD0CB" w14:textId="2FD0121D" w:rsidR="002D0E54" w:rsidRPr="002D0E54" w:rsidRDefault="002D0E54" w:rsidP="00E40194">
      <w:pPr>
        <w:ind w:firstLine="720"/>
      </w:pPr>
      <w:r w:rsidRPr="00B23DF0">
        <w:rPr>
          <w:bCs/>
        </w:rPr>
        <w:t xml:space="preserve">Continuous Release Reporting </w:t>
      </w:r>
      <w:r>
        <w:rPr>
          <w:bCs/>
        </w:rPr>
        <w:t>Regulations</w:t>
      </w:r>
      <w:r w:rsidRPr="00B23DF0">
        <w:rPr>
          <w:bCs/>
        </w:rPr>
        <w:t xml:space="preserve"> (CRRR) Under CERCLA 1980 (Renewal) </w:t>
      </w:r>
      <w:r w:rsidR="00280CFB" w:rsidRPr="002D0E54">
        <w:t xml:space="preserve"> </w:t>
      </w:r>
    </w:p>
    <w:p w14:paraId="02B0BCA6" w14:textId="3712CE05" w:rsidR="00B62D96" w:rsidRPr="00B62D96" w:rsidRDefault="00280CFB" w:rsidP="00E40194">
      <w:pPr>
        <w:ind w:firstLine="720"/>
      </w:pPr>
      <w:r>
        <w:t xml:space="preserve">EPA No. </w:t>
      </w:r>
      <w:r w:rsidRPr="00B23DF0">
        <w:t>1445.12</w:t>
      </w:r>
      <w:r w:rsidR="00757C36" w:rsidRPr="00B23DF0">
        <w:t>, OMB No. 2050-0086</w:t>
      </w:r>
      <w:r w:rsidR="00B62D96" w:rsidRPr="00B23DF0">
        <w:t>.</w:t>
      </w:r>
    </w:p>
    <w:p w14:paraId="5141DA3C" w14:textId="77777777" w:rsidR="00E205C3" w:rsidRDefault="00E205C3" w:rsidP="00E205C3">
      <w:pPr>
        <w:pStyle w:val="Heading2"/>
      </w:pPr>
      <w:bookmarkStart w:id="2" w:name="_Toc302552474"/>
      <w:r>
        <w:t>Short Characterization/Abstract</w:t>
      </w:r>
      <w:bookmarkEnd w:id="2"/>
      <w:r w:rsidR="00B62D96">
        <w:t xml:space="preserve"> </w:t>
      </w:r>
      <w:bookmarkStart w:id="3" w:name="_GoBack"/>
      <w:bookmarkEnd w:id="3"/>
    </w:p>
    <w:p w14:paraId="665E16E6" w14:textId="77777777" w:rsidR="00B62D96" w:rsidRDefault="00B62D96" w:rsidP="00B62D96"/>
    <w:p w14:paraId="42A16400" w14:textId="04E5F7FE" w:rsidR="00B62D96" w:rsidRPr="001F3A52" w:rsidRDefault="00B62D96" w:rsidP="00B62D96">
      <w:pPr>
        <w:ind w:firstLine="720"/>
      </w:pPr>
      <w:r w:rsidRPr="001F3A52">
        <w:t>This information collection request (ICR) addresses the reporting and record keeping activities required to comply with EPA</w:t>
      </w:r>
      <w:r>
        <w:t>’</w:t>
      </w:r>
      <w:r w:rsidRPr="001F3A52">
        <w:t>s continuous release reporting regulation</w:t>
      </w:r>
      <w:r w:rsidR="00EF254D">
        <w:t>s</w:t>
      </w:r>
      <w:r w:rsidRPr="001F3A52">
        <w:t xml:space="preserve"> (CRRR; 40 CFR 302.8) implementing section 103(f)(2) of the Comprehensive Environmental Response, Compensation, and Liability Act of 1980 (CERCLA).  The CRRR clarifies the types of releases that qualify for reporting under CERCLA section 103(f)(2) and establishes the reporting requirements applicable to qualifying releases.</w:t>
      </w:r>
      <w:r w:rsidR="003C4648">
        <w:t xml:space="preserve">  Responsibility for information collection activities of the CRRR reside in the Office of Emergency Management (OEM) in the Office of Solid Waste and Emergency Response (OSWER).</w:t>
      </w:r>
      <w:r w:rsidRPr="001F3A52">
        <w:t xml:space="preserve">  This ICR renews the collection activity previously approved under OMB No. 2050-0086 and applies to the period </w:t>
      </w:r>
      <w:r w:rsidR="00280CFB" w:rsidRPr="007A1462">
        <w:t>July 1, 2015 through June 30, 2018</w:t>
      </w:r>
      <w:r w:rsidRPr="007A1462">
        <w:t>.</w:t>
      </w:r>
      <w:r w:rsidR="004E2FF4" w:rsidRPr="00C44599">
        <w:rPr>
          <w:rStyle w:val="FootnoteReference"/>
          <w:vertAlign w:val="superscript"/>
        </w:rPr>
        <w:footnoteReference w:id="1"/>
      </w:r>
      <w:r w:rsidRPr="004E2FF4">
        <w:rPr>
          <w:color w:val="33CC33"/>
          <w:vertAlign w:val="superscript"/>
        </w:rPr>
        <w:t xml:space="preserve"> </w:t>
      </w:r>
      <w:r w:rsidRPr="001F3A52">
        <w:t xml:space="preserve"> Estimates of the burden placed on industry and the government to comply with the release notification requirements are presented on an annual basis.</w:t>
      </w:r>
    </w:p>
    <w:p w14:paraId="448623CC" w14:textId="77777777" w:rsidR="003C4648" w:rsidRDefault="003C4648" w:rsidP="00B62D96"/>
    <w:p w14:paraId="6918341B" w14:textId="267BBCBF" w:rsidR="00BC6C17" w:rsidRPr="00613D9D" w:rsidRDefault="00BC6C17" w:rsidP="00BC6C17">
      <w:pPr>
        <w:ind w:firstLine="720"/>
        <w:rPr>
          <w:color w:val="008000"/>
        </w:rPr>
      </w:pPr>
      <w:r w:rsidRPr="00613D9D">
        <w:rPr>
          <w:color w:val="008000"/>
        </w:rPr>
        <w:t>The analysis also includes estimates for the burden and cost impacts of using continuous release reporting forms on both the industry and government in order to comply with the release notification requirements.  Information pertaining to the use of continuous release reporting forms appears in “green” type.</w:t>
      </w:r>
      <w:r w:rsidR="0057323B">
        <w:rPr>
          <w:color w:val="008000"/>
        </w:rPr>
        <w:t xml:space="preserve"> Respondents have the option to use these forms provided by EPA. If respondents use</w:t>
      </w:r>
      <w:r w:rsidR="004D4585">
        <w:rPr>
          <w:color w:val="008000"/>
        </w:rPr>
        <w:t>d</w:t>
      </w:r>
      <w:r w:rsidR="0057323B">
        <w:rPr>
          <w:color w:val="008000"/>
        </w:rPr>
        <w:t xml:space="preserve"> these forms, the amount of burden would be less and so the burden numbers represent a low range estimate.  </w:t>
      </w:r>
    </w:p>
    <w:p w14:paraId="6093D855" w14:textId="77777777" w:rsidR="00BC6C17" w:rsidRPr="001F3A52" w:rsidRDefault="00BC6C17" w:rsidP="00B62D96"/>
    <w:p w14:paraId="22DF1DA1" w14:textId="77777777" w:rsidR="00B62D96" w:rsidRPr="001F3A52" w:rsidRDefault="00B62D96" w:rsidP="00B62D96">
      <w:pPr>
        <w:ind w:firstLine="720"/>
      </w:pPr>
      <w:r w:rsidRPr="001F3A52">
        <w:t xml:space="preserve">CERCLA section 103(a) requires persons in charge of a facility or vessel to immediately notify the National Response Center (NRC) of any hazardous substance release that equals or exceeds its reportable quantity (RQ) and is not federally permitted.  Notification under CERCLA is intended to ensure that Federal authorities receive prompt notification of hazardous substance releases for which a timely response may be necessary to protect public health or welfare or the environment from any adverse effects that may be associated with the release.  Section 103(f)(2) of CERCLA provides relief from the per-occurrence notification requirements of section 103(a) for hazardous substance releases that are </w:t>
      </w:r>
      <w:r>
        <w:t>“</w:t>
      </w:r>
      <w:r w:rsidRPr="001F3A52">
        <w:t>continuous,</w:t>
      </w:r>
      <w:r>
        <w:t>”</w:t>
      </w:r>
      <w:r w:rsidRPr="001F3A52">
        <w:t xml:space="preserve"> and </w:t>
      </w:r>
      <w:r>
        <w:t>“</w:t>
      </w:r>
      <w:r w:rsidRPr="001F3A52">
        <w:t>stable in quantity and rate,</w:t>
      </w:r>
      <w:r>
        <w:t>”</w:t>
      </w:r>
      <w:r w:rsidRPr="001F3A52">
        <w:t xml:space="preserve"> provided that such releases are reported </w:t>
      </w:r>
      <w:r>
        <w:t>“</w:t>
      </w:r>
      <w:r w:rsidRPr="001F3A52">
        <w:t>annually, or at such time as there is any statistically significant increase</w:t>
      </w:r>
      <w:r>
        <w:t>”</w:t>
      </w:r>
      <w:r w:rsidRPr="001F3A52">
        <w:t xml:space="preserve"> in the quantity of the release.  Section 103(f)(2) contemplates that, in the case of certain </w:t>
      </w:r>
      <w:r>
        <w:lastRenderedPageBreak/>
        <w:t>“</w:t>
      </w:r>
      <w:r w:rsidRPr="001F3A52">
        <w:t>continuous</w:t>
      </w:r>
      <w:r>
        <w:t>”</w:t>
      </w:r>
      <w:r w:rsidRPr="001F3A52">
        <w:t xml:space="preserve"> and </w:t>
      </w:r>
      <w:r>
        <w:t>“</w:t>
      </w:r>
      <w:r w:rsidRPr="001F3A52">
        <w:t>stable</w:t>
      </w:r>
      <w:r>
        <w:t>”</w:t>
      </w:r>
      <w:r w:rsidRPr="001F3A52">
        <w:t xml:space="preserve"> releases, the notification objectives of CERCLA can be achieved with less frequent reporting.  The regulated community is expected to:</w:t>
      </w:r>
    </w:p>
    <w:p w14:paraId="648080C7" w14:textId="77777777" w:rsidR="00B62D96" w:rsidRPr="001F3A52" w:rsidRDefault="00B62D96" w:rsidP="00B62D96">
      <w:pPr>
        <w:ind w:left="720"/>
      </w:pPr>
    </w:p>
    <w:p w14:paraId="30D94396" w14:textId="77777777" w:rsidR="00B62D96" w:rsidRPr="001F3A52" w:rsidRDefault="00B62D96" w:rsidP="00B62D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r>
        <w:t>•</w:t>
      </w:r>
      <w:r w:rsidRPr="001F3A52">
        <w:tab/>
        <w:t>Gather necessary release data, such as the time, quantity, and source of the release;</w:t>
      </w:r>
    </w:p>
    <w:p w14:paraId="1A029D8C" w14:textId="77777777" w:rsidR="00B62D96" w:rsidRPr="001F3A52" w:rsidRDefault="00B62D96" w:rsidP="00B62D96"/>
    <w:p w14:paraId="7162C558" w14:textId="77777777" w:rsidR="00B62D96" w:rsidRPr="001F3A52" w:rsidRDefault="00B62D96" w:rsidP="00B62D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r>
        <w:t>•</w:t>
      </w:r>
      <w:r w:rsidRPr="001F3A52">
        <w:tab/>
        <w:t>Notify the facility manager of the release;</w:t>
      </w:r>
    </w:p>
    <w:p w14:paraId="7539B7BA" w14:textId="77777777" w:rsidR="00B62D96" w:rsidRPr="001F3A52" w:rsidRDefault="00B62D96" w:rsidP="00B62D96"/>
    <w:p w14:paraId="424A5707" w14:textId="77777777" w:rsidR="00B62D96" w:rsidRPr="001F3A52" w:rsidRDefault="00B62D96" w:rsidP="00B62D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r>
        <w:t>•</w:t>
      </w:r>
      <w:r w:rsidRPr="001F3A52">
        <w:tab/>
        <w:t>Consult with the environmental compliance expert regarding the release;</w:t>
      </w:r>
    </w:p>
    <w:p w14:paraId="38F97625" w14:textId="77777777" w:rsidR="00B62D96" w:rsidRPr="001F3A52" w:rsidRDefault="00B62D96" w:rsidP="00B62D96"/>
    <w:p w14:paraId="553631AC" w14:textId="77777777" w:rsidR="00B62D96" w:rsidRPr="001F3A52" w:rsidRDefault="00B62D96" w:rsidP="00B62D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r>
        <w:t>•</w:t>
      </w:r>
      <w:r w:rsidRPr="001F3A52">
        <w:tab/>
        <w:t xml:space="preserve">Make an initial report of the release to the NRC; </w:t>
      </w:r>
    </w:p>
    <w:p w14:paraId="1B1C7139" w14:textId="77777777" w:rsidR="00B62D96" w:rsidRPr="001F3A52" w:rsidRDefault="00B62D96" w:rsidP="00B62D96"/>
    <w:p w14:paraId="2D30541A" w14:textId="77777777" w:rsidR="00B62D96" w:rsidRPr="001F3A52" w:rsidRDefault="00B62D96" w:rsidP="00B62D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r>
        <w:t>•</w:t>
      </w:r>
      <w:r w:rsidRPr="001F3A52">
        <w:tab/>
        <w:t>Submit an initial written notification to the appropriate EPA Regional Office for the geographical area where the releasing facility or vessel is located;</w:t>
      </w:r>
    </w:p>
    <w:p w14:paraId="32172C5C" w14:textId="77777777" w:rsidR="00B62D96" w:rsidRPr="001F3A52" w:rsidRDefault="00B62D96" w:rsidP="00B62D96"/>
    <w:p w14:paraId="3E0D80C4" w14:textId="77777777" w:rsidR="00B62D96" w:rsidRPr="001F3A52" w:rsidRDefault="00B62D96" w:rsidP="00B62D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r>
        <w:t>•</w:t>
      </w:r>
      <w:r w:rsidRPr="001F3A52">
        <w:tab/>
        <w:t>Provide follow-up notification within 30 days of the first anniversary date of the initial written notification;</w:t>
      </w:r>
    </w:p>
    <w:p w14:paraId="2711B3A6" w14:textId="77777777" w:rsidR="00B62D96" w:rsidRPr="001F3A52" w:rsidRDefault="00B62D96" w:rsidP="00B62D96"/>
    <w:p w14:paraId="6D25B5FA" w14:textId="77777777" w:rsidR="00B62D96" w:rsidRPr="001F3A52" w:rsidRDefault="00B62D96" w:rsidP="00B62D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r>
        <w:t>•</w:t>
      </w:r>
      <w:r w:rsidRPr="001F3A52">
        <w:tab/>
        <w:t>Make notifications to the NRC if there is a change in the release, including a statistically significant increase in a release;</w:t>
      </w:r>
    </w:p>
    <w:p w14:paraId="5AC32D62" w14:textId="77777777" w:rsidR="00B62D96" w:rsidRPr="001F3A52" w:rsidRDefault="00B62D96" w:rsidP="00B62D96"/>
    <w:p w14:paraId="0CB0E24B" w14:textId="77777777" w:rsidR="00B62D96" w:rsidRPr="001F3A52" w:rsidRDefault="00B62D96" w:rsidP="00B62D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r>
        <w:t>•</w:t>
      </w:r>
      <w:r w:rsidRPr="001F3A52">
        <w:tab/>
        <w:t xml:space="preserve">Make an annual evaluation of releases to determine if changes have </w:t>
      </w:r>
      <w:r w:rsidR="003C4648" w:rsidRPr="001F3A52">
        <w:t>occurred</w:t>
      </w:r>
      <w:r w:rsidRPr="001F3A52">
        <w:t xml:space="preserve"> in the information submitted in the initial written notification, the </w:t>
      </w:r>
      <w:r w:rsidR="003C4648" w:rsidRPr="001F3A52">
        <w:t>follow</w:t>
      </w:r>
      <w:r w:rsidR="003C4648">
        <w:t>-</w:t>
      </w:r>
      <w:r w:rsidR="003C4648" w:rsidRPr="001F3A52">
        <w:t>up</w:t>
      </w:r>
      <w:r w:rsidRPr="001F3A52">
        <w:t xml:space="preserve"> notification and/or in a previous change notification - if there are no changes, submittal of a report is not required.</w:t>
      </w:r>
    </w:p>
    <w:p w14:paraId="78E61AFA" w14:textId="77777777" w:rsidR="00B62D96" w:rsidRPr="001F3A52" w:rsidRDefault="00B62D96" w:rsidP="00B62D96"/>
    <w:p w14:paraId="2EA5F0D1" w14:textId="77777777" w:rsidR="00B62D96" w:rsidRPr="001F3A52" w:rsidRDefault="00B62D96" w:rsidP="00B62D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r>
        <w:t>•</w:t>
      </w:r>
      <w:r w:rsidRPr="001F3A52">
        <w:tab/>
        <w:t xml:space="preserve">Keep all supporting documents, materials, and other information on file for a period of one year to substantiate the reported normal range of releases, the basis for stating that the release is continuous and stable in quantity and rate, and the other information in the initial written report, the </w:t>
      </w:r>
      <w:r w:rsidR="003C4648" w:rsidRPr="001F3A52">
        <w:t>follow-up</w:t>
      </w:r>
      <w:r w:rsidRPr="001F3A52">
        <w:t xml:space="preserve"> report, and the annual evaluations. </w:t>
      </w:r>
    </w:p>
    <w:p w14:paraId="2F144F7A" w14:textId="77777777" w:rsidR="00B62D96" w:rsidRPr="001F3A52" w:rsidRDefault="00B62D96" w:rsidP="00B62D96"/>
    <w:p w14:paraId="3939D516" w14:textId="77777777" w:rsidR="00B62D96" w:rsidRPr="001F3A52" w:rsidRDefault="00B62D96" w:rsidP="00B62D96">
      <w:pPr>
        <w:ind w:firstLine="720"/>
      </w:pPr>
      <w:r w:rsidRPr="001F3A52">
        <w:t xml:space="preserve">The continuous release final rule has been in effect since September 24, 1990.  This ICR utilizes historical data on the number of continuous release reports submitted to the Federal government to estimate the number of burden hours attributable to the CRRR.  The statistics on the number of continuous release reports submitted to the Federal government are available through the </w:t>
      </w:r>
      <w:smartTag w:uri="urn:schemas-microsoft-com:office:smarttags" w:element="place">
        <w:smartTag w:uri="urn:schemas-microsoft-com:office:smarttags" w:element="PlaceName">
          <w:r w:rsidRPr="001F3A52">
            <w:t>National</w:t>
          </w:r>
        </w:smartTag>
        <w:r w:rsidRPr="001F3A52">
          <w:t xml:space="preserve"> </w:t>
        </w:r>
        <w:smartTag w:uri="urn:schemas-microsoft-com:office:smarttags" w:element="PlaceName">
          <w:r w:rsidRPr="001F3A52">
            <w:t>Response</w:t>
          </w:r>
        </w:smartTag>
        <w:r w:rsidRPr="001F3A52">
          <w:t xml:space="preserve"> </w:t>
        </w:r>
        <w:smartTag w:uri="urn:schemas-microsoft-com:office:smarttags" w:element="PlaceType">
          <w:r w:rsidRPr="001F3A52">
            <w:t>Center</w:t>
          </w:r>
        </w:smartTag>
      </w:smartTag>
      <w:r>
        <w:t>’</w:t>
      </w:r>
      <w:r w:rsidRPr="001F3A52">
        <w:t>s incident data base.</w:t>
      </w:r>
      <w:r w:rsidRPr="001F3A52">
        <w:rPr>
          <w:rStyle w:val="FootnoteReference"/>
          <w:vertAlign w:val="superscript"/>
        </w:rPr>
        <w:footnoteReference w:id="2"/>
      </w:r>
    </w:p>
    <w:p w14:paraId="7AB077B1" w14:textId="77777777" w:rsidR="00B62D96" w:rsidRPr="001F3A52" w:rsidRDefault="00B62D96" w:rsidP="00B62D96"/>
    <w:p w14:paraId="52E8250E" w14:textId="77777777" w:rsidR="006401EE" w:rsidRDefault="006401EE" w:rsidP="00BB74C9">
      <w:pPr>
        <w:ind w:firstLine="720"/>
        <w:rPr>
          <w:color w:val="33CC33"/>
        </w:rPr>
      </w:pPr>
    </w:p>
    <w:p w14:paraId="2EE26919" w14:textId="77777777" w:rsidR="00913C33" w:rsidRDefault="00913C33" w:rsidP="00913C33">
      <w:pPr>
        <w:pStyle w:val="Heading1"/>
      </w:pPr>
      <w:bookmarkStart w:id="4" w:name="_Toc188347086"/>
      <w:bookmarkStart w:id="5" w:name="_Toc302552475"/>
      <w:r>
        <w:lastRenderedPageBreak/>
        <w:t>NEED FOR AND USE OF THE COLLECTION</w:t>
      </w:r>
      <w:bookmarkEnd w:id="4"/>
      <w:bookmarkEnd w:id="5"/>
    </w:p>
    <w:p w14:paraId="3EE6A3D9" w14:textId="77777777" w:rsidR="00913C33" w:rsidRDefault="00913C33" w:rsidP="00913C33">
      <w:pPr>
        <w:pStyle w:val="Heading2"/>
      </w:pPr>
      <w:bookmarkStart w:id="6" w:name="_Toc188347087"/>
      <w:bookmarkStart w:id="7" w:name="_Toc302552476"/>
      <w:r>
        <w:t>Need and Authority for the Collection</w:t>
      </w:r>
      <w:bookmarkEnd w:id="6"/>
      <w:bookmarkEnd w:id="7"/>
    </w:p>
    <w:p w14:paraId="3128856A" w14:textId="77777777" w:rsidR="00913C33" w:rsidRDefault="00913C33" w:rsidP="00913C33"/>
    <w:p w14:paraId="7A92F537" w14:textId="77777777" w:rsidR="00913C33" w:rsidRPr="006E2CC6" w:rsidRDefault="00913C33" w:rsidP="00913C33">
      <w:pPr>
        <w:ind w:firstLine="720"/>
      </w:pPr>
      <w:r w:rsidRPr="001F3A52">
        <w:t xml:space="preserve">The information collection required in the CRRR (40 CFR 302.8) is fully authorized under CERCLA section 103(f)(2) and section 104(e).  CERCLA section 103(f)(2) provides relief from the notification requirements of CERCLA section 103(a) for hazardous substance releases that are </w:t>
      </w:r>
      <w:r>
        <w:t>“</w:t>
      </w:r>
      <w:r w:rsidRPr="001F3A52">
        <w:t>continuous,</w:t>
      </w:r>
      <w:r>
        <w:t>”</w:t>
      </w:r>
      <w:r w:rsidRPr="001F3A52">
        <w:t xml:space="preserve"> </w:t>
      </w:r>
      <w:r>
        <w:t>“</w:t>
      </w:r>
      <w:r w:rsidRPr="001F3A52">
        <w:t>stable in quantity and rate,</w:t>
      </w:r>
      <w:r>
        <w:t>”</w:t>
      </w:r>
      <w:r w:rsidRPr="001F3A52">
        <w:t xml:space="preserve"> and for which notification has been given under CERCLA section 103(a) </w:t>
      </w:r>
      <w:r>
        <w:t>“</w:t>
      </w:r>
      <w:r w:rsidRPr="001F3A52">
        <w:t>for a period sufficient to establish the continuity, quantity, and regularity</w:t>
      </w:r>
      <w:r>
        <w:t>”</w:t>
      </w:r>
      <w:r w:rsidRPr="001F3A52">
        <w:t xml:space="preserve"> of the release.  Further, CERCLA section 103(f)(2) requires that notification of releases qualified as continuous under the CRRR must be provided </w:t>
      </w:r>
      <w:r>
        <w:t>“</w:t>
      </w:r>
      <w:r w:rsidRPr="001F3A52">
        <w:t>annually, or at such time as there is any statistically significant increase</w:t>
      </w:r>
      <w:r>
        <w:t>”</w:t>
      </w:r>
      <w:r w:rsidRPr="001F3A52">
        <w:t xml:space="preserve"> in the quantity of the release.  The specific information provided in the required notifications is authorized under CERCLA section 104(e).  CERCLA section 104(e) authorizes the collection of information, entry, and inspection and sampling activities for the purposes of determining the need for a response, or choosing or taking any response action under CERCLA.  In addition, CERCLA section 103(f)(2) establishes a notification system that documents information provided in the respondent notifications.  The information collection and management requirements of the CRRR are necessary to determine if a response action is needed to control or mitigate any potential adverse effects associated with a reported hazardous substance release.</w:t>
      </w:r>
    </w:p>
    <w:p w14:paraId="72D64AA5" w14:textId="77777777" w:rsidR="00913C33" w:rsidRPr="009D30AC" w:rsidRDefault="00913C33" w:rsidP="00913C33">
      <w:pPr>
        <w:pStyle w:val="Heading2"/>
      </w:pPr>
      <w:bookmarkStart w:id="8" w:name="_Toc188347088"/>
      <w:bookmarkStart w:id="9" w:name="_Toc302552477"/>
      <w:r>
        <w:t>Practical Utility and Users of the Data</w:t>
      </w:r>
      <w:bookmarkEnd w:id="8"/>
      <w:bookmarkEnd w:id="9"/>
    </w:p>
    <w:p w14:paraId="21FA8BF6" w14:textId="77777777" w:rsidR="00913C33" w:rsidRPr="00E205C3" w:rsidRDefault="00913C33" w:rsidP="00913C33">
      <w:pPr>
        <w:ind w:firstLine="720"/>
      </w:pPr>
    </w:p>
    <w:p w14:paraId="23D82520" w14:textId="77777777" w:rsidR="00913C33" w:rsidRDefault="00913C33" w:rsidP="00913C33">
      <w:pPr>
        <w:ind w:firstLine="720"/>
      </w:pPr>
      <w:r w:rsidRPr="001F3A52">
        <w:t>The information collected under the CRRR is used to evaluate the acute and chronic effects of the continuous release to determine if a response action is necessary to prevent or mitigate any adverse effects.  Any hazardous substance release that equals or exceeds its RQ warrants a timely evaluation of its source, emission rate, and chemical form, the proximity of sensitive populations or ecosystems, and the ambient conditions, to ensure the protection of public health and welfare and the environment.  Agency responses to continuous hazardous substance release notifications may take a number of forms ranging from requests for more detailed information (to allow for a more detailed risk assessment), to the imposition of more stringent emissions limitations, to removal and/or remedial actions.  Finally, the release notification information is used by State and local government emergency planners to conduct State and local emergency response planning.</w:t>
      </w:r>
      <w:r>
        <w:t xml:space="preserve"> </w:t>
      </w:r>
    </w:p>
    <w:p w14:paraId="3614FE6A" w14:textId="77777777" w:rsidR="00913C33" w:rsidRDefault="00913C33" w:rsidP="00913C33">
      <w:pPr>
        <w:ind w:firstLine="720"/>
      </w:pPr>
    </w:p>
    <w:p w14:paraId="5E70EE6A" w14:textId="77777777" w:rsidR="00913C33" w:rsidRDefault="00913C33" w:rsidP="00913C33">
      <w:pPr>
        <w:pStyle w:val="Heading1"/>
      </w:pPr>
      <w:bookmarkStart w:id="10" w:name="_Toc188347089"/>
      <w:bookmarkStart w:id="11" w:name="_Toc302552478"/>
      <w:r>
        <w:t>NON DUPLICATION, CONSULTATIONS, AND OTHER COLLECTION CRITERIA</w:t>
      </w:r>
      <w:bookmarkEnd w:id="10"/>
      <w:bookmarkEnd w:id="11"/>
    </w:p>
    <w:p w14:paraId="2D774468" w14:textId="77777777" w:rsidR="00913C33" w:rsidRDefault="00913C33" w:rsidP="00913C33">
      <w:pPr>
        <w:pStyle w:val="Heading2"/>
      </w:pPr>
      <w:bookmarkStart w:id="12" w:name="_Toc188347090"/>
      <w:bookmarkStart w:id="13" w:name="_Toc302552479"/>
      <w:r>
        <w:t>Non Duplication</w:t>
      </w:r>
      <w:bookmarkEnd w:id="12"/>
      <w:bookmarkEnd w:id="13"/>
    </w:p>
    <w:p w14:paraId="538812D6" w14:textId="77777777" w:rsidR="00913C33" w:rsidRDefault="00913C33" w:rsidP="00913C33"/>
    <w:p w14:paraId="26477968" w14:textId="77777777" w:rsidR="00913C33" w:rsidRPr="001F3A52" w:rsidRDefault="00913C33" w:rsidP="00913C33">
      <w:pPr>
        <w:ind w:firstLine="720"/>
      </w:pPr>
      <w:r w:rsidRPr="001F3A52">
        <w:t xml:space="preserve">The hazardous substance release information requested under the CRRR in the initial written and follow-up reports is the minimum information necessary to properly evaluate a hazardous substance release.  EPA analyzed possible areas of overlap with other regulations, concluding that </w:t>
      </w:r>
      <w:r w:rsidRPr="001F3A52">
        <w:lastRenderedPageBreak/>
        <w:t xml:space="preserve">there are limited areas of overlap with reporting requirements under other statutes and provisions.  In particular, some facilities may need to provide similar hazardous substance release information to satisfy reporting requirements for the Toxic Release Inventory (TRI) report under SARA section 313.  The level of duplication, however, is limited because of differences in the list of chemicals, and the SIC and facility sizes affected by SARA section 313.  </w:t>
      </w:r>
      <w:r w:rsidR="008813A3">
        <w:t>SARA</w:t>
      </w:r>
      <w:r w:rsidRPr="001F3A52">
        <w:t xml:space="preserve"> section 313 requirements only apply to facilities in certain SIC categories whose inventory quantities exceed 10,000 pounds; CERCLA section 103 affects facilities in all SIC codes regardless of inventory amounts.  In addition, the SARA section 313 list of toxic chemicals includes only about one-fourth of the listed CERCLA hazardous substances.  Further, the SARA section 313 list includes some substances that are not on the CERCLA list at all. </w:t>
      </w:r>
    </w:p>
    <w:p w14:paraId="1F094035" w14:textId="77777777" w:rsidR="00913C33" w:rsidRPr="001F3A52" w:rsidRDefault="00913C33" w:rsidP="00913C33"/>
    <w:p w14:paraId="40F0F849" w14:textId="77777777" w:rsidR="00913C33" w:rsidRPr="001F3A52" w:rsidRDefault="00913C33" w:rsidP="00913C33">
      <w:pPr>
        <w:ind w:firstLine="720"/>
      </w:pPr>
      <w:r w:rsidRPr="001F3A52">
        <w:t>To minimize any duplication in reporting, EPA allows facilities that are subject to the reporting requirements of both regulations to submit the SARA section 313 report (otherwise known as the TRI report) as a substitute for the written reports required under the CRRR, provided that certain additional continuous release information is included as an addendum to the TRI report.  If the TRI report is submitted in lieu of the continuous release written report, based on each source release, the following continuous release information must also be included in the TRI report: (1) the upper and lower bounds (normal range) of the release over a 24-hour period of each hazardous substance; (2) the frequency of the release from each release source; (3) a signed statement describing the basis for asserting that the release is continuous and stable in quantity and rate; (4) the population density within a one-mile radius; and (5) the identity and location of any sensitive populations and ecosystems within a one-mile radius.  These additions will provide EPA with information that is not available from the TRI report, but is required to properly evaluate the need for a government response.</w:t>
      </w:r>
    </w:p>
    <w:p w14:paraId="7771E9D9" w14:textId="77777777" w:rsidR="00913C33" w:rsidRPr="001F3A52" w:rsidRDefault="00913C33" w:rsidP="00913C33"/>
    <w:p w14:paraId="68252829" w14:textId="77777777" w:rsidR="00913C33" w:rsidRDefault="00913C33" w:rsidP="00913C33">
      <w:pPr>
        <w:ind w:firstLine="720"/>
      </w:pPr>
      <w:r w:rsidRPr="001F3A52">
        <w:t xml:space="preserve">Additionally, continuous release reporting under CERCLA section 103(f)(2) eliminates frequent and repetitive reporting under CERCLA section 103(a).  If a facility with continuous releases were to report on a per-occurrence basis under section 103(a), the facility could be notifying the NRC daily.  Respondents with continuous releases may be unnecessarily reporting under CERCLA section 103(a) because they: (1) may not be familiar with the reduced reporting option under section 103(f)(2), or (2) may not realize that there is a reduced burden associated with a one-time initial telephone notification and submission of an initial written report and one follow-up report under the CRRR.  </w:t>
      </w:r>
      <w:bookmarkStart w:id="14" w:name="a3_a__reference_to_outreach_activities_i"/>
      <w:bookmarkEnd w:id="14"/>
      <w:r w:rsidRPr="001F3A52">
        <w:t>EPA</w:t>
      </w:r>
      <w:r>
        <w:t>’</w:t>
      </w:r>
      <w:r w:rsidRPr="001F3A52">
        <w:t>s outreach efforts to increase industry awareness are described in Section 5(b).  As respondents become more aware of the CRRR and the ability to simplify and reduce expenses associated with continuous release reporting, it is possible that some reports could be redirected from CERCLA section 103(a)</w:t>
      </w:r>
      <w:r>
        <w:t xml:space="preserve"> </w:t>
      </w:r>
      <w:r w:rsidRPr="001F3A52">
        <w:t>(ERNS) to CERCLA section 103(f)(2) (CR-ERNS).</w:t>
      </w:r>
    </w:p>
    <w:p w14:paraId="74829052" w14:textId="77777777" w:rsidR="00913C33" w:rsidRDefault="00913C33" w:rsidP="00913C33">
      <w:pPr>
        <w:pStyle w:val="Heading2"/>
      </w:pPr>
      <w:bookmarkStart w:id="15" w:name="_Toc188347091"/>
      <w:bookmarkStart w:id="16" w:name="_Toc302552480"/>
      <w:r>
        <w:t>Public Notice Required Prior to ICR Submission to OMB</w:t>
      </w:r>
      <w:bookmarkEnd w:id="15"/>
      <w:bookmarkEnd w:id="16"/>
    </w:p>
    <w:p w14:paraId="4FE79B6A" w14:textId="77777777" w:rsidR="00913C33" w:rsidRDefault="00913C33" w:rsidP="00913C33"/>
    <w:p w14:paraId="034214A4" w14:textId="58A63F5B" w:rsidR="00E9333C" w:rsidRPr="007A1462" w:rsidRDefault="00E9333C" w:rsidP="002A64BE">
      <w:pPr>
        <w:ind w:firstLine="720"/>
      </w:pPr>
      <w:r w:rsidRPr="00114458">
        <w:t xml:space="preserve">In compliance with the Paperwork Reduction Act (PRA) (44 U.S.C. 3501 </w:t>
      </w:r>
      <w:r w:rsidRPr="00114458">
        <w:rPr>
          <w:u w:val="single"/>
        </w:rPr>
        <w:t>et seq</w:t>
      </w:r>
      <w:r w:rsidRPr="00114458">
        <w:t xml:space="preserve">.), EPA has notified the public through the </w:t>
      </w:r>
      <w:r w:rsidRPr="00114458">
        <w:rPr>
          <w:u w:val="single"/>
        </w:rPr>
        <w:t>Federal Register</w:t>
      </w:r>
      <w:r w:rsidRPr="00114458">
        <w:t xml:space="preserve"> notice on the renewal of this ICR (See </w:t>
      </w:r>
      <w:r w:rsidR="00114458" w:rsidRPr="007A1462">
        <w:t>80</w:t>
      </w:r>
      <w:r w:rsidR="002A64BE" w:rsidRPr="007A1462">
        <w:t xml:space="preserve"> FR </w:t>
      </w:r>
      <w:r w:rsidR="001408D1" w:rsidRPr="007A1462">
        <w:t>7460</w:t>
      </w:r>
      <w:r w:rsidR="002A64BE" w:rsidRPr="007A1462">
        <w:t xml:space="preserve">, </w:t>
      </w:r>
      <w:r w:rsidR="00114458" w:rsidRPr="007A1462">
        <w:lastRenderedPageBreak/>
        <w:t>Feb. 10, 2015</w:t>
      </w:r>
      <w:r w:rsidR="002A64BE" w:rsidRPr="007A1462">
        <w:t>).  The Docket ID No. for the notice is EPA-HQ-SFUND-20</w:t>
      </w:r>
      <w:r w:rsidR="00114458" w:rsidRPr="007A1462">
        <w:t>15</w:t>
      </w:r>
      <w:r w:rsidR="002A64BE" w:rsidRPr="007A1462">
        <w:t>-0</w:t>
      </w:r>
      <w:r w:rsidR="00114458" w:rsidRPr="007A1462">
        <w:t>100</w:t>
      </w:r>
      <w:r w:rsidR="002A64BE" w:rsidRPr="007A1462">
        <w:t xml:space="preserve">, and can be accessed at </w:t>
      </w:r>
      <w:hyperlink r:id="rId11" w:history="1">
        <w:r w:rsidR="002A64BE" w:rsidRPr="007A1462">
          <w:rPr>
            <w:rStyle w:val="Hyperlink"/>
            <w:color w:val="auto"/>
          </w:rPr>
          <w:t>www.regulations.gov</w:t>
        </w:r>
      </w:hyperlink>
      <w:r w:rsidR="002A64BE" w:rsidRPr="007A1462">
        <w:t xml:space="preserve">.  </w:t>
      </w:r>
      <w:r w:rsidR="002A64BE" w:rsidRPr="007A1462">
        <w:rPr>
          <w:i/>
        </w:rPr>
        <w:t xml:space="preserve"> </w:t>
      </w:r>
      <w:r w:rsidR="002A64BE" w:rsidRPr="007A1462">
        <w:t>There were no comments received.</w:t>
      </w:r>
    </w:p>
    <w:p w14:paraId="191E96F8" w14:textId="77777777" w:rsidR="00913C33" w:rsidRDefault="00913C33" w:rsidP="00913C33">
      <w:pPr>
        <w:pStyle w:val="Heading2"/>
      </w:pPr>
      <w:bookmarkStart w:id="17" w:name="_Toc188347092"/>
      <w:bookmarkStart w:id="18" w:name="_Toc302552481"/>
      <w:r>
        <w:t>Consultations</w:t>
      </w:r>
      <w:bookmarkEnd w:id="17"/>
      <w:bookmarkEnd w:id="18"/>
    </w:p>
    <w:p w14:paraId="45927533" w14:textId="77777777" w:rsidR="00913C33" w:rsidRDefault="00913C33" w:rsidP="00913C33"/>
    <w:p w14:paraId="1EA6EC7D" w14:textId="77777777" w:rsidR="00913C33" w:rsidRPr="001F3A52" w:rsidRDefault="00913C33" w:rsidP="00913C33">
      <w:pPr>
        <w:ind w:firstLine="720"/>
      </w:pPr>
      <w:r w:rsidRPr="001F3A52">
        <w:t xml:space="preserve">EPA consulted with a number of Federal and State government agencies in the development of the information collection activities described in this ICR.  To develop the CRRR, EPA formed a Workgroup to address the comments received on the Notice of Proposed Rulemaking (NPRM) published on April 19, 1988 (53 </w:t>
      </w:r>
      <w:r w:rsidRPr="001F3A52">
        <w:rPr>
          <w:u w:val="single"/>
        </w:rPr>
        <w:t>FR</w:t>
      </w:r>
      <w:r w:rsidRPr="001F3A52">
        <w:t xml:space="preserve"> 12868).  The Workgroup consisted of representatives from various EPA program offices, the ten EPA Regions, and the NRC.  EPA Regional offices were responsible for the implementation of the final rule.  Participation by these parties in the Workgroup was sufficient to address and resolve all outstanding issues.  The comments received on the NPRM are addressed in the Response to Comments Document and in the preamble to the final rule.  </w:t>
      </w:r>
    </w:p>
    <w:p w14:paraId="04CB2B6A" w14:textId="77777777" w:rsidR="00913C33" w:rsidRPr="001F3A52" w:rsidRDefault="00913C33" w:rsidP="00913C33"/>
    <w:p w14:paraId="014D373C" w14:textId="0D3DF2AD" w:rsidR="00913C33" w:rsidRDefault="00913C33" w:rsidP="00913C33">
      <w:pPr>
        <w:ind w:firstLine="720"/>
      </w:pPr>
      <w:r w:rsidRPr="001F3A52">
        <w:t xml:space="preserve">EPA sponsored several workshops throughout the country for industry and Federal, State, and local government officials on the release notification requirements under CERCLA and SARA Title III, including the requirements under the CRRR.  The workshops were held to educate the regulated community as well as those Federal and State agencies required to implement the regulations.  In addition, the workshops provided an opportunity for the public to comment on the implementation of the regulation.  No workshops were conducted or planned during </w:t>
      </w:r>
      <w:r w:rsidR="00114458">
        <w:t>the period covered by ICR 1445.12</w:t>
      </w:r>
      <w:r w:rsidRPr="001F3A52">
        <w:t>.</w:t>
      </w:r>
      <w:r w:rsidR="00114458">
        <w:t xml:space="preserve"> </w:t>
      </w:r>
      <w:r w:rsidR="009C19D4">
        <w:t xml:space="preserve">The forms are contained in Attachment A to this document and are also available at </w:t>
      </w:r>
      <w:hyperlink r:id="rId12" w:anchor="con" w:history="1">
        <w:r w:rsidR="009C19D4" w:rsidRPr="00DE1FFD">
          <w:rPr>
            <w:rStyle w:val="Hyperlink"/>
          </w:rPr>
          <w:t>www.epa.gov/emergencies/content/reporting/rqover.htm#con</w:t>
        </w:r>
      </w:hyperlink>
      <w:r w:rsidR="009C19D4">
        <w:t xml:space="preserve">. </w:t>
      </w:r>
    </w:p>
    <w:p w14:paraId="0A4CB558" w14:textId="77777777" w:rsidR="00891079" w:rsidRDefault="00891079" w:rsidP="00913C33">
      <w:pPr>
        <w:ind w:firstLine="720"/>
      </w:pPr>
    </w:p>
    <w:p w14:paraId="3BD59B74" w14:textId="77777777" w:rsidR="00891079" w:rsidRDefault="00891079" w:rsidP="00891079">
      <w:pPr>
        <w:ind w:firstLine="720"/>
      </w:pPr>
      <w:r w:rsidRPr="002A64BE">
        <w:t xml:space="preserve">For this renewal, several individuals (fewer than 9) responsible for making notifications to the NRC and submitting written follow-up reports were consulted regarding the </w:t>
      </w:r>
      <w:r w:rsidR="002A64BE">
        <w:t xml:space="preserve">process and </w:t>
      </w:r>
      <w:r w:rsidRPr="002A64BE">
        <w:t>burden this collection imposes.  Brief summaries of those consultations are contained in Appendix A to this renewal supporting statement.</w:t>
      </w:r>
      <w:r w:rsidRPr="00891079">
        <w:t xml:space="preserve"> </w:t>
      </w:r>
    </w:p>
    <w:p w14:paraId="0CB9961C" w14:textId="77777777" w:rsidR="00913C33" w:rsidRDefault="00913C33" w:rsidP="00913C33">
      <w:pPr>
        <w:pStyle w:val="Heading2"/>
      </w:pPr>
      <w:bookmarkStart w:id="19" w:name="_Toc188347093"/>
      <w:bookmarkStart w:id="20" w:name="_Toc302552482"/>
      <w:r>
        <w:t>Effects of Less Frequent Collection</w:t>
      </w:r>
      <w:bookmarkEnd w:id="19"/>
      <w:bookmarkEnd w:id="20"/>
    </w:p>
    <w:p w14:paraId="46C06D9D" w14:textId="77777777" w:rsidR="00913C33" w:rsidRDefault="00913C33" w:rsidP="00913C33"/>
    <w:p w14:paraId="5F39F7C6" w14:textId="77777777" w:rsidR="00913C33" w:rsidRPr="001F3A52" w:rsidRDefault="00913C33" w:rsidP="00913C33">
      <w:pPr>
        <w:ind w:firstLine="720"/>
      </w:pPr>
      <w:r w:rsidRPr="001F3A52">
        <w:t>The frequency of information collection established in the CRRR is the minimum level necessary for proper evaluation of continuous releases.  If the information collected under the CRRR, such as the source, frequency, and composition of the release, the environmental media affected, and the identity and location of any sensitive populations or ecosystems, were collected less frequently than stipulated under the CRRR, the Federal government</w:t>
      </w:r>
      <w:r>
        <w:t>’</w:t>
      </w:r>
      <w:r w:rsidRPr="001F3A52">
        <w:t>s ability to properly evaluate the threat posed by the release and the need for a response action would be jeopardized.</w:t>
      </w:r>
    </w:p>
    <w:p w14:paraId="4DE35BAB" w14:textId="77777777" w:rsidR="00913C33" w:rsidRDefault="00913C33" w:rsidP="00913C33">
      <w:pPr>
        <w:pStyle w:val="Heading2"/>
      </w:pPr>
      <w:bookmarkStart w:id="21" w:name="_Toc188347094"/>
      <w:bookmarkStart w:id="22" w:name="_Toc302552483"/>
      <w:r>
        <w:t>General Guidelines</w:t>
      </w:r>
      <w:bookmarkEnd w:id="21"/>
      <w:bookmarkEnd w:id="22"/>
    </w:p>
    <w:p w14:paraId="264088D0" w14:textId="77777777" w:rsidR="00913C33" w:rsidRPr="00802E2A" w:rsidRDefault="00913C33" w:rsidP="00913C33"/>
    <w:p w14:paraId="14CD574D" w14:textId="77777777" w:rsidR="00913C33" w:rsidRPr="001F3A52" w:rsidRDefault="00913C33" w:rsidP="00913C33">
      <w:pPr>
        <w:ind w:firstLine="720"/>
      </w:pPr>
      <w:r w:rsidRPr="001F3A52">
        <w:t>The regulations imposed by CERCLA section 103(f)(2) adhere fully to OMB</w:t>
      </w:r>
      <w:r>
        <w:t>’</w:t>
      </w:r>
      <w:r w:rsidRPr="001F3A52">
        <w:t xml:space="preserve">s general guidelines concerning the collection of information and the control of paperwork burdens on the </w:t>
      </w:r>
      <w:r w:rsidRPr="001F3A52">
        <w:lastRenderedPageBreak/>
        <w:t>public.</w:t>
      </w:r>
    </w:p>
    <w:p w14:paraId="249AE03E" w14:textId="77777777" w:rsidR="00913C33" w:rsidRDefault="00913C33" w:rsidP="00913C33">
      <w:pPr>
        <w:pStyle w:val="Heading2"/>
      </w:pPr>
      <w:bookmarkStart w:id="23" w:name="_Toc188347095"/>
      <w:bookmarkStart w:id="24" w:name="_Toc302552484"/>
      <w:r>
        <w:t>Confidentiality</w:t>
      </w:r>
      <w:bookmarkEnd w:id="23"/>
      <w:bookmarkEnd w:id="24"/>
    </w:p>
    <w:p w14:paraId="649977FF" w14:textId="77777777" w:rsidR="00913C33" w:rsidRDefault="00913C33" w:rsidP="00913C33"/>
    <w:p w14:paraId="6E9D6ACB" w14:textId="77777777" w:rsidR="00913C33" w:rsidRPr="001F3A52" w:rsidRDefault="00913C33" w:rsidP="00913C33">
      <w:pPr>
        <w:ind w:firstLine="720"/>
      </w:pPr>
      <w:r w:rsidRPr="001F3A52">
        <w:t>The regulations implementing CRRR do not require the submittal of any proprietary, trade secret, or other confidential information.</w:t>
      </w:r>
    </w:p>
    <w:p w14:paraId="2816E2F0" w14:textId="77777777" w:rsidR="00913C33" w:rsidRDefault="00913C33" w:rsidP="00913C33">
      <w:pPr>
        <w:pStyle w:val="Heading2"/>
      </w:pPr>
      <w:bookmarkStart w:id="25" w:name="_Toc188347096"/>
      <w:bookmarkStart w:id="26" w:name="_Toc302552485"/>
      <w:r>
        <w:t>Sensitive Questions</w:t>
      </w:r>
      <w:bookmarkEnd w:id="25"/>
      <w:bookmarkEnd w:id="26"/>
    </w:p>
    <w:p w14:paraId="110CC7F7" w14:textId="77777777" w:rsidR="00913C33" w:rsidRDefault="00913C33" w:rsidP="00913C33"/>
    <w:p w14:paraId="325FF9BE" w14:textId="77777777" w:rsidR="00913C33" w:rsidRDefault="00913C33" w:rsidP="00913C33">
      <w:pPr>
        <w:ind w:firstLine="720"/>
      </w:pPr>
      <w:r w:rsidRPr="001F3A52">
        <w:t>The regulations implementing CRRR do not require the submission of any sensitive business information.  In addition, the information collection requested under these regulations is in compliance with the Privacy Act of 1974 and OMB Circular A-108.</w:t>
      </w:r>
    </w:p>
    <w:p w14:paraId="26FCAB8B" w14:textId="77777777" w:rsidR="00913C33" w:rsidRDefault="00913C33" w:rsidP="00913C33">
      <w:pPr>
        <w:pStyle w:val="Heading1"/>
        <w:ind w:left="0" w:firstLine="0"/>
        <w:rPr>
          <w:bCs w:val="0"/>
        </w:rPr>
      </w:pPr>
      <w:bookmarkStart w:id="27" w:name="_Toc188347097"/>
      <w:bookmarkStart w:id="28" w:name="_Toc302552486"/>
      <w:r>
        <w:rPr>
          <w:bCs w:val="0"/>
        </w:rPr>
        <w:t>THE RESPONDENTS AND THE INFORMATION REQUESTED</w:t>
      </w:r>
      <w:bookmarkEnd w:id="27"/>
      <w:bookmarkEnd w:id="28"/>
    </w:p>
    <w:p w14:paraId="464DABD8" w14:textId="77777777" w:rsidR="00913C33" w:rsidRDefault="00913C33" w:rsidP="00913C33">
      <w:pPr>
        <w:pStyle w:val="Heading2"/>
      </w:pPr>
      <w:bookmarkStart w:id="29" w:name="_Toc188347098"/>
      <w:bookmarkStart w:id="30" w:name="_Toc302552487"/>
      <w:r>
        <w:t>Respondents and SIC Codes</w:t>
      </w:r>
      <w:bookmarkEnd w:id="29"/>
      <w:bookmarkEnd w:id="30"/>
    </w:p>
    <w:p w14:paraId="2CC647B9" w14:textId="77777777" w:rsidR="00913C33" w:rsidRDefault="00913C33" w:rsidP="00913C33"/>
    <w:p w14:paraId="4DBA5E45" w14:textId="77777777" w:rsidR="00913C33" w:rsidRPr="001F3A52" w:rsidRDefault="00913C33" w:rsidP="00913C33">
      <w:pPr>
        <w:keepLines/>
        <w:ind w:firstLine="720"/>
      </w:pPr>
      <w:r w:rsidRPr="001F3A52">
        <w:t>This section is not applicable.  The usage and release of hazardous substances are pervasive throughout industry.  EPA expects a number of different industrial categories to report hazardous substance releases under the provisions of the CRRR.  No one industry sector or group of sectors is disproportionately affected by the information collection burden.</w:t>
      </w:r>
    </w:p>
    <w:p w14:paraId="01BF63A6" w14:textId="77777777" w:rsidR="00913C33" w:rsidRDefault="00913C33" w:rsidP="00913C33">
      <w:pPr>
        <w:pStyle w:val="Heading2"/>
      </w:pPr>
      <w:bookmarkStart w:id="31" w:name="_Toc188347099"/>
      <w:bookmarkStart w:id="32" w:name="_Toc302552488"/>
      <w:r>
        <w:t>Information Requested</w:t>
      </w:r>
      <w:bookmarkEnd w:id="31"/>
      <w:bookmarkEnd w:id="32"/>
    </w:p>
    <w:p w14:paraId="265E7DF8" w14:textId="77777777" w:rsidR="00913C33" w:rsidRDefault="00913C33" w:rsidP="00913C33">
      <w:pPr>
        <w:pStyle w:val="Heading3"/>
        <w:tabs>
          <w:tab w:val="clear" w:pos="1800"/>
          <w:tab w:val="num" w:pos="1080"/>
        </w:tabs>
      </w:pPr>
      <w:bookmarkStart w:id="33" w:name="_Toc188347100"/>
      <w:bookmarkStart w:id="34" w:name="_Toc302552489"/>
      <w:r>
        <w:t>Data items, including record keeping requirements</w:t>
      </w:r>
      <w:bookmarkEnd w:id="33"/>
      <w:bookmarkEnd w:id="34"/>
    </w:p>
    <w:p w14:paraId="12136273" w14:textId="77777777" w:rsidR="00913C33" w:rsidRDefault="00913C33" w:rsidP="00913C33"/>
    <w:p w14:paraId="0CB4879C" w14:textId="77777777" w:rsidR="00913C33" w:rsidRPr="001F3A52" w:rsidRDefault="00913C33" w:rsidP="00913C33">
      <w:pPr>
        <w:ind w:firstLine="720"/>
      </w:pPr>
      <w:r w:rsidRPr="001F3A52">
        <w:t>To ensure that government authorities receive timely and sufficient information to evaluate potentially dangerous hazardous substance releases reported under CERCLA section 103(f)(2), the CRRR requires seven types of information collection activities:</w:t>
      </w:r>
    </w:p>
    <w:p w14:paraId="04C31722" w14:textId="77777777" w:rsidR="00913C33" w:rsidRPr="001F3A52" w:rsidRDefault="00913C33" w:rsidP="00913C33"/>
    <w:p w14:paraId="4B5B3450" w14:textId="77777777" w:rsidR="00913C33" w:rsidRPr="001F3A52" w:rsidRDefault="00913C33" w:rsidP="00913C33">
      <w:pPr>
        <w:pStyle w:val="Level1"/>
        <w:numPr>
          <w:ilvl w:val="0"/>
          <w:numId w:val="6"/>
        </w:numPr>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1F3A52">
        <w:t>An initial telephone call to the NRC;</w:t>
      </w:r>
    </w:p>
    <w:p w14:paraId="04F2CD6A" w14:textId="77777777" w:rsidR="00913C33" w:rsidRPr="001F3A52" w:rsidRDefault="00913C33" w:rsidP="00913C33">
      <w:pPr>
        <w:pStyle w:val="Level1"/>
        <w:numPr>
          <w:ilvl w:val="0"/>
          <w:numId w:val="6"/>
        </w:numPr>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1F3A52">
        <w:t>An initial written report to the EPA Region;</w:t>
      </w:r>
    </w:p>
    <w:p w14:paraId="71BF01A5" w14:textId="77777777" w:rsidR="00913C33" w:rsidRPr="001F3A52" w:rsidRDefault="00913C33" w:rsidP="00913C33">
      <w:pPr>
        <w:pStyle w:val="Level1"/>
        <w:numPr>
          <w:ilvl w:val="0"/>
          <w:numId w:val="6"/>
        </w:numPr>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1F3A52">
        <w:t>A one-time follow-up written report to the EPA Region on or before the first-year anniversary of the submission of an initial written report;</w:t>
      </w:r>
    </w:p>
    <w:p w14:paraId="47AF023D" w14:textId="77777777" w:rsidR="00913C33" w:rsidRPr="001F3A52" w:rsidRDefault="00913C33" w:rsidP="00913C33">
      <w:pPr>
        <w:pStyle w:val="Level1"/>
        <w:numPr>
          <w:ilvl w:val="0"/>
          <w:numId w:val="6"/>
        </w:numPr>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1F3A52">
        <w:t>An annual evaluation of a release beginning the year after the submission of the one-time follow-up written report;</w:t>
      </w:r>
    </w:p>
    <w:p w14:paraId="1FF5BC33" w14:textId="77777777" w:rsidR="00913C33" w:rsidRPr="001F3A52" w:rsidRDefault="00913C33" w:rsidP="00913C33">
      <w:pPr>
        <w:pStyle w:val="Level1"/>
        <w:numPr>
          <w:ilvl w:val="0"/>
          <w:numId w:val="6"/>
        </w:numPr>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1F3A52">
        <w:t>Notification to the NRC and EPA Regions of a change in the sources, composition, or frequency of a release;</w:t>
      </w:r>
    </w:p>
    <w:p w14:paraId="3141A26E" w14:textId="77777777" w:rsidR="00913C33" w:rsidRPr="001F3A52" w:rsidRDefault="00913C33" w:rsidP="00913C33">
      <w:pPr>
        <w:pStyle w:val="Level1"/>
        <w:numPr>
          <w:ilvl w:val="0"/>
          <w:numId w:val="6"/>
        </w:numPr>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1F3A52">
        <w:t>Notification to the EPA Region of a change in other information previously submitted; and</w:t>
      </w:r>
    </w:p>
    <w:p w14:paraId="3E012EC0" w14:textId="77777777" w:rsidR="00913C33" w:rsidRPr="001F3A52" w:rsidRDefault="00913C33" w:rsidP="00913C33">
      <w:pPr>
        <w:pStyle w:val="Level1"/>
        <w:numPr>
          <w:ilvl w:val="0"/>
          <w:numId w:val="6"/>
        </w:numPr>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1F3A52">
        <w:t xml:space="preserve">Immediate notification to the NRC of any statistically significant increase (SSI) in the </w:t>
      </w:r>
      <w:r w:rsidRPr="001F3A52">
        <w:lastRenderedPageBreak/>
        <w:t>quantity of a release.</w:t>
      </w:r>
    </w:p>
    <w:p w14:paraId="4E6B5EF4" w14:textId="77777777" w:rsidR="00913C33" w:rsidRPr="001F3A52" w:rsidRDefault="00913C33" w:rsidP="00913C33"/>
    <w:p w14:paraId="0826A35E" w14:textId="77777777" w:rsidR="00913C33" w:rsidRPr="001F3A52" w:rsidRDefault="00913C33" w:rsidP="00913C33">
      <w:pPr>
        <w:ind w:firstLine="720"/>
      </w:pPr>
      <w:r w:rsidRPr="001F3A52">
        <w:t>The time required by a facility to complete the seven information collection activities varies and is largely contingent on the nature of the reported releases and the facility</w:t>
      </w:r>
      <w:r>
        <w:t>’</w:t>
      </w:r>
      <w:r w:rsidRPr="001F3A52">
        <w:t xml:space="preserve">s information collection procedures.  However, EPA estimated the average amount of time that is needed to perform these seven information collection activities and the average unit burden hours. The estimates are presented in section 6(a).  The unit burden hours used in this ICR are based upon estimates from the CRRR economic analysis.  </w:t>
      </w:r>
      <w:r w:rsidRPr="00591DAF">
        <w:t xml:space="preserve">The CRRR Economic Impact is available in rulemaking </w:t>
      </w:r>
      <w:r>
        <w:t xml:space="preserve">Superfund </w:t>
      </w:r>
      <w:r w:rsidRPr="00591DAF">
        <w:t>Docket Number 103(f)CR - 4-8.</w:t>
      </w:r>
    </w:p>
    <w:p w14:paraId="4D55EFC4" w14:textId="77777777" w:rsidR="00913C33" w:rsidRPr="001F3A52" w:rsidRDefault="00913C33" w:rsidP="00913C33"/>
    <w:p w14:paraId="74DC08E4" w14:textId="77777777" w:rsidR="00913C33" w:rsidRPr="001F3A52" w:rsidRDefault="00913C33" w:rsidP="00913C33">
      <w:pPr>
        <w:ind w:firstLine="720"/>
      </w:pPr>
      <w:r w:rsidRPr="001F3A52">
        <w:t>Reporting continuous releases represents a reduction in burden for facilities that would otherwise report releases on a per-occurrence basis.  EPA believes that the notification system developed under the CRRR represents the minimum level of reporting necessary for the Federal On-Scene Coordinator (OSC) to evaluate whether a response action is needed to prevent or mitigate any hazards to public health and welfare and the environment.  The following paragraphs briefly describe the purpose and timing of each information collection activity and list the data items that comprise each notification.</w:t>
      </w:r>
    </w:p>
    <w:p w14:paraId="384E191A" w14:textId="77777777" w:rsidR="00913C33" w:rsidRPr="001F3A52" w:rsidRDefault="00913C33" w:rsidP="00913C33"/>
    <w:p w14:paraId="2725C11B" w14:textId="77777777" w:rsidR="00913C33" w:rsidRPr="001F3A52" w:rsidRDefault="00913C33" w:rsidP="00913C33">
      <w:pPr>
        <w:ind w:firstLine="720"/>
      </w:pPr>
      <w:r w:rsidRPr="001F3A52">
        <w:rPr>
          <w:b/>
          <w:bCs/>
        </w:rPr>
        <w:t>Initial Telephone Notification to the NRC</w:t>
      </w:r>
      <w:r w:rsidRPr="001F3A52">
        <w:t xml:space="preserve"> </w:t>
      </w:r>
      <w:r>
        <w:t>–</w:t>
      </w:r>
      <w:r w:rsidRPr="001F3A52">
        <w:t xml:space="preserve"> The initial telephone call to the NRC serves to notify government authorities of the facility</w:t>
      </w:r>
      <w:r>
        <w:t>’</w:t>
      </w:r>
      <w:r w:rsidRPr="001F3A52">
        <w:t>s intent to report a hazardous substance release under CERCLA section 103(f)(2).  All such releases must be released in a continuous and stable manner.  The initial telephone call, in conjunction with the initial written report, fulfills the statutory requirement that the release be reported under CERCLA section 103(a) for a period sufficient to establish the continuity, quantity, and regularity of the release.  The information provided in the initial telephone notification must include:</w:t>
      </w:r>
    </w:p>
    <w:p w14:paraId="6E6DE74C" w14:textId="77777777" w:rsidR="00913C33" w:rsidRPr="001F3A52" w:rsidRDefault="00913C33" w:rsidP="00913C33"/>
    <w:p w14:paraId="094F3B2F" w14:textId="77777777" w:rsidR="00913C33" w:rsidRPr="001F3A52" w:rsidRDefault="00913C33" w:rsidP="00913C33">
      <w:pPr>
        <w:pStyle w:val="Level1"/>
        <w:numPr>
          <w:ilvl w:val="0"/>
          <w:numId w:val="6"/>
        </w:numPr>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1F3A52">
        <w:t>The name and location of the facility; and</w:t>
      </w:r>
    </w:p>
    <w:p w14:paraId="3F9E3531" w14:textId="77777777" w:rsidR="00913C33" w:rsidRPr="001F3A52" w:rsidRDefault="00913C33" w:rsidP="00913C33">
      <w:pPr>
        <w:pStyle w:val="Level1"/>
        <w:numPr>
          <w:ilvl w:val="0"/>
          <w:numId w:val="6"/>
        </w:numPr>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1F3A52">
        <w:t>The name(s) and identity(ies) of the hazardous substance(s) being released.</w:t>
      </w:r>
    </w:p>
    <w:p w14:paraId="336B7EB4" w14:textId="77777777" w:rsidR="00913C33" w:rsidRPr="001F3A52" w:rsidRDefault="00913C33" w:rsidP="00913C33"/>
    <w:p w14:paraId="3DE89A6E" w14:textId="77777777" w:rsidR="00913C33" w:rsidRPr="001F3A52" w:rsidRDefault="00913C33" w:rsidP="00913C33">
      <w:pPr>
        <w:ind w:firstLine="720"/>
      </w:pPr>
      <w:r w:rsidRPr="001F3A52">
        <w:rPr>
          <w:b/>
          <w:bCs/>
        </w:rPr>
        <w:t>Initial Written Report and the Follow-up Written Report</w:t>
      </w:r>
      <w:r w:rsidRPr="001F3A52">
        <w:t xml:space="preserve"> </w:t>
      </w:r>
      <w:r>
        <w:t>–</w:t>
      </w:r>
      <w:r w:rsidRPr="001F3A52">
        <w:t xml:space="preserve"> The initial written report and the follow-up written report, which are sent to the EPA Region, provide a full description of the release.  The initial written report and follow-up written report serve as the basis for a comprehensive evaluation of the hazards posed by the release.  Based on this comprehensive evaluation, government authorities determine if a response action is necessary to prevent or mitigate any adverse effects.  The initial written report must be submitted within 30 days of the initial telephone call.  This 30-day period does not necessarily provide enough time to collect all relevant and appropriate data, but does allow for an initial evaluation of the release.  The follow-up written report, due one year after submission of the initial written report, serves to verify the information provided on the initial written report (NOTE: there cannot be any form of change in source, composition, or frequency of release without going through the process again).  The follow-up written report helps ensure that the information used to evaluate the hazards posed by the release is current and provides accurate information.</w:t>
      </w:r>
    </w:p>
    <w:p w14:paraId="1F793C0A" w14:textId="77777777" w:rsidR="00913C33" w:rsidRPr="001F3A52" w:rsidRDefault="00913C33" w:rsidP="00913C33"/>
    <w:p w14:paraId="09010974" w14:textId="77777777" w:rsidR="00913C33" w:rsidRPr="001F3A52" w:rsidRDefault="00913C33" w:rsidP="00913C33">
      <w:pPr>
        <w:ind w:firstLine="720"/>
      </w:pPr>
      <w:r w:rsidRPr="001F3A52">
        <w:t>The data elements requested in the initial written and follow-up report are identical and consist of:</w:t>
      </w:r>
    </w:p>
    <w:p w14:paraId="07D45500" w14:textId="77777777" w:rsidR="00913C33" w:rsidRPr="001F3A52" w:rsidRDefault="00913C33" w:rsidP="00913C33"/>
    <w:p w14:paraId="77CD9AC4" w14:textId="77777777" w:rsidR="00913C33" w:rsidRPr="001F3A52" w:rsidRDefault="00913C33" w:rsidP="00913C33">
      <w:pPr>
        <w:pStyle w:val="Level1"/>
        <w:numPr>
          <w:ilvl w:val="0"/>
          <w:numId w:val="6"/>
        </w:numPr>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1F3A52">
        <w:t>The name of the facility or vessel; the location, including the longitude and latitude; the case number assigned by the National Response Center or Environmental Protection Agency; the Dun and Bradstreet number of the facility (if available); the port of registration of the vessel (if applicable); and the name and telephone number of the person in charge of the facility or vessel. [40 CFR 302.8(e)(1)(i)]</w:t>
      </w:r>
    </w:p>
    <w:p w14:paraId="25B75321" w14:textId="77777777" w:rsidR="00913C33" w:rsidRPr="001F3A52" w:rsidRDefault="00913C33" w:rsidP="00913C33"/>
    <w:p w14:paraId="04FCF1A2" w14:textId="77777777" w:rsidR="00913C33" w:rsidRPr="001F3A52" w:rsidRDefault="00913C33" w:rsidP="00913C33">
      <w:pPr>
        <w:pStyle w:val="Level1"/>
        <w:numPr>
          <w:ilvl w:val="0"/>
          <w:numId w:val="6"/>
        </w:numPr>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1F3A52">
        <w:t>A signed statement that the hazardous substance release described is continuous and stable in quantity and rate under the definitions of 40 CFR 302.8(b) and that all reported information is accurate and current to the best knowledge of the person in charge. [40 CFR 302.8(e)(1)(iv)(H)]</w:t>
      </w:r>
    </w:p>
    <w:p w14:paraId="76CE82C1" w14:textId="77777777" w:rsidR="00913C33" w:rsidRPr="001F3A52" w:rsidRDefault="00913C33" w:rsidP="00913C33"/>
    <w:p w14:paraId="6B7B1B13" w14:textId="77777777" w:rsidR="00913C33" w:rsidRPr="001F3A52" w:rsidRDefault="00913C33" w:rsidP="00913C33">
      <w:pPr>
        <w:pStyle w:val="Level1"/>
        <w:numPr>
          <w:ilvl w:val="0"/>
          <w:numId w:val="6"/>
        </w:numPr>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1F3A52">
        <w:t>The population density within a one-mile radius of the facility or vessel, described in terms of the following ranges: 0-50 persons, 51-100 persons, 101-500 persons, 501-1,000 persons, and more than 1,000 persons. [40 CFR 302.8(e)(1)(ii)]</w:t>
      </w:r>
    </w:p>
    <w:p w14:paraId="6CCA9692" w14:textId="77777777" w:rsidR="00913C33" w:rsidRPr="001F3A52" w:rsidRDefault="00913C33" w:rsidP="00913C33"/>
    <w:p w14:paraId="32FF43D2" w14:textId="77777777" w:rsidR="00913C33" w:rsidRPr="001F3A52" w:rsidRDefault="00913C33" w:rsidP="00913C33">
      <w:pPr>
        <w:pStyle w:val="Level1"/>
        <w:numPr>
          <w:ilvl w:val="0"/>
          <w:numId w:val="6"/>
        </w:numPr>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1F3A52">
        <w:t>The identity and location of sensitive populations and ecosystems within a one-mile radius of the facility or vessel (e.g., elementary schools, hospitals, retirement communities, or wetlands). [40 CFR 302.8(e)(1)(iii)]</w:t>
      </w:r>
    </w:p>
    <w:p w14:paraId="05D98E9B" w14:textId="77777777" w:rsidR="00913C33" w:rsidRPr="001F3A52" w:rsidRDefault="00913C33" w:rsidP="00913C33"/>
    <w:p w14:paraId="06409672" w14:textId="77777777" w:rsidR="00913C33" w:rsidRPr="001F3A52" w:rsidRDefault="00913C33" w:rsidP="00913C33">
      <w:pPr>
        <w:ind w:firstLine="720"/>
      </w:pPr>
      <w:r w:rsidRPr="001F3A52">
        <w:t>In addition, facilities must provide the following substance-specific information for each continuous release:</w:t>
      </w:r>
    </w:p>
    <w:p w14:paraId="76D8477C" w14:textId="77777777" w:rsidR="00913C33" w:rsidRPr="001F3A52" w:rsidRDefault="00913C33" w:rsidP="00913C33"/>
    <w:p w14:paraId="623B6977" w14:textId="77777777" w:rsidR="00913C33" w:rsidRPr="001F3A52" w:rsidRDefault="00913C33" w:rsidP="00913C33">
      <w:pPr>
        <w:pStyle w:val="Level1"/>
        <w:numPr>
          <w:ilvl w:val="0"/>
          <w:numId w:val="6"/>
        </w:numPr>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1F3A52">
        <w:t>The sources of the release, including specific source information (e.g., valves, pump seals, storage tank vents, stacks). [40 CFR 302.8(e)(1)(iv)(C)]</w:t>
      </w:r>
    </w:p>
    <w:p w14:paraId="1C49D92B" w14:textId="77777777" w:rsidR="00913C33" w:rsidRPr="001F3A52" w:rsidRDefault="00913C33" w:rsidP="00913C33"/>
    <w:p w14:paraId="581CFF6A" w14:textId="77777777" w:rsidR="00913C33" w:rsidRPr="001F3A52" w:rsidRDefault="00913C33" w:rsidP="00913C33">
      <w:pPr>
        <w:pStyle w:val="Level1"/>
        <w:numPr>
          <w:ilvl w:val="0"/>
          <w:numId w:val="6"/>
        </w:numPr>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1F3A52">
        <w:t>The environmental medium(a) affected by the release: if air, provide stack height or surface area affected; if surface water, the name of the surface water body; if a stream, the stream order or average flow rate and designated use; if a lake, the surface area and average depth; if on or under ground, the location of public water supply wells within two miles. [40 CFR 302.8(e)(1)(iv)(G)(1-4)]</w:t>
      </w:r>
    </w:p>
    <w:p w14:paraId="6B7F7992" w14:textId="77777777" w:rsidR="00913C33" w:rsidRPr="001F3A52" w:rsidRDefault="00913C33" w:rsidP="00913C33"/>
    <w:p w14:paraId="1467BDBE" w14:textId="77777777" w:rsidR="00913C33" w:rsidRPr="001F3A52" w:rsidRDefault="00913C33" w:rsidP="00913C33">
      <w:pPr>
        <w:pStyle w:val="Level1"/>
        <w:numPr>
          <w:ilvl w:val="0"/>
          <w:numId w:val="6"/>
        </w:numPr>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1F3A52">
        <w:t>The frequency of the release and the fraction of the release from each release source and the period over which it occurs. [40 CFR 302.8(e)(1)(iv)(D)]</w:t>
      </w:r>
    </w:p>
    <w:p w14:paraId="6AE6E47C" w14:textId="77777777" w:rsidR="00913C33" w:rsidRPr="001F3A52" w:rsidRDefault="00913C33" w:rsidP="00913C33"/>
    <w:p w14:paraId="36D8474F" w14:textId="77777777" w:rsidR="00913C33" w:rsidRPr="001F3A52" w:rsidRDefault="00913C33" w:rsidP="00913C33">
      <w:pPr>
        <w:pStyle w:val="Level1"/>
        <w:numPr>
          <w:ilvl w:val="0"/>
          <w:numId w:val="6"/>
        </w:numPr>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1F3A52">
        <w:t>A brief statement describing the basis for stating that the release is continuous and stable in quantity and rate. [40 CFR 302.8(e)(1)(iv)(E)]</w:t>
      </w:r>
    </w:p>
    <w:p w14:paraId="223468A9" w14:textId="77777777" w:rsidR="00913C33" w:rsidRPr="001F3A52" w:rsidRDefault="00913C33" w:rsidP="00913C33"/>
    <w:p w14:paraId="4F9FCF65" w14:textId="77777777" w:rsidR="00913C33" w:rsidRPr="001F3A52" w:rsidRDefault="00913C33" w:rsidP="00913C33">
      <w:pPr>
        <w:pStyle w:val="Level1"/>
        <w:numPr>
          <w:ilvl w:val="0"/>
          <w:numId w:val="6"/>
        </w:numPr>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1F3A52">
        <w:t xml:space="preserve">The name and identity of the hazardous substance; and the Chemical Abstracts </w:t>
      </w:r>
      <w:r w:rsidRPr="001F3A52">
        <w:lastRenderedPageBreak/>
        <w:t>Service Registry Number for the substance.  If the release is a mixture, the hazardous substance components of the mixture and their approximate concentrations and quantities, by weight. [40 CFR 302.8(e)(1)(iv)(A)]</w:t>
      </w:r>
    </w:p>
    <w:p w14:paraId="40E431C7" w14:textId="77777777" w:rsidR="00913C33" w:rsidRPr="001F3A52" w:rsidRDefault="00913C33" w:rsidP="00913C33"/>
    <w:p w14:paraId="0D568234" w14:textId="77777777" w:rsidR="00913C33" w:rsidRPr="001F3A52" w:rsidRDefault="00913C33" w:rsidP="00913C33">
      <w:pPr>
        <w:pStyle w:val="Level1"/>
        <w:numPr>
          <w:ilvl w:val="0"/>
          <w:numId w:val="6"/>
        </w:numPr>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1F3A52">
        <w:t>The upper and lower bounds of the normal range of the release over the previous year. [40 CFR 302.8(e)(1)(iv)(B)]</w:t>
      </w:r>
    </w:p>
    <w:p w14:paraId="4ACDAF60" w14:textId="77777777" w:rsidR="00913C33" w:rsidRPr="001F3A52" w:rsidRDefault="00913C33" w:rsidP="00913C33"/>
    <w:p w14:paraId="4FCDCF57" w14:textId="77777777" w:rsidR="00913C33" w:rsidRPr="001F3A52" w:rsidRDefault="00913C33" w:rsidP="00913C33">
      <w:pPr>
        <w:pStyle w:val="Level1"/>
        <w:numPr>
          <w:ilvl w:val="0"/>
          <w:numId w:val="6"/>
        </w:numPr>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1F3A52">
        <w:t>An estimate of the total annual amount of the hazardous substance released in the previous year (in pounds or kilograms). [40 CFR 302.8(e)(1)(iv)(F)]</w:t>
      </w:r>
    </w:p>
    <w:p w14:paraId="259811CD" w14:textId="77777777" w:rsidR="00913C33" w:rsidRPr="001F3A52" w:rsidRDefault="00913C33" w:rsidP="00913C33"/>
    <w:p w14:paraId="55EFAD1A" w14:textId="77777777" w:rsidR="00913C33" w:rsidRPr="001F3A52" w:rsidRDefault="00913C33" w:rsidP="00913C33">
      <w:pPr>
        <w:ind w:firstLine="720"/>
      </w:pPr>
      <w:r w:rsidRPr="001F3A52">
        <w:rPr>
          <w:b/>
          <w:bCs/>
        </w:rPr>
        <w:t>Annual Evaluation of a Release</w:t>
      </w:r>
      <w:r w:rsidRPr="001F3A52">
        <w:t xml:space="preserve"> </w:t>
      </w:r>
      <w:r>
        <w:t>–</w:t>
      </w:r>
      <w:r w:rsidRPr="001F3A52">
        <w:t xml:space="preserve"> Although a reporting facility is no longer required to submit a written report on its continuous releases after submitting a one-time written follow-up report verifying the information provided on the initial written report remained the same, the reporting facility must conduct and document an annual assessment of its continuous releases beginning the year after the submission of the follow-up written report.  The purpose of the annual evaluation is to identify any changes that may have occurred in the release situation over the preceding year.  The annual evaluation of a continuous release helps ensure that the information used to evaluate the hazards posed by the release is current and accurate information.</w:t>
      </w:r>
    </w:p>
    <w:p w14:paraId="66D0B129" w14:textId="77777777" w:rsidR="00913C33" w:rsidRPr="001F3A52" w:rsidRDefault="00913C33" w:rsidP="00913C33"/>
    <w:p w14:paraId="6F294F41" w14:textId="77777777" w:rsidR="00913C33" w:rsidRPr="001F3A52" w:rsidRDefault="00913C33" w:rsidP="00913C33">
      <w:pPr>
        <w:ind w:firstLine="720"/>
      </w:pPr>
      <w:r w:rsidRPr="001F3A52">
        <w:rPr>
          <w:b/>
          <w:bCs/>
        </w:rPr>
        <w:t>Change in the Source, Composition, or Frequency of a Release Report</w:t>
      </w:r>
      <w:r w:rsidRPr="001F3A52">
        <w:t xml:space="preserve"> </w:t>
      </w:r>
      <w:r>
        <w:t>–</w:t>
      </w:r>
      <w:r w:rsidRPr="001F3A52">
        <w:t xml:space="preserve"> If there is a change in the source, composition, or frequency of a release, the release must be reported and treated as a new continuous release.  An initial telephone notification and written change report must be provided as described above.  The person in charge also must submit a follow-up report within one year of the change report.  </w:t>
      </w:r>
    </w:p>
    <w:p w14:paraId="1ED256E5" w14:textId="77777777" w:rsidR="00913C33" w:rsidRPr="001F3A52" w:rsidRDefault="00913C33" w:rsidP="00913C33"/>
    <w:p w14:paraId="065C406C" w14:textId="77777777" w:rsidR="00913C33" w:rsidRPr="001F3A52" w:rsidRDefault="00913C33" w:rsidP="00913C33">
      <w:pPr>
        <w:ind w:firstLine="720"/>
      </w:pPr>
      <w:r w:rsidRPr="001F3A52">
        <w:rPr>
          <w:b/>
          <w:bCs/>
        </w:rPr>
        <w:t>Other Changes in Information</w:t>
      </w:r>
      <w:r w:rsidRPr="001F3A52">
        <w:t xml:space="preserve"> </w:t>
      </w:r>
      <w:r>
        <w:t>–</w:t>
      </w:r>
      <w:r w:rsidRPr="001F3A52">
        <w:t xml:space="preserve"> Facilities experiencing a change in a continuous release that invalidates information previously submitted on the continuous release must notify the appropriate EPA Region by letter within 30 days of the change.  The letter regarding the change in the release should explicitly identify the new (or changed) information and include an explanation for the change.  For example, a facility must notify EPA if any schools, hospitals, retirement homes, or other developments housing sensitive populations are open within one mile of the facility.</w:t>
      </w:r>
    </w:p>
    <w:p w14:paraId="1C202FAD" w14:textId="77777777" w:rsidR="00913C33" w:rsidRPr="001F3A52" w:rsidRDefault="00913C33" w:rsidP="00913C33"/>
    <w:p w14:paraId="19D1BB6B" w14:textId="77777777" w:rsidR="00913C33" w:rsidRPr="001F3A52" w:rsidRDefault="00913C33" w:rsidP="00913C33">
      <w:pPr>
        <w:ind w:firstLine="720"/>
      </w:pPr>
      <w:r w:rsidRPr="001F3A52">
        <w:rPr>
          <w:b/>
          <w:bCs/>
        </w:rPr>
        <w:t>Statistically Significant Increase Report</w:t>
      </w:r>
      <w:r w:rsidRPr="001F3A52">
        <w:t xml:space="preserve"> </w:t>
      </w:r>
      <w:r>
        <w:t>–</w:t>
      </w:r>
      <w:r w:rsidRPr="001F3A52">
        <w:t xml:space="preserve"> The CRRR defines a SSI as a release of a hazardous substance that exceeds the upper bound of the normal range of the release as established by the facility.  The normal range of a release is defined by the range of release weights (in pounds or kilograms) recorded during the preceding year under normal operating conditions (that is, conditions that prevail during the period establishing the predictability and regularity of the release).  Therefore, a SSI does </w:t>
      </w:r>
      <w:r w:rsidRPr="001F3A52">
        <w:rPr>
          <w:u w:val="single"/>
        </w:rPr>
        <w:t>not</w:t>
      </w:r>
      <w:r w:rsidRPr="001F3A52">
        <w:t xml:space="preserve"> include releases within the reported normal range of release.  An SSI release is considered an episodic release because it is a release above the RQ.  Thus, SSIs must be immediately reported to the NRC by telephone pursuant to the notification requirements of CERCLA section 103(a).  The information collected by the NRC in a SSI report includes the same information supplied when reporting any other episodic release (e.g., quantity of the release, source </w:t>
      </w:r>
      <w:r w:rsidRPr="001F3A52">
        <w:lastRenderedPageBreak/>
        <w:t>of the release, and a description of any response actions taken).</w:t>
      </w:r>
    </w:p>
    <w:p w14:paraId="1E0FBADC" w14:textId="77777777" w:rsidR="00913C33" w:rsidRPr="001F3A52" w:rsidRDefault="00913C33" w:rsidP="00913C33"/>
    <w:p w14:paraId="5C804C3B" w14:textId="77777777" w:rsidR="00913C33" w:rsidRPr="001F3A52" w:rsidRDefault="00913C33" w:rsidP="00913C33">
      <w:pPr>
        <w:ind w:firstLine="720"/>
      </w:pPr>
      <w:r w:rsidRPr="001F3A52">
        <w:t>The person in charge of a facility with a SSI may modify the previously established normal range as an alternative to reporting multiple SSIs.  To modify the normal range of the release over a 24-hour period under normal operating procedures, the person in charge of the facility must report at least one SSI to the NRC as an episodic release (to facilitate immediate evaluation), and then must submit a written change report of the release information to the appropriate EPA Region describing the new normal range and reasons for the change; thus treating the SSI as a new release.  Thus, for example, if a facility doubles its production level thereby doubling its release level, the facility may want to double its reported normal range of the continuous release, rather than reporting multiple SSIs.  The person in charge also must submit a follow-up report within one year of the submission of the change report</w:t>
      </w:r>
      <w:r>
        <w:t>.</w:t>
      </w:r>
    </w:p>
    <w:p w14:paraId="40F96A1F" w14:textId="77777777" w:rsidR="00913C33" w:rsidRPr="001F3A52" w:rsidRDefault="00913C33" w:rsidP="00913C33"/>
    <w:p w14:paraId="3B68F650" w14:textId="77777777" w:rsidR="00913C33" w:rsidRDefault="00913C33" w:rsidP="00913C33">
      <w:pPr>
        <w:ind w:firstLine="720"/>
      </w:pPr>
      <w:r w:rsidRPr="001F3A52">
        <w:rPr>
          <w:b/>
          <w:bCs/>
        </w:rPr>
        <w:t>Record keeping</w:t>
      </w:r>
      <w:r w:rsidRPr="001F3A52">
        <w:t xml:space="preserve"> </w:t>
      </w:r>
      <w:r>
        <w:t>–</w:t>
      </w:r>
      <w:r w:rsidRPr="001F3A52">
        <w:t xml:space="preserve"> Facilities may maintain a log or some other record of each hazardous substance release reported under CERCLA section 103(f)(2).  The information documented in the record can be used to demonstrate compliance with the provisions of the CRRR, including the requirement to demonstrate the continuity and stability of the release and the requirement to conduct an annual evaluation of the release.  Additionally, facilities may find it useful to document daily release quantities for use in substantiating and modifying the normal range of the release.</w:t>
      </w:r>
    </w:p>
    <w:p w14:paraId="44BE26BD" w14:textId="77777777" w:rsidR="00913C33" w:rsidRDefault="00805571" w:rsidP="00913C33">
      <w:pPr>
        <w:pStyle w:val="Heading3"/>
        <w:tabs>
          <w:tab w:val="clear" w:pos="1800"/>
          <w:tab w:val="num" w:pos="1080"/>
        </w:tabs>
      </w:pPr>
      <w:bookmarkStart w:id="35" w:name="_Toc188347101"/>
      <w:bookmarkStart w:id="36" w:name="_Toc302552490"/>
      <w:r>
        <w:t>R</w:t>
      </w:r>
      <w:r w:rsidR="00913C33">
        <w:t>espondent Activities</w:t>
      </w:r>
      <w:bookmarkEnd w:id="35"/>
      <w:bookmarkEnd w:id="36"/>
    </w:p>
    <w:p w14:paraId="4DE10C08" w14:textId="77777777" w:rsidR="00913C33" w:rsidRDefault="00913C33" w:rsidP="00913C33"/>
    <w:p w14:paraId="4D9773E9" w14:textId="77777777" w:rsidR="00913C33" w:rsidRPr="00803195" w:rsidRDefault="00913C33" w:rsidP="00913C33">
      <w:pPr>
        <w:ind w:firstLine="720"/>
      </w:pPr>
      <w:r w:rsidRPr="00803195">
        <w:t>To comply with the provisions of the CRRR, the regulated community performs the following information collection activities:</w:t>
      </w:r>
    </w:p>
    <w:p w14:paraId="464685CA" w14:textId="77777777" w:rsidR="00913C33" w:rsidRPr="00803195" w:rsidRDefault="00913C33" w:rsidP="00913C33"/>
    <w:p w14:paraId="1A876F8D" w14:textId="77777777" w:rsidR="00913C33" w:rsidRPr="00803195" w:rsidRDefault="00913C33" w:rsidP="00913C33">
      <w:pPr>
        <w:pStyle w:val="Level1"/>
      </w:pPr>
      <w:r w:rsidRPr="00803195">
        <w:t>Provides an initial telephone call to the NRC;</w:t>
      </w:r>
    </w:p>
    <w:p w14:paraId="58CF2D8B" w14:textId="77777777" w:rsidR="00913C33" w:rsidRPr="00803195" w:rsidRDefault="00913C33" w:rsidP="00913C33">
      <w:pPr>
        <w:pStyle w:val="Level1"/>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803195">
        <w:t>Provides an initial written report to the EPA Region;</w:t>
      </w:r>
    </w:p>
    <w:p w14:paraId="1F13059D" w14:textId="77777777" w:rsidR="00913C33" w:rsidRPr="00803195" w:rsidRDefault="00913C33" w:rsidP="00913C33">
      <w:pPr>
        <w:pStyle w:val="Level1"/>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803195">
        <w:t>Prepares a one-time follow-up written report for the EPA Region on or before the first-year anniversary of the submission of an initial written report;</w:t>
      </w:r>
    </w:p>
    <w:p w14:paraId="37CB22E4" w14:textId="77777777" w:rsidR="00913C33" w:rsidRPr="00803195" w:rsidRDefault="00913C33" w:rsidP="00913C33">
      <w:pPr>
        <w:pStyle w:val="Level1"/>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803195">
        <w:t>Conducts an annual evaluation of a release beginning the year after the submission of the one-time follow-up written report;</w:t>
      </w:r>
    </w:p>
    <w:p w14:paraId="070649EA" w14:textId="77777777" w:rsidR="00913C33" w:rsidRPr="00803195" w:rsidRDefault="00913C33" w:rsidP="00913C33">
      <w:pPr>
        <w:pStyle w:val="Level1"/>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803195">
        <w:t>Prepares change in the sources, composition, or frequency of a release reports;</w:t>
      </w:r>
    </w:p>
    <w:p w14:paraId="174E5B9E" w14:textId="77777777" w:rsidR="00913C33" w:rsidRPr="00803195" w:rsidRDefault="00913C33" w:rsidP="00913C33">
      <w:pPr>
        <w:pStyle w:val="Level1"/>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803195">
        <w:t>Prepares change in other information reports;</w:t>
      </w:r>
    </w:p>
    <w:p w14:paraId="341D8C6C" w14:textId="77777777" w:rsidR="00913C33" w:rsidRPr="00803195" w:rsidRDefault="00913C33" w:rsidP="00913C33">
      <w:pPr>
        <w:pStyle w:val="Level1"/>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803195">
        <w:t xml:space="preserve">Provides immediate notifications of SSIs; and </w:t>
      </w:r>
    </w:p>
    <w:p w14:paraId="6CA0E4C5" w14:textId="77777777" w:rsidR="00913C33" w:rsidRPr="00803195" w:rsidRDefault="00913C33" w:rsidP="00913C33">
      <w:pPr>
        <w:pStyle w:val="Level1"/>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803195">
        <w:t>Maintains a log or other formal record to document compliance with the CRRR.</w:t>
      </w:r>
    </w:p>
    <w:p w14:paraId="73755C17" w14:textId="77777777" w:rsidR="00913C33" w:rsidRPr="00803195" w:rsidRDefault="00913C33" w:rsidP="00913C33"/>
    <w:p w14:paraId="785AC860" w14:textId="77777777" w:rsidR="00913C33" w:rsidRPr="00803195" w:rsidRDefault="00913C33" w:rsidP="00913C33">
      <w:pPr>
        <w:ind w:firstLine="720"/>
      </w:pPr>
      <w:r w:rsidRPr="00803195">
        <w:t xml:space="preserve">Each of these notification and record keeping activities is listed and described in detail in section 4(b)(i), above.  In addition to these activities, persons in charge of a facility may be required to perform supplemental collection activities in response to the Federal government’s evaluation of the facility’s continuous release reports.  In situations where EPA’s evaluation of release reports engenders concern over potential adverse effects, EPA may require the person in charge of the </w:t>
      </w:r>
      <w:r w:rsidRPr="00803195">
        <w:lastRenderedPageBreak/>
        <w:t>facility in question to submit the additional information or clarify and refine information previously submitted.  EPA may use this additional information to better assess the risks associated with the release.  Finally, in response to a release report or additional information, EPA may conduct a site inspection.  Industry personnel accompany EPA personnel during the site inspection to address any questions, concerns, or information requests that may arise.  Thus, the following other activities are included within the information collection activities performed by the regulated community:</w:t>
      </w:r>
    </w:p>
    <w:p w14:paraId="4DC60BFA" w14:textId="77777777" w:rsidR="00913C33" w:rsidRPr="00803195" w:rsidRDefault="00913C33" w:rsidP="00913C33"/>
    <w:p w14:paraId="41C64E76" w14:textId="77777777" w:rsidR="00913C33" w:rsidRPr="00803195" w:rsidRDefault="00913C33" w:rsidP="00913C33">
      <w:pPr>
        <w:pStyle w:val="Level1"/>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803195">
        <w:t>Provision of additional information; and</w:t>
      </w:r>
    </w:p>
    <w:p w14:paraId="6FBCDA22" w14:textId="77777777" w:rsidR="00913C33" w:rsidRPr="00803195" w:rsidRDefault="00913C33" w:rsidP="00913C33">
      <w:pPr>
        <w:pStyle w:val="Level1"/>
        <w:tabs>
          <w:tab w:val="clear" w:pos="-1440"/>
          <w:tab w:val="left" w:pos="720"/>
          <w:tab w:val="left" w:pos="2160"/>
          <w:tab w:val="left" w:pos="2880"/>
          <w:tab w:val="left" w:pos="3600"/>
          <w:tab w:val="left" w:pos="4320"/>
          <w:tab w:val="left" w:pos="5040"/>
          <w:tab w:val="left" w:pos="5760"/>
          <w:tab w:val="left" w:pos="6480"/>
          <w:tab w:val="left" w:pos="7200"/>
          <w:tab w:val="left" w:pos="7920"/>
        </w:tabs>
      </w:pPr>
      <w:r w:rsidRPr="00803195">
        <w:t>Site inspection.</w:t>
      </w:r>
    </w:p>
    <w:p w14:paraId="3B093F51" w14:textId="77777777" w:rsidR="00913C33" w:rsidRPr="00803195" w:rsidRDefault="00913C33" w:rsidP="00913C33"/>
    <w:p w14:paraId="6CCECEBB" w14:textId="77777777" w:rsidR="00913C33" w:rsidRDefault="00913C33" w:rsidP="00913C33">
      <w:pPr>
        <w:ind w:firstLine="720"/>
      </w:pPr>
      <w:r w:rsidRPr="00803195">
        <w:t>Estimates of the burden hours incurred by industry as a result of reporting continuous releases were developed based on estimates of the time expended in providing a specific report (e.g., the initial telephone call, the initial written report, the follow-up written report) as opposed to developing estimates for each work element (e.g., gathering information, reviewing report formats, completing reports) involved in completing all of the required activities.  The burden estimates for each information collection and record keeping activity performed by the regulated community under the CRRR are presented in Section 6(a) of this ICR.</w:t>
      </w:r>
    </w:p>
    <w:p w14:paraId="54DDC0A3" w14:textId="77777777" w:rsidR="00913C33" w:rsidRDefault="00913C33" w:rsidP="00913C33">
      <w:pPr>
        <w:pStyle w:val="Heading1"/>
      </w:pPr>
      <w:bookmarkStart w:id="37" w:name="_Toc188347102"/>
      <w:bookmarkStart w:id="38" w:name="_Toc302552491"/>
      <w:r>
        <w:t>THE INFORMATION COLLECTED – AGENCY ACTIVITIES, COLLECTION METHODOLOGY, AND INFORMATION MANAGEMENT</w:t>
      </w:r>
      <w:bookmarkEnd w:id="37"/>
      <w:bookmarkEnd w:id="38"/>
    </w:p>
    <w:p w14:paraId="5A340BD9" w14:textId="77777777" w:rsidR="00913C33" w:rsidRDefault="00913C33" w:rsidP="00913C33">
      <w:pPr>
        <w:pStyle w:val="Heading2"/>
      </w:pPr>
      <w:bookmarkStart w:id="39" w:name="_Toc188347103"/>
      <w:bookmarkStart w:id="40" w:name="_Toc302552492"/>
      <w:r>
        <w:t>Agency Activities</w:t>
      </w:r>
      <w:bookmarkEnd w:id="39"/>
      <w:bookmarkEnd w:id="40"/>
    </w:p>
    <w:p w14:paraId="19B76D7C" w14:textId="77777777" w:rsidR="00913C33" w:rsidRPr="00C47F14" w:rsidRDefault="00913C33" w:rsidP="00913C33"/>
    <w:p w14:paraId="2CEFE5DF" w14:textId="77777777" w:rsidR="00913C33" w:rsidRPr="00C47F14" w:rsidRDefault="00913C33" w:rsidP="00913C33">
      <w:pPr>
        <w:ind w:firstLine="720"/>
      </w:pPr>
      <w:r w:rsidRPr="00C47F14">
        <w:t>Each of the notification reports submitted by industry is processed and evaluated by Federal authorities.  For some continuous releases evaluated under the CRRR, EPA may request additional (supplemental) information or clarification of information previously submitted by a facility.  EPA may use this information to conduct a more in-depth risk assessment of the release.  In some extreme cases, the in-depth risk assessment may not allay EPA’s concerns and EPA may decide to conduct a site inspection to review the circumstances associated with the release first-hand.  Additionally, site inspections may be conducted periodically as a compliance and enforcement measure.  Thus, the Agency performs the following other activities as a result of continuous releases reported under CERCLA section 103(f)(2):</w:t>
      </w:r>
    </w:p>
    <w:p w14:paraId="0A525BDB" w14:textId="77777777" w:rsidR="00913C33" w:rsidRPr="00C47F14" w:rsidRDefault="00913C33" w:rsidP="00913C33"/>
    <w:p w14:paraId="149A8ABF" w14:textId="77777777" w:rsidR="00913C33" w:rsidRPr="00C47F14" w:rsidRDefault="00913C33" w:rsidP="00913C33">
      <w:pPr>
        <w:ind w:left="1440" w:hanging="720"/>
      </w:pPr>
      <w:r w:rsidRPr="00C47F14">
        <w:t>•</w:t>
      </w:r>
      <w:r w:rsidRPr="00C47F14">
        <w:tab/>
        <w:t xml:space="preserve">Request additional information; and </w:t>
      </w:r>
    </w:p>
    <w:p w14:paraId="07C97EFB" w14:textId="77777777" w:rsidR="00913C33" w:rsidRPr="00C47F14" w:rsidRDefault="00913C33" w:rsidP="00913C33">
      <w:pPr>
        <w:ind w:left="1440" w:hanging="720"/>
      </w:pPr>
      <w:r w:rsidRPr="00C47F14">
        <w:t>•</w:t>
      </w:r>
      <w:r w:rsidRPr="00C47F14">
        <w:tab/>
        <w:t>Conduct site inspections.</w:t>
      </w:r>
    </w:p>
    <w:p w14:paraId="5819227F" w14:textId="77777777" w:rsidR="00913C33" w:rsidRPr="00C47F14" w:rsidRDefault="00913C33" w:rsidP="00913C33"/>
    <w:p w14:paraId="574D4EA2" w14:textId="77777777" w:rsidR="00913C33" w:rsidRDefault="00913C33" w:rsidP="00913C33">
      <w:pPr>
        <w:ind w:firstLine="720"/>
      </w:pPr>
      <w:r w:rsidRPr="00C47F14">
        <w:t xml:space="preserve">Estimates of the burden hours incurred by the Federal government are developed based on estimates of the time expended in processing the notification reports required under the CRRR (e.g., the initial written report, SSI notification) or completing another activity (e.g., additional information, site inspection) as opposed to developing estimates for each work element (e.g., reviewing data, entering data, filing, evaluating a release, storing evaluation results) involved in completing all of the required activities.  The burden estimates developed for each of the processing, </w:t>
      </w:r>
      <w:r w:rsidRPr="00C47F14">
        <w:lastRenderedPageBreak/>
        <w:t>evaluating, and other activities performed by the Federal government are presented in Section 6(c) of this ICR.</w:t>
      </w:r>
    </w:p>
    <w:p w14:paraId="4BCE774A" w14:textId="77777777" w:rsidR="00913C33" w:rsidRDefault="00913C33" w:rsidP="00913C33">
      <w:pPr>
        <w:ind w:firstLine="720"/>
      </w:pPr>
    </w:p>
    <w:p w14:paraId="4AC334F0" w14:textId="77777777" w:rsidR="00913C33" w:rsidRDefault="00913C33" w:rsidP="00913C33">
      <w:pPr>
        <w:pStyle w:val="Heading2"/>
      </w:pPr>
      <w:bookmarkStart w:id="41" w:name="_Toc188347104"/>
      <w:bookmarkStart w:id="42" w:name="_Toc302552493"/>
      <w:r>
        <w:t>Collection Methodology and Management</w:t>
      </w:r>
      <w:bookmarkEnd w:id="41"/>
      <w:bookmarkEnd w:id="42"/>
    </w:p>
    <w:p w14:paraId="3DD2B9F9" w14:textId="77777777" w:rsidR="00913C33" w:rsidRDefault="00913C33" w:rsidP="00913C33"/>
    <w:p w14:paraId="583556AE" w14:textId="77777777" w:rsidR="00913C33" w:rsidRDefault="00913C33" w:rsidP="00913C33">
      <w:pPr>
        <w:ind w:firstLine="720"/>
      </w:pPr>
      <w:r w:rsidRPr="00463173">
        <w:t>To facilitate collection and storage of information on continuous releases, EPA developed CR-ERNS.  CR-ERNS is an information management system that serves as the depository for continuous release information received by the EPA Regions.  CR-ERNS is designed to assist EPA Regional personnel in managing continuous release information and establishing priorities with respect to the review and evaluation of continuous release reports.  The reports submitted to the EPA Regions include the initial written report, the follow-up report, and changes in release reports.  Additionally, the NRC immediately notifies the appropriate EPA Region of any SSI reports.</w:t>
      </w:r>
    </w:p>
    <w:p w14:paraId="114B2728" w14:textId="77777777" w:rsidR="00913C33" w:rsidRDefault="00913C33" w:rsidP="00913C33">
      <w:pPr>
        <w:pStyle w:val="Heading2"/>
      </w:pPr>
      <w:bookmarkStart w:id="43" w:name="_Toc188347105"/>
      <w:bookmarkStart w:id="44" w:name="_Toc302552494"/>
      <w:r>
        <w:t>Small Entity Flexibility</w:t>
      </w:r>
      <w:bookmarkEnd w:id="43"/>
      <w:bookmarkEnd w:id="44"/>
    </w:p>
    <w:p w14:paraId="0B29EA1F" w14:textId="77777777" w:rsidR="00913C33" w:rsidRDefault="00913C33" w:rsidP="00913C33"/>
    <w:p w14:paraId="620770C4" w14:textId="77777777" w:rsidR="00913C33" w:rsidRPr="00463173" w:rsidRDefault="00913C33" w:rsidP="00913C33">
      <w:pPr>
        <w:ind w:firstLine="720"/>
      </w:pPr>
      <w:r w:rsidRPr="00463173">
        <w:t>The notification requirements under section 103(a) of CERCLA and the reporting relief available under section 103(f)(2) apply equally to all firms regardless of size.  There are no special information collection or record keeping requirements on small businesses.  EPA believes that the notification system developed under the CRRR represents the minimum level of reporting necessary for the Federal OSC to evaluate whether a response action is needed to prevent or mitigate any hazards to public health and welfare and the environment.  A reduction in the reporting requirements facing small businesses is not possible without jeopardizing the quality of the information needed to evaluate the threat posed by the release and the need for a Federal response.</w:t>
      </w:r>
    </w:p>
    <w:p w14:paraId="527DF04F" w14:textId="77777777" w:rsidR="00913C33" w:rsidRDefault="00913C33" w:rsidP="00913C33">
      <w:pPr>
        <w:pStyle w:val="Heading2"/>
      </w:pPr>
      <w:bookmarkStart w:id="45" w:name="_Toc188347106"/>
      <w:bookmarkStart w:id="46" w:name="_Toc302552495"/>
      <w:r>
        <w:t>Collection Schedule</w:t>
      </w:r>
      <w:bookmarkEnd w:id="45"/>
      <w:bookmarkEnd w:id="46"/>
    </w:p>
    <w:p w14:paraId="4478F020" w14:textId="77777777" w:rsidR="00913C33" w:rsidRDefault="00913C33" w:rsidP="00913C33"/>
    <w:p w14:paraId="6EA0C4E7" w14:textId="77777777" w:rsidR="00913C33" w:rsidRPr="00463173" w:rsidRDefault="00913C33" w:rsidP="00913C33">
      <w:pPr>
        <w:ind w:firstLine="720"/>
      </w:pPr>
      <w:r w:rsidRPr="00463173">
        <w:t xml:space="preserve">The facility must provide an initial telephone call to the NRC as soon as the person in charge has knowledge of a hazardous substance release that equals or exceeds its RQ.  The caller must decide whether to report the release under CERCLA section 103(a) (i.e., as an episodic release) or CERCLA section 103(f)(2) (i.e., as a continuous release).  The reporting and record keeping activities associated with reporting an episodic release under CERCLA section 103(a) are presented in </w:t>
      </w:r>
      <w:r w:rsidRPr="00970C49">
        <w:t>EPA ICR No. 1049.11</w:t>
      </w:r>
      <w:r w:rsidRPr="00463173">
        <w:t>.  If the caller reports a continuous release, the initial written report required by CERCLA section 103(f)(2) must be provided within 30 days of the initial telephone call.  In the second year of reporting, the facility must submit a written follow-up report to the EPA Region within 30 days of the anniversary date of submission of the initial written report.  This report is sometimes called the First Anniversary Report.  Thereafter, the reporting facility is responsible for reevaluating the release annually, but no reports are required unless there is a change in the sources or composition of a release, a change in release information previously submitted, or an SSI in the release.</w:t>
      </w:r>
    </w:p>
    <w:p w14:paraId="28AEC47C" w14:textId="77777777" w:rsidR="00913C33" w:rsidRPr="00463173" w:rsidRDefault="00913C33" w:rsidP="00913C33"/>
    <w:p w14:paraId="53B4988B" w14:textId="77777777" w:rsidR="00BB74C9" w:rsidRPr="00913C33" w:rsidRDefault="00913C33" w:rsidP="00913C33">
      <w:pPr>
        <w:ind w:firstLine="720"/>
      </w:pPr>
      <w:r w:rsidRPr="00463173">
        <w:lastRenderedPageBreak/>
        <w:t>SSIs in a release are considered to be episodic releases and must be reported as soon as the person in charge is aware that an SSI has occurred.  If there is a change in the information submitted in the initial written or follow-up report, other than a change in sources, composition, or frequency of the release, the person in charge must submit a letter detailing the change to the EPA Region within 30 days of determining that a change has occurred.</w:t>
      </w:r>
    </w:p>
    <w:p w14:paraId="524D01FC" w14:textId="77777777" w:rsidR="00FE07A2" w:rsidRDefault="00FE07A2" w:rsidP="00913C33">
      <w:pPr>
        <w:pStyle w:val="Heading1"/>
      </w:pPr>
      <w:bookmarkStart w:id="47" w:name="_Toc302552496"/>
      <w:r>
        <w:t>ESTIMATING THE BURDEN AND COST OF THE COLLECTION</w:t>
      </w:r>
      <w:bookmarkEnd w:id="47"/>
    </w:p>
    <w:p w14:paraId="6F51F331" w14:textId="77777777" w:rsidR="00FE07A2" w:rsidRDefault="00FE07A2" w:rsidP="00FE07A2">
      <w:pPr>
        <w:pStyle w:val="Heading2"/>
      </w:pPr>
      <w:bookmarkStart w:id="48" w:name="_Toc302552497"/>
      <w:r>
        <w:t>Estimating Respondent Burden</w:t>
      </w:r>
      <w:bookmarkEnd w:id="48"/>
    </w:p>
    <w:p w14:paraId="35EB860E" w14:textId="77777777" w:rsidR="00FE07A2" w:rsidRDefault="00FE07A2" w:rsidP="00B23DF0">
      <w:pPr>
        <w:ind w:left="720"/>
      </w:pPr>
    </w:p>
    <w:p w14:paraId="356C9CC0" w14:textId="514E644A" w:rsidR="004C28F4" w:rsidRDefault="004C28F4" w:rsidP="00B23DF0">
      <w:pPr>
        <w:ind w:firstLine="720"/>
      </w:pPr>
      <w:r>
        <w:t>The burden amounts represented in green text are for the use of the continuous release reporting form provided by EPA. The amounts in green are a low range of estimates</w:t>
      </w:r>
      <w:r w:rsidR="007265C4">
        <w:t>,</w:t>
      </w:r>
      <w:r>
        <w:t xml:space="preserve"> whereas the amount</w:t>
      </w:r>
      <w:r w:rsidR="007265C4">
        <w:t>s</w:t>
      </w:r>
      <w:r>
        <w:t xml:space="preserve"> in black represent a high range of estimates. If the forms are used then EPA expects a lower burden. For the purposes of this collection, EPA is using the high range estimates for the public notice. </w:t>
      </w:r>
    </w:p>
    <w:p w14:paraId="4DB860F6" w14:textId="77777777" w:rsidR="004C28F4" w:rsidRDefault="004C28F4" w:rsidP="00B23DF0">
      <w:pPr>
        <w:ind w:firstLine="720"/>
      </w:pPr>
    </w:p>
    <w:p w14:paraId="143A4021" w14:textId="77777777" w:rsidR="004C28F4" w:rsidRPr="007A1462" w:rsidRDefault="004C28F4" w:rsidP="00B23DF0">
      <w:pPr>
        <w:ind w:firstLine="720"/>
      </w:pPr>
      <w:r w:rsidRPr="001F3A52">
        <w:t>In the first year of the three-year period covered by this ICR, it is estimated th</w:t>
      </w:r>
      <w:r>
        <w:t xml:space="preserve">at </w:t>
      </w:r>
      <w:r w:rsidRPr="007A1462">
        <w:t xml:space="preserve">4,038 facilities will be affected by the CRRR.  Of the 4,038 facilities affected in the first year, it is assumed that 6 will be reporting continuous releases for the first time and the remaining 4,032 will be meeting information collection requirements for ongoing releases.  In the second and third years, it is estimated that 7 and 7 </w:t>
      </w:r>
      <w:r w:rsidRPr="001F3A52">
        <w:t xml:space="preserve">additional facilities, respectively, will generate reportable continuous releases.  When calculating the burdens and costs in this ICR it has been assumed that the typical facility participates in information collection activities for each release.  For example, the typical facility will provide an initial telephone notification and written report for each of its continuous releases.  In fact, it is likely that many facility operators will consolidate collection activities for releases at their facilities (e.g., provide one telephone notification for several releases).  Assuming eight releases per facility per year, and thus 8 information collection activities per facility per year, the total number of continuous release information collection activities in the first year of the three-year period covered by this ICR is estimated to be </w:t>
      </w:r>
      <w:r w:rsidRPr="007A1462">
        <w:t>32,308 (52 initial notification activities and 32,256 ongoing notification activities).  In the second and third years of the period covered by this ICR, it is estimated that 55 and 60 information collection activities, respectively, will take place.  The total estimated burden to respondents is approximately 324,928, 325,566, and 326,251 hours in years 1, 2, and 3, respectively.  For the regulated community, the estimated information collection activity costs (including labor and O&amp;M costs) are $17,738,906, $17,773,533 and $17,810,974 in years 1, 2, and 3, respectively.  The total estimated burden to the government is approximately 29,046, 29,072, and 29,140 hours in years 1, 2, and 3, respectively.  The estimated total cost to the government is $1,369,100, $1,370,356, and $1,373,530, in years 1, 2, and 3, respectively.</w:t>
      </w:r>
      <w:r w:rsidRPr="007A1462">
        <w:tab/>
      </w:r>
    </w:p>
    <w:p w14:paraId="19BADF66" w14:textId="77777777" w:rsidR="004C28F4" w:rsidRDefault="004C28F4" w:rsidP="004C28F4">
      <w:pPr>
        <w:ind w:firstLine="720"/>
      </w:pPr>
    </w:p>
    <w:p w14:paraId="31190261" w14:textId="77777777" w:rsidR="004C28F4" w:rsidRDefault="004C28F4" w:rsidP="004C28F4">
      <w:pPr>
        <w:rPr>
          <w:color w:val="008000"/>
        </w:rPr>
      </w:pPr>
      <w:r w:rsidRPr="00613D9D">
        <w:rPr>
          <w:color w:val="008000"/>
        </w:rPr>
        <w:t>We estimate that the use of continuous release reporting forms will reduce overall burden to respondents by approximately 52, 55, and 60 hours in years 1, 2, and 3, respectively.</w:t>
      </w:r>
      <w:r w:rsidRPr="00613D9D">
        <w:rPr>
          <w:rStyle w:val="FootnoteReference"/>
          <w:color w:val="008000"/>
          <w:vertAlign w:val="superscript"/>
        </w:rPr>
        <w:footnoteReference w:id="3"/>
      </w:r>
      <w:r w:rsidRPr="00613D9D">
        <w:rPr>
          <w:color w:val="008000"/>
        </w:rPr>
        <w:t xml:space="preserve">  For the </w:t>
      </w:r>
      <w:r w:rsidRPr="00613D9D">
        <w:rPr>
          <w:color w:val="008000"/>
        </w:rPr>
        <w:lastRenderedPageBreak/>
        <w:t>regulated community, the we estimate that the information collection activity costs (including labor and O&amp;M costs) will be reduced by $2,601, $2,796, and $3,005 in years 1, 2, and 3, respectively.  The estimated burden reduction to the government is approximately 6,927, 6,931, and 6,947 hours in years 1, 2, and 3, respectively.  The estimated reduction in cost to the government is $326,519, $326,685, and $327,471, in years 1, 2, and 3, respectively.</w:t>
      </w:r>
      <w:r w:rsidRPr="00613D9D">
        <w:rPr>
          <w:color w:val="008000"/>
        </w:rPr>
        <w:tab/>
      </w:r>
    </w:p>
    <w:p w14:paraId="25337CD1" w14:textId="77777777" w:rsidR="004C28F4" w:rsidRPr="00613D9D" w:rsidRDefault="004C28F4" w:rsidP="004C28F4">
      <w:pPr>
        <w:rPr>
          <w:color w:val="008000"/>
        </w:rPr>
      </w:pPr>
    </w:p>
    <w:p w14:paraId="27828641" w14:textId="77777777" w:rsidR="00FE07A2" w:rsidRPr="00463173" w:rsidRDefault="00FE07A2" w:rsidP="00FE07A2">
      <w:pPr>
        <w:ind w:firstLine="720"/>
      </w:pPr>
      <w:r w:rsidRPr="00463173">
        <w:t xml:space="preserve">To report a continuous release, the regulated community performs the following activities (outlined in Section 4(b) of this ICR): (1) provides an initial telephone notification to the NRC; (2) prepares an initial written report for the EPA Region; (3) prepares follow-up written report for the EPA Region on the first-year anniversary of the submission of the initial written report; (4) conducts an annual evaluation of the release beginning the year after the submission of the one-time follow-up written report; (5) reports a change in the sources, composition, or frequency of the release; (6) reports a change in other information; (7) reports SSIs in the release; (8) complies with other activities; and (9) keeps records on the release, including documentation of the annual evaluation.  Activities (5), (6), (7), and (8) are </w:t>
      </w:r>
      <w:r w:rsidRPr="00463173">
        <w:rPr>
          <w:u w:val="single"/>
        </w:rPr>
        <w:t>conditional</w:t>
      </w:r>
      <w:r w:rsidRPr="00463173">
        <w:t xml:space="preserve"> activities and are necessary for only a small fraction of all the continuous releases reported each year.  For example, SSIs are defined in the CRRR as hazardous substance releases whose quantity exceeds the upper bound of the normal range, where the normal range includes all releases of the hazardous substance reported or occurring during the previous year.  Thus, only a small fraction of facilities experience SSIs in their continuous releases in a given year.</w:t>
      </w:r>
    </w:p>
    <w:p w14:paraId="556523CF" w14:textId="77777777" w:rsidR="00FE07A2" w:rsidRPr="00463173" w:rsidRDefault="00FE07A2" w:rsidP="00FE07A2"/>
    <w:p w14:paraId="241B9EE2" w14:textId="77777777" w:rsidR="00FE07A2" w:rsidRPr="00463173" w:rsidRDefault="00FE07A2" w:rsidP="00FE07A2">
      <w:pPr>
        <w:ind w:firstLine="720"/>
      </w:pPr>
      <w:r w:rsidRPr="00463173">
        <w:t>When calculating the burden and costs in this ICR it is assumed that the typical facility participates in all the necessary information collection activities for each release.  For example, the typical facility will provide an initial telephone notification and written report for each of its continuous releases.  In fact, it is likely that many facility operators will consolidate collection activities for releases at their facility (e.g., provide one telephone notification for several releases).</w:t>
      </w:r>
    </w:p>
    <w:p w14:paraId="52AB000B" w14:textId="77777777" w:rsidR="00FE07A2" w:rsidRPr="00463173" w:rsidRDefault="00FE07A2" w:rsidP="00FE07A2"/>
    <w:p w14:paraId="052D8BD4" w14:textId="77777777" w:rsidR="00FE07A2" w:rsidRDefault="00FE07A2" w:rsidP="00FE07A2">
      <w:pPr>
        <w:ind w:firstLine="720"/>
      </w:pPr>
      <w:r w:rsidRPr="00463173">
        <w:t>The estimated burden hours for each of the activities listed in the paragraph above are presented in Exhibit 1.  The burden estimates are taken from the CRRR economic impact analysis and are based on CERCLA reporting experience, SARA section 313 reporting experience, and professional judgment.  A description of the basis for each burden estimate, as well as the percentage of continuous releases for which the burden is expected to be incurred, is provided in the remainder of this section.</w:t>
      </w:r>
    </w:p>
    <w:p w14:paraId="3F59F1B9" w14:textId="77777777" w:rsidR="006D4F8E" w:rsidRDefault="006D4F8E" w:rsidP="00FE07A2">
      <w:pPr>
        <w:ind w:firstLine="720"/>
      </w:pPr>
    </w:p>
    <w:p w14:paraId="789B1866" w14:textId="77777777" w:rsidR="006C6C55" w:rsidRPr="006C6C55" w:rsidRDefault="006C6C55" w:rsidP="003E04F6">
      <w:pPr>
        <w:keepNext/>
        <w:ind w:firstLine="720"/>
        <w:jc w:val="center"/>
        <w:outlineLvl w:val="4"/>
        <w:rPr>
          <w:b/>
        </w:rPr>
      </w:pPr>
      <w:bookmarkStart w:id="49" w:name="_Toc302552498"/>
      <w:r>
        <w:rPr>
          <w:b/>
        </w:rPr>
        <w:lastRenderedPageBreak/>
        <w:t>Exhibit 1 – Unit Burden Hours per Respondent Information Collection Activity</w:t>
      </w:r>
      <w:bookmarkEnd w:id="49"/>
    </w:p>
    <w:p w14:paraId="71040B38" w14:textId="77777777" w:rsidR="004829F6" w:rsidRDefault="00092850" w:rsidP="003E04F6">
      <w:pPr>
        <w:keepNext/>
        <w:jc w:val="center"/>
      </w:pPr>
      <w:r>
        <w:fldChar w:fldCharType="begin"/>
      </w:r>
      <w:r w:rsidR="002A512E">
        <w:instrText xml:space="preserve"> LINK Excel.Sheet.8 "C:\\AAA-TEXT\\CR-ERNS\\2011 - 1445-08\\Exhibits 1445-07.xls!Exhibit 1!R3C1:R14C7" "" \a \p </w:instrText>
      </w:r>
      <w:r>
        <w:fldChar w:fldCharType="separate"/>
      </w:r>
      <w:r w:rsidR="00D239A7">
        <w:rPr>
          <w:noProof/>
        </w:rPr>
        <w:drawing>
          <wp:inline distT="0" distB="0" distL="0" distR="0" wp14:anchorId="65B43CDA" wp14:editId="4E8F69FC">
            <wp:extent cx="6238875" cy="5857875"/>
            <wp:effectExtent l="0" t="0" r="9525" b="9525"/>
            <wp:docPr id="33"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8875" cy="5857875"/>
                    </a:xfrm>
                    <a:prstGeom prst="rect">
                      <a:avLst/>
                    </a:prstGeom>
                    <a:noFill/>
                    <a:ln>
                      <a:noFill/>
                    </a:ln>
                  </pic:spPr>
                </pic:pic>
              </a:graphicData>
            </a:graphic>
          </wp:inline>
        </w:drawing>
      </w:r>
      <w:r>
        <w:fldChar w:fldCharType="end"/>
      </w:r>
    </w:p>
    <w:p w14:paraId="432F6173" w14:textId="77777777" w:rsidR="004829F6" w:rsidRPr="004829F6" w:rsidRDefault="004829F6" w:rsidP="004829F6">
      <w:pPr>
        <w:ind w:firstLine="720"/>
        <w:rPr>
          <w:color w:val="99CC00"/>
        </w:rPr>
      </w:pPr>
      <w:r w:rsidRPr="00613D9D">
        <w:rPr>
          <w:color w:val="008000"/>
        </w:rPr>
        <w:t xml:space="preserve">The estimated burden hours for each of the activities listed in the paragraph above are presented in Exhibit 1 (With Forms).  The burden estimates are taken from the CRRR economic impact analysis and are based on CERCLA reporting experience, SARA section 313 reporting experience, and professional judgment.  A description of the basis for each burden estimate (including where there might be some savings due to the use of the continuous release reporting forms), as well as the percentage of continuous releases for which the burden is expected to be </w:t>
      </w:r>
      <w:r w:rsidRPr="00613D9D">
        <w:rPr>
          <w:color w:val="008000"/>
        </w:rPr>
        <w:lastRenderedPageBreak/>
        <w:t xml:space="preserve">incurred, is provided in the remainder of this section. </w:t>
      </w:r>
      <w:r>
        <w:rPr>
          <w:color w:val="99CC00"/>
        </w:rPr>
        <w:t xml:space="preserve"> </w:t>
      </w:r>
    </w:p>
    <w:p w14:paraId="0BBA473B" w14:textId="77777777" w:rsidR="00FE07A2" w:rsidRPr="00A02F6C" w:rsidRDefault="00A02F6C" w:rsidP="00A02F6C">
      <w:pPr>
        <w:keepNext/>
        <w:jc w:val="center"/>
        <w:outlineLvl w:val="4"/>
        <w:rPr>
          <w:b/>
        </w:rPr>
      </w:pPr>
      <w:bookmarkStart w:id="50" w:name="_Toc302552499"/>
      <w:r>
        <w:rPr>
          <w:b/>
        </w:rPr>
        <w:t>Exhibit 1 (With Forms) – Unit Burden Hours per Respondent Information Collection Activity</w:t>
      </w:r>
      <w:bookmarkEnd w:id="50"/>
    </w:p>
    <w:p w14:paraId="044B5CBB" w14:textId="77777777" w:rsidR="004829F6" w:rsidRPr="00463173" w:rsidRDefault="00092850" w:rsidP="00A02F6C">
      <w:pPr>
        <w:keepNext/>
        <w:jc w:val="center"/>
      </w:pPr>
      <w:r>
        <w:fldChar w:fldCharType="begin"/>
      </w:r>
      <w:r w:rsidR="002A512E">
        <w:instrText xml:space="preserve"> LINK Excel.Sheet.8 "C:\\AAA-TEXT\\CR-ERNS\\2011 - 1445-08\\Exhibits 1445-07.xls!Exhibit 1!R18C1:R29C7" "" \a \p </w:instrText>
      </w:r>
      <w:r>
        <w:fldChar w:fldCharType="separate"/>
      </w:r>
      <w:r w:rsidR="00D239A7">
        <w:rPr>
          <w:noProof/>
        </w:rPr>
        <w:drawing>
          <wp:inline distT="0" distB="0" distL="0" distR="0" wp14:anchorId="6EE1CCE0" wp14:editId="677D8F87">
            <wp:extent cx="6238875" cy="5314950"/>
            <wp:effectExtent l="0" t="0" r="9525" b="0"/>
            <wp:docPr id="32" name="Objec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8875" cy="5314950"/>
                    </a:xfrm>
                    <a:prstGeom prst="rect">
                      <a:avLst/>
                    </a:prstGeom>
                    <a:noFill/>
                    <a:ln>
                      <a:noFill/>
                    </a:ln>
                  </pic:spPr>
                </pic:pic>
              </a:graphicData>
            </a:graphic>
          </wp:inline>
        </w:drawing>
      </w:r>
      <w:r>
        <w:fldChar w:fldCharType="end"/>
      </w:r>
    </w:p>
    <w:p w14:paraId="5A31318C" w14:textId="77777777" w:rsidR="005D16AB" w:rsidRDefault="00FE07A2" w:rsidP="00FB4F61">
      <w:pPr>
        <w:ind w:firstLine="720"/>
      </w:pPr>
      <w:r w:rsidRPr="00463173">
        <w:rPr>
          <w:b/>
          <w:bCs/>
        </w:rPr>
        <w:t>Providing an Initial Telephone Notification to the NRC</w:t>
      </w:r>
      <w:r w:rsidRPr="00463173">
        <w:t xml:space="preserve"> – In providing the initial telephone notification, facilities incur a one-time, first-year burden of notifying the NRC that a hazardous substance release is reported under CERCLA section 103(f)(2).  Providing the required information by telephone to the NRC is estimated to require 15 minutes (0.25 hours) of management time.  Prior to the telephone call, however, the facility must determine if the release is continuous and stable in quantity and rate as defined in the CRRR.  This determination is estimated to require 45 minutes (0.75 hours) of management time and two hours of technical time.  Forty-five minutes (0.75 hours) of management time and two hours of technical time should be sufficient to determine if a </w:t>
      </w:r>
      <w:r w:rsidRPr="00463173">
        <w:lastRenderedPageBreak/>
        <w:t xml:space="preserve">release is continuous because facilities likely to be affected by the CRRR should be familiar with the reporting requirements of CERCLA section 103.  In total, the burden associated with the initial telephone call is </w:t>
      </w:r>
      <w:r w:rsidRPr="00463173">
        <w:rPr>
          <w:i/>
          <w:iCs/>
        </w:rPr>
        <w:t>three hours</w:t>
      </w:r>
      <w:r w:rsidRPr="00463173">
        <w:t>.</w:t>
      </w:r>
      <w:r w:rsidR="00FB4F61">
        <w:t xml:space="preserve">  </w:t>
      </w:r>
    </w:p>
    <w:p w14:paraId="2C46A9DE" w14:textId="77777777" w:rsidR="005D16AB" w:rsidRDefault="005D16AB" w:rsidP="00FB4F61">
      <w:pPr>
        <w:ind w:firstLine="720"/>
      </w:pPr>
    </w:p>
    <w:p w14:paraId="2DEF739B" w14:textId="77777777" w:rsidR="00FE07A2" w:rsidRPr="00613D9D" w:rsidRDefault="00FB4F61" w:rsidP="00FB4F61">
      <w:pPr>
        <w:ind w:firstLine="720"/>
        <w:rPr>
          <w:color w:val="008000"/>
        </w:rPr>
      </w:pPr>
      <w:r w:rsidRPr="00613D9D">
        <w:rPr>
          <w:color w:val="008000"/>
        </w:rPr>
        <w:t>We do not expect that use of the</w:t>
      </w:r>
      <w:r w:rsidR="0017595A" w:rsidRPr="00613D9D">
        <w:rPr>
          <w:color w:val="008000"/>
        </w:rPr>
        <w:t xml:space="preserve"> continuous release reporting</w:t>
      </w:r>
      <w:r w:rsidRPr="00613D9D">
        <w:rPr>
          <w:color w:val="008000"/>
        </w:rPr>
        <w:t xml:space="preserve"> forms will reduce the total burden associated with the initial tel</w:t>
      </w:r>
      <w:r w:rsidR="005D16AB" w:rsidRPr="00613D9D">
        <w:rPr>
          <w:color w:val="008000"/>
        </w:rPr>
        <w:t>ephone notification to the NRC.</w:t>
      </w:r>
    </w:p>
    <w:p w14:paraId="5632BF80" w14:textId="77777777" w:rsidR="00FE07A2" w:rsidRPr="00463173" w:rsidRDefault="00FE07A2" w:rsidP="00FE07A2"/>
    <w:p w14:paraId="73E96232" w14:textId="77777777" w:rsidR="005D16AB" w:rsidRDefault="00FE07A2" w:rsidP="00FE07A2">
      <w:pPr>
        <w:ind w:firstLine="720"/>
      </w:pPr>
      <w:r w:rsidRPr="00463173">
        <w:rPr>
          <w:b/>
          <w:bCs/>
        </w:rPr>
        <w:t>Preparing an Initial Written Report</w:t>
      </w:r>
      <w:r w:rsidRPr="00463173">
        <w:t xml:space="preserve"> – The burden associated with providing the initial written report is also a one-time, first-year cost.  Much of the information required for the initial written report (e.g., facility identification, hazardous substance identification, frequency and source of the release) is readily available to the facility.  Information such as the composition of the release and the environmental media affected, however, may require more extensive consideration and analysis.  In addition, some time is needed to organize and format the required information into a report suitable for submission to the government.  It is assumed that many facilities will use EPA’s prepared report format to minimize report organization and formatting efforts.  Preparation of the initial written report that uses EPA’s prepared report format is estimated to require three hours of managerial time, three hours of technical time, and one hour of clerical time.  To account for the burden experienced by the facilities that do not use EPA’s prepared report format, EPA has increased the technical burden to four hours.  The costs of photocopying and mailing this report and all other reports to the appropriate EPA Region are computed in Section 6(b).  Preparation of the initial written report is estimated to require three hours of managerial time (including one-hour of legal review), four hours of technical time, and one hour of clerical time.  Thus, the total burden associated with the initial written report is </w:t>
      </w:r>
      <w:r w:rsidRPr="00463173">
        <w:rPr>
          <w:i/>
          <w:iCs/>
        </w:rPr>
        <w:t>eight hours</w:t>
      </w:r>
      <w:r w:rsidRPr="00463173">
        <w:t>.</w:t>
      </w:r>
      <w:r w:rsidR="006D4F8E">
        <w:t xml:space="preserve">  </w:t>
      </w:r>
    </w:p>
    <w:p w14:paraId="5B690A0E" w14:textId="77777777" w:rsidR="005D16AB" w:rsidRDefault="005D16AB" w:rsidP="00FE07A2">
      <w:pPr>
        <w:ind w:firstLine="720"/>
      </w:pPr>
    </w:p>
    <w:p w14:paraId="67B39885" w14:textId="77777777" w:rsidR="00FE07A2" w:rsidRPr="00613D9D" w:rsidRDefault="0017595A" w:rsidP="00FE07A2">
      <w:pPr>
        <w:ind w:firstLine="720"/>
        <w:rPr>
          <w:color w:val="008000"/>
        </w:rPr>
      </w:pPr>
      <w:r w:rsidRPr="00613D9D">
        <w:rPr>
          <w:color w:val="008000"/>
        </w:rPr>
        <w:t>Estimated s</w:t>
      </w:r>
      <w:r w:rsidR="006D4F8E" w:rsidRPr="00613D9D">
        <w:rPr>
          <w:color w:val="008000"/>
        </w:rPr>
        <w:t xml:space="preserve">avings for use of </w:t>
      </w:r>
      <w:r w:rsidRPr="00613D9D">
        <w:rPr>
          <w:color w:val="008000"/>
        </w:rPr>
        <w:t>c</w:t>
      </w:r>
      <w:r w:rsidR="006D4F8E" w:rsidRPr="00613D9D">
        <w:rPr>
          <w:color w:val="008000"/>
        </w:rPr>
        <w:t xml:space="preserve">ontinuous </w:t>
      </w:r>
      <w:r w:rsidRPr="00613D9D">
        <w:rPr>
          <w:color w:val="008000"/>
        </w:rPr>
        <w:t>r</w:t>
      </w:r>
      <w:r w:rsidR="006D4F8E" w:rsidRPr="00613D9D">
        <w:rPr>
          <w:color w:val="008000"/>
        </w:rPr>
        <w:t xml:space="preserve">elease </w:t>
      </w:r>
      <w:r w:rsidRPr="00613D9D">
        <w:rPr>
          <w:color w:val="008000"/>
        </w:rPr>
        <w:t>r</w:t>
      </w:r>
      <w:r w:rsidR="006D4F8E" w:rsidRPr="00613D9D">
        <w:rPr>
          <w:color w:val="008000"/>
        </w:rPr>
        <w:t xml:space="preserve">eporting </w:t>
      </w:r>
      <w:r w:rsidRPr="00613D9D">
        <w:rPr>
          <w:color w:val="008000"/>
        </w:rPr>
        <w:t>f</w:t>
      </w:r>
      <w:r w:rsidR="006D4F8E" w:rsidRPr="00613D9D">
        <w:rPr>
          <w:color w:val="008000"/>
        </w:rPr>
        <w:t xml:space="preserve">orms is found in the reduction of technical time from four hours to three hours, thus the total burden associated with the initial written report is </w:t>
      </w:r>
      <w:r w:rsidR="006D4F8E" w:rsidRPr="00613D9D">
        <w:rPr>
          <w:i/>
          <w:color w:val="008000"/>
        </w:rPr>
        <w:t>seven hours</w:t>
      </w:r>
      <w:r w:rsidR="006D4F8E" w:rsidRPr="00613D9D">
        <w:rPr>
          <w:color w:val="008000"/>
        </w:rPr>
        <w:t>.</w:t>
      </w:r>
    </w:p>
    <w:p w14:paraId="6FEF138F" w14:textId="77777777" w:rsidR="00FE07A2" w:rsidRPr="00463173" w:rsidRDefault="00FE07A2" w:rsidP="00FE07A2"/>
    <w:p w14:paraId="41CE4EB5" w14:textId="77777777" w:rsidR="005D16AB" w:rsidRDefault="00FE07A2" w:rsidP="00FE07A2">
      <w:pPr>
        <w:ind w:firstLine="720"/>
      </w:pPr>
      <w:r w:rsidRPr="00BE1CF5">
        <w:rPr>
          <w:b/>
          <w:bCs/>
        </w:rPr>
        <w:t>Preparing a Follow-up Written Report</w:t>
      </w:r>
      <w:r w:rsidRPr="00BE1CF5">
        <w:t xml:space="preserve"> – Within one year of submitting the initial written report, facilities must submit a one-time follow-up written report to the appropriate EPA Region.  The follow-up report requires the same information as the initial written report but serves to confirm, update, and refine the information provided in the initial report based on release data from the previous operating year.  Because some of the technical information gathered for preparation of the initial written report, such as the source of the release and specific information describing the environmental media </w:t>
      </w:r>
      <w:r w:rsidR="00BE1CF5" w:rsidRPr="00BE1CF5">
        <w:t>affected</w:t>
      </w:r>
      <w:r w:rsidRPr="00BE1CF5">
        <w:t xml:space="preserve"> remains unchanged, preparation of the follow-up report requires less technical time than preparation of the initial written report.  EPA estimates that preparation of the follow-up report requires three hours of managerial time, one hour of technical time, and one hour of clerical time.  In total, the burden associated with the follow-up written report is </w:t>
      </w:r>
      <w:r w:rsidRPr="00BE1CF5">
        <w:rPr>
          <w:i/>
          <w:iCs/>
        </w:rPr>
        <w:t>five hours</w:t>
      </w:r>
      <w:r w:rsidRPr="00BE1CF5">
        <w:t>.  The burden associated with the follow-up written report is incurred in the second year of reporting.</w:t>
      </w:r>
      <w:r w:rsidR="00FB4F61">
        <w:t xml:space="preserve">  </w:t>
      </w:r>
    </w:p>
    <w:p w14:paraId="22AE560A" w14:textId="77777777" w:rsidR="005D16AB" w:rsidRDefault="005D16AB" w:rsidP="00FE07A2">
      <w:pPr>
        <w:ind w:firstLine="720"/>
      </w:pPr>
    </w:p>
    <w:p w14:paraId="152780C6" w14:textId="77777777" w:rsidR="00FE07A2" w:rsidRPr="00613D9D" w:rsidRDefault="00FB4F61" w:rsidP="00FE07A2">
      <w:pPr>
        <w:ind w:firstLine="720"/>
        <w:rPr>
          <w:color w:val="008000"/>
        </w:rPr>
      </w:pPr>
      <w:r w:rsidRPr="00613D9D">
        <w:rPr>
          <w:color w:val="008000"/>
        </w:rPr>
        <w:t xml:space="preserve">We do not expect that use of the </w:t>
      </w:r>
      <w:r w:rsidR="0017595A" w:rsidRPr="00613D9D">
        <w:rPr>
          <w:color w:val="008000"/>
        </w:rPr>
        <w:t xml:space="preserve">continuous release reporting </w:t>
      </w:r>
      <w:r w:rsidRPr="00613D9D">
        <w:rPr>
          <w:color w:val="008000"/>
        </w:rPr>
        <w:t>forms will reduce the total burden associated with the follow-up written report.</w:t>
      </w:r>
    </w:p>
    <w:p w14:paraId="2783D5D1" w14:textId="77777777" w:rsidR="00FE07A2" w:rsidRPr="00BE1CF5" w:rsidRDefault="00FE07A2" w:rsidP="00FE07A2"/>
    <w:p w14:paraId="07AE7B03" w14:textId="77777777" w:rsidR="005D16AB" w:rsidRDefault="00FE07A2" w:rsidP="00FE07A2">
      <w:pPr>
        <w:ind w:firstLine="720"/>
      </w:pPr>
      <w:r w:rsidRPr="00BE1CF5">
        <w:rPr>
          <w:b/>
          <w:bCs/>
        </w:rPr>
        <w:t>Conducting an Annual Evaluation of the Release</w:t>
      </w:r>
      <w:r w:rsidRPr="00BE1CF5">
        <w:t xml:space="preserve"> – Although the written follow-up report is prepared and submitted only once, facilities are required to conduct and document an annual evaluation of each hazardous substance release reported under section 103(f)(2) beginning the year after submitting the follow-up written report.  This annual evaluation is comparable to the review and information collection necessary for preparation of the follow-up report.  The burden associated with the annual evaluation, therefore, is assumed to be the same as the burden of preparing the written follow-up report (</w:t>
      </w:r>
      <w:r w:rsidRPr="00BE1CF5">
        <w:rPr>
          <w:i/>
          <w:iCs/>
        </w:rPr>
        <w:t>five hours</w:t>
      </w:r>
      <w:r w:rsidRPr="00BE1CF5">
        <w:t>).  The burden associated with the annual evaluation is incurred in the third and all subsequent years.</w:t>
      </w:r>
      <w:r w:rsidR="00FB4F61">
        <w:t xml:space="preserve">  </w:t>
      </w:r>
    </w:p>
    <w:p w14:paraId="4BB1CB86" w14:textId="77777777" w:rsidR="005D16AB" w:rsidRDefault="005D16AB" w:rsidP="00FE07A2">
      <w:pPr>
        <w:ind w:firstLine="720"/>
      </w:pPr>
    </w:p>
    <w:p w14:paraId="7ED9BEAC" w14:textId="77777777" w:rsidR="00FE07A2" w:rsidRPr="00613D9D" w:rsidRDefault="00FB4F61" w:rsidP="00FE07A2">
      <w:pPr>
        <w:ind w:firstLine="720"/>
        <w:rPr>
          <w:color w:val="008000"/>
        </w:rPr>
      </w:pPr>
      <w:r w:rsidRPr="00613D9D">
        <w:rPr>
          <w:color w:val="008000"/>
        </w:rPr>
        <w:t xml:space="preserve">We do not expect that use of the </w:t>
      </w:r>
      <w:r w:rsidR="0017595A" w:rsidRPr="00613D9D">
        <w:rPr>
          <w:color w:val="008000"/>
        </w:rPr>
        <w:t xml:space="preserve">continuous release reporting </w:t>
      </w:r>
      <w:r w:rsidRPr="00613D9D">
        <w:rPr>
          <w:color w:val="008000"/>
        </w:rPr>
        <w:t>forms will reduce the total burden associated with the annual evaluation of the release.</w:t>
      </w:r>
    </w:p>
    <w:p w14:paraId="0274DB60" w14:textId="77777777" w:rsidR="00FE07A2" w:rsidRPr="00BE1CF5" w:rsidRDefault="00FE07A2" w:rsidP="00FE07A2"/>
    <w:p w14:paraId="5810B456" w14:textId="77777777" w:rsidR="00FE07A2" w:rsidRPr="00BE1CF5" w:rsidRDefault="00FE07A2" w:rsidP="00FE07A2">
      <w:pPr>
        <w:ind w:firstLine="720"/>
      </w:pPr>
      <w:r w:rsidRPr="00BE1CF5">
        <w:rPr>
          <w:b/>
          <w:bCs/>
        </w:rPr>
        <w:t>Reporting a Change in the Sources, Composition, or Frequency of the Release</w:t>
      </w:r>
      <w:r w:rsidRPr="00BE1CF5">
        <w:t xml:space="preserve"> – When a facility experiences a change in the sources, composition, or frequency of a release, the release is considered a new release because the associated hazard may have changed significantly.  Changes in the sources, composition, or frequency of a release are expected to result only from significant changes in the production process, such as the installation of new equipment or a change in the chemical nature of the process.  While such significant changes are expected over the long-term, the likelihood of such a change occurring in a particular year is small.  EPA estimates that the number of already reported continuous releases that experience a change in sources, composition, or frequency is equal to 5 percent of the total number of hazardous substance releases being reported under the CRRR in any given year.</w:t>
      </w:r>
    </w:p>
    <w:p w14:paraId="13E32582" w14:textId="77777777" w:rsidR="00FE07A2" w:rsidRPr="00BE1CF5" w:rsidRDefault="00FE07A2" w:rsidP="00FE07A2"/>
    <w:p w14:paraId="0C22A3AD" w14:textId="77777777" w:rsidR="005D16AB" w:rsidRDefault="00FE07A2" w:rsidP="00FE07A2">
      <w:r w:rsidRPr="00BE1CF5">
        <w:t xml:space="preserve">          Facilities experiencing a change in the sources, composition, or frequency of a continuous release must complete the initial notification process for the release (i.e., an initial telephone call to the NRC and an initial written report and follow-up report to the EPA Region).  For facilities experiencing a change in the sources, composition, or frequency of a continuous release, much of the information from the previous initial written report (e.g., facility identifiers, the media affected) should not have changed.  It is assumed that the technical time required </w:t>
      </w:r>
      <w:r w:rsidR="00BE1CF5" w:rsidRPr="00BE1CF5">
        <w:t>evaluating the release, determining</w:t>
      </w:r>
      <w:r w:rsidRPr="00BE1CF5">
        <w:t xml:space="preserve"> whether it is stable in quantity and rate, and accurately document the composition of the release and the environmental media affected would take four hours.  The number of management and clerical hours required to report a new continuous release are assumed to be four hours and one hour respectively.  Thus, the total burden associated with reporting a change in the sources, composition, or frequency of a continuous release is </w:t>
      </w:r>
      <w:r w:rsidRPr="00BE1CF5">
        <w:rPr>
          <w:i/>
          <w:iCs/>
        </w:rPr>
        <w:t>nine hours</w:t>
      </w:r>
      <w:r w:rsidRPr="00BE1CF5">
        <w:t>.</w:t>
      </w:r>
      <w:r w:rsidR="007D6A37">
        <w:t xml:space="preserve">  </w:t>
      </w:r>
    </w:p>
    <w:p w14:paraId="27EDE736" w14:textId="77777777" w:rsidR="005D16AB" w:rsidRDefault="005D16AB" w:rsidP="00FE07A2"/>
    <w:p w14:paraId="6CCBC168" w14:textId="77777777" w:rsidR="00FE07A2" w:rsidRPr="00613D9D" w:rsidRDefault="007D6A37" w:rsidP="005D16AB">
      <w:pPr>
        <w:ind w:firstLine="720"/>
        <w:rPr>
          <w:color w:val="008000"/>
        </w:rPr>
      </w:pPr>
      <w:r w:rsidRPr="00613D9D">
        <w:rPr>
          <w:color w:val="008000"/>
        </w:rPr>
        <w:t xml:space="preserve">We do not expect that use of the </w:t>
      </w:r>
      <w:r w:rsidR="0017595A" w:rsidRPr="00613D9D">
        <w:rPr>
          <w:color w:val="008000"/>
        </w:rPr>
        <w:t xml:space="preserve">continuous release reporting </w:t>
      </w:r>
      <w:r w:rsidRPr="00613D9D">
        <w:rPr>
          <w:color w:val="008000"/>
        </w:rPr>
        <w:t>forms will reduce the total burden associated with reporting a change in the sources, composition, or frequency of a total continuous release.</w:t>
      </w:r>
    </w:p>
    <w:p w14:paraId="5FC794DC" w14:textId="77777777" w:rsidR="00FE07A2" w:rsidRPr="00BE1CF5" w:rsidRDefault="00FE07A2" w:rsidP="00FE07A2"/>
    <w:p w14:paraId="06A6B349" w14:textId="77777777" w:rsidR="005D16AB" w:rsidRDefault="00FE07A2" w:rsidP="007D6A37">
      <w:r w:rsidRPr="00BE1CF5">
        <w:rPr>
          <w:b/>
          <w:bCs/>
        </w:rPr>
        <w:t xml:space="preserve">Reporting Other Changes in Information – </w:t>
      </w:r>
      <w:r w:rsidRPr="00BE1CF5">
        <w:t xml:space="preserve">For changes other than a change in the sources, composition, or frequency of a release, the person in charge must notify the EPA Region by letter </w:t>
      </w:r>
      <w:r w:rsidRPr="00BE1CF5">
        <w:lastRenderedPageBreak/>
        <w:t xml:space="preserve">that the information previously submitted in support of a continuous release notification is no longer valid.  For example, the population density in the vicinity of the facility would be reported by submitting a letter detailing the change and its cause.  Such changes in information previously submitted are likely to occur over an extended period of time, but are much less likely to occur every year.  EPA estimates that, on an annual basis, approximately 10 percent of the releases reported under CERCLA section 103(f)(2) will experience a change that requires submission of a letter to the EPA Region.  Gathering and reporting the change in the release by a letter to the EPA Region is estimated to require one hour of managerial time, one hour of technical time, and one-half hour of clerical time for a total burden of </w:t>
      </w:r>
      <w:r w:rsidRPr="00BE1CF5">
        <w:rPr>
          <w:i/>
          <w:iCs/>
        </w:rPr>
        <w:t>2 and one-half hours</w:t>
      </w:r>
      <w:r w:rsidRPr="00BE1CF5">
        <w:t>.</w:t>
      </w:r>
      <w:r w:rsidR="007D6A37">
        <w:t xml:space="preserve">  </w:t>
      </w:r>
    </w:p>
    <w:p w14:paraId="4438B88F" w14:textId="77777777" w:rsidR="005D16AB" w:rsidRDefault="005D16AB" w:rsidP="007D6A37"/>
    <w:p w14:paraId="4F0D12E6" w14:textId="77777777" w:rsidR="007D6A37" w:rsidRPr="00613D9D" w:rsidRDefault="007D6A37" w:rsidP="005D16AB">
      <w:pPr>
        <w:ind w:firstLine="720"/>
        <w:rPr>
          <w:color w:val="008000"/>
        </w:rPr>
      </w:pPr>
      <w:r w:rsidRPr="00613D9D">
        <w:rPr>
          <w:color w:val="008000"/>
        </w:rPr>
        <w:t xml:space="preserve">We do not expect that use of the </w:t>
      </w:r>
      <w:r w:rsidR="0017595A" w:rsidRPr="00613D9D">
        <w:rPr>
          <w:color w:val="008000"/>
        </w:rPr>
        <w:t xml:space="preserve">continuous release reporting </w:t>
      </w:r>
      <w:r w:rsidRPr="00613D9D">
        <w:rPr>
          <w:color w:val="008000"/>
        </w:rPr>
        <w:t>forms will reduce the total burden associated with reporting other changes in information.</w:t>
      </w:r>
    </w:p>
    <w:p w14:paraId="439AF04C" w14:textId="77777777" w:rsidR="00FE07A2" w:rsidRPr="00BE1CF5" w:rsidRDefault="00FE07A2" w:rsidP="00FE07A2">
      <w:pPr>
        <w:ind w:firstLine="720"/>
      </w:pPr>
    </w:p>
    <w:p w14:paraId="2A017F48" w14:textId="77777777" w:rsidR="00FE07A2" w:rsidRPr="00BE1CF5" w:rsidRDefault="00FE07A2" w:rsidP="00FE07A2"/>
    <w:p w14:paraId="167CC7AC" w14:textId="77777777" w:rsidR="00FE07A2" w:rsidRPr="00BE1CF5" w:rsidRDefault="00FE07A2" w:rsidP="00FE07A2">
      <w:pPr>
        <w:ind w:firstLine="720"/>
      </w:pPr>
      <w:r w:rsidRPr="00BE1CF5">
        <w:rPr>
          <w:b/>
          <w:bCs/>
        </w:rPr>
        <w:t xml:space="preserve">Reporting a Statistically Significant Increase in the Release </w:t>
      </w:r>
      <w:r w:rsidRPr="00BE1CF5">
        <w:t xml:space="preserve"> – As soon as the person in charge of a facility has knowledge that the quantity of a continuous release being reported under CERCLA section 103(f)(2) exceeds the upper bound of its previously established normal range of release weights, the person in charge must notify the NRC.  SSIs are episodic release events because the release has not been previously reported or evaluated.  To avoid underestimating the burden, this ICR includes the burden for reporting an SSI, even though the burden may be captured in the ICR fo</w:t>
      </w:r>
      <w:r w:rsidR="00970C49">
        <w:t>r episodic releases (EPA 1409.11</w:t>
      </w:r>
      <w:r w:rsidRPr="00BE1CF5">
        <w:t xml:space="preserve">).  The estimated burden of reporting an SSI is based on interviews with chemical industry personnel and the burden associated with reporting similar episodic releases under CERCLA section 103(a).  EPA estimates that reporting of an SSI requires one hour of managerial time and one hour of technical time for a total burden of </w:t>
      </w:r>
      <w:r w:rsidRPr="00BE1CF5">
        <w:rPr>
          <w:i/>
          <w:iCs/>
        </w:rPr>
        <w:t>two hours</w:t>
      </w:r>
      <w:r w:rsidRPr="00BE1CF5">
        <w:t>.  The technical time consists of determining if the release is reportable, briefing management, and collecting the information required for NRC reporting.  The managerial time includes alerting appropriate personnel and transmitting the information required in the telephone call.</w:t>
      </w:r>
    </w:p>
    <w:p w14:paraId="4C04D525" w14:textId="77777777" w:rsidR="00FE07A2" w:rsidRPr="00BE1CF5" w:rsidRDefault="00FE07A2" w:rsidP="00FE07A2"/>
    <w:p w14:paraId="7071C71A" w14:textId="77777777" w:rsidR="00FE07A2" w:rsidRDefault="00FE07A2" w:rsidP="00FE07A2">
      <w:pPr>
        <w:ind w:firstLine="720"/>
      </w:pPr>
      <w:r w:rsidRPr="00BE1CF5">
        <w:t>Because SSIs are defined as releases that exceed the normal range, and the normal range is defined to include all release quantities recorded during the previous operating year, EPA estimates that no more than 5 percent of the hazardous substance releases reported under the CRRR will experience an SSI in a given year.</w:t>
      </w:r>
    </w:p>
    <w:p w14:paraId="57F02868" w14:textId="77777777" w:rsidR="007D6A37" w:rsidRDefault="007D6A37" w:rsidP="00FE07A2">
      <w:pPr>
        <w:ind w:firstLine="720"/>
      </w:pPr>
    </w:p>
    <w:p w14:paraId="334AF047" w14:textId="77777777" w:rsidR="007D6A37" w:rsidRPr="00613D9D" w:rsidRDefault="007D6A37" w:rsidP="007D6A37">
      <w:pPr>
        <w:ind w:firstLine="720"/>
        <w:rPr>
          <w:color w:val="008000"/>
        </w:rPr>
      </w:pPr>
      <w:r w:rsidRPr="00613D9D">
        <w:rPr>
          <w:color w:val="008000"/>
        </w:rPr>
        <w:t xml:space="preserve">We do not expect that use of the </w:t>
      </w:r>
      <w:r w:rsidR="0017595A" w:rsidRPr="00613D9D">
        <w:rPr>
          <w:color w:val="008000"/>
        </w:rPr>
        <w:t xml:space="preserve">continuous release reporting </w:t>
      </w:r>
      <w:r w:rsidRPr="00613D9D">
        <w:rPr>
          <w:color w:val="008000"/>
        </w:rPr>
        <w:t>forms will reduce the total burden associated with reporting a statistically significant increase in the release.</w:t>
      </w:r>
    </w:p>
    <w:p w14:paraId="5CF0AD1B" w14:textId="77777777" w:rsidR="00FE07A2" w:rsidRPr="00BE1CF5" w:rsidRDefault="00FE07A2" w:rsidP="00FE07A2"/>
    <w:p w14:paraId="182DD26E" w14:textId="77777777" w:rsidR="00FE07A2" w:rsidRPr="00BE1CF5" w:rsidRDefault="00FE07A2" w:rsidP="00FE07A2">
      <w:pPr>
        <w:ind w:firstLine="720"/>
      </w:pPr>
      <w:r w:rsidRPr="00BE1CF5">
        <w:rPr>
          <w:b/>
          <w:bCs/>
        </w:rPr>
        <w:t>Other Activities</w:t>
      </w:r>
      <w:r w:rsidRPr="00BE1CF5">
        <w:t xml:space="preserve"> – In response to the government’s processing and evaluating the initial and follow-up reports, persons in charge of facilities may be required to: (1) provide additional information or clarify information previously submitted; and (2) accompany EPA personnel during a site inspection.</w:t>
      </w:r>
    </w:p>
    <w:p w14:paraId="30EE95D6" w14:textId="77777777" w:rsidR="00FE07A2" w:rsidRPr="00BE1CF5" w:rsidRDefault="00FE07A2" w:rsidP="00FE07A2"/>
    <w:p w14:paraId="4BF6FE58" w14:textId="77777777" w:rsidR="00FE07A2" w:rsidRPr="00BE1CF5" w:rsidRDefault="00FE07A2" w:rsidP="00FE07A2">
      <w:pPr>
        <w:ind w:firstLine="720"/>
      </w:pPr>
      <w:r w:rsidRPr="00BE1CF5">
        <w:t>(1)</w:t>
      </w:r>
      <w:r w:rsidRPr="00BE1CF5">
        <w:tab/>
      </w:r>
      <w:r w:rsidRPr="00BE1CF5">
        <w:rPr>
          <w:b/>
          <w:bCs/>
        </w:rPr>
        <w:t>Providing Additional Information</w:t>
      </w:r>
      <w:r w:rsidRPr="00BE1CF5">
        <w:t xml:space="preserve"> – For some percentage of the continuous releases </w:t>
      </w:r>
      <w:r w:rsidRPr="00BE1CF5">
        <w:lastRenderedPageBreak/>
        <w:t xml:space="preserve">reported under the CRRR, the information provided in the initial and/or follow-up reports will be incomplete, incorrect, or worrisome, prompting EPA to request additional information regarding the nature and extent of the release.  For example, EPA may seek additional information concerning release activity in order to better assess the risk posed by the release.  EPA estimates that approximately 30 percent of the initial/follow-up reports could require submission of additional information or some level of interaction with EPA in the first and second years of reporting.  Beginning in the third year of reporting, requests for additional information and further clarification of release information are assumed to be necessary only for newly reported releases.  However, this analysis conservatively assumes that the percentage of reportable releases for which additional information is necessary will remain at 30 percent for all years of reporting.  For each hazardous substance report that requires additional communication with EPA, industry is estimated to expend </w:t>
      </w:r>
      <w:r w:rsidRPr="00BE1CF5">
        <w:rPr>
          <w:i/>
          <w:iCs/>
        </w:rPr>
        <w:t>four hours</w:t>
      </w:r>
      <w:r w:rsidRPr="00BE1CF5">
        <w:t xml:space="preserve"> of managerial time.</w:t>
      </w:r>
    </w:p>
    <w:p w14:paraId="5D885A5F" w14:textId="77777777" w:rsidR="00FE07A2" w:rsidRDefault="00FE07A2" w:rsidP="00FE07A2"/>
    <w:p w14:paraId="52FFD7A3" w14:textId="77777777" w:rsidR="007D6A37" w:rsidRPr="00613D9D" w:rsidRDefault="007D6A37" w:rsidP="007D6A37">
      <w:pPr>
        <w:ind w:firstLine="720"/>
        <w:rPr>
          <w:color w:val="008000"/>
        </w:rPr>
      </w:pPr>
      <w:bookmarkStart w:id="51" w:name="OLE_LINK1"/>
      <w:bookmarkStart w:id="52" w:name="OLE_LINK2"/>
      <w:r w:rsidRPr="00613D9D">
        <w:rPr>
          <w:color w:val="008000"/>
        </w:rPr>
        <w:t xml:space="preserve">We do not expect that use of the </w:t>
      </w:r>
      <w:r w:rsidR="0017595A" w:rsidRPr="00613D9D">
        <w:rPr>
          <w:color w:val="008000"/>
        </w:rPr>
        <w:t xml:space="preserve">continuous release reporting </w:t>
      </w:r>
      <w:r w:rsidRPr="00613D9D">
        <w:rPr>
          <w:color w:val="008000"/>
        </w:rPr>
        <w:t>forms will reduce the total burden associated with reporting other activities.</w:t>
      </w:r>
      <w:bookmarkEnd w:id="51"/>
      <w:bookmarkEnd w:id="52"/>
    </w:p>
    <w:p w14:paraId="3C005BFC" w14:textId="77777777" w:rsidR="007D6A37" w:rsidRPr="00BE1CF5" w:rsidRDefault="007D6A37" w:rsidP="00FE07A2"/>
    <w:p w14:paraId="74D5AF3B" w14:textId="77777777" w:rsidR="00FE07A2" w:rsidRPr="00BE1CF5" w:rsidRDefault="00FE07A2" w:rsidP="00FE07A2">
      <w:pPr>
        <w:ind w:firstLine="720"/>
      </w:pPr>
      <w:r w:rsidRPr="00BE1CF5">
        <w:t>(2)</w:t>
      </w:r>
      <w:r w:rsidRPr="00BE1CF5">
        <w:tab/>
      </w:r>
      <w:r w:rsidRPr="00BE1CF5">
        <w:rPr>
          <w:b/>
          <w:bCs/>
        </w:rPr>
        <w:t xml:space="preserve">Facilitating a Site Inspection </w:t>
      </w:r>
      <w:r w:rsidR="00BE1CF5" w:rsidRPr="00BE1CF5">
        <w:t>– In</w:t>
      </w:r>
      <w:r w:rsidRPr="00BE1CF5">
        <w:t xml:space="preserve"> extreme cases, the preliminary risk assessment of a release will indicate the need for a site inspection, allowing EPA to directly assess and evaluate the circumstances of a release and the population and environment potentially affected by the release.  In addition, site inspections are conducted periodically as a compliance and enforcement measure.  Site inspections are estimated to be necessary for no more that one percent of the reported continuous releases.  EPA estimates that facility participation in a site inspection requires four hours of managerial time and four hours of technical time for a total burden of </w:t>
      </w:r>
      <w:r w:rsidRPr="00BE1CF5">
        <w:rPr>
          <w:i/>
          <w:iCs/>
        </w:rPr>
        <w:t>eight hours</w:t>
      </w:r>
      <w:r w:rsidRPr="00BE1CF5">
        <w:t>.</w:t>
      </w:r>
    </w:p>
    <w:p w14:paraId="44B05EB9" w14:textId="77777777" w:rsidR="00FE07A2" w:rsidRDefault="00FE07A2" w:rsidP="00FE07A2"/>
    <w:p w14:paraId="3D2EB573" w14:textId="77777777" w:rsidR="00631383" w:rsidRPr="00613D9D" w:rsidRDefault="00631383" w:rsidP="00631383">
      <w:pPr>
        <w:ind w:firstLine="720"/>
        <w:rPr>
          <w:color w:val="008000"/>
        </w:rPr>
      </w:pPr>
      <w:r w:rsidRPr="00613D9D">
        <w:rPr>
          <w:color w:val="008000"/>
        </w:rPr>
        <w:t xml:space="preserve">We do not expect that use of the </w:t>
      </w:r>
      <w:r w:rsidR="0017595A" w:rsidRPr="00613D9D">
        <w:rPr>
          <w:color w:val="008000"/>
        </w:rPr>
        <w:t xml:space="preserve">continuous release reporting </w:t>
      </w:r>
      <w:r w:rsidRPr="00613D9D">
        <w:rPr>
          <w:color w:val="008000"/>
        </w:rPr>
        <w:t>forms will reduce the total burden associated with facilitating a site inspection.</w:t>
      </w:r>
    </w:p>
    <w:p w14:paraId="43F3D93D" w14:textId="77777777" w:rsidR="00631383" w:rsidRPr="00BE1CF5" w:rsidRDefault="00631383" w:rsidP="00631383">
      <w:pPr>
        <w:ind w:firstLine="720"/>
      </w:pPr>
    </w:p>
    <w:p w14:paraId="7CE1D88A" w14:textId="77777777" w:rsidR="00FE07A2" w:rsidRDefault="00FE07A2" w:rsidP="00FE07A2">
      <w:pPr>
        <w:ind w:firstLine="720"/>
      </w:pPr>
      <w:r w:rsidRPr="00BE1CF5">
        <w:rPr>
          <w:b/>
          <w:bCs/>
        </w:rPr>
        <w:t>Record keeping</w:t>
      </w:r>
      <w:r w:rsidRPr="00BE1CF5">
        <w:t xml:space="preserve"> – EPA assumes many facilities maintain a log or some other record of each hazardous substance release reported under the CRRR.  Facilities may find it useful to collect and record the following information for use in demonstrating compliance with the provisions of CERCLA section 103(f)(2): (1) estimates of daily release quantities to demonstrate the continuity and stability of the release, and to establish and modify the normal range of the release; (2) documentation of the methodology and calculations used in estimating required information; and (3) documentation of the annual assessment required each year subsequent to submission of the follow-up written report.  Much of the time necessary to gather these records has already been attributed to the preparation of the initial and follow-up reports, however, it is estimated that an additional </w:t>
      </w:r>
      <w:r w:rsidRPr="00BE1CF5">
        <w:rPr>
          <w:i/>
          <w:iCs/>
        </w:rPr>
        <w:t>four hours</w:t>
      </w:r>
      <w:r w:rsidRPr="00BE1CF5">
        <w:t xml:space="preserve"> of technical time is necessary for keeping records on each hazardous substance release reported under the CRRR.</w:t>
      </w:r>
    </w:p>
    <w:p w14:paraId="7F3D2F19" w14:textId="77777777" w:rsidR="00631383" w:rsidRDefault="00631383" w:rsidP="00FE07A2">
      <w:pPr>
        <w:ind w:firstLine="720"/>
      </w:pPr>
    </w:p>
    <w:p w14:paraId="6944D3C8" w14:textId="77777777" w:rsidR="00631383" w:rsidRPr="00613D9D" w:rsidRDefault="00631383" w:rsidP="00FE07A2">
      <w:pPr>
        <w:ind w:firstLine="720"/>
        <w:rPr>
          <w:color w:val="008000"/>
        </w:rPr>
      </w:pPr>
      <w:r w:rsidRPr="00613D9D">
        <w:rPr>
          <w:color w:val="008000"/>
        </w:rPr>
        <w:t xml:space="preserve">We do not expect that use of the </w:t>
      </w:r>
      <w:r w:rsidR="0017595A" w:rsidRPr="00613D9D">
        <w:rPr>
          <w:color w:val="008000"/>
        </w:rPr>
        <w:t xml:space="preserve">continuous release reporting </w:t>
      </w:r>
      <w:r w:rsidRPr="00613D9D">
        <w:rPr>
          <w:color w:val="008000"/>
        </w:rPr>
        <w:t>forms will reduce the total burden associated with record keeping.</w:t>
      </w:r>
    </w:p>
    <w:p w14:paraId="107D89AF" w14:textId="77777777" w:rsidR="00ED50E0" w:rsidRDefault="00ED50E0" w:rsidP="00ED50E0">
      <w:pPr>
        <w:keepNext/>
        <w:keepLines/>
      </w:pPr>
    </w:p>
    <w:p w14:paraId="3B17B2E0" w14:textId="77777777" w:rsidR="00B54712" w:rsidRDefault="00B54712" w:rsidP="00B54712">
      <w:pPr>
        <w:ind w:firstLine="720"/>
      </w:pPr>
      <w:r w:rsidRPr="001F3A52">
        <w:t xml:space="preserve">The estimated annual burden hours incurred by a </w:t>
      </w:r>
      <w:r>
        <w:t>“</w:t>
      </w:r>
      <w:r w:rsidRPr="001F3A52">
        <w:t>typical</w:t>
      </w:r>
      <w:r>
        <w:t>”</w:t>
      </w:r>
      <w:r w:rsidRPr="001F3A52">
        <w:t xml:space="preserve"> facility are presented in Exhibit 2.  A typical respondent is assumed to report eight continuous hazardous substance releases in year one and to experience a change in one release in the second and third years of reporting (e.g., the frequency of the release increases from three to five times a week, causing a modification in the estimated annual release amount).  No other </w:t>
      </w:r>
      <w:r w:rsidRPr="00B54712">
        <w:t>conditional</w:t>
      </w:r>
      <w:r w:rsidRPr="001F3A52">
        <w:t xml:space="preserve"> activities (e.g., SSI reporting and facilitating a site inspection) are assumed to be required of the typical respondent; the inclusion of burden estimates associated with any additional conditional activities may result in a significant overestimation of the burden incurred by a typical facility. </w:t>
      </w:r>
    </w:p>
    <w:p w14:paraId="17360CFA" w14:textId="77777777" w:rsidR="00F53A07" w:rsidRDefault="00F53A07" w:rsidP="00B54712">
      <w:pPr>
        <w:ind w:firstLine="720"/>
      </w:pPr>
    </w:p>
    <w:p w14:paraId="0F9C7EE2" w14:textId="77777777" w:rsidR="00A02F6C" w:rsidRPr="00A02F6C" w:rsidRDefault="00A02F6C" w:rsidP="00A02F6C">
      <w:pPr>
        <w:keepNext/>
        <w:ind w:firstLine="720"/>
        <w:jc w:val="center"/>
        <w:outlineLvl w:val="4"/>
        <w:rPr>
          <w:b/>
        </w:rPr>
      </w:pPr>
      <w:bookmarkStart w:id="53" w:name="_Toc302552500"/>
      <w:r>
        <w:rPr>
          <w:b/>
        </w:rPr>
        <w:t>Exhibit 2 – Burden Hours for a Typical Facility</w:t>
      </w:r>
      <w:bookmarkEnd w:id="53"/>
    </w:p>
    <w:tbl>
      <w:tblPr>
        <w:tblW w:w="9460" w:type="dxa"/>
        <w:tblInd w:w="85" w:type="dxa"/>
        <w:tblLook w:val="04A0" w:firstRow="1" w:lastRow="0" w:firstColumn="1" w:lastColumn="0" w:noHBand="0" w:noVBand="1"/>
      </w:tblPr>
      <w:tblGrid>
        <w:gridCol w:w="1629"/>
        <w:gridCol w:w="580"/>
        <w:gridCol w:w="579"/>
        <w:gridCol w:w="699"/>
        <w:gridCol w:w="666"/>
        <w:gridCol w:w="691"/>
        <w:gridCol w:w="691"/>
        <w:gridCol w:w="699"/>
        <w:gridCol w:w="566"/>
        <w:gridCol w:w="579"/>
        <w:gridCol w:w="691"/>
        <w:gridCol w:w="699"/>
        <w:gridCol w:w="691"/>
      </w:tblGrid>
      <w:tr w:rsidR="00E34A8F" w:rsidRPr="00E34A8F" w14:paraId="5B72B1EC" w14:textId="77777777" w:rsidTr="00E34A8F">
        <w:trPr>
          <w:trHeight w:val="285"/>
        </w:trPr>
        <w:tc>
          <w:tcPr>
            <w:tcW w:w="1660" w:type="dxa"/>
            <w:tcBorders>
              <w:top w:val="double" w:sz="6" w:space="0" w:color="000000"/>
              <w:left w:val="double" w:sz="6" w:space="0" w:color="000000"/>
              <w:bottom w:val="nil"/>
              <w:right w:val="single" w:sz="8" w:space="0" w:color="000000"/>
            </w:tcBorders>
            <w:shd w:val="clear" w:color="auto" w:fill="auto"/>
            <w:vAlign w:val="bottom"/>
            <w:hideMark/>
          </w:tcPr>
          <w:p w14:paraId="01BC5017" w14:textId="77777777" w:rsidR="00E34A8F" w:rsidRPr="00E34A8F" w:rsidRDefault="00E34A8F" w:rsidP="00E34A8F">
            <w:pPr>
              <w:widowControl/>
              <w:adjustRightInd/>
              <w:jc w:val="center"/>
              <w:rPr>
                <w:b/>
                <w:bCs/>
                <w:sz w:val="20"/>
                <w:szCs w:val="20"/>
              </w:rPr>
            </w:pPr>
            <w:r w:rsidRPr="00E34A8F">
              <w:rPr>
                <w:b/>
                <w:bCs/>
                <w:sz w:val="20"/>
                <w:szCs w:val="20"/>
              </w:rPr>
              <w:t>Collection Activity</w:t>
            </w:r>
          </w:p>
        </w:tc>
        <w:tc>
          <w:tcPr>
            <w:tcW w:w="2480" w:type="dxa"/>
            <w:gridSpan w:val="4"/>
            <w:tcBorders>
              <w:top w:val="double" w:sz="6" w:space="0" w:color="000000"/>
              <w:left w:val="nil"/>
              <w:bottom w:val="single" w:sz="8" w:space="0" w:color="000000"/>
              <w:right w:val="single" w:sz="8" w:space="0" w:color="000000"/>
            </w:tcBorders>
            <w:shd w:val="clear" w:color="auto" w:fill="auto"/>
            <w:vAlign w:val="bottom"/>
            <w:hideMark/>
          </w:tcPr>
          <w:p w14:paraId="3059275F" w14:textId="77777777" w:rsidR="00E34A8F" w:rsidRPr="00E34A8F" w:rsidRDefault="00E34A8F" w:rsidP="00E34A8F">
            <w:pPr>
              <w:widowControl/>
              <w:adjustRightInd/>
              <w:jc w:val="center"/>
              <w:rPr>
                <w:b/>
                <w:bCs/>
                <w:sz w:val="20"/>
                <w:szCs w:val="20"/>
              </w:rPr>
            </w:pPr>
            <w:r w:rsidRPr="00E34A8F">
              <w:rPr>
                <w:b/>
                <w:bCs/>
                <w:sz w:val="20"/>
                <w:szCs w:val="20"/>
              </w:rPr>
              <w:t>First Year Burden Hours</w:t>
            </w:r>
          </w:p>
        </w:tc>
        <w:tc>
          <w:tcPr>
            <w:tcW w:w="2640" w:type="dxa"/>
            <w:gridSpan w:val="4"/>
            <w:tcBorders>
              <w:top w:val="double" w:sz="6" w:space="0" w:color="000000"/>
              <w:left w:val="nil"/>
              <w:bottom w:val="single" w:sz="8" w:space="0" w:color="000000"/>
              <w:right w:val="single" w:sz="8" w:space="0" w:color="000000"/>
            </w:tcBorders>
            <w:shd w:val="clear" w:color="auto" w:fill="auto"/>
            <w:vAlign w:val="bottom"/>
            <w:hideMark/>
          </w:tcPr>
          <w:p w14:paraId="67483703" w14:textId="77777777" w:rsidR="00E34A8F" w:rsidRPr="00E34A8F" w:rsidRDefault="00E34A8F" w:rsidP="00E34A8F">
            <w:pPr>
              <w:widowControl/>
              <w:adjustRightInd/>
              <w:jc w:val="center"/>
              <w:rPr>
                <w:b/>
                <w:bCs/>
                <w:sz w:val="20"/>
                <w:szCs w:val="20"/>
              </w:rPr>
            </w:pPr>
            <w:r w:rsidRPr="00E34A8F">
              <w:rPr>
                <w:b/>
                <w:bCs/>
                <w:sz w:val="20"/>
                <w:szCs w:val="20"/>
              </w:rPr>
              <w:t>Second Year Burden Hours</w:t>
            </w:r>
          </w:p>
        </w:tc>
        <w:tc>
          <w:tcPr>
            <w:tcW w:w="2680" w:type="dxa"/>
            <w:gridSpan w:val="4"/>
            <w:tcBorders>
              <w:top w:val="double" w:sz="6" w:space="0" w:color="000000"/>
              <w:left w:val="nil"/>
              <w:bottom w:val="single" w:sz="8" w:space="0" w:color="000000"/>
              <w:right w:val="double" w:sz="6" w:space="0" w:color="000000"/>
            </w:tcBorders>
            <w:shd w:val="clear" w:color="auto" w:fill="auto"/>
            <w:vAlign w:val="bottom"/>
            <w:hideMark/>
          </w:tcPr>
          <w:p w14:paraId="58735437" w14:textId="77777777" w:rsidR="00E34A8F" w:rsidRPr="00E34A8F" w:rsidRDefault="00E34A8F" w:rsidP="00E34A8F">
            <w:pPr>
              <w:widowControl/>
              <w:adjustRightInd/>
              <w:jc w:val="center"/>
              <w:rPr>
                <w:b/>
                <w:bCs/>
                <w:sz w:val="20"/>
                <w:szCs w:val="20"/>
              </w:rPr>
            </w:pPr>
            <w:r w:rsidRPr="00E34A8F">
              <w:rPr>
                <w:b/>
                <w:bCs/>
                <w:sz w:val="20"/>
                <w:szCs w:val="20"/>
              </w:rPr>
              <w:t>Third Year Burden Hours</w:t>
            </w:r>
          </w:p>
        </w:tc>
      </w:tr>
      <w:tr w:rsidR="00E34A8F" w:rsidRPr="00E34A8F" w14:paraId="04E930BB" w14:textId="77777777" w:rsidTr="00E34A8F">
        <w:trPr>
          <w:trHeight w:val="390"/>
        </w:trPr>
        <w:tc>
          <w:tcPr>
            <w:tcW w:w="1660" w:type="dxa"/>
            <w:tcBorders>
              <w:top w:val="nil"/>
              <w:left w:val="double" w:sz="6" w:space="0" w:color="000000"/>
              <w:bottom w:val="single" w:sz="8" w:space="0" w:color="000000"/>
              <w:right w:val="single" w:sz="8" w:space="0" w:color="000000"/>
            </w:tcBorders>
            <w:shd w:val="clear" w:color="auto" w:fill="auto"/>
            <w:vAlign w:val="bottom"/>
            <w:hideMark/>
          </w:tcPr>
          <w:p w14:paraId="5A2092CF" w14:textId="77777777" w:rsidR="00E34A8F" w:rsidRPr="00E34A8F" w:rsidRDefault="00E34A8F" w:rsidP="00E34A8F">
            <w:pPr>
              <w:widowControl/>
              <w:adjustRightInd/>
              <w:rPr>
                <w:rFonts w:ascii="Arial" w:hAnsi="Arial" w:cs="Arial"/>
                <w:sz w:val="20"/>
                <w:szCs w:val="20"/>
              </w:rPr>
            </w:pPr>
            <w:r w:rsidRPr="00E34A8F">
              <w:rPr>
                <w:rFonts w:ascii="Arial" w:hAnsi="Arial" w:cs="Arial"/>
                <w:sz w:val="20"/>
                <w:szCs w:val="20"/>
              </w:rPr>
              <w:t> </w:t>
            </w:r>
          </w:p>
        </w:tc>
        <w:tc>
          <w:tcPr>
            <w:tcW w:w="580" w:type="dxa"/>
            <w:tcBorders>
              <w:top w:val="nil"/>
              <w:left w:val="nil"/>
              <w:bottom w:val="single" w:sz="8" w:space="0" w:color="000000"/>
              <w:right w:val="single" w:sz="8" w:space="0" w:color="000000"/>
            </w:tcBorders>
            <w:shd w:val="clear" w:color="auto" w:fill="auto"/>
            <w:vAlign w:val="bottom"/>
            <w:hideMark/>
          </w:tcPr>
          <w:p w14:paraId="2EACF481" w14:textId="77777777" w:rsidR="00E34A8F" w:rsidRPr="00E34A8F" w:rsidRDefault="00E34A8F" w:rsidP="00E34A8F">
            <w:pPr>
              <w:widowControl/>
              <w:adjustRightInd/>
              <w:jc w:val="center"/>
              <w:rPr>
                <w:b/>
                <w:bCs/>
                <w:sz w:val="14"/>
                <w:szCs w:val="14"/>
              </w:rPr>
            </w:pPr>
            <w:r w:rsidRPr="00E34A8F">
              <w:rPr>
                <w:b/>
                <w:bCs/>
                <w:sz w:val="14"/>
                <w:szCs w:val="14"/>
              </w:rPr>
              <w:t>Mgt</w:t>
            </w:r>
          </w:p>
        </w:tc>
        <w:tc>
          <w:tcPr>
            <w:tcW w:w="580" w:type="dxa"/>
            <w:tcBorders>
              <w:top w:val="nil"/>
              <w:left w:val="nil"/>
              <w:bottom w:val="single" w:sz="8" w:space="0" w:color="000000"/>
              <w:right w:val="single" w:sz="8" w:space="0" w:color="000000"/>
            </w:tcBorders>
            <w:shd w:val="clear" w:color="auto" w:fill="auto"/>
            <w:vAlign w:val="bottom"/>
            <w:hideMark/>
          </w:tcPr>
          <w:p w14:paraId="3C2CC285" w14:textId="77777777" w:rsidR="00E34A8F" w:rsidRPr="00E34A8F" w:rsidRDefault="00E34A8F" w:rsidP="00E34A8F">
            <w:pPr>
              <w:widowControl/>
              <w:adjustRightInd/>
              <w:jc w:val="center"/>
              <w:rPr>
                <w:b/>
                <w:bCs/>
                <w:sz w:val="14"/>
                <w:szCs w:val="14"/>
              </w:rPr>
            </w:pPr>
            <w:r w:rsidRPr="00E34A8F">
              <w:rPr>
                <w:b/>
                <w:bCs/>
                <w:sz w:val="14"/>
                <w:szCs w:val="14"/>
              </w:rPr>
              <w:t>Tech</w:t>
            </w:r>
          </w:p>
        </w:tc>
        <w:tc>
          <w:tcPr>
            <w:tcW w:w="700" w:type="dxa"/>
            <w:tcBorders>
              <w:top w:val="nil"/>
              <w:left w:val="nil"/>
              <w:bottom w:val="single" w:sz="8" w:space="0" w:color="000000"/>
              <w:right w:val="single" w:sz="8" w:space="0" w:color="000000"/>
            </w:tcBorders>
            <w:shd w:val="clear" w:color="auto" w:fill="auto"/>
            <w:vAlign w:val="bottom"/>
            <w:hideMark/>
          </w:tcPr>
          <w:p w14:paraId="1C2F3100" w14:textId="77777777" w:rsidR="00E34A8F" w:rsidRPr="00E34A8F" w:rsidRDefault="00E34A8F" w:rsidP="00E34A8F">
            <w:pPr>
              <w:widowControl/>
              <w:adjustRightInd/>
              <w:jc w:val="center"/>
              <w:rPr>
                <w:b/>
                <w:bCs/>
                <w:sz w:val="14"/>
                <w:szCs w:val="14"/>
              </w:rPr>
            </w:pPr>
            <w:r w:rsidRPr="00E34A8F">
              <w:rPr>
                <w:b/>
                <w:bCs/>
                <w:sz w:val="14"/>
                <w:szCs w:val="14"/>
              </w:rPr>
              <w:t>Clerical</w:t>
            </w:r>
          </w:p>
        </w:tc>
        <w:tc>
          <w:tcPr>
            <w:tcW w:w="620" w:type="dxa"/>
            <w:tcBorders>
              <w:top w:val="nil"/>
              <w:left w:val="nil"/>
              <w:bottom w:val="single" w:sz="8" w:space="0" w:color="000000"/>
              <w:right w:val="single" w:sz="8" w:space="0" w:color="000000"/>
            </w:tcBorders>
            <w:shd w:val="clear" w:color="auto" w:fill="auto"/>
            <w:vAlign w:val="bottom"/>
            <w:hideMark/>
          </w:tcPr>
          <w:p w14:paraId="597787D1" w14:textId="77777777" w:rsidR="00E34A8F" w:rsidRPr="00E34A8F" w:rsidRDefault="00E34A8F" w:rsidP="00E34A8F">
            <w:pPr>
              <w:widowControl/>
              <w:adjustRightInd/>
              <w:jc w:val="center"/>
              <w:rPr>
                <w:b/>
                <w:bCs/>
                <w:sz w:val="14"/>
                <w:szCs w:val="14"/>
              </w:rPr>
            </w:pPr>
            <w:r w:rsidRPr="00E34A8F">
              <w:rPr>
                <w:b/>
                <w:bCs/>
                <w:sz w:val="14"/>
                <w:szCs w:val="14"/>
              </w:rPr>
              <w:t>Total</w:t>
            </w:r>
          </w:p>
        </w:tc>
        <w:tc>
          <w:tcPr>
            <w:tcW w:w="700" w:type="dxa"/>
            <w:tcBorders>
              <w:top w:val="nil"/>
              <w:left w:val="nil"/>
              <w:bottom w:val="single" w:sz="8" w:space="0" w:color="000000"/>
              <w:right w:val="single" w:sz="8" w:space="0" w:color="000000"/>
            </w:tcBorders>
            <w:shd w:val="clear" w:color="auto" w:fill="auto"/>
            <w:vAlign w:val="bottom"/>
            <w:hideMark/>
          </w:tcPr>
          <w:p w14:paraId="59A24D51" w14:textId="77777777" w:rsidR="00E34A8F" w:rsidRPr="00E34A8F" w:rsidRDefault="00E34A8F" w:rsidP="00E34A8F">
            <w:pPr>
              <w:widowControl/>
              <w:adjustRightInd/>
              <w:jc w:val="center"/>
              <w:rPr>
                <w:b/>
                <w:bCs/>
                <w:sz w:val="14"/>
                <w:szCs w:val="14"/>
              </w:rPr>
            </w:pPr>
            <w:r w:rsidRPr="00E34A8F">
              <w:rPr>
                <w:b/>
                <w:bCs/>
                <w:sz w:val="14"/>
                <w:szCs w:val="14"/>
              </w:rPr>
              <w:t>Mgt</w:t>
            </w:r>
          </w:p>
        </w:tc>
        <w:tc>
          <w:tcPr>
            <w:tcW w:w="700" w:type="dxa"/>
            <w:tcBorders>
              <w:top w:val="nil"/>
              <w:left w:val="nil"/>
              <w:bottom w:val="single" w:sz="8" w:space="0" w:color="000000"/>
              <w:right w:val="single" w:sz="8" w:space="0" w:color="000000"/>
            </w:tcBorders>
            <w:shd w:val="clear" w:color="auto" w:fill="auto"/>
            <w:vAlign w:val="bottom"/>
            <w:hideMark/>
          </w:tcPr>
          <w:p w14:paraId="427D07F3" w14:textId="77777777" w:rsidR="00E34A8F" w:rsidRPr="00E34A8F" w:rsidRDefault="00E34A8F" w:rsidP="00E34A8F">
            <w:pPr>
              <w:widowControl/>
              <w:adjustRightInd/>
              <w:jc w:val="center"/>
              <w:rPr>
                <w:b/>
                <w:bCs/>
                <w:sz w:val="14"/>
                <w:szCs w:val="14"/>
              </w:rPr>
            </w:pPr>
            <w:r w:rsidRPr="00E34A8F">
              <w:rPr>
                <w:b/>
                <w:bCs/>
                <w:sz w:val="14"/>
                <w:szCs w:val="14"/>
              </w:rPr>
              <w:t>Tech</w:t>
            </w:r>
          </w:p>
        </w:tc>
        <w:tc>
          <w:tcPr>
            <w:tcW w:w="700" w:type="dxa"/>
            <w:tcBorders>
              <w:top w:val="nil"/>
              <w:left w:val="nil"/>
              <w:bottom w:val="single" w:sz="8" w:space="0" w:color="000000"/>
              <w:right w:val="single" w:sz="8" w:space="0" w:color="000000"/>
            </w:tcBorders>
            <w:shd w:val="clear" w:color="auto" w:fill="auto"/>
            <w:vAlign w:val="bottom"/>
            <w:hideMark/>
          </w:tcPr>
          <w:p w14:paraId="51A6C1DA" w14:textId="77777777" w:rsidR="00E34A8F" w:rsidRPr="00E34A8F" w:rsidRDefault="00E34A8F" w:rsidP="00E34A8F">
            <w:pPr>
              <w:widowControl/>
              <w:adjustRightInd/>
              <w:jc w:val="center"/>
              <w:rPr>
                <w:b/>
                <w:bCs/>
                <w:sz w:val="14"/>
                <w:szCs w:val="14"/>
              </w:rPr>
            </w:pPr>
            <w:r w:rsidRPr="00E34A8F">
              <w:rPr>
                <w:b/>
                <w:bCs/>
                <w:sz w:val="14"/>
                <w:szCs w:val="14"/>
              </w:rPr>
              <w:t>Clerical</w:t>
            </w:r>
          </w:p>
        </w:tc>
        <w:tc>
          <w:tcPr>
            <w:tcW w:w="540" w:type="dxa"/>
            <w:tcBorders>
              <w:top w:val="nil"/>
              <w:left w:val="nil"/>
              <w:bottom w:val="single" w:sz="8" w:space="0" w:color="000000"/>
              <w:right w:val="single" w:sz="8" w:space="0" w:color="000000"/>
            </w:tcBorders>
            <w:shd w:val="clear" w:color="auto" w:fill="auto"/>
            <w:vAlign w:val="bottom"/>
            <w:hideMark/>
          </w:tcPr>
          <w:p w14:paraId="0567BA77" w14:textId="77777777" w:rsidR="00E34A8F" w:rsidRPr="00E34A8F" w:rsidRDefault="00E34A8F" w:rsidP="00E34A8F">
            <w:pPr>
              <w:widowControl/>
              <w:adjustRightInd/>
              <w:jc w:val="center"/>
              <w:rPr>
                <w:b/>
                <w:bCs/>
                <w:sz w:val="14"/>
                <w:szCs w:val="14"/>
              </w:rPr>
            </w:pPr>
            <w:r w:rsidRPr="00E34A8F">
              <w:rPr>
                <w:b/>
                <w:bCs/>
                <w:sz w:val="14"/>
                <w:szCs w:val="14"/>
              </w:rPr>
              <w:t>Total</w:t>
            </w:r>
          </w:p>
        </w:tc>
        <w:tc>
          <w:tcPr>
            <w:tcW w:w="580" w:type="dxa"/>
            <w:tcBorders>
              <w:top w:val="nil"/>
              <w:left w:val="nil"/>
              <w:bottom w:val="single" w:sz="8" w:space="0" w:color="000000"/>
              <w:right w:val="single" w:sz="8" w:space="0" w:color="000000"/>
            </w:tcBorders>
            <w:shd w:val="clear" w:color="auto" w:fill="auto"/>
            <w:vAlign w:val="bottom"/>
            <w:hideMark/>
          </w:tcPr>
          <w:p w14:paraId="77691AC7" w14:textId="77777777" w:rsidR="00E34A8F" w:rsidRPr="00E34A8F" w:rsidRDefault="00E34A8F" w:rsidP="00E34A8F">
            <w:pPr>
              <w:widowControl/>
              <w:adjustRightInd/>
              <w:jc w:val="center"/>
              <w:rPr>
                <w:b/>
                <w:bCs/>
                <w:sz w:val="14"/>
                <w:szCs w:val="14"/>
              </w:rPr>
            </w:pPr>
            <w:r w:rsidRPr="00E34A8F">
              <w:rPr>
                <w:b/>
                <w:bCs/>
                <w:sz w:val="14"/>
                <w:szCs w:val="14"/>
              </w:rPr>
              <w:t>Mgt</w:t>
            </w:r>
          </w:p>
        </w:tc>
        <w:tc>
          <w:tcPr>
            <w:tcW w:w="700" w:type="dxa"/>
            <w:tcBorders>
              <w:top w:val="nil"/>
              <w:left w:val="nil"/>
              <w:bottom w:val="single" w:sz="8" w:space="0" w:color="000000"/>
              <w:right w:val="single" w:sz="8" w:space="0" w:color="000000"/>
            </w:tcBorders>
            <w:shd w:val="clear" w:color="auto" w:fill="auto"/>
            <w:vAlign w:val="bottom"/>
            <w:hideMark/>
          </w:tcPr>
          <w:p w14:paraId="1635434D" w14:textId="77777777" w:rsidR="00E34A8F" w:rsidRPr="00E34A8F" w:rsidRDefault="00E34A8F" w:rsidP="00E34A8F">
            <w:pPr>
              <w:widowControl/>
              <w:adjustRightInd/>
              <w:jc w:val="center"/>
              <w:rPr>
                <w:b/>
                <w:bCs/>
                <w:sz w:val="14"/>
                <w:szCs w:val="14"/>
              </w:rPr>
            </w:pPr>
            <w:r w:rsidRPr="00E34A8F">
              <w:rPr>
                <w:b/>
                <w:bCs/>
                <w:sz w:val="14"/>
                <w:szCs w:val="14"/>
              </w:rPr>
              <w:t>Tech</w:t>
            </w:r>
          </w:p>
        </w:tc>
        <w:tc>
          <w:tcPr>
            <w:tcW w:w="700" w:type="dxa"/>
            <w:tcBorders>
              <w:top w:val="nil"/>
              <w:left w:val="nil"/>
              <w:bottom w:val="single" w:sz="8" w:space="0" w:color="000000"/>
              <w:right w:val="single" w:sz="8" w:space="0" w:color="000000"/>
            </w:tcBorders>
            <w:shd w:val="clear" w:color="auto" w:fill="auto"/>
            <w:vAlign w:val="bottom"/>
            <w:hideMark/>
          </w:tcPr>
          <w:p w14:paraId="14638FF5" w14:textId="77777777" w:rsidR="00E34A8F" w:rsidRPr="00E34A8F" w:rsidRDefault="00E34A8F" w:rsidP="00E34A8F">
            <w:pPr>
              <w:widowControl/>
              <w:adjustRightInd/>
              <w:jc w:val="center"/>
              <w:rPr>
                <w:b/>
                <w:bCs/>
                <w:sz w:val="14"/>
                <w:szCs w:val="14"/>
              </w:rPr>
            </w:pPr>
            <w:r w:rsidRPr="00E34A8F">
              <w:rPr>
                <w:b/>
                <w:bCs/>
                <w:sz w:val="14"/>
                <w:szCs w:val="14"/>
              </w:rPr>
              <w:t>Clerical</w:t>
            </w:r>
          </w:p>
        </w:tc>
        <w:tc>
          <w:tcPr>
            <w:tcW w:w="700" w:type="dxa"/>
            <w:tcBorders>
              <w:top w:val="nil"/>
              <w:left w:val="nil"/>
              <w:bottom w:val="single" w:sz="8" w:space="0" w:color="000000"/>
              <w:right w:val="double" w:sz="6" w:space="0" w:color="000000"/>
            </w:tcBorders>
            <w:shd w:val="clear" w:color="auto" w:fill="auto"/>
            <w:vAlign w:val="bottom"/>
            <w:hideMark/>
          </w:tcPr>
          <w:p w14:paraId="4A965935" w14:textId="77777777" w:rsidR="00E34A8F" w:rsidRPr="00E34A8F" w:rsidRDefault="00E34A8F" w:rsidP="00E34A8F">
            <w:pPr>
              <w:widowControl/>
              <w:adjustRightInd/>
              <w:jc w:val="center"/>
              <w:rPr>
                <w:b/>
                <w:bCs/>
                <w:sz w:val="14"/>
                <w:szCs w:val="14"/>
              </w:rPr>
            </w:pPr>
            <w:r w:rsidRPr="00E34A8F">
              <w:rPr>
                <w:b/>
                <w:bCs/>
                <w:sz w:val="14"/>
                <w:szCs w:val="14"/>
              </w:rPr>
              <w:t>Total</w:t>
            </w:r>
          </w:p>
        </w:tc>
      </w:tr>
      <w:tr w:rsidR="00E34A8F" w:rsidRPr="00E34A8F" w14:paraId="0F390F16" w14:textId="77777777" w:rsidTr="00E34A8F">
        <w:trPr>
          <w:trHeight w:val="780"/>
        </w:trPr>
        <w:tc>
          <w:tcPr>
            <w:tcW w:w="1660" w:type="dxa"/>
            <w:tcBorders>
              <w:top w:val="nil"/>
              <w:left w:val="double" w:sz="6" w:space="0" w:color="000000"/>
              <w:bottom w:val="single" w:sz="8" w:space="0" w:color="000000"/>
              <w:right w:val="single" w:sz="8" w:space="0" w:color="000000"/>
            </w:tcBorders>
            <w:shd w:val="clear" w:color="auto" w:fill="auto"/>
            <w:vAlign w:val="bottom"/>
            <w:hideMark/>
          </w:tcPr>
          <w:p w14:paraId="00FF2DAF" w14:textId="77777777" w:rsidR="00E34A8F" w:rsidRPr="00E34A8F" w:rsidRDefault="00E34A8F" w:rsidP="00E34A8F">
            <w:pPr>
              <w:widowControl/>
              <w:adjustRightInd/>
              <w:rPr>
                <w:sz w:val="20"/>
                <w:szCs w:val="20"/>
              </w:rPr>
            </w:pPr>
            <w:r w:rsidRPr="00E34A8F">
              <w:rPr>
                <w:sz w:val="20"/>
                <w:szCs w:val="20"/>
              </w:rPr>
              <w:t>Providing an Initial Telephone Notification</w:t>
            </w:r>
          </w:p>
        </w:tc>
        <w:tc>
          <w:tcPr>
            <w:tcW w:w="580" w:type="dxa"/>
            <w:tcBorders>
              <w:top w:val="nil"/>
              <w:left w:val="nil"/>
              <w:bottom w:val="single" w:sz="8" w:space="0" w:color="000000"/>
              <w:right w:val="single" w:sz="8" w:space="0" w:color="000000"/>
            </w:tcBorders>
            <w:shd w:val="clear" w:color="auto" w:fill="auto"/>
            <w:vAlign w:val="bottom"/>
            <w:hideMark/>
          </w:tcPr>
          <w:p w14:paraId="58884B72" w14:textId="77777777" w:rsidR="00E34A8F" w:rsidRPr="00E34A8F" w:rsidRDefault="00E34A8F" w:rsidP="00E34A8F">
            <w:pPr>
              <w:widowControl/>
              <w:adjustRightInd/>
              <w:jc w:val="center"/>
              <w:rPr>
                <w:sz w:val="20"/>
                <w:szCs w:val="20"/>
              </w:rPr>
            </w:pPr>
            <w:r w:rsidRPr="00E34A8F">
              <w:rPr>
                <w:sz w:val="20"/>
                <w:szCs w:val="20"/>
              </w:rPr>
              <w:t>8.0</w:t>
            </w:r>
          </w:p>
        </w:tc>
        <w:tc>
          <w:tcPr>
            <w:tcW w:w="580" w:type="dxa"/>
            <w:tcBorders>
              <w:top w:val="nil"/>
              <w:left w:val="nil"/>
              <w:bottom w:val="single" w:sz="8" w:space="0" w:color="000000"/>
              <w:right w:val="single" w:sz="8" w:space="0" w:color="000000"/>
            </w:tcBorders>
            <w:shd w:val="clear" w:color="auto" w:fill="auto"/>
            <w:vAlign w:val="bottom"/>
            <w:hideMark/>
          </w:tcPr>
          <w:p w14:paraId="7FC32915" w14:textId="77777777" w:rsidR="00E34A8F" w:rsidRPr="00E34A8F" w:rsidRDefault="00E34A8F" w:rsidP="00E34A8F">
            <w:pPr>
              <w:widowControl/>
              <w:adjustRightInd/>
              <w:jc w:val="center"/>
              <w:rPr>
                <w:sz w:val="20"/>
                <w:szCs w:val="20"/>
              </w:rPr>
            </w:pPr>
            <w:r w:rsidRPr="00E34A8F">
              <w:rPr>
                <w:sz w:val="20"/>
                <w:szCs w:val="20"/>
              </w:rPr>
              <w:t>16.0</w:t>
            </w:r>
          </w:p>
        </w:tc>
        <w:tc>
          <w:tcPr>
            <w:tcW w:w="700" w:type="dxa"/>
            <w:tcBorders>
              <w:top w:val="nil"/>
              <w:left w:val="nil"/>
              <w:bottom w:val="single" w:sz="8" w:space="0" w:color="000000"/>
              <w:right w:val="single" w:sz="8" w:space="0" w:color="000000"/>
            </w:tcBorders>
            <w:shd w:val="clear" w:color="auto" w:fill="auto"/>
            <w:vAlign w:val="bottom"/>
            <w:hideMark/>
          </w:tcPr>
          <w:p w14:paraId="7D0BF9AB" w14:textId="77777777" w:rsidR="00E34A8F" w:rsidRPr="00E34A8F" w:rsidRDefault="00E34A8F" w:rsidP="00E34A8F">
            <w:pPr>
              <w:widowControl/>
              <w:adjustRightInd/>
              <w:jc w:val="center"/>
              <w:rPr>
                <w:sz w:val="20"/>
                <w:szCs w:val="20"/>
              </w:rPr>
            </w:pPr>
            <w:r w:rsidRPr="00E34A8F">
              <w:rPr>
                <w:sz w:val="20"/>
                <w:szCs w:val="20"/>
              </w:rPr>
              <w:t>0.0</w:t>
            </w:r>
          </w:p>
        </w:tc>
        <w:tc>
          <w:tcPr>
            <w:tcW w:w="620" w:type="dxa"/>
            <w:tcBorders>
              <w:top w:val="nil"/>
              <w:left w:val="nil"/>
              <w:bottom w:val="single" w:sz="8" w:space="0" w:color="000000"/>
              <w:right w:val="single" w:sz="8" w:space="0" w:color="000000"/>
            </w:tcBorders>
            <w:shd w:val="clear" w:color="auto" w:fill="auto"/>
            <w:vAlign w:val="bottom"/>
            <w:hideMark/>
          </w:tcPr>
          <w:p w14:paraId="4F761CD1" w14:textId="77777777" w:rsidR="00E34A8F" w:rsidRPr="00E34A8F" w:rsidRDefault="00E34A8F" w:rsidP="00E34A8F">
            <w:pPr>
              <w:widowControl/>
              <w:adjustRightInd/>
              <w:jc w:val="center"/>
              <w:rPr>
                <w:b/>
                <w:bCs/>
                <w:sz w:val="20"/>
                <w:szCs w:val="20"/>
              </w:rPr>
            </w:pPr>
            <w:r w:rsidRPr="00E34A8F">
              <w:rPr>
                <w:b/>
                <w:bCs/>
                <w:sz w:val="20"/>
                <w:szCs w:val="20"/>
              </w:rPr>
              <w:t>24.0</w:t>
            </w:r>
          </w:p>
        </w:tc>
        <w:tc>
          <w:tcPr>
            <w:tcW w:w="700" w:type="dxa"/>
            <w:tcBorders>
              <w:top w:val="nil"/>
              <w:left w:val="nil"/>
              <w:bottom w:val="single" w:sz="8" w:space="0" w:color="000000"/>
              <w:right w:val="single" w:sz="8" w:space="0" w:color="000000"/>
            </w:tcBorders>
            <w:shd w:val="clear" w:color="auto" w:fill="auto"/>
            <w:vAlign w:val="bottom"/>
            <w:hideMark/>
          </w:tcPr>
          <w:p w14:paraId="013C55F8" w14:textId="77777777"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14:paraId="02BACEFC" w14:textId="77777777"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14:paraId="53A33C64" w14:textId="77777777" w:rsidR="00E34A8F" w:rsidRPr="00E34A8F" w:rsidRDefault="00E34A8F" w:rsidP="00E34A8F">
            <w:pPr>
              <w:widowControl/>
              <w:adjustRightInd/>
              <w:jc w:val="center"/>
              <w:rPr>
                <w:sz w:val="20"/>
                <w:szCs w:val="20"/>
              </w:rPr>
            </w:pPr>
            <w:r w:rsidRPr="00E34A8F">
              <w:rPr>
                <w:sz w:val="20"/>
                <w:szCs w:val="20"/>
              </w:rPr>
              <w:t>NA</w:t>
            </w:r>
          </w:p>
        </w:tc>
        <w:tc>
          <w:tcPr>
            <w:tcW w:w="540" w:type="dxa"/>
            <w:tcBorders>
              <w:top w:val="nil"/>
              <w:left w:val="nil"/>
              <w:bottom w:val="single" w:sz="8" w:space="0" w:color="000000"/>
              <w:right w:val="single" w:sz="8" w:space="0" w:color="000000"/>
            </w:tcBorders>
            <w:shd w:val="clear" w:color="auto" w:fill="auto"/>
            <w:vAlign w:val="bottom"/>
            <w:hideMark/>
          </w:tcPr>
          <w:p w14:paraId="38509910" w14:textId="77777777" w:rsidR="00E34A8F" w:rsidRPr="00E34A8F" w:rsidRDefault="00E34A8F" w:rsidP="00E34A8F">
            <w:pPr>
              <w:widowControl/>
              <w:adjustRightInd/>
              <w:jc w:val="center"/>
              <w:rPr>
                <w:b/>
                <w:bCs/>
                <w:sz w:val="20"/>
                <w:szCs w:val="20"/>
              </w:rPr>
            </w:pPr>
            <w:r w:rsidRPr="00E34A8F">
              <w:rPr>
                <w:b/>
                <w:bCs/>
                <w:sz w:val="20"/>
                <w:szCs w:val="20"/>
              </w:rPr>
              <w:t>0.0</w:t>
            </w:r>
          </w:p>
        </w:tc>
        <w:tc>
          <w:tcPr>
            <w:tcW w:w="580" w:type="dxa"/>
            <w:tcBorders>
              <w:top w:val="nil"/>
              <w:left w:val="nil"/>
              <w:bottom w:val="single" w:sz="8" w:space="0" w:color="000000"/>
              <w:right w:val="single" w:sz="8" w:space="0" w:color="000000"/>
            </w:tcBorders>
            <w:shd w:val="clear" w:color="auto" w:fill="auto"/>
            <w:vAlign w:val="bottom"/>
            <w:hideMark/>
          </w:tcPr>
          <w:p w14:paraId="070CC60B" w14:textId="77777777"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14:paraId="10165590" w14:textId="77777777"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14:paraId="43DD2651" w14:textId="77777777"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double" w:sz="6" w:space="0" w:color="000000"/>
            </w:tcBorders>
            <w:shd w:val="clear" w:color="auto" w:fill="auto"/>
            <w:vAlign w:val="bottom"/>
            <w:hideMark/>
          </w:tcPr>
          <w:p w14:paraId="1613C353" w14:textId="77777777" w:rsidR="00E34A8F" w:rsidRPr="00E34A8F" w:rsidRDefault="00E34A8F" w:rsidP="00E34A8F">
            <w:pPr>
              <w:widowControl/>
              <w:adjustRightInd/>
              <w:jc w:val="center"/>
              <w:rPr>
                <w:b/>
                <w:bCs/>
                <w:sz w:val="20"/>
                <w:szCs w:val="20"/>
              </w:rPr>
            </w:pPr>
            <w:r w:rsidRPr="00E34A8F">
              <w:rPr>
                <w:b/>
                <w:bCs/>
                <w:sz w:val="20"/>
                <w:szCs w:val="20"/>
              </w:rPr>
              <w:t>0.0</w:t>
            </w:r>
          </w:p>
        </w:tc>
      </w:tr>
      <w:tr w:rsidR="00E34A8F" w:rsidRPr="00E34A8F" w14:paraId="0E3B1670" w14:textId="77777777" w:rsidTr="00E34A8F">
        <w:trPr>
          <w:trHeight w:val="525"/>
        </w:trPr>
        <w:tc>
          <w:tcPr>
            <w:tcW w:w="1660" w:type="dxa"/>
            <w:tcBorders>
              <w:top w:val="nil"/>
              <w:left w:val="double" w:sz="6" w:space="0" w:color="000000"/>
              <w:bottom w:val="single" w:sz="8" w:space="0" w:color="000000"/>
              <w:right w:val="single" w:sz="8" w:space="0" w:color="000000"/>
            </w:tcBorders>
            <w:shd w:val="clear" w:color="auto" w:fill="auto"/>
            <w:vAlign w:val="bottom"/>
            <w:hideMark/>
          </w:tcPr>
          <w:p w14:paraId="1B0480DB" w14:textId="77777777" w:rsidR="00E34A8F" w:rsidRPr="00E34A8F" w:rsidRDefault="00E34A8F" w:rsidP="00E34A8F">
            <w:pPr>
              <w:widowControl/>
              <w:adjustRightInd/>
              <w:rPr>
                <w:sz w:val="20"/>
                <w:szCs w:val="20"/>
              </w:rPr>
            </w:pPr>
            <w:r w:rsidRPr="00E34A8F">
              <w:rPr>
                <w:sz w:val="20"/>
                <w:szCs w:val="20"/>
              </w:rPr>
              <w:t>Preparing an Initial Written Report</w:t>
            </w:r>
          </w:p>
        </w:tc>
        <w:tc>
          <w:tcPr>
            <w:tcW w:w="580" w:type="dxa"/>
            <w:tcBorders>
              <w:top w:val="nil"/>
              <w:left w:val="nil"/>
              <w:bottom w:val="single" w:sz="8" w:space="0" w:color="000000"/>
              <w:right w:val="single" w:sz="8" w:space="0" w:color="000000"/>
            </w:tcBorders>
            <w:shd w:val="clear" w:color="auto" w:fill="auto"/>
            <w:vAlign w:val="bottom"/>
            <w:hideMark/>
          </w:tcPr>
          <w:p w14:paraId="16D01E70" w14:textId="77777777" w:rsidR="00E34A8F" w:rsidRPr="00E34A8F" w:rsidRDefault="00E34A8F" w:rsidP="00E34A8F">
            <w:pPr>
              <w:widowControl/>
              <w:adjustRightInd/>
              <w:jc w:val="center"/>
              <w:rPr>
                <w:sz w:val="20"/>
                <w:szCs w:val="20"/>
              </w:rPr>
            </w:pPr>
            <w:r w:rsidRPr="00E34A8F">
              <w:rPr>
                <w:sz w:val="20"/>
                <w:szCs w:val="20"/>
              </w:rPr>
              <w:t>24.0</w:t>
            </w:r>
          </w:p>
        </w:tc>
        <w:tc>
          <w:tcPr>
            <w:tcW w:w="580" w:type="dxa"/>
            <w:tcBorders>
              <w:top w:val="nil"/>
              <w:left w:val="nil"/>
              <w:bottom w:val="single" w:sz="8" w:space="0" w:color="000000"/>
              <w:right w:val="single" w:sz="8" w:space="0" w:color="000000"/>
            </w:tcBorders>
            <w:shd w:val="clear" w:color="auto" w:fill="auto"/>
            <w:vAlign w:val="bottom"/>
            <w:hideMark/>
          </w:tcPr>
          <w:p w14:paraId="492C701A" w14:textId="77777777" w:rsidR="00E34A8F" w:rsidRPr="00E34A8F" w:rsidRDefault="00E34A8F" w:rsidP="00E34A8F">
            <w:pPr>
              <w:widowControl/>
              <w:adjustRightInd/>
              <w:jc w:val="center"/>
              <w:rPr>
                <w:sz w:val="20"/>
                <w:szCs w:val="20"/>
              </w:rPr>
            </w:pPr>
            <w:r w:rsidRPr="00E34A8F">
              <w:rPr>
                <w:sz w:val="20"/>
                <w:szCs w:val="20"/>
              </w:rPr>
              <w:t>32.0</w:t>
            </w:r>
          </w:p>
        </w:tc>
        <w:tc>
          <w:tcPr>
            <w:tcW w:w="700" w:type="dxa"/>
            <w:tcBorders>
              <w:top w:val="nil"/>
              <w:left w:val="nil"/>
              <w:bottom w:val="single" w:sz="8" w:space="0" w:color="000000"/>
              <w:right w:val="single" w:sz="8" w:space="0" w:color="000000"/>
            </w:tcBorders>
            <w:shd w:val="clear" w:color="auto" w:fill="auto"/>
            <w:vAlign w:val="bottom"/>
            <w:hideMark/>
          </w:tcPr>
          <w:p w14:paraId="48D55EE0" w14:textId="77777777" w:rsidR="00E34A8F" w:rsidRPr="00E34A8F" w:rsidRDefault="00E34A8F" w:rsidP="00E34A8F">
            <w:pPr>
              <w:widowControl/>
              <w:adjustRightInd/>
              <w:jc w:val="center"/>
              <w:rPr>
                <w:sz w:val="20"/>
                <w:szCs w:val="20"/>
              </w:rPr>
            </w:pPr>
            <w:r w:rsidRPr="00E34A8F">
              <w:rPr>
                <w:sz w:val="20"/>
                <w:szCs w:val="20"/>
              </w:rPr>
              <w:t>8.0</w:t>
            </w:r>
          </w:p>
        </w:tc>
        <w:tc>
          <w:tcPr>
            <w:tcW w:w="620" w:type="dxa"/>
            <w:tcBorders>
              <w:top w:val="nil"/>
              <w:left w:val="nil"/>
              <w:bottom w:val="single" w:sz="8" w:space="0" w:color="000000"/>
              <w:right w:val="single" w:sz="8" w:space="0" w:color="000000"/>
            </w:tcBorders>
            <w:shd w:val="clear" w:color="auto" w:fill="auto"/>
            <w:vAlign w:val="bottom"/>
            <w:hideMark/>
          </w:tcPr>
          <w:p w14:paraId="3CA59184" w14:textId="77777777" w:rsidR="00E34A8F" w:rsidRPr="00E34A8F" w:rsidRDefault="00E34A8F" w:rsidP="00E34A8F">
            <w:pPr>
              <w:widowControl/>
              <w:adjustRightInd/>
              <w:jc w:val="center"/>
              <w:rPr>
                <w:b/>
                <w:bCs/>
                <w:sz w:val="20"/>
                <w:szCs w:val="20"/>
              </w:rPr>
            </w:pPr>
            <w:r w:rsidRPr="00E34A8F">
              <w:rPr>
                <w:b/>
                <w:bCs/>
                <w:sz w:val="20"/>
                <w:szCs w:val="20"/>
              </w:rPr>
              <w:t>64.0</w:t>
            </w:r>
          </w:p>
        </w:tc>
        <w:tc>
          <w:tcPr>
            <w:tcW w:w="700" w:type="dxa"/>
            <w:tcBorders>
              <w:top w:val="nil"/>
              <w:left w:val="nil"/>
              <w:bottom w:val="single" w:sz="8" w:space="0" w:color="000000"/>
              <w:right w:val="single" w:sz="8" w:space="0" w:color="000000"/>
            </w:tcBorders>
            <w:shd w:val="clear" w:color="auto" w:fill="auto"/>
            <w:vAlign w:val="bottom"/>
            <w:hideMark/>
          </w:tcPr>
          <w:p w14:paraId="36CC3C23" w14:textId="77777777"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14:paraId="542BD39F" w14:textId="77777777"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14:paraId="30624A7D" w14:textId="77777777" w:rsidR="00E34A8F" w:rsidRPr="00E34A8F" w:rsidRDefault="00E34A8F" w:rsidP="00E34A8F">
            <w:pPr>
              <w:widowControl/>
              <w:adjustRightInd/>
              <w:jc w:val="center"/>
              <w:rPr>
                <w:sz w:val="20"/>
                <w:szCs w:val="20"/>
              </w:rPr>
            </w:pPr>
            <w:r w:rsidRPr="00E34A8F">
              <w:rPr>
                <w:sz w:val="20"/>
                <w:szCs w:val="20"/>
              </w:rPr>
              <w:t>NA</w:t>
            </w:r>
          </w:p>
        </w:tc>
        <w:tc>
          <w:tcPr>
            <w:tcW w:w="540" w:type="dxa"/>
            <w:tcBorders>
              <w:top w:val="nil"/>
              <w:left w:val="nil"/>
              <w:bottom w:val="single" w:sz="8" w:space="0" w:color="000000"/>
              <w:right w:val="single" w:sz="8" w:space="0" w:color="000000"/>
            </w:tcBorders>
            <w:shd w:val="clear" w:color="auto" w:fill="auto"/>
            <w:vAlign w:val="bottom"/>
            <w:hideMark/>
          </w:tcPr>
          <w:p w14:paraId="45D05B13" w14:textId="77777777" w:rsidR="00E34A8F" w:rsidRPr="00E34A8F" w:rsidRDefault="00E34A8F" w:rsidP="00E34A8F">
            <w:pPr>
              <w:widowControl/>
              <w:adjustRightInd/>
              <w:jc w:val="center"/>
              <w:rPr>
                <w:b/>
                <w:bCs/>
                <w:sz w:val="20"/>
                <w:szCs w:val="20"/>
              </w:rPr>
            </w:pPr>
            <w:r w:rsidRPr="00E34A8F">
              <w:rPr>
                <w:b/>
                <w:bCs/>
                <w:sz w:val="20"/>
                <w:szCs w:val="20"/>
              </w:rPr>
              <w:t>0.0</w:t>
            </w:r>
          </w:p>
        </w:tc>
        <w:tc>
          <w:tcPr>
            <w:tcW w:w="580" w:type="dxa"/>
            <w:tcBorders>
              <w:top w:val="nil"/>
              <w:left w:val="nil"/>
              <w:bottom w:val="single" w:sz="8" w:space="0" w:color="000000"/>
              <w:right w:val="single" w:sz="8" w:space="0" w:color="000000"/>
            </w:tcBorders>
            <w:shd w:val="clear" w:color="auto" w:fill="auto"/>
            <w:vAlign w:val="bottom"/>
            <w:hideMark/>
          </w:tcPr>
          <w:p w14:paraId="6542D48C" w14:textId="77777777"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14:paraId="4FE0E73C" w14:textId="77777777"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14:paraId="0213C39D" w14:textId="77777777"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double" w:sz="6" w:space="0" w:color="000000"/>
            </w:tcBorders>
            <w:shd w:val="clear" w:color="auto" w:fill="auto"/>
            <w:vAlign w:val="bottom"/>
            <w:hideMark/>
          </w:tcPr>
          <w:p w14:paraId="4B441735" w14:textId="77777777" w:rsidR="00E34A8F" w:rsidRPr="00E34A8F" w:rsidRDefault="00E34A8F" w:rsidP="00E34A8F">
            <w:pPr>
              <w:widowControl/>
              <w:adjustRightInd/>
              <w:jc w:val="center"/>
              <w:rPr>
                <w:b/>
                <w:bCs/>
                <w:sz w:val="20"/>
                <w:szCs w:val="20"/>
              </w:rPr>
            </w:pPr>
            <w:r w:rsidRPr="00E34A8F">
              <w:rPr>
                <w:b/>
                <w:bCs/>
                <w:sz w:val="20"/>
                <w:szCs w:val="20"/>
              </w:rPr>
              <w:t>0.0</w:t>
            </w:r>
          </w:p>
        </w:tc>
      </w:tr>
      <w:tr w:rsidR="00E34A8F" w:rsidRPr="00E34A8F" w14:paraId="6A551DB7" w14:textId="77777777" w:rsidTr="00E34A8F">
        <w:trPr>
          <w:trHeight w:val="780"/>
        </w:trPr>
        <w:tc>
          <w:tcPr>
            <w:tcW w:w="1660" w:type="dxa"/>
            <w:tcBorders>
              <w:top w:val="nil"/>
              <w:left w:val="double" w:sz="6" w:space="0" w:color="000000"/>
              <w:bottom w:val="single" w:sz="8" w:space="0" w:color="000000"/>
              <w:right w:val="single" w:sz="8" w:space="0" w:color="000000"/>
            </w:tcBorders>
            <w:shd w:val="clear" w:color="auto" w:fill="auto"/>
            <w:vAlign w:val="bottom"/>
            <w:hideMark/>
          </w:tcPr>
          <w:p w14:paraId="0BD88A6D" w14:textId="77777777" w:rsidR="00E34A8F" w:rsidRPr="00E34A8F" w:rsidRDefault="00E34A8F" w:rsidP="00E34A8F">
            <w:pPr>
              <w:widowControl/>
              <w:adjustRightInd/>
              <w:rPr>
                <w:sz w:val="20"/>
                <w:szCs w:val="20"/>
              </w:rPr>
            </w:pPr>
            <w:r w:rsidRPr="00E34A8F">
              <w:rPr>
                <w:sz w:val="20"/>
                <w:szCs w:val="20"/>
              </w:rPr>
              <w:t>Preparing a Follow–up Written Report</w:t>
            </w:r>
          </w:p>
        </w:tc>
        <w:tc>
          <w:tcPr>
            <w:tcW w:w="580" w:type="dxa"/>
            <w:tcBorders>
              <w:top w:val="nil"/>
              <w:left w:val="nil"/>
              <w:bottom w:val="single" w:sz="8" w:space="0" w:color="000000"/>
              <w:right w:val="single" w:sz="8" w:space="0" w:color="000000"/>
            </w:tcBorders>
            <w:shd w:val="clear" w:color="auto" w:fill="auto"/>
            <w:vAlign w:val="bottom"/>
            <w:hideMark/>
          </w:tcPr>
          <w:p w14:paraId="0D4332DF" w14:textId="77777777" w:rsidR="00E34A8F" w:rsidRPr="00E34A8F" w:rsidRDefault="00E34A8F" w:rsidP="00E34A8F">
            <w:pPr>
              <w:widowControl/>
              <w:adjustRightInd/>
              <w:jc w:val="center"/>
              <w:rPr>
                <w:sz w:val="20"/>
                <w:szCs w:val="20"/>
              </w:rPr>
            </w:pPr>
            <w:r w:rsidRPr="00E34A8F">
              <w:rPr>
                <w:sz w:val="20"/>
                <w:szCs w:val="20"/>
              </w:rPr>
              <w:t>NA</w:t>
            </w:r>
          </w:p>
        </w:tc>
        <w:tc>
          <w:tcPr>
            <w:tcW w:w="580" w:type="dxa"/>
            <w:tcBorders>
              <w:top w:val="nil"/>
              <w:left w:val="nil"/>
              <w:bottom w:val="single" w:sz="8" w:space="0" w:color="000000"/>
              <w:right w:val="single" w:sz="8" w:space="0" w:color="000000"/>
            </w:tcBorders>
            <w:shd w:val="clear" w:color="auto" w:fill="auto"/>
            <w:vAlign w:val="bottom"/>
            <w:hideMark/>
          </w:tcPr>
          <w:p w14:paraId="66033C1F" w14:textId="77777777"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14:paraId="25266A6C" w14:textId="77777777" w:rsidR="00E34A8F" w:rsidRPr="00E34A8F" w:rsidRDefault="00E34A8F" w:rsidP="00E34A8F">
            <w:pPr>
              <w:widowControl/>
              <w:adjustRightInd/>
              <w:jc w:val="center"/>
              <w:rPr>
                <w:sz w:val="20"/>
                <w:szCs w:val="20"/>
              </w:rPr>
            </w:pPr>
            <w:r w:rsidRPr="00E34A8F">
              <w:rPr>
                <w:sz w:val="20"/>
                <w:szCs w:val="20"/>
              </w:rPr>
              <w:t>NA</w:t>
            </w:r>
          </w:p>
        </w:tc>
        <w:tc>
          <w:tcPr>
            <w:tcW w:w="620" w:type="dxa"/>
            <w:tcBorders>
              <w:top w:val="nil"/>
              <w:left w:val="nil"/>
              <w:bottom w:val="single" w:sz="8" w:space="0" w:color="000000"/>
              <w:right w:val="single" w:sz="8" w:space="0" w:color="000000"/>
            </w:tcBorders>
            <w:shd w:val="clear" w:color="auto" w:fill="auto"/>
            <w:vAlign w:val="bottom"/>
            <w:hideMark/>
          </w:tcPr>
          <w:p w14:paraId="4DCD800F" w14:textId="77777777" w:rsidR="00E34A8F" w:rsidRPr="00E34A8F" w:rsidRDefault="00E34A8F" w:rsidP="00E34A8F">
            <w:pPr>
              <w:widowControl/>
              <w:adjustRightInd/>
              <w:jc w:val="center"/>
              <w:rPr>
                <w:b/>
                <w:bCs/>
                <w:sz w:val="20"/>
                <w:szCs w:val="20"/>
              </w:rPr>
            </w:pPr>
            <w:r w:rsidRPr="00E34A8F">
              <w:rPr>
                <w:b/>
                <w:bCs/>
                <w:sz w:val="20"/>
                <w:szCs w:val="20"/>
              </w:rPr>
              <w:t>0.0</w:t>
            </w:r>
          </w:p>
        </w:tc>
        <w:tc>
          <w:tcPr>
            <w:tcW w:w="700" w:type="dxa"/>
            <w:tcBorders>
              <w:top w:val="nil"/>
              <w:left w:val="nil"/>
              <w:bottom w:val="single" w:sz="8" w:space="0" w:color="000000"/>
              <w:right w:val="single" w:sz="8" w:space="0" w:color="000000"/>
            </w:tcBorders>
            <w:shd w:val="clear" w:color="auto" w:fill="auto"/>
            <w:vAlign w:val="bottom"/>
            <w:hideMark/>
          </w:tcPr>
          <w:p w14:paraId="5FB69C95" w14:textId="77777777" w:rsidR="00E34A8F" w:rsidRPr="00E34A8F" w:rsidRDefault="00E34A8F" w:rsidP="00E34A8F">
            <w:pPr>
              <w:widowControl/>
              <w:adjustRightInd/>
              <w:jc w:val="center"/>
              <w:rPr>
                <w:sz w:val="20"/>
                <w:szCs w:val="20"/>
              </w:rPr>
            </w:pPr>
            <w:r w:rsidRPr="00E34A8F">
              <w:rPr>
                <w:sz w:val="20"/>
                <w:szCs w:val="20"/>
              </w:rPr>
              <w:t>24.0</w:t>
            </w:r>
          </w:p>
        </w:tc>
        <w:tc>
          <w:tcPr>
            <w:tcW w:w="700" w:type="dxa"/>
            <w:tcBorders>
              <w:top w:val="nil"/>
              <w:left w:val="nil"/>
              <w:bottom w:val="single" w:sz="8" w:space="0" w:color="000000"/>
              <w:right w:val="single" w:sz="8" w:space="0" w:color="000000"/>
            </w:tcBorders>
            <w:shd w:val="clear" w:color="auto" w:fill="auto"/>
            <w:vAlign w:val="bottom"/>
            <w:hideMark/>
          </w:tcPr>
          <w:p w14:paraId="7BA1F7DC" w14:textId="77777777" w:rsidR="00E34A8F" w:rsidRPr="00E34A8F" w:rsidRDefault="00E34A8F" w:rsidP="00E34A8F">
            <w:pPr>
              <w:widowControl/>
              <w:adjustRightInd/>
              <w:jc w:val="center"/>
              <w:rPr>
                <w:sz w:val="20"/>
                <w:szCs w:val="20"/>
              </w:rPr>
            </w:pPr>
            <w:r w:rsidRPr="00E34A8F">
              <w:rPr>
                <w:sz w:val="20"/>
                <w:szCs w:val="20"/>
              </w:rPr>
              <w:t>8.0</w:t>
            </w:r>
          </w:p>
        </w:tc>
        <w:tc>
          <w:tcPr>
            <w:tcW w:w="700" w:type="dxa"/>
            <w:tcBorders>
              <w:top w:val="nil"/>
              <w:left w:val="nil"/>
              <w:bottom w:val="single" w:sz="8" w:space="0" w:color="000000"/>
              <w:right w:val="single" w:sz="8" w:space="0" w:color="000000"/>
            </w:tcBorders>
            <w:shd w:val="clear" w:color="auto" w:fill="auto"/>
            <w:vAlign w:val="bottom"/>
            <w:hideMark/>
          </w:tcPr>
          <w:p w14:paraId="0FAEBD2B" w14:textId="77777777" w:rsidR="00E34A8F" w:rsidRPr="00E34A8F" w:rsidRDefault="00E34A8F" w:rsidP="00E34A8F">
            <w:pPr>
              <w:widowControl/>
              <w:adjustRightInd/>
              <w:jc w:val="center"/>
              <w:rPr>
                <w:sz w:val="20"/>
                <w:szCs w:val="20"/>
              </w:rPr>
            </w:pPr>
            <w:r w:rsidRPr="00E34A8F">
              <w:rPr>
                <w:sz w:val="20"/>
                <w:szCs w:val="20"/>
              </w:rPr>
              <w:t>8.0</w:t>
            </w:r>
          </w:p>
        </w:tc>
        <w:tc>
          <w:tcPr>
            <w:tcW w:w="540" w:type="dxa"/>
            <w:tcBorders>
              <w:top w:val="nil"/>
              <w:left w:val="nil"/>
              <w:bottom w:val="single" w:sz="8" w:space="0" w:color="000000"/>
              <w:right w:val="single" w:sz="8" w:space="0" w:color="000000"/>
            </w:tcBorders>
            <w:shd w:val="clear" w:color="auto" w:fill="auto"/>
            <w:vAlign w:val="bottom"/>
            <w:hideMark/>
          </w:tcPr>
          <w:p w14:paraId="3D9BD30B" w14:textId="77777777" w:rsidR="00E34A8F" w:rsidRPr="00E34A8F" w:rsidRDefault="00E34A8F" w:rsidP="00E34A8F">
            <w:pPr>
              <w:widowControl/>
              <w:adjustRightInd/>
              <w:jc w:val="center"/>
              <w:rPr>
                <w:b/>
                <w:bCs/>
                <w:sz w:val="20"/>
                <w:szCs w:val="20"/>
              </w:rPr>
            </w:pPr>
            <w:r w:rsidRPr="00E34A8F">
              <w:rPr>
                <w:b/>
                <w:bCs/>
                <w:sz w:val="20"/>
                <w:szCs w:val="20"/>
              </w:rPr>
              <w:t>40.0</w:t>
            </w:r>
          </w:p>
        </w:tc>
        <w:tc>
          <w:tcPr>
            <w:tcW w:w="580" w:type="dxa"/>
            <w:tcBorders>
              <w:top w:val="nil"/>
              <w:left w:val="nil"/>
              <w:bottom w:val="single" w:sz="8" w:space="0" w:color="000000"/>
              <w:right w:val="single" w:sz="8" w:space="0" w:color="000000"/>
            </w:tcBorders>
            <w:shd w:val="clear" w:color="auto" w:fill="auto"/>
            <w:vAlign w:val="bottom"/>
            <w:hideMark/>
          </w:tcPr>
          <w:p w14:paraId="1DFC1E39" w14:textId="77777777"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14:paraId="6C202049" w14:textId="77777777"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14:paraId="27837779" w14:textId="77777777"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double" w:sz="6" w:space="0" w:color="000000"/>
            </w:tcBorders>
            <w:shd w:val="clear" w:color="auto" w:fill="auto"/>
            <w:vAlign w:val="bottom"/>
            <w:hideMark/>
          </w:tcPr>
          <w:p w14:paraId="798B269C" w14:textId="77777777" w:rsidR="00E34A8F" w:rsidRPr="00E34A8F" w:rsidRDefault="00E34A8F" w:rsidP="00E34A8F">
            <w:pPr>
              <w:widowControl/>
              <w:adjustRightInd/>
              <w:jc w:val="center"/>
              <w:rPr>
                <w:b/>
                <w:bCs/>
                <w:sz w:val="20"/>
                <w:szCs w:val="20"/>
              </w:rPr>
            </w:pPr>
            <w:r w:rsidRPr="00E34A8F">
              <w:rPr>
                <w:b/>
                <w:bCs/>
                <w:sz w:val="20"/>
                <w:szCs w:val="20"/>
              </w:rPr>
              <w:t>0.0</w:t>
            </w:r>
          </w:p>
        </w:tc>
      </w:tr>
      <w:tr w:rsidR="00E34A8F" w:rsidRPr="00E34A8F" w14:paraId="5783142A" w14:textId="77777777" w:rsidTr="00E34A8F">
        <w:trPr>
          <w:trHeight w:val="780"/>
        </w:trPr>
        <w:tc>
          <w:tcPr>
            <w:tcW w:w="1660" w:type="dxa"/>
            <w:tcBorders>
              <w:top w:val="nil"/>
              <w:left w:val="double" w:sz="6" w:space="0" w:color="000000"/>
              <w:bottom w:val="single" w:sz="8" w:space="0" w:color="000000"/>
              <w:right w:val="single" w:sz="8" w:space="0" w:color="000000"/>
            </w:tcBorders>
            <w:shd w:val="clear" w:color="auto" w:fill="auto"/>
            <w:vAlign w:val="bottom"/>
            <w:hideMark/>
          </w:tcPr>
          <w:p w14:paraId="5E61D6D0" w14:textId="77777777" w:rsidR="00E34A8F" w:rsidRPr="00E34A8F" w:rsidRDefault="00E34A8F" w:rsidP="00E34A8F">
            <w:pPr>
              <w:widowControl/>
              <w:adjustRightInd/>
              <w:rPr>
                <w:sz w:val="20"/>
                <w:szCs w:val="20"/>
              </w:rPr>
            </w:pPr>
            <w:r w:rsidRPr="00E34A8F">
              <w:rPr>
                <w:sz w:val="20"/>
                <w:szCs w:val="20"/>
              </w:rPr>
              <w:t>Conducting an Annual Evaluation of a Release</w:t>
            </w:r>
          </w:p>
        </w:tc>
        <w:tc>
          <w:tcPr>
            <w:tcW w:w="580" w:type="dxa"/>
            <w:tcBorders>
              <w:top w:val="nil"/>
              <w:left w:val="nil"/>
              <w:bottom w:val="single" w:sz="8" w:space="0" w:color="000000"/>
              <w:right w:val="single" w:sz="8" w:space="0" w:color="000000"/>
            </w:tcBorders>
            <w:shd w:val="clear" w:color="auto" w:fill="auto"/>
            <w:vAlign w:val="bottom"/>
            <w:hideMark/>
          </w:tcPr>
          <w:p w14:paraId="6A7AC187" w14:textId="77777777" w:rsidR="00E34A8F" w:rsidRPr="00E34A8F" w:rsidRDefault="00E34A8F" w:rsidP="00E34A8F">
            <w:pPr>
              <w:widowControl/>
              <w:adjustRightInd/>
              <w:jc w:val="center"/>
              <w:rPr>
                <w:sz w:val="20"/>
                <w:szCs w:val="20"/>
              </w:rPr>
            </w:pPr>
            <w:r w:rsidRPr="00E34A8F">
              <w:rPr>
                <w:sz w:val="20"/>
                <w:szCs w:val="20"/>
              </w:rPr>
              <w:t>NA</w:t>
            </w:r>
          </w:p>
        </w:tc>
        <w:tc>
          <w:tcPr>
            <w:tcW w:w="580" w:type="dxa"/>
            <w:tcBorders>
              <w:top w:val="nil"/>
              <w:left w:val="nil"/>
              <w:bottom w:val="single" w:sz="8" w:space="0" w:color="000000"/>
              <w:right w:val="single" w:sz="8" w:space="0" w:color="000000"/>
            </w:tcBorders>
            <w:shd w:val="clear" w:color="auto" w:fill="auto"/>
            <w:vAlign w:val="bottom"/>
            <w:hideMark/>
          </w:tcPr>
          <w:p w14:paraId="025F3B54" w14:textId="77777777"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14:paraId="1A73AC7B" w14:textId="77777777" w:rsidR="00E34A8F" w:rsidRPr="00E34A8F" w:rsidRDefault="00E34A8F" w:rsidP="00E34A8F">
            <w:pPr>
              <w:widowControl/>
              <w:adjustRightInd/>
              <w:jc w:val="center"/>
              <w:rPr>
                <w:sz w:val="20"/>
                <w:szCs w:val="20"/>
              </w:rPr>
            </w:pPr>
            <w:r w:rsidRPr="00E34A8F">
              <w:rPr>
                <w:sz w:val="20"/>
                <w:szCs w:val="20"/>
              </w:rPr>
              <w:t>NA</w:t>
            </w:r>
          </w:p>
        </w:tc>
        <w:tc>
          <w:tcPr>
            <w:tcW w:w="620" w:type="dxa"/>
            <w:tcBorders>
              <w:top w:val="nil"/>
              <w:left w:val="nil"/>
              <w:bottom w:val="single" w:sz="8" w:space="0" w:color="000000"/>
              <w:right w:val="single" w:sz="8" w:space="0" w:color="000000"/>
            </w:tcBorders>
            <w:shd w:val="clear" w:color="auto" w:fill="auto"/>
            <w:vAlign w:val="bottom"/>
            <w:hideMark/>
          </w:tcPr>
          <w:p w14:paraId="62ACAF8B" w14:textId="77777777" w:rsidR="00E34A8F" w:rsidRPr="00E34A8F" w:rsidRDefault="00E34A8F" w:rsidP="00E34A8F">
            <w:pPr>
              <w:widowControl/>
              <w:adjustRightInd/>
              <w:jc w:val="center"/>
              <w:rPr>
                <w:b/>
                <w:bCs/>
                <w:sz w:val="20"/>
                <w:szCs w:val="20"/>
              </w:rPr>
            </w:pPr>
            <w:r w:rsidRPr="00E34A8F">
              <w:rPr>
                <w:b/>
                <w:bCs/>
                <w:sz w:val="20"/>
                <w:szCs w:val="20"/>
              </w:rPr>
              <w:t>0.0</w:t>
            </w:r>
          </w:p>
        </w:tc>
        <w:tc>
          <w:tcPr>
            <w:tcW w:w="700" w:type="dxa"/>
            <w:tcBorders>
              <w:top w:val="nil"/>
              <w:left w:val="nil"/>
              <w:bottom w:val="single" w:sz="8" w:space="0" w:color="000000"/>
              <w:right w:val="single" w:sz="8" w:space="0" w:color="000000"/>
            </w:tcBorders>
            <w:shd w:val="clear" w:color="auto" w:fill="auto"/>
            <w:vAlign w:val="bottom"/>
            <w:hideMark/>
          </w:tcPr>
          <w:p w14:paraId="15D75592" w14:textId="77777777"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14:paraId="00FA6F00" w14:textId="77777777"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14:paraId="228105E1" w14:textId="77777777" w:rsidR="00E34A8F" w:rsidRPr="00E34A8F" w:rsidRDefault="00E34A8F" w:rsidP="00E34A8F">
            <w:pPr>
              <w:widowControl/>
              <w:adjustRightInd/>
              <w:jc w:val="center"/>
              <w:rPr>
                <w:sz w:val="20"/>
                <w:szCs w:val="20"/>
              </w:rPr>
            </w:pPr>
            <w:r w:rsidRPr="00E34A8F">
              <w:rPr>
                <w:sz w:val="20"/>
                <w:szCs w:val="20"/>
              </w:rPr>
              <w:t>NA</w:t>
            </w:r>
          </w:p>
        </w:tc>
        <w:tc>
          <w:tcPr>
            <w:tcW w:w="540" w:type="dxa"/>
            <w:tcBorders>
              <w:top w:val="nil"/>
              <w:left w:val="nil"/>
              <w:bottom w:val="single" w:sz="8" w:space="0" w:color="000000"/>
              <w:right w:val="single" w:sz="8" w:space="0" w:color="000000"/>
            </w:tcBorders>
            <w:shd w:val="clear" w:color="auto" w:fill="auto"/>
            <w:vAlign w:val="bottom"/>
            <w:hideMark/>
          </w:tcPr>
          <w:p w14:paraId="4ACB4907" w14:textId="77777777" w:rsidR="00E34A8F" w:rsidRPr="00E34A8F" w:rsidRDefault="00E34A8F" w:rsidP="00E34A8F">
            <w:pPr>
              <w:widowControl/>
              <w:adjustRightInd/>
              <w:jc w:val="center"/>
              <w:rPr>
                <w:b/>
                <w:bCs/>
                <w:sz w:val="20"/>
                <w:szCs w:val="20"/>
              </w:rPr>
            </w:pPr>
            <w:r w:rsidRPr="00E34A8F">
              <w:rPr>
                <w:b/>
                <w:bCs/>
                <w:sz w:val="20"/>
                <w:szCs w:val="20"/>
              </w:rPr>
              <w:t>0.0</w:t>
            </w:r>
          </w:p>
        </w:tc>
        <w:tc>
          <w:tcPr>
            <w:tcW w:w="580" w:type="dxa"/>
            <w:tcBorders>
              <w:top w:val="nil"/>
              <w:left w:val="nil"/>
              <w:bottom w:val="single" w:sz="8" w:space="0" w:color="000000"/>
              <w:right w:val="single" w:sz="8" w:space="0" w:color="000000"/>
            </w:tcBorders>
            <w:shd w:val="clear" w:color="auto" w:fill="auto"/>
            <w:vAlign w:val="bottom"/>
            <w:hideMark/>
          </w:tcPr>
          <w:p w14:paraId="73BD7109" w14:textId="77777777" w:rsidR="00E34A8F" w:rsidRPr="00E34A8F" w:rsidRDefault="00E34A8F" w:rsidP="00E34A8F">
            <w:pPr>
              <w:widowControl/>
              <w:adjustRightInd/>
              <w:jc w:val="center"/>
              <w:rPr>
                <w:sz w:val="20"/>
                <w:szCs w:val="20"/>
              </w:rPr>
            </w:pPr>
            <w:r w:rsidRPr="00E34A8F">
              <w:rPr>
                <w:sz w:val="20"/>
                <w:szCs w:val="20"/>
              </w:rPr>
              <w:t>24.0</w:t>
            </w:r>
          </w:p>
        </w:tc>
        <w:tc>
          <w:tcPr>
            <w:tcW w:w="700" w:type="dxa"/>
            <w:tcBorders>
              <w:top w:val="nil"/>
              <w:left w:val="nil"/>
              <w:bottom w:val="single" w:sz="8" w:space="0" w:color="000000"/>
              <w:right w:val="single" w:sz="8" w:space="0" w:color="000000"/>
            </w:tcBorders>
            <w:shd w:val="clear" w:color="auto" w:fill="auto"/>
            <w:vAlign w:val="bottom"/>
            <w:hideMark/>
          </w:tcPr>
          <w:p w14:paraId="45A6668C" w14:textId="77777777" w:rsidR="00E34A8F" w:rsidRPr="00E34A8F" w:rsidRDefault="00E34A8F" w:rsidP="00E34A8F">
            <w:pPr>
              <w:widowControl/>
              <w:adjustRightInd/>
              <w:jc w:val="center"/>
              <w:rPr>
                <w:sz w:val="20"/>
                <w:szCs w:val="20"/>
              </w:rPr>
            </w:pPr>
            <w:r w:rsidRPr="00E34A8F">
              <w:rPr>
                <w:sz w:val="20"/>
                <w:szCs w:val="20"/>
              </w:rPr>
              <w:t>8.0</w:t>
            </w:r>
          </w:p>
        </w:tc>
        <w:tc>
          <w:tcPr>
            <w:tcW w:w="700" w:type="dxa"/>
            <w:tcBorders>
              <w:top w:val="nil"/>
              <w:left w:val="nil"/>
              <w:bottom w:val="single" w:sz="8" w:space="0" w:color="000000"/>
              <w:right w:val="single" w:sz="8" w:space="0" w:color="000000"/>
            </w:tcBorders>
            <w:shd w:val="clear" w:color="auto" w:fill="auto"/>
            <w:vAlign w:val="bottom"/>
            <w:hideMark/>
          </w:tcPr>
          <w:p w14:paraId="1BB8E181" w14:textId="77777777" w:rsidR="00E34A8F" w:rsidRPr="00E34A8F" w:rsidRDefault="00E34A8F" w:rsidP="00E34A8F">
            <w:pPr>
              <w:widowControl/>
              <w:adjustRightInd/>
              <w:jc w:val="center"/>
              <w:rPr>
                <w:sz w:val="20"/>
                <w:szCs w:val="20"/>
              </w:rPr>
            </w:pPr>
            <w:r w:rsidRPr="00E34A8F">
              <w:rPr>
                <w:sz w:val="20"/>
                <w:szCs w:val="20"/>
              </w:rPr>
              <w:t>8.0</w:t>
            </w:r>
          </w:p>
        </w:tc>
        <w:tc>
          <w:tcPr>
            <w:tcW w:w="700" w:type="dxa"/>
            <w:tcBorders>
              <w:top w:val="nil"/>
              <w:left w:val="nil"/>
              <w:bottom w:val="single" w:sz="8" w:space="0" w:color="000000"/>
              <w:right w:val="double" w:sz="6" w:space="0" w:color="000000"/>
            </w:tcBorders>
            <w:shd w:val="clear" w:color="auto" w:fill="auto"/>
            <w:vAlign w:val="bottom"/>
            <w:hideMark/>
          </w:tcPr>
          <w:p w14:paraId="1EAFC0C5" w14:textId="77777777" w:rsidR="00E34A8F" w:rsidRPr="00E34A8F" w:rsidRDefault="00E34A8F" w:rsidP="00E34A8F">
            <w:pPr>
              <w:widowControl/>
              <w:adjustRightInd/>
              <w:jc w:val="center"/>
              <w:rPr>
                <w:b/>
                <w:bCs/>
                <w:sz w:val="20"/>
                <w:szCs w:val="20"/>
              </w:rPr>
            </w:pPr>
            <w:r w:rsidRPr="00E34A8F">
              <w:rPr>
                <w:b/>
                <w:bCs/>
                <w:sz w:val="20"/>
                <w:szCs w:val="20"/>
              </w:rPr>
              <w:t>40.0</w:t>
            </w:r>
          </w:p>
        </w:tc>
      </w:tr>
      <w:tr w:rsidR="00E34A8F" w:rsidRPr="00E34A8F" w14:paraId="5EE39EDD" w14:textId="77777777" w:rsidTr="00E34A8F">
        <w:trPr>
          <w:trHeight w:val="780"/>
        </w:trPr>
        <w:tc>
          <w:tcPr>
            <w:tcW w:w="1660" w:type="dxa"/>
            <w:tcBorders>
              <w:top w:val="nil"/>
              <w:left w:val="double" w:sz="6" w:space="0" w:color="000000"/>
              <w:bottom w:val="single" w:sz="8" w:space="0" w:color="000000"/>
              <w:right w:val="single" w:sz="8" w:space="0" w:color="000000"/>
            </w:tcBorders>
            <w:shd w:val="clear" w:color="auto" w:fill="auto"/>
            <w:vAlign w:val="bottom"/>
            <w:hideMark/>
          </w:tcPr>
          <w:p w14:paraId="5AA97DDA" w14:textId="77777777" w:rsidR="00E34A8F" w:rsidRPr="00E34A8F" w:rsidRDefault="00E34A8F" w:rsidP="00E34A8F">
            <w:pPr>
              <w:widowControl/>
              <w:adjustRightInd/>
              <w:rPr>
                <w:sz w:val="20"/>
                <w:szCs w:val="20"/>
              </w:rPr>
            </w:pPr>
            <w:r w:rsidRPr="00E34A8F">
              <w:rPr>
                <w:sz w:val="20"/>
                <w:szCs w:val="20"/>
              </w:rPr>
              <w:t>Reporting Other Changes in Information</w:t>
            </w:r>
          </w:p>
        </w:tc>
        <w:tc>
          <w:tcPr>
            <w:tcW w:w="580" w:type="dxa"/>
            <w:tcBorders>
              <w:top w:val="nil"/>
              <w:left w:val="nil"/>
              <w:bottom w:val="single" w:sz="8" w:space="0" w:color="000000"/>
              <w:right w:val="single" w:sz="8" w:space="0" w:color="000000"/>
            </w:tcBorders>
            <w:shd w:val="clear" w:color="auto" w:fill="auto"/>
            <w:vAlign w:val="bottom"/>
            <w:hideMark/>
          </w:tcPr>
          <w:p w14:paraId="334DF1EF" w14:textId="77777777" w:rsidR="00E34A8F" w:rsidRPr="00E34A8F" w:rsidRDefault="00E34A8F" w:rsidP="00E34A8F">
            <w:pPr>
              <w:widowControl/>
              <w:adjustRightInd/>
              <w:jc w:val="center"/>
              <w:rPr>
                <w:sz w:val="20"/>
                <w:szCs w:val="20"/>
              </w:rPr>
            </w:pPr>
            <w:r w:rsidRPr="00E34A8F">
              <w:rPr>
                <w:sz w:val="20"/>
                <w:szCs w:val="20"/>
              </w:rPr>
              <w:t>NA</w:t>
            </w:r>
          </w:p>
        </w:tc>
        <w:tc>
          <w:tcPr>
            <w:tcW w:w="580" w:type="dxa"/>
            <w:tcBorders>
              <w:top w:val="nil"/>
              <w:left w:val="nil"/>
              <w:bottom w:val="single" w:sz="8" w:space="0" w:color="000000"/>
              <w:right w:val="single" w:sz="8" w:space="0" w:color="000000"/>
            </w:tcBorders>
            <w:shd w:val="clear" w:color="auto" w:fill="auto"/>
            <w:vAlign w:val="bottom"/>
            <w:hideMark/>
          </w:tcPr>
          <w:p w14:paraId="50471A37" w14:textId="77777777"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14:paraId="52C59941" w14:textId="77777777" w:rsidR="00E34A8F" w:rsidRPr="00E34A8F" w:rsidRDefault="00E34A8F" w:rsidP="00E34A8F">
            <w:pPr>
              <w:widowControl/>
              <w:adjustRightInd/>
              <w:jc w:val="center"/>
              <w:rPr>
                <w:sz w:val="20"/>
                <w:szCs w:val="20"/>
              </w:rPr>
            </w:pPr>
            <w:r w:rsidRPr="00E34A8F">
              <w:rPr>
                <w:sz w:val="20"/>
                <w:szCs w:val="20"/>
              </w:rPr>
              <w:t>NA</w:t>
            </w:r>
          </w:p>
        </w:tc>
        <w:tc>
          <w:tcPr>
            <w:tcW w:w="620" w:type="dxa"/>
            <w:tcBorders>
              <w:top w:val="nil"/>
              <w:left w:val="nil"/>
              <w:bottom w:val="single" w:sz="8" w:space="0" w:color="000000"/>
              <w:right w:val="single" w:sz="8" w:space="0" w:color="000000"/>
            </w:tcBorders>
            <w:shd w:val="clear" w:color="auto" w:fill="auto"/>
            <w:vAlign w:val="bottom"/>
            <w:hideMark/>
          </w:tcPr>
          <w:p w14:paraId="01953453" w14:textId="77777777" w:rsidR="00E34A8F" w:rsidRPr="00E34A8F" w:rsidRDefault="00E34A8F" w:rsidP="00E34A8F">
            <w:pPr>
              <w:widowControl/>
              <w:adjustRightInd/>
              <w:jc w:val="center"/>
              <w:rPr>
                <w:b/>
                <w:bCs/>
                <w:sz w:val="20"/>
                <w:szCs w:val="20"/>
              </w:rPr>
            </w:pPr>
            <w:r w:rsidRPr="00E34A8F">
              <w:rPr>
                <w:b/>
                <w:bCs/>
                <w:sz w:val="20"/>
                <w:szCs w:val="20"/>
              </w:rPr>
              <w:t>0.0</w:t>
            </w:r>
          </w:p>
        </w:tc>
        <w:tc>
          <w:tcPr>
            <w:tcW w:w="700" w:type="dxa"/>
            <w:tcBorders>
              <w:top w:val="nil"/>
              <w:left w:val="nil"/>
              <w:bottom w:val="single" w:sz="8" w:space="0" w:color="000000"/>
              <w:right w:val="single" w:sz="8" w:space="0" w:color="000000"/>
            </w:tcBorders>
            <w:shd w:val="clear" w:color="auto" w:fill="auto"/>
            <w:vAlign w:val="bottom"/>
            <w:hideMark/>
          </w:tcPr>
          <w:p w14:paraId="5405023B" w14:textId="77777777" w:rsidR="00E34A8F" w:rsidRPr="00E34A8F" w:rsidRDefault="00E34A8F" w:rsidP="00E34A8F">
            <w:pPr>
              <w:widowControl/>
              <w:adjustRightInd/>
              <w:jc w:val="center"/>
              <w:rPr>
                <w:sz w:val="20"/>
                <w:szCs w:val="20"/>
              </w:rPr>
            </w:pPr>
            <w:r w:rsidRPr="00E34A8F">
              <w:rPr>
                <w:sz w:val="20"/>
                <w:szCs w:val="20"/>
              </w:rPr>
              <w:t>1.0</w:t>
            </w:r>
          </w:p>
        </w:tc>
        <w:tc>
          <w:tcPr>
            <w:tcW w:w="700" w:type="dxa"/>
            <w:tcBorders>
              <w:top w:val="nil"/>
              <w:left w:val="nil"/>
              <w:bottom w:val="single" w:sz="8" w:space="0" w:color="000000"/>
              <w:right w:val="single" w:sz="8" w:space="0" w:color="000000"/>
            </w:tcBorders>
            <w:shd w:val="clear" w:color="auto" w:fill="auto"/>
            <w:vAlign w:val="bottom"/>
            <w:hideMark/>
          </w:tcPr>
          <w:p w14:paraId="5F338679" w14:textId="77777777" w:rsidR="00E34A8F" w:rsidRPr="00E34A8F" w:rsidRDefault="00E34A8F" w:rsidP="00E34A8F">
            <w:pPr>
              <w:widowControl/>
              <w:adjustRightInd/>
              <w:jc w:val="center"/>
              <w:rPr>
                <w:sz w:val="20"/>
                <w:szCs w:val="20"/>
              </w:rPr>
            </w:pPr>
            <w:r w:rsidRPr="00E34A8F">
              <w:rPr>
                <w:sz w:val="20"/>
                <w:szCs w:val="20"/>
              </w:rPr>
              <w:t>1.0</w:t>
            </w:r>
          </w:p>
        </w:tc>
        <w:tc>
          <w:tcPr>
            <w:tcW w:w="700" w:type="dxa"/>
            <w:tcBorders>
              <w:top w:val="nil"/>
              <w:left w:val="nil"/>
              <w:bottom w:val="single" w:sz="8" w:space="0" w:color="000000"/>
              <w:right w:val="single" w:sz="8" w:space="0" w:color="000000"/>
            </w:tcBorders>
            <w:shd w:val="clear" w:color="auto" w:fill="auto"/>
            <w:vAlign w:val="bottom"/>
            <w:hideMark/>
          </w:tcPr>
          <w:p w14:paraId="56BAAA9F" w14:textId="77777777" w:rsidR="00E34A8F" w:rsidRPr="00E34A8F" w:rsidRDefault="00E34A8F" w:rsidP="00E34A8F">
            <w:pPr>
              <w:widowControl/>
              <w:adjustRightInd/>
              <w:jc w:val="center"/>
              <w:rPr>
                <w:sz w:val="20"/>
                <w:szCs w:val="20"/>
              </w:rPr>
            </w:pPr>
            <w:r w:rsidRPr="00E34A8F">
              <w:rPr>
                <w:sz w:val="20"/>
                <w:szCs w:val="20"/>
              </w:rPr>
              <w:t>0.5</w:t>
            </w:r>
          </w:p>
        </w:tc>
        <w:tc>
          <w:tcPr>
            <w:tcW w:w="540" w:type="dxa"/>
            <w:tcBorders>
              <w:top w:val="nil"/>
              <w:left w:val="nil"/>
              <w:bottom w:val="single" w:sz="8" w:space="0" w:color="000000"/>
              <w:right w:val="single" w:sz="8" w:space="0" w:color="000000"/>
            </w:tcBorders>
            <w:shd w:val="clear" w:color="auto" w:fill="auto"/>
            <w:vAlign w:val="bottom"/>
            <w:hideMark/>
          </w:tcPr>
          <w:p w14:paraId="5230675C" w14:textId="77777777" w:rsidR="00E34A8F" w:rsidRPr="00E34A8F" w:rsidRDefault="00E34A8F" w:rsidP="00E34A8F">
            <w:pPr>
              <w:widowControl/>
              <w:adjustRightInd/>
              <w:jc w:val="center"/>
              <w:rPr>
                <w:b/>
                <w:bCs/>
                <w:sz w:val="20"/>
                <w:szCs w:val="20"/>
              </w:rPr>
            </w:pPr>
            <w:r w:rsidRPr="00E34A8F">
              <w:rPr>
                <w:b/>
                <w:bCs/>
                <w:sz w:val="20"/>
                <w:szCs w:val="20"/>
              </w:rPr>
              <w:t>2.5</w:t>
            </w:r>
          </w:p>
        </w:tc>
        <w:tc>
          <w:tcPr>
            <w:tcW w:w="580" w:type="dxa"/>
            <w:tcBorders>
              <w:top w:val="nil"/>
              <w:left w:val="nil"/>
              <w:bottom w:val="single" w:sz="8" w:space="0" w:color="000000"/>
              <w:right w:val="single" w:sz="8" w:space="0" w:color="000000"/>
            </w:tcBorders>
            <w:shd w:val="clear" w:color="auto" w:fill="auto"/>
            <w:vAlign w:val="bottom"/>
            <w:hideMark/>
          </w:tcPr>
          <w:p w14:paraId="25FA06D8" w14:textId="77777777" w:rsidR="00E34A8F" w:rsidRPr="00E34A8F" w:rsidRDefault="00E34A8F" w:rsidP="00E34A8F">
            <w:pPr>
              <w:widowControl/>
              <w:adjustRightInd/>
              <w:jc w:val="center"/>
              <w:rPr>
                <w:sz w:val="20"/>
                <w:szCs w:val="20"/>
              </w:rPr>
            </w:pPr>
            <w:r w:rsidRPr="00E34A8F">
              <w:rPr>
                <w:sz w:val="20"/>
                <w:szCs w:val="20"/>
              </w:rPr>
              <w:t>1.0</w:t>
            </w:r>
          </w:p>
        </w:tc>
        <w:tc>
          <w:tcPr>
            <w:tcW w:w="700" w:type="dxa"/>
            <w:tcBorders>
              <w:top w:val="nil"/>
              <w:left w:val="nil"/>
              <w:bottom w:val="single" w:sz="8" w:space="0" w:color="000000"/>
              <w:right w:val="single" w:sz="8" w:space="0" w:color="000000"/>
            </w:tcBorders>
            <w:shd w:val="clear" w:color="auto" w:fill="auto"/>
            <w:vAlign w:val="bottom"/>
            <w:hideMark/>
          </w:tcPr>
          <w:p w14:paraId="03E55ED2" w14:textId="77777777" w:rsidR="00E34A8F" w:rsidRPr="00E34A8F" w:rsidRDefault="00E34A8F" w:rsidP="00E34A8F">
            <w:pPr>
              <w:widowControl/>
              <w:adjustRightInd/>
              <w:jc w:val="center"/>
              <w:rPr>
                <w:sz w:val="20"/>
                <w:szCs w:val="20"/>
              </w:rPr>
            </w:pPr>
            <w:r w:rsidRPr="00E34A8F">
              <w:rPr>
                <w:sz w:val="20"/>
                <w:szCs w:val="20"/>
              </w:rPr>
              <w:t>1.0</w:t>
            </w:r>
          </w:p>
        </w:tc>
        <w:tc>
          <w:tcPr>
            <w:tcW w:w="700" w:type="dxa"/>
            <w:tcBorders>
              <w:top w:val="nil"/>
              <w:left w:val="nil"/>
              <w:bottom w:val="single" w:sz="8" w:space="0" w:color="000000"/>
              <w:right w:val="single" w:sz="8" w:space="0" w:color="000000"/>
            </w:tcBorders>
            <w:shd w:val="clear" w:color="auto" w:fill="auto"/>
            <w:vAlign w:val="bottom"/>
            <w:hideMark/>
          </w:tcPr>
          <w:p w14:paraId="1173434F" w14:textId="77777777" w:rsidR="00E34A8F" w:rsidRPr="00E34A8F" w:rsidRDefault="00E34A8F" w:rsidP="00E34A8F">
            <w:pPr>
              <w:widowControl/>
              <w:adjustRightInd/>
              <w:jc w:val="center"/>
              <w:rPr>
                <w:sz w:val="20"/>
                <w:szCs w:val="20"/>
              </w:rPr>
            </w:pPr>
            <w:r w:rsidRPr="00E34A8F">
              <w:rPr>
                <w:sz w:val="20"/>
                <w:szCs w:val="20"/>
              </w:rPr>
              <w:t>0.5</w:t>
            </w:r>
          </w:p>
        </w:tc>
        <w:tc>
          <w:tcPr>
            <w:tcW w:w="700" w:type="dxa"/>
            <w:tcBorders>
              <w:top w:val="nil"/>
              <w:left w:val="nil"/>
              <w:bottom w:val="single" w:sz="8" w:space="0" w:color="000000"/>
              <w:right w:val="double" w:sz="6" w:space="0" w:color="000000"/>
            </w:tcBorders>
            <w:shd w:val="clear" w:color="auto" w:fill="auto"/>
            <w:vAlign w:val="bottom"/>
            <w:hideMark/>
          </w:tcPr>
          <w:p w14:paraId="0DE9D6D7" w14:textId="77777777" w:rsidR="00E34A8F" w:rsidRPr="00E34A8F" w:rsidRDefault="00E34A8F" w:rsidP="00E34A8F">
            <w:pPr>
              <w:widowControl/>
              <w:adjustRightInd/>
              <w:jc w:val="center"/>
              <w:rPr>
                <w:b/>
                <w:bCs/>
                <w:sz w:val="20"/>
                <w:szCs w:val="20"/>
              </w:rPr>
            </w:pPr>
            <w:r w:rsidRPr="00E34A8F">
              <w:rPr>
                <w:b/>
                <w:bCs/>
                <w:sz w:val="20"/>
                <w:szCs w:val="20"/>
              </w:rPr>
              <w:t>2.5</w:t>
            </w:r>
          </w:p>
        </w:tc>
      </w:tr>
      <w:tr w:rsidR="00E34A8F" w:rsidRPr="00E34A8F" w14:paraId="65257873" w14:textId="77777777" w:rsidTr="00E34A8F">
        <w:trPr>
          <w:trHeight w:val="270"/>
        </w:trPr>
        <w:tc>
          <w:tcPr>
            <w:tcW w:w="1660" w:type="dxa"/>
            <w:tcBorders>
              <w:top w:val="nil"/>
              <w:left w:val="double" w:sz="6" w:space="0" w:color="000000"/>
              <w:bottom w:val="single" w:sz="8" w:space="0" w:color="000000"/>
              <w:right w:val="single" w:sz="8" w:space="0" w:color="000000"/>
            </w:tcBorders>
            <w:shd w:val="clear" w:color="auto" w:fill="auto"/>
            <w:vAlign w:val="bottom"/>
            <w:hideMark/>
          </w:tcPr>
          <w:p w14:paraId="5D527D4B" w14:textId="77777777" w:rsidR="00E34A8F" w:rsidRPr="00E34A8F" w:rsidRDefault="00E34A8F" w:rsidP="00E34A8F">
            <w:pPr>
              <w:widowControl/>
              <w:adjustRightInd/>
              <w:rPr>
                <w:sz w:val="20"/>
                <w:szCs w:val="20"/>
              </w:rPr>
            </w:pPr>
            <w:r w:rsidRPr="00E34A8F">
              <w:rPr>
                <w:sz w:val="20"/>
                <w:szCs w:val="20"/>
              </w:rPr>
              <w:t>Record keeping</w:t>
            </w:r>
          </w:p>
        </w:tc>
        <w:tc>
          <w:tcPr>
            <w:tcW w:w="580" w:type="dxa"/>
            <w:tcBorders>
              <w:top w:val="nil"/>
              <w:left w:val="nil"/>
              <w:bottom w:val="single" w:sz="8" w:space="0" w:color="000000"/>
              <w:right w:val="single" w:sz="8" w:space="0" w:color="000000"/>
            </w:tcBorders>
            <w:shd w:val="clear" w:color="auto" w:fill="auto"/>
            <w:vAlign w:val="bottom"/>
            <w:hideMark/>
          </w:tcPr>
          <w:p w14:paraId="409D8D7F" w14:textId="77777777" w:rsidR="00E34A8F" w:rsidRPr="00E34A8F" w:rsidRDefault="00E34A8F" w:rsidP="00E34A8F">
            <w:pPr>
              <w:widowControl/>
              <w:adjustRightInd/>
              <w:jc w:val="center"/>
              <w:rPr>
                <w:sz w:val="20"/>
                <w:szCs w:val="20"/>
              </w:rPr>
            </w:pPr>
            <w:r w:rsidRPr="00E34A8F">
              <w:rPr>
                <w:sz w:val="20"/>
                <w:szCs w:val="20"/>
              </w:rPr>
              <w:t>0.0</w:t>
            </w:r>
          </w:p>
        </w:tc>
        <w:tc>
          <w:tcPr>
            <w:tcW w:w="580" w:type="dxa"/>
            <w:tcBorders>
              <w:top w:val="nil"/>
              <w:left w:val="nil"/>
              <w:bottom w:val="single" w:sz="8" w:space="0" w:color="000000"/>
              <w:right w:val="single" w:sz="8" w:space="0" w:color="000000"/>
            </w:tcBorders>
            <w:shd w:val="clear" w:color="auto" w:fill="auto"/>
            <w:vAlign w:val="bottom"/>
            <w:hideMark/>
          </w:tcPr>
          <w:p w14:paraId="774A2683" w14:textId="77777777" w:rsidR="00E34A8F" w:rsidRPr="00E34A8F" w:rsidRDefault="00E34A8F" w:rsidP="00E34A8F">
            <w:pPr>
              <w:widowControl/>
              <w:adjustRightInd/>
              <w:jc w:val="center"/>
              <w:rPr>
                <w:sz w:val="20"/>
                <w:szCs w:val="20"/>
              </w:rPr>
            </w:pPr>
            <w:r w:rsidRPr="00E34A8F">
              <w:rPr>
                <w:sz w:val="20"/>
                <w:szCs w:val="20"/>
              </w:rPr>
              <w:t>32.0</w:t>
            </w:r>
          </w:p>
        </w:tc>
        <w:tc>
          <w:tcPr>
            <w:tcW w:w="700" w:type="dxa"/>
            <w:tcBorders>
              <w:top w:val="nil"/>
              <w:left w:val="nil"/>
              <w:bottom w:val="single" w:sz="8" w:space="0" w:color="000000"/>
              <w:right w:val="single" w:sz="8" w:space="0" w:color="000000"/>
            </w:tcBorders>
            <w:shd w:val="clear" w:color="auto" w:fill="auto"/>
            <w:vAlign w:val="bottom"/>
            <w:hideMark/>
          </w:tcPr>
          <w:p w14:paraId="72B46693" w14:textId="77777777" w:rsidR="00E34A8F" w:rsidRPr="00E34A8F" w:rsidRDefault="00E34A8F" w:rsidP="00E34A8F">
            <w:pPr>
              <w:widowControl/>
              <w:adjustRightInd/>
              <w:jc w:val="center"/>
              <w:rPr>
                <w:sz w:val="20"/>
                <w:szCs w:val="20"/>
              </w:rPr>
            </w:pPr>
            <w:r w:rsidRPr="00E34A8F">
              <w:rPr>
                <w:sz w:val="20"/>
                <w:szCs w:val="20"/>
              </w:rPr>
              <w:t>0.0</w:t>
            </w:r>
          </w:p>
        </w:tc>
        <w:tc>
          <w:tcPr>
            <w:tcW w:w="620" w:type="dxa"/>
            <w:tcBorders>
              <w:top w:val="nil"/>
              <w:left w:val="nil"/>
              <w:bottom w:val="single" w:sz="8" w:space="0" w:color="000000"/>
              <w:right w:val="single" w:sz="8" w:space="0" w:color="000000"/>
            </w:tcBorders>
            <w:shd w:val="clear" w:color="auto" w:fill="auto"/>
            <w:vAlign w:val="bottom"/>
            <w:hideMark/>
          </w:tcPr>
          <w:p w14:paraId="0DD00054" w14:textId="77777777" w:rsidR="00E34A8F" w:rsidRPr="00E34A8F" w:rsidRDefault="00E34A8F" w:rsidP="00E34A8F">
            <w:pPr>
              <w:widowControl/>
              <w:adjustRightInd/>
              <w:jc w:val="center"/>
              <w:rPr>
                <w:b/>
                <w:bCs/>
                <w:sz w:val="20"/>
                <w:szCs w:val="20"/>
              </w:rPr>
            </w:pPr>
            <w:r w:rsidRPr="00E34A8F">
              <w:rPr>
                <w:b/>
                <w:bCs/>
                <w:sz w:val="20"/>
                <w:szCs w:val="20"/>
              </w:rPr>
              <w:t>32.0</w:t>
            </w:r>
          </w:p>
        </w:tc>
        <w:tc>
          <w:tcPr>
            <w:tcW w:w="700" w:type="dxa"/>
            <w:tcBorders>
              <w:top w:val="nil"/>
              <w:left w:val="nil"/>
              <w:bottom w:val="single" w:sz="8" w:space="0" w:color="000000"/>
              <w:right w:val="single" w:sz="8" w:space="0" w:color="000000"/>
            </w:tcBorders>
            <w:shd w:val="clear" w:color="auto" w:fill="auto"/>
            <w:vAlign w:val="bottom"/>
            <w:hideMark/>
          </w:tcPr>
          <w:p w14:paraId="7FA951C8" w14:textId="77777777" w:rsidR="00E34A8F" w:rsidRPr="00E34A8F" w:rsidRDefault="00E34A8F" w:rsidP="00E34A8F">
            <w:pPr>
              <w:widowControl/>
              <w:adjustRightInd/>
              <w:jc w:val="center"/>
              <w:rPr>
                <w:sz w:val="20"/>
                <w:szCs w:val="20"/>
              </w:rPr>
            </w:pPr>
            <w:r w:rsidRPr="00E34A8F">
              <w:rPr>
                <w:sz w:val="20"/>
                <w:szCs w:val="20"/>
              </w:rPr>
              <w:t>0.0</w:t>
            </w:r>
          </w:p>
        </w:tc>
        <w:tc>
          <w:tcPr>
            <w:tcW w:w="700" w:type="dxa"/>
            <w:tcBorders>
              <w:top w:val="nil"/>
              <w:left w:val="nil"/>
              <w:bottom w:val="single" w:sz="8" w:space="0" w:color="000000"/>
              <w:right w:val="single" w:sz="8" w:space="0" w:color="000000"/>
            </w:tcBorders>
            <w:shd w:val="clear" w:color="auto" w:fill="auto"/>
            <w:vAlign w:val="bottom"/>
            <w:hideMark/>
          </w:tcPr>
          <w:p w14:paraId="1DB3597F" w14:textId="77777777" w:rsidR="00E34A8F" w:rsidRPr="00E34A8F" w:rsidRDefault="00E34A8F" w:rsidP="00E34A8F">
            <w:pPr>
              <w:widowControl/>
              <w:adjustRightInd/>
              <w:jc w:val="center"/>
              <w:rPr>
                <w:sz w:val="20"/>
                <w:szCs w:val="20"/>
              </w:rPr>
            </w:pPr>
            <w:r w:rsidRPr="00E34A8F">
              <w:rPr>
                <w:sz w:val="20"/>
                <w:szCs w:val="20"/>
              </w:rPr>
              <w:t>32.0</w:t>
            </w:r>
          </w:p>
        </w:tc>
        <w:tc>
          <w:tcPr>
            <w:tcW w:w="700" w:type="dxa"/>
            <w:tcBorders>
              <w:top w:val="nil"/>
              <w:left w:val="nil"/>
              <w:bottom w:val="single" w:sz="8" w:space="0" w:color="000000"/>
              <w:right w:val="single" w:sz="8" w:space="0" w:color="000000"/>
            </w:tcBorders>
            <w:shd w:val="clear" w:color="auto" w:fill="auto"/>
            <w:vAlign w:val="bottom"/>
            <w:hideMark/>
          </w:tcPr>
          <w:p w14:paraId="047D3016" w14:textId="77777777" w:rsidR="00E34A8F" w:rsidRPr="00E34A8F" w:rsidRDefault="00E34A8F" w:rsidP="00E34A8F">
            <w:pPr>
              <w:widowControl/>
              <w:adjustRightInd/>
              <w:jc w:val="center"/>
              <w:rPr>
                <w:sz w:val="20"/>
                <w:szCs w:val="20"/>
              </w:rPr>
            </w:pPr>
            <w:r w:rsidRPr="00E34A8F">
              <w:rPr>
                <w:sz w:val="20"/>
                <w:szCs w:val="20"/>
              </w:rPr>
              <w:t>0.0</w:t>
            </w:r>
          </w:p>
        </w:tc>
        <w:tc>
          <w:tcPr>
            <w:tcW w:w="540" w:type="dxa"/>
            <w:tcBorders>
              <w:top w:val="nil"/>
              <w:left w:val="nil"/>
              <w:bottom w:val="single" w:sz="8" w:space="0" w:color="000000"/>
              <w:right w:val="single" w:sz="8" w:space="0" w:color="000000"/>
            </w:tcBorders>
            <w:shd w:val="clear" w:color="auto" w:fill="auto"/>
            <w:vAlign w:val="bottom"/>
            <w:hideMark/>
          </w:tcPr>
          <w:p w14:paraId="51AA7264" w14:textId="77777777" w:rsidR="00E34A8F" w:rsidRPr="00E34A8F" w:rsidRDefault="00E34A8F" w:rsidP="00E34A8F">
            <w:pPr>
              <w:widowControl/>
              <w:adjustRightInd/>
              <w:jc w:val="center"/>
              <w:rPr>
                <w:b/>
                <w:bCs/>
                <w:sz w:val="20"/>
                <w:szCs w:val="20"/>
              </w:rPr>
            </w:pPr>
            <w:r w:rsidRPr="00E34A8F">
              <w:rPr>
                <w:b/>
                <w:bCs/>
                <w:sz w:val="20"/>
                <w:szCs w:val="20"/>
              </w:rPr>
              <w:t>32.0</w:t>
            </w:r>
          </w:p>
        </w:tc>
        <w:tc>
          <w:tcPr>
            <w:tcW w:w="580" w:type="dxa"/>
            <w:tcBorders>
              <w:top w:val="nil"/>
              <w:left w:val="nil"/>
              <w:bottom w:val="single" w:sz="8" w:space="0" w:color="000000"/>
              <w:right w:val="single" w:sz="8" w:space="0" w:color="000000"/>
            </w:tcBorders>
            <w:shd w:val="clear" w:color="auto" w:fill="auto"/>
            <w:vAlign w:val="bottom"/>
            <w:hideMark/>
          </w:tcPr>
          <w:p w14:paraId="12F33B3A" w14:textId="77777777" w:rsidR="00E34A8F" w:rsidRPr="00E34A8F" w:rsidRDefault="00E34A8F" w:rsidP="00E34A8F">
            <w:pPr>
              <w:widowControl/>
              <w:adjustRightInd/>
              <w:jc w:val="center"/>
              <w:rPr>
                <w:sz w:val="20"/>
                <w:szCs w:val="20"/>
              </w:rPr>
            </w:pPr>
            <w:r w:rsidRPr="00E34A8F">
              <w:rPr>
                <w:sz w:val="20"/>
                <w:szCs w:val="20"/>
              </w:rPr>
              <w:t>0.0</w:t>
            </w:r>
          </w:p>
        </w:tc>
        <w:tc>
          <w:tcPr>
            <w:tcW w:w="700" w:type="dxa"/>
            <w:tcBorders>
              <w:top w:val="nil"/>
              <w:left w:val="nil"/>
              <w:bottom w:val="single" w:sz="8" w:space="0" w:color="000000"/>
              <w:right w:val="single" w:sz="8" w:space="0" w:color="000000"/>
            </w:tcBorders>
            <w:shd w:val="clear" w:color="auto" w:fill="auto"/>
            <w:vAlign w:val="bottom"/>
            <w:hideMark/>
          </w:tcPr>
          <w:p w14:paraId="1833CBD5" w14:textId="77777777" w:rsidR="00E34A8F" w:rsidRPr="00E34A8F" w:rsidRDefault="00E34A8F" w:rsidP="00E34A8F">
            <w:pPr>
              <w:widowControl/>
              <w:adjustRightInd/>
              <w:jc w:val="center"/>
              <w:rPr>
                <w:sz w:val="20"/>
                <w:szCs w:val="20"/>
              </w:rPr>
            </w:pPr>
            <w:r w:rsidRPr="00E34A8F">
              <w:rPr>
                <w:sz w:val="20"/>
                <w:szCs w:val="20"/>
              </w:rPr>
              <w:t>32.0</w:t>
            </w:r>
          </w:p>
        </w:tc>
        <w:tc>
          <w:tcPr>
            <w:tcW w:w="700" w:type="dxa"/>
            <w:tcBorders>
              <w:top w:val="nil"/>
              <w:left w:val="nil"/>
              <w:bottom w:val="single" w:sz="8" w:space="0" w:color="000000"/>
              <w:right w:val="single" w:sz="8" w:space="0" w:color="000000"/>
            </w:tcBorders>
            <w:shd w:val="clear" w:color="auto" w:fill="auto"/>
            <w:vAlign w:val="bottom"/>
            <w:hideMark/>
          </w:tcPr>
          <w:p w14:paraId="161F60DB" w14:textId="77777777" w:rsidR="00E34A8F" w:rsidRPr="00E34A8F" w:rsidRDefault="00E34A8F" w:rsidP="00E34A8F">
            <w:pPr>
              <w:widowControl/>
              <w:adjustRightInd/>
              <w:jc w:val="center"/>
              <w:rPr>
                <w:sz w:val="20"/>
                <w:szCs w:val="20"/>
              </w:rPr>
            </w:pPr>
            <w:r w:rsidRPr="00E34A8F">
              <w:rPr>
                <w:sz w:val="20"/>
                <w:szCs w:val="20"/>
              </w:rPr>
              <w:t>0.0</w:t>
            </w:r>
          </w:p>
        </w:tc>
        <w:tc>
          <w:tcPr>
            <w:tcW w:w="700" w:type="dxa"/>
            <w:tcBorders>
              <w:top w:val="nil"/>
              <w:left w:val="nil"/>
              <w:bottom w:val="single" w:sz="8" w:space="0" w:color="000000"/>
              <w:right w:val="double" w:sz="6" w:space="0" w:color="000000"/>
            </w:tcBorders>
            <w:shd w:val="clear" w:color="auto" w:fill="auto"/>
            <w:vAlign w:val="bottom"/>
            <w:hideMark/>
          </w:tcPr>
          <w:p w14:paraId="4CD3670F" w14:textId="77777777" w:rsidR="00E34A8F" w:rsidRPr="00E34A8F" w:rsidRDefault="00E34A8F" w:rsidP="00E34A8F">
            <w:pPr>
              <w:widowControl/>
              <w:adjustRightInd/>
              <w:jc w:val="center"/>
              <w:rPr>
                <w:b/>
                <w:bCs/>
                <w:sz w:val="20"/>
                <w:szCs w:val="20"/>
              </w:rPr>
            </w:pPr>
            <w:r w:rsidRPr="00E34A8F">
              <w:rPr>
                <w:b/>
                <w:bCs/>
                <w:sz w:val="20"/>
                <w:szCs w:val="20"/>
              </w:rPr>
              <w:t>32.0</w:t>
            </w:r>
          </w:p>
        </w:tc>
      </w:tr>
      <w:tr w:rsidR="00E34A8F" w:rsidRPr="00E34A8F" w14:paraId="75D0DABC" w14:textId="77777777" w:rsidTr="00E34A8F">
        <w:trPr>
          <w:trHeight w:val="780"/>
        </w:trPr>
        <w:tc>
          <w:tcPr>
            <w:tcW w:w="1660" w:type="dxa"/>
            <w:tcBorders>
              <w:top w:val="nil"/>
              <w:left w:val="double" w:sz="6" w:space="0" w:color="000000"/>
              <w:bottom w:val="double" w:sz="6" w:space="0" w:color="000000"/>
              <w:right w:val="single" w:sz="8" w:space="0" w:color="000000"/>
            </w:tcBorders>
            <w:shd w:val="clear" w:color="auto" w:fill="auto"/>
            <w:vAlign w:val="bottom"/>
            <w:hideMark/>
          </w:tcPr>
          <w:p w14:paraId="698AB0FC" w14:textId="77777777" w:rsidR="00E34A8F" w:rsidRPr="00E34A8F" w:rsidRDefault="00E34A8F" w:rsidP="00E34A8F">
            <w:pPr>
              <w:widowControl/>
              <w:adjustRightInd/>
              <w:rPr>
                <w:b/>
                <w:bCs/>
                <w:sz w:val="20"/>
                <w:szCs w:val="20"/>
              </w:rPr>
            </w:pPr>
            <w:r w:rsidRPr="00E34A8F">
              <w:rPr>
                <w:b/>
                <w:bCs/>
                <w:sz w:val="20"/>
                <w:szCs w:val="20"/>
              </w:rPr>
              <w:t>Total Burden Hours for a Typical Facility</w:t>
            </w:r>
          </w:p>
        </w:tc>
        <w:tc>
          <w:tcPr>
            <w:tcW w:w="580" w:type="dxa"/>
            <w:tcBorders>
              <w:top w:val="nil"/>
              <w:left w:val="nil"/>
              <w:bottom w:val="double" w:sz="6" w:space="0" w:color="000000"/>
              <w:right w:val="single" w:sz="8" w:space="0" w:color="000000"/>
            </w:tcBorders>
            <w:shd w:val="clear" w:color="auto" w:fill="auto"/>
            <w:vAlign w:val="bottom"/>
            <w:hideMark/>
          </w:tcPr>
          <w:p w14:paraId="08B4B241" w14:textId="77777777" w:rsidR="00E34A8F" w:rsidRPr="00E34A8F" w:rsidRDefault="00E34A8F" w:rsidP="00E34A8F">
            <w:pPr>
              <w:widowControl/>
              <w:adjustRightInd/>
              <w:jc w:val="center"/>
              <w:rPr>
                <w:b/>
                <w:bCs/>
                <w:sz w:val="20"/>
                <w:szCs w:val="20"/>
              </w:rPr>
            </w:pPr>
            <w:r w:rsidRPr="00E34A8F">
              <w:rPr>
                <w:b/>
                <w:bCs/>
                <w:sz w:val="20"/>
                <w:szCs w:val="20"/>
              </w:rPr>
              <w:t>32.0</w:t>
            </w:r>
          </w:p>
        </w:tc>
        <w:tc>
          <w:tcPr>
            <w:tcW w:w="580" w:type="dxa"/>
            <w:tcBorders>
              <w:top w:val="nil"/>
              <w:left w:val="nil"/>
              <w:bottom w:val="double" w:sz="6" w:space="0" w:color="000000"/>
              <w:right w:val="single" w:sz="8" w:space="0" w:color="000000"/>
            </w:tcBorders>
            <w:shd w:val="clear" w:color="auto" w:fill="auto"/>
            <w:vAlign w:val="bottom"/>
            <w:hideMark/>
          </w:tcPr>
          <w:p w14:paraId="17272103" w14:textId="77777777" w:rsidR="00E34A8F" w:rsidRPr="00E34A8F" w:rsidRDefault="00E34A8F" w:rsidP="00E34A8F">
            <w:pPr>
              <w:widowControl/>
              <w:adjustRightInd/>
              <w:jc w:val="center"/>
              <w:rPr>
                <w:b/>
                <w:bCs/>
                <w:sz w:val="20"/>
                <w:szCs w:val="20"/>
              </w:rPr>
            </w:pPr>
            <w:r w:rsidRPr="00E34A8F">
              <w:rPr>
                <w:b/>
                <w:bCs/>
                <w:sz w:val="20"/>
                <w:szCs w:val="20"/>
              </w:rPr>
              <w:t>80.0</w:t>
            </w:r>
          </w:p>
        </w:tc>
        <w:tc>
          <w:tcPr>
            <w:tcW w:w="700" w:type="dxa"/>
            <w:tcBorders>
              <w:top w:val="nil"/>
              <w:left w:val="nil"/>
              <w:bottom w:val="double" w:sz="6" w:space="0" w:color="000000"/>
              <w:right w:val="single" w:sz="8" w:space="0" w:color="000000"/>
            </w:tcBorders>
            <w:shd w:val="clear" w:color="auto" w:fill="auto"/>
            <w:vAlign w:val="bottom"/>
            <w:hideMark/>
          </w:tcPr>
          <w:p w14:paraId="532A28CF" w14:textId="77777777" w:rsidR="00E34A8F" w:rsidRPr="00E34A8F" w:rsidRDefault="00E34A8F" w:rsidP="00E34A8F">
            <w:pPr>
              <w:widowControl/>
              <w:adjustRightInd/>
              <w:jc w:val="center"/>
              <w:rPr>
                <w:b/>
                <w:bCs/>
                <w:sz w:val="20"/>
                <w:szCs w:val="20"/>
              </w:rPr>
            </w:pPr>
            <w:r w:rsidRPr="00E34A8F">
              <w:rPr>
                <w:b/>
                <w:bCs/>
                <w:sz w:val="20"/>
                <w:szCs w:val="20"/>
              </w:rPr>
              <w:t>8.0</w:t>
            </w:r>
          </w:p>
        </w:tc>
        <w:tc>
          <w:tcPr>
            <w:tcW w:w="620" w:type="dxa"/>
            <w:tcBorders>
              <w:top w:val="nil"/>
              <w:left w:val="nil"/>
              <w:bottom w:val="double" w:sz="6" w:space="0" w:color="000000"/>
              <w:right w:val="single" w:sz="8" w:space="0" w:color="000000"/>
            </w:tcBorders>
            <w:shd w:val="clear" w:color="auto" w:fill="auto"/>
            <w:vAlign w:val="bottom"/>
            <w:hideMark/>
          </w:tcPr>
          <w:p w14:paraId="136C7A4C" w14:textId="77777777" w:rsidR="00E34A8F" w:rsidRPr="00E34A8F" w:rsidRDefault="00E34A8F" w:rsidP="00E34A8F">
            <w:pPr>
              <w:widowControl/>
              <w:adjustRightInd/>
              <w:jc w:val="center"/>
              <w:rPr>
                <w:b/>
                <w:bCs/>
                <w:sz w:val="20"/>
                <w:szCs w:val="20"/>
              </w:rPr>
            </w:pPr>
            <w:r w:rsidRPr="00E34A8F">
              <w:rPr>
                <w:b/>
                <w:bCs/>
                <w:sz w:val="20"/>
                <w:szCs w:val="20"/>
              </w:rPr>
              <w:t>120.0</w:t>
            </w:r>
          </w:p>
        </w:tc>
        <w:tc>
          <w:tcPr>
            <w:tcW w:w="700" w:type="dxa"/>
            <w:tcBorders>
              <w:top w:val="nil"/>
              <w:left w:val="nil"/>
              <w:bottom w:val="double" w:sz="6" w:space="0" w:color="000000"/>
              <w:right w:val="single" w:sz="8" w:space="0" w:color="000000"/>
            </w:tcBorders>
            <w:shd w:val="clear" w:color="auto" w:fill="auto"/>
            <w:vAlign w:val="bottom"/>
            <w:hideMark/>
          </w:tcPr>
          <w:p w14:paraId="439C7B11" w14:textId="77777777" w:rsidR="00E34A8F" w:rsidRPr="00E34A8F" w:rsidRDefault="00E34A8F" w:rsidP="00E34A8F">
            <w:pPr>
              <w:widowControl/>
              <w:adjustRightInd/>
              <w:jc w:val="center"/>
              <w:rPr>
                <w:b/>
                <w:bCs/>
                <w:sz w:val="20"/>
                <w:szCs w:val="20"/>
              </w:rPr>
            </w:pPr>
            <w:r w:rsidRPr="00E34A8F">
              <w:rPr>
                <w:b/>
                <w:bCs/>
                <w:sz w:val="20"/>
                <w:szCs w:val="20"/>
              </w:rPr>
              <w:t>25.0</w:t>
            </w:r>
          </w:p>
        </w:tc>
        <w:tc>
          <w:tcPr>
            <w:tcW w:w="700" w:type="dxa"/>
            <w:tcBorders>
              <w:top w:val="nil"/>
              <w:left w:val="nil"/>
              <w:bottom w:val="double" w:sz="6" w:space="0" w:color="000000"/>
              <w:right w:val="single" w:sz="8" w:space="0" w:color="000000"/>
            </w:tcBorders>
            <w:shd w:val="clear" w:color="auto" w:fill="auto"/>
            <w:vAlign w:val="bottom"/>
            <w:hideMark/>
          </w:tcPr>
          <w:p w14:paraId="652A23A0" w14:textId="77777777" w:rsidR="00E34A8F" w:rsidRPr="00E34A8F" w:rsidRDefault="00E34A8F" w:rsidP="00E34A8F">
            <w:pPr>
              <w:widowControl/>
              <w:adjustRightInd/>
              <w:jc w:val="center"/>
              <w:rPr>
                <w:b/>
                <w:bCs/>
                <w:sz w:val="20"/>
                <w:szCs w:val="20"/>
              </w:rPr>
            </w:pPr>
            <w:r w:rsidRPr="00E34A8F">
              <w:rPr>
                <w:b/>
                <w:bCs/>
                <w:sz w:val="20"/>
                <w:szCs w:val="20"/>
              </w:rPr>
              <w:t>41.0</w:t>
            </w:r>
          </w:p>
        </w:tc>
        <w:tc>
          <w:tcPr>
            <w:tcW w:w="700" w:type="dxa"/>
            <w:tcBorders>
              <w:top w:val="nil"/>
              <w:left w:val="nil"/>
              <w:bottom w:val="double" w:sz="6" w:space="0" w:color="000000"/>
              <w:right w:val="single" w:sz="8" w:space="0" w:color="000000"/>
            </w:tcBorders>
            <w:shd w:val="clear" w:color="auto" w:fill="auto"/>
            <w:vAlign w:val="bottom"/>
            <w:hideMark/>
          </w:tcPr>
          <w:p w14:paraId="1CA592E9" w14:textId="77777777" w:rsidR="00E34A8F" w:rsidRPr="00E34A8F" w:rsidRDefault="00E34A8F" w:rsidP="00E34A8F">
            <w:pPr>
              <w:widowControl/>
              <w:adjustRightInd/>
              <w:jc w:val="center"/>
              <w:rPr>
                <w:b/>
                <w:bCs/>
                <w:sz w:val="20"/>
                <w:szCs w:val="20"/>
              </w:rPr>
            </w:pPr>
            <w:r w:rsidRPr="00E34A8F">
              <w:rPr>
                <w:b/>
                <w:bCs/>
                <w:sz w:val="20"/>
                <w:szCs w:val="20"/>
              </w:rPr>
              <w:t>8.5</w:t>
            </w:r>
          </w:p>
        </w:tc>
        <w:tc>
          <w:tcPr>
            <w:tcW w:w="540" w:type="dxa"/>
            <w:tcBorders>
              <w:top w:val="nil"/>
              <w:left w:val="nil"/>
              <w:bottom w:val="double" w:sz="6" w:space="0" w:color="000000"/>
              <w:right w:val="single" w:sz="8" w:space="0" w:color="000000"/>
            </w:tcBorders>
            <w:shd w:val="clear" w:color="auto" w:fill="auto"/>
            <w:vAlign w:val="bottom"/>
            <w:hideMark/>
          </w:tcPr>
          <w:p w14:paraId="1701A9B2" w14:textId="77777777" w:rsidR="00E34A8F" w:rsidRPr="00E34A8F" w:rsidRDefault="00E34A8F" w:rsidP="00E34A8F">
            <w:pPr>
              <w:widowControl/>
              <w:adjustRightInd/>
              <w:jc w:val="center"/>
              <w:rPr>
                <w:b/>
                <w:bCs/>
                <w:sz w:val="20"/>
                <w:szCs w:val="20"/>
              </w:rPr>
            </w:pPr>
            <w:r w:rsidRPr="00E34A8F">
              <w:rPr>
                <w:b/>
                <w:bCs/>
                <w:sz w:val="20"/>
                <w:szCs w:val="20"/>
              </w:rPr>
              <w:t>74.5</w:t>
            </w:r>
          </w:p>
        </w:tc>
        <w:tc>
          <w:tcPr>
            <w:tcW w:w="580" w:type="dxa"/>
            <w:tcBorders>
              <w:top w:val="nil"/>
              <w:left w:val="nil"/>
              <w:bottom w:val="double" w:sz="6" w:space="0" w:color="000000"/>
              <w:right w:val="single" w:sz="8" w:space="0" w:color="000000"/>
            </w:tcBorders>
            <w:shd w:val="clear" w:color="auto" w:fill="auto"/>
            <w:vAlign w:val="bottom"/>
            <w:hideMark/>
          </w:tcPr>
          <w:p w14:paraId="35D7DC38" w14:textId="77777777" w:rsidR="00E34A8F" w:rsidRPr="00E34A8F" w:rsidRDefault="00E34A8F" w:rsidP="00E34A8F">
            <w:pPr>
              <w:widowControl/>
              <w:adjustRightInd/>
              <w:jc w:val="center"/>
              <w:rPr>
                <w:b/>
                <w:bCs/>
                <w:sz w:val="20"/>
                <w:szCs w:val="20"/>
              </w:rPr>
            </w:pPr>
            <w:r w:rsidRPr="00E34A8F">
              <w:rPr>
                <w:b/>
                <w:bCs/>
                <w:sz w:val="20"/>
                <w:szCs w:val="20"/>
              </w:rPr>
              <w:t>25.0</w:t>
            </w:r>
          </w:p>
        </w:tc>
        <w:tc>
          <w:tcPr>
            <w:tcW w:w="700" w:type="dxa"/>
            <w:tcBorders>
              <w:top w:val="nil"/>
              <w:left w:val="nil"/>
              <w:bottom w:val="double" w:sz="6" w:space="0" w:color="000000"/>
              <w:right w:val="single" w:sz="8" w:space="0" w:color="000000"/>
            </w:tcBorders>
            <w:shd w:val="clear" w:color="auto" w:fill="auto"/>
            <w:vAlign w:val="bottom"/>
            <w:hideMark/>
          </w:tcPr>
          <w:p w14:paraId="35281FEB" w14:textId="77777777" w:rsidR="00E34A8F" w:rsidRPr="00E34A8F" w:rsidRDefault="00E34A8F" w:rsidP="00E34A8F">
            <w:pPr>
              <w:widowControl/>
              <w:adjustRightInd/>
              <w:jc w:val="center"/>
              <w:rPr>
                <w:b/>
                <w:bCs/>
                <w:sz w:val="20"/>
                <w:szCs w:val="20"/>
              </w:rPr>
            </w:pPr>
            <w:r w:rsidRPr="00E34A8F">
              <w:rPr>
                <w:b/>
                <w:bCs/>
                <w:sz w:val="20"/>
                <w:szCs w:val="20"/>
              </w:rPr>
              <w:t>41.0</w:t>
            </w:r>
          </w:p>
        </w:tc>
        <w:tc>
          <w:tcPr>
            <w:tcW w:w="700" w:type="dxa"/>
            <w:tcBorders>
              <w:top w:val="nil"/>
              <w:left w:val="nil"/>
              <w:bottom w:val="double" w:sz="6" w:space="0" w:color="000000"/>
              <w:right w:val="single" w:sz="8" w:space="0" w:color="000000"/>
            </w:tcBorders>
            <w:shd w:val="clear" w:color="auto" w:fill="auto"/>
            <w:vAlign w:val="bottom"/>
            <w:hideMark/>
          </w:tcPr>
          <w:p w14:paraId="5F5D5076" w14:textId="77777777" w:rsidR="00E34A8F" w:rsidRPr="00E34A8F" w:rsidRDefault="00E34A8F" w:rsidP="00E34A8F">
            <w:pPr>
              <w:widowControl/>
              <w:adjustRightInd/>
              <w:jc w:val="center"/>
              <w:rPr>
                <w:b/>
                <w:bCs/>
                <w:sz w:val="20"/>
                <w:szCs w:val="20"/>
              </w:rPr>
            </w:pPr>
            <w:r w:rsidRPr="00E34A8F">
              <w:rPr>
                <w:b/>
                <w:bCs/>
                <w:sz w:val="20"/>
                <w:szCs w:val="20"/>
              </w:rPr>
              <w:t>8.5</w:t>
            </w:r>
          </w:p>
        </w:tc>
        <w:tc>
          <w:tcPr>
            <w:tcW w:w="700" w:type="dxa"/>
            <w:tcBorders>
              <w:top w:val="nil"/>
              <w:left w:val="nil"/>
              <w:bottom w:val="double" w:sz="6" w:space="0" w:color="000000"/>
              <w:right w:val="double" w:sz="6" w:space="0" w:color="000000"/>
            </w:tcBorders>
            <w:shd w:val="clear" w:color="auto" w:fill="auto"/>
            <w:vAlign w:val="bottom"/>
            <w:hideMark/>
          </w:tcPr>
          <w:p w14:paraId="19E4B3C2" w14:textId="77777777" w:rsidR="00E34A8F" w:rsidRPr="00E34A8F" w:rsidRDefault="00E34A8F" w:rsidP="00E34A8F">
            <w:pPr>
              <w:widowControl/>
              <w:adjustRightInd/>
              <w:jc w:val="center"/>
              <w:rPr>
                <w:b/>
                <w:bCs/>
                <w:sz w:val="20"/>
                <w:szCs w:val="20"/>
              </w:rPr>
            </w:pPr>
            <w:r w:rsidRPr="00E34A8F">
              <w:rPr>
                <w:b/>
                <w:bCs/>
                <w:sz w:val="20"/>
                <w:szCs w:val="20"/>
              </w:rPr>
              <w:t>74.5</w:t>
            </w:r>
          </w:p>
        </w:tc>
      </w:tr>
      <w:tr w:rsidR="00E34A8F" w:rsidRPr="00E34A8F" w14:paraId="6EBDB87B" w14:textId="77777777" w:rsidTr="00E34A8F">
        <w:trPr>
          <w:trHeight w:val="1080"/>
        </w:trPr>
        <w:tc>
          <w:tcPr>
            <w:tcW w:w="9460" w:type="dxa"/>
            <w:gridSpan w:val="13"/>
            <w:tcBorders>
              <w:top w:val="double" w:sz="6" w:space="0" w:color="000000"/>
              <w:left w:val="nil"/>
              <w:bottom w:val="nil"/>
              <w:right w:val="nil"/>
            </w:tcBorders>
            <w:shd w:val="clear" w:color="auto" w:fill="auto"/>
            <w:vAlign w:val="bottom"/>
            <w:hideMark/>
          </w:tcPr>
          <w:p w14:paraId="68646684" w14:textId="77777777" w:rsidR="00E34A8F" w:rsidRPr="00E34A8F" w:rsidRDefault="00E34A8F" w:rsidP="00E34A8F">
            <w:pPr>
              <w:widowControl/>
              <w:adjustRightInd/>
              <w:rPr>
                <w:sz w:val="20"/>
                <w:szCs w:val="20"/>
              </w:rPr>
            </w:pPr>
            <w:r w:rsidRPr="00E34A8F">
              <w:rPr>
                <w:sz w:val="20"/>
                <w:szCs w:val="20"/>
              </w:rPr>
              <w:t xml:space="preserve"> A “typical” respondent is assumed to report eight continuous hazardous substance releases in year one and to experience a change in one release in the second and third years (e.g., the frequency of the release per week changes each year, causing a modification in the estimated annual release amount).  No other conditional activities are assumed to be required of the typical respondent.</w:t>
            </w:r>
          </w:p>
        </w:tc>
      </w:tr>
    </w:tbl>
    <w:p w14:paraId="7F5B416A" w14:textId="77777777" w:rsidR="00C82484" w:rsidRDefault="00C82484" w:rsidP="00513A4B">
      <w:pPr>
        <w:rPr>
          <w:sz w:val="18"/>
          <w:szCs w:val="18"/>
        </w:rPr>
      </w:pPr>
      <w:r w:rsidRPr="001F3A52">
        <w:rPr>
          <w:sz w:val="18"/>
          <w:szCs w:val="18"/>
        </w:rPr>
        <w:t>NA = Not Applicable</w:t>
      </w:r>
    </w:p>
    <w:p w14:paraId="6AE96DBA" w14:textId="77777777" w:rsidR="00513A4B" w:rsidRDefault="00513A4B" w:rsidP="00513A4B">
      <w:pPr>
        <w:rPr>
          <w:sz w:val="18"/>
          <w:szCs w:val="18"/>
        </w:rPr>
      </w:pPr>
    </w:p>
    <w:p w14:paraId="182359E8" w14:textId="77777777" w:rsidR="00513A4B" w:rsidRPr="00613D9D" w:rsidRDefault="00513A4B" w:rsidP="00513A4B">
      <w:pPr>
        <w:rPr>
          <w:color w:val="008000"/>
        </w:rPr>
      </w:pPr>
      <w:r w:rsidRPr="00613D9D">
        <w:rPr>
          <w:color w:val="008000"/>
        </w:rPr>
        <w:t xml:space="preserve">The estimated annual burden hours incurred by a “typical” facility are presented in Exhibit 2 (With Forms).  A typical respondent is assumed to report eight continuous hazardous substance releases in year one and to experience a change in one release in the second and third years of reporting (e.g., </w:t>
      </w:r>
      <w:r w:rsidRPr="00613D9D">
        <w:rPr>
          <w:color w:val="008000"/>
        </w:rPr>
        <w:lastRenderedPageBreak/>
        <w:t>the frequency of the release increases from three to five times a week, causing a modification in the estimated annual release amount).  No other conditional activities (e.g., SSI reporting and facilitating a site inspection) are assumed to be required of the typical respondent; the inclusion of burden estimates associated with any additional conditional activities may result in a significant overestimation of the burden incurred by a typical facility.</w:t>
      </w:r>
    </w:p>
    <w:p w14:paraId="1F3CCAF6" w14:textId="77777777" w:rsidR="00513A4B" w:rsidRPr="00613D9D" w:rsidRDefault="00513A4B" w:rsidP="00513A4B">
      <w:pPr>
        <w:jc w:val="center"/>
        <w:rPr>
          <w:color w:val="008000"/>
        </w:rPr>
      </w:pPr>
    </w:p>
    <w:p w14:paraId="019300B1" w14:textId="77777777" w:rsidR="00E34A8F" w:rsidRPr="00613D9D" w:rsidRDefault="00E34A8F" w:rsidP="002F5353">
      <w:pPr>
        <w:rPr>
          <w:color w:val="008000"/>
        </w:rPr>
      </w:pPr>
    </w:p>
    <w:p w14:paraId="7F8E3D72" w14:textId="77777777" w:rsidR="00A02F6C" w:rsidRPr="00613D9D" w:rsidRDefault="00A02F6C" w:rsidP="00A02F6C">
      <w:pPr>
        <w:keepNext/>
        <w:jc w:val="center"/>
        <w:outlineLvl w:val="4"/>
        <w:rPr>
          <w:b/>
          <w:color w:val="008000"/>
        </w:rPr>
      </w:pPr>
      <w:bookmarkStart w:id="54" w:name="_Toc302552501"/>
      <w:r w:rsidRPr="00613D9D">
        <w:rPr>
          <w:b/>
          <w:color w:val="008000"/>
        </w:rPr>
        <w:t>Exhibit 2 (With Forms) – Burden Hours for a Typical Facility</w:t>
      </w:r>
      <w:bookmarkEnd w:id="54"/>
    </w:p>
    <w:tbl>
      <w:tblPr>
        <w:tblW w:w="9460" w:type="dxa"/>
        <w:tblInd w:w="85" w:type="dxa"/>
        <w:tblLook w:val="04A0" w:firstRow="1" w:lastRow="0" w:firstColumn="1" w:lastColumn="0" w:noHBand="0" w:noVBand="1"/>
      </w:tblPr>
      <w:tblGrid>
        <w:gridCol w:w="1629"/>
        <w:gridCol w:w="580"/>
        <w:gridCol w:w="579"/>
        <w:gridCol w:w="699"/>
        <w:gridCol w:w="666"/>
        <w:gridCol w:w="691"/>
        <w:gridCol w:w="691"/>
        <w:gridCol w:w="699"/>
        <w:gridCol w:w="566"/>
        <w:gridCol w:w="579"/>
        <w:gridCol w:w="691"/>
        <w:gridCol w:w="699"/>
        <w:gridCol w:w="691"/>
      </w:tblGrid>
      <w:tr w:rsidR="00E34A8F" w:rsidRPr="00E34A8F" w14:paraId="0D7EF415" w14:textId="77777777" w:rsidTr="00E34A8F">
        <w:trPr>
          <w:trHeight w:val="285"/>
        </w:trPr>
        <w:tc>
          <w:tcPr>
            <w:tcW w:w="1660" w:type="dxa"/>
            <w:tcBorders>
              <w:top w:val="double" w:sz="6" w:space="0" w:color="000000"/>
              <w:left w:val="double" w:sz="6" w:space="0" w:color="000000"/>
              <w:bottom w:val="nil"/>
              <w:right w:val="single" w:sz="8" w:space="0" w:color="000000"/>
            </w:tcBorders>
            <w:shd w:val="clear" w:color="auto" w:fill="auto"/>
            <w:vAlign w:val="bottom"/>
            <w:hideMark/>
          </w:tcPr>
          <w:p w14:paraId="0ED832A2" w14:textId="77777777" w:rsidR="00E34A8F" w:rsidRPr="00E34A8F" w:rsidRDefault="00E34A8F" w:rsidP="00E34A8F">
            <w:pPr>
              <w:widowControl/>
              <w:adjustRightInd/>
              <w:jc w:val="center"/>
              <w:rPr>
                <w:b/>
                <w:bCs/>
                <w:sz w:val="20"/>
                <w:szCs w:val="20"/>
              </w:rPr>
            </w:pPr>
            <w:r w:rsidRPr="00E34A8F">
              <w:rPr>
                <w:b/>
                <w:bCs/>
                <w:sz w:val="20"/>
                <w:szCs w:val="20"/>
              </w:rPr>
              <w:t>Collection Activity</w:t>
            </w:r>
          </w:p>
        </w:tc>
        <w:tc>
          <w:tcPr>
            <w:tcW w:w="2480" w:type="dxa"/>
            <w:gridSpan w:val="4"/>
            <w:tcBorders>
              <w:top w:val="double" w:sz="6" w:space="0" w:color="000000"/>
              <w:left w:val="nil"/>
              <w:bottom w:val="single" w:sz="8" w:space="0" w:color="000000"/>
              <w:right w:val="single" w:sz="8" w:space="0" w:color="000000"/>
            </w:tcBorders>
            <w:shd w:val="clear" w:color="auto" w:fill="auto"/>
            <w:vAlign w:val="bottom"/>
            <w:hideMark/>
          </w:tcPr>
          <w:p w14:paraId="171B2561" w14:textId="77777777" w:rsidR="00E34A8F" w:rsidRPr="00E34A8F" w:rsidRDefault="00E34A8F" w:rsidP="00E34A8F">
            <w:pPr>
              <w:widowControl/>
              <w:adjustRightInd/>
              <w:jc w:val="center"/>
              <w:rPr>
                <w:b/>
                <w:bCs/>
                <w:sz w:val="20"/>
                <w:szCs w:val="20"/>
              </w:rPr>
            </w:pPr>
            <w:r w:rsidRPr="00E34A8F">
              <w:rPr>
                <w:b/>
                <w:bCs/>
                <w:sz w:val="20"/>
                <w:szCs w:val="20"/>
              </w:rPr>
              <w:t>First Year Burden Hours</w:t>
            </w:r>
          </w:p>
        </w:tc>
        <w:tc>
          <w:tcPr>
            <w:tcW w:w="2640" w:type="dxa"/>
            <w:gridSpan w:val="4"/>
            <w:tcBorders>
              <w:top w:val="double" w:sz="6" w:space="0" w:color="000000"/>
              <w:left w:val="nil"/>
              <w:bottom w:val="single" w:sz="8" w:space="0" w:color="000000"/>
              <w:right w:val="single" w:sz="8" w:space="0" w:color="000000"/>
            </w:tcBorders>
            <w:shd w:val="clear" w:color="auto" w:fill="auto"/>
            <w:vAlign w:val="bottom"/>
            <w:hideMark/>
          </w:tcPr>
          <w:p w14:paraId="0775BA61" w14:textId="77777777" w:rsidR="00E34A8F" w:rsidRPr="00E34A8F" w:rsidRDefault="00E34A8F" w:rsidP="00E34A8F">
            <w:pPr>
              <w:widowControl/>
              <w:adjustRightInd/>
              <w:jc w:val="center"/>
              <w:rPr>
                <w:b/>
                <w:bCs/>
                <w:sz w:val="20"/>
                <w:szCs w:val="20"/>
              </w:rPr>
            </w:pPr>
            <w:r w:rsidRPr="00E34A8F">
              <w:rPr>
                <w:b/>
                <w:bCs/>
                <w:sz w:val="20"/>
                <w:szCs w:val="20"/>
              </w:rPr>
              <w:t>Second Year Burden Hours</w:t>
            </w:r>
          </w:p>
        </w:tc>
        <w:tc>
          <w:tcPr>
            <w:tcW w:w="2680" w:type="dxa"/>
            <w:gridSpan w:val="4"/>
            <w:tcBorders>
              <w:top w:val="double" w:sz="6" w:space="0" w:color="000000"/>
              <w:left w:val="nil"/>
              <w:bottom w:val="single" w:sz="8" w:space="0" w:color="000000"/>
              <w:right w:val="double" w:sz="6" w:space="0" w:color="000000"/>
            </w:tcBorders>
            <w:shd w:val="clear" w:color="auto" w:fill="auto"/>
            <w:vAlign w:val="bottom"/>
            <w:hideMark/>
          </w:tcPr>
          <w:p w14:paraId="4A7BE14C" w14:textId="77777777" w:rsidR="00E34A8F" w:rsidRPr="00E34A8F" w:rsidRDefault="00E34A8F" w:rsidP="00E34A8F">
            <w:pPr>
              <w:widowControl/>
              <w:adjustRightInd/>
              <w:jc w:val="center"/>
              <w:rPr>
                <w:b/>
                <w:bCs/>
                <w:sz w:val="20"/>
                <w:szCs w:val="20"/>
              </w:rPr>
            </w:pPr>
            <w:r w:rsidRPr="00E34A8F">
              <w:rPr>
                <w:b/>
                <w:bCs/>
                <w:sz w:val="20"/>
                <w:szCs w:val="20"/>
              </w:rPr>
              <w:t>Third Year Burden Hours</w:t>
            </w:r>
          </w:p>
        </w:tc>
      </w:tr>
      <w:tr w:rsidR="00E34A8F" w:rsidRPr="00E34A8F" w14:paraId="62DBC182" w14:textId="77777777" w:rsidTr="00E34A8F">
        <w:trPr>
          <w:trHeight w:val="390"/>
        </w:trPr>
        <w:tc>
          <w:tcPr>
            <w:tcW w:w="1660" w:type="dxa"/>
            <w:tcBorders>
              <w:top w:val="nil"/>
              <w:left w:val="double" w:sz="6" w:space="0" w:color="000000"/>
              <w:bottom w:val="single" w:sz="8" w:space="0" w:color="000000"/>
              <w:right w:val="single" w:sz="8" w:space="0" w:color="000000"/>
            </w:tcBorders>
            <w:shd w:val="clear" w:color="auto" w:fill="auto"/>
            <w:vAlign w:val="bottom"/>
            <w:hideMark/>
          </w:tcPr>
          <w:p w14:paraId="5A668A71" w14:textId="77777777" w:rsidR="00E34A8F" w:rsidRPr="00E34A8F" w:rsidRDefault="00E34A8F" w:rsidP="00E34A8F">
            <w:pPr>
              <w:widowControl/>
              <w:adjustRightInd/>
              <w:rPr>
                <w:rFonts w:ascii="Arial" w:hAnsi="Arial" w:cs="Arial"/>
                <w:sz w:val="20"/>
                <w:szCs w:val="20"/>
              </w:rPr>
            </w:pPr>
            <w:r w:rsidRPr="00E34A8F">
              <w:rPr>
                <w:rFonts w:ascii="Arial" w:hAnsi="Arial" w:cs="Arial"/>
                <w:sz w:val="20"/>
                <w:szCs w:val="20"/>
              </w:rPr>
              <w:t> </w:t>
            </w:r>
          </w:p>
        </w:tc>
        <w:tc>
          <w:tcPr>
            <w:tcW w:w="580" w:type="dxa"/>
            <w:tcBorders>
              <w:top w:val="nil"/>
              <w:left w:val="nil"/>
              <w:bottom w:val="single" w:sz="8" w:space="0" w:color="000000"/>
              <w:right w:val="single" w:sz="8" w:space="0" w:color="000000"/>
            </w:tcBorders>
            <w:shd w:val="clear" w:color="auto" w:fill="auto"/>
            <w:vAlign w:val="bottom"/>
            <w:hideMark/>
          </w:tcPr>
          <w:p w14:paraId="2AD9EF76" w14:textId="77777777" w:rsidR="00E34A8F" w:rsidRPr="00E34A8F" w:rsidRDefault="00E34A8F" w:rsidP="00E34A8F">
            <w:pPr>
              <w:widowControl/>
              <w:adjustRightInd/>
              <w:jc w:val="center"/>
              <w:rPr>
                <w:b/>
                <w:bCs/>
                <w:sz w:val="14"/>
                <w:szCs w:val="14"/>
              </w:rPr>
            </w:pPr>
            <w:r w:rsidRPr="00E34A8F">
              <w:rPr>
                <w:b/>
                <w:bCs/>
                <w:sz w:val="14"/>
                <w:szCs w:val="14"/>
              </w:rPr>
              <w:t>Mgt</w:t>
            </w:r>
          </w:p>
        </w:tc>
        <w:tc>
          <w:tcPr>
            <w:tcW w:w="580" w:type="dxa"/>
            <w:tcBorders>
              <w:top w:val="nil"/>
              <w:left w:val="nil"/>
              <w:bottom w:val="single" w:sz="8" w:space="0" w:color="000000"/>
              <w:right w:val="single" w:sz="8" w:space="0" w:color="000000"/>
            </w:tcBorders>
            <w:shd w:val="clear" w:color="auto" w:fill="auto"/>
            <w:vAlign w:val="bottom"/>
            <w:hideMark/>
          </w:tcPr>
          <w:p w14:paraId="05C4569D" w14:textId="77777777" w:rsidR="00E34A8F" w:rsidRPr="00E34A8F" w:rsidRDefault="00E34A8F" w:rsidP="00E34A8F">
            <w:pPr>
              <w:widowControl/>
              <w:adjustRightInd/>
              <w:jc w:val="center"/>
              <w:rPr>
                <w:b/>
                <w:bCs/>
                <w:sz w:val="14"/>
                <w:szCs w:val="14"/>
              </w:rPr>
            </w:pPr>
            <w:r w:rsidRPr="00E34A8F">
              <w:rPr>
                <w:b/>
                <w:bCs/>
                <w:sz w:val="14"/>
                <w:szCs w:val="14"/>
              </w:rPr>
              <w:t>Tech</w:t>
            </w:r>
          </w:p>
        </w:tc>
        <w:tc>
          <w:tcPr>
            <w:tcW w:w="700" w:type="dxa"/>
            <w:tcBorders>
              <w:top w:val="nil"/>
              <w:left w:val="nil"/>
              <w:bottom w:val="single" w:sz="8" w:space="0" w:color="000000"/>
              <w:right w:val="single" w:sz="8" w:space="0" w:color="000000"/>
            </w:tcBorders>
            <w:shd w:val="clear" w:color="auto" w:fill="auto"/>
            <w:vAlign w:val="bottom"/>
            <w:hideMark/>
          </w:tcPr>
          <w:p w14:paraId="583B8938" w14:textId="77777777" w:rsidR="00E34A8F" w:rsidRPr="00E34A8F" w:rsidRDefault="00E34A8F" w:rsidP="00E34A8F">
            <w:pPr>
              <w:widowControl/>
              <w:adjustRightInd/>
              <w:jc w:val="center"/>
              <w:rPr>
                <w:b/>
                <w:bCs/>
                <w:sz w:val="14"/>
                <w:szCs w:val="14"/>
              </w:rPr>
            </w:pPr>
            <w:r w:rsidRPr="00E34A8F">
              <w:rPr>
                <w:b/>
                <w:bCs/>
                <w:sz w:val="14"/>
                <w:szCs w:val="14"/>
              </w:rPr>
              <w:t>Clerical</w:t>
            </w:r>
          </w:p>
        </w:tc>
        <w:tc>
          <w:tcPr>
            <w:tcW w:w="620" w:type="dxa"/>
            <w:tcBorders>
              <w:top w:val="nil"/>
              <w:left w:val="nil"/>
              <w:bottom w:val="single" w:sz="8" w:space="0" w:color="000000"/>
              <w:right w:val="single" w:sz="8" w:space="0" w:color="000000"/>
            </w:tcBorders>
            <w:shd w:val="clear" w:color="auto" w:fill="auto"/>
            <w:vAlign w:val="bottom"/>
            <w:hideMark/>
          </w:tcPr>
          <w:p w14:paraId="7F0C0E6B" w14:textId="77777777" w:rsidR="00E34A8F" w:rsidRPr="00E34A8F" w:rsidRDefault="00E34A8F" w:rsidP="00E34A8F">
            <w:pPr>
              <w:widowControl/>
              <w:adjustRightInd/>
              <w:jc w:val="center"/>
              <w:rPr>
                <w:b/>
                <w:bCs/>
                <w:sz w:val="14"/>
                <w:szCs w:val="14"/>
              </w:rPr>
            </w:pPr>
            <w:r w:rsidRPr="00E34A8F">
              <w:rPr>
                <w:b/>
                <w:bCs/>
                <w:sz w:val="14"/>
                <w:szCs w:val="14"/>
              </w:rPr>
              <w:t>Total</w:t>
            </w:r>
          </w:p>
        </w:tc>
        <w:tc>
          <w:tcPr>
            <w:tcW w:w="700" w:type="dxa"/>
            <w:tcBorders>
              <w:top w:val="nil"/>
              <w:left w:val="nil"/>
              <w:bottom w:val="single" w:sz="8" w:space="0" w:color="000000"/>
              <w:right w:val="single" w:sz="8" w:space="0" w:color="000000"/>
            </w:tcBorders>
            <w:shd w:val="clear" w:color="auto" w:fill="auto"/>
            <w:vAlign w:val="bottom"/>
            <w:hideMark/>
          </w:tcPr>
          <w:p w14:paraId="0C92205A" w14:textId="77777777" w:rsidR="00E34A8F" w:rsidRPr="00E34A8F" w:rsidRDefault="00E34A8F" w:rsidP="00E34A8F">
            <w:pPr>
              <w:widowControl/>
              <w:adjustRightInd/>
              <w:jc w:val="center"/>
              <w:rPr>
                <w:b/>
                <w:bCs/>
                <w:sz w:val="14"/>
                <w:szCs w:val="14"/>
              </w:rPr>
            </w:pPr>
            <w:r w:rsidRPr="00E34A8F">
              <w:rPr>
                <w:b/>
                <w:bCs/>
                <w:sz w:val="14"/>
                <w:szCs w:val="14"/>
              </w:rPr>
              <w:t>Mgt</w:t>
            </w:r>
          </w:p>
        </w:tc>
        <w:tc>
          <w:tcPr>
            <w:tcW w:w="700" w:type="dxa"/>
            <w:tcBorders>
              <w:top w:val="nil"/>
              <w:left w:val="nil"/>
              <w:bottom w:val="single" w:sz="8" w:space="0" w:color="000000"/>
              <w:right w:val="single" w:sz="8" w:space="0" w:color="000000"/>
            </w:tcBorders>
            <w:shd w:val="clear" w:color="auto" w:fill="auto"/>
            <w:vAlign w:val="bottom"/>
            <w:hideMark/>
          </w:tcPr>
          <w:p w14:paraId="5CEFCB60" w14:textId="77777777" w:rsidR="00E34A8F" w:rsidRPr="00E34A8F" w:rsidRDefault="00E34A8F" w:rsidP="00E34A8F">
            <w:pPr>
              <w:widowControl/>
              <w:adjustRightInd/>
              <w:jc w:val="center"/>
              <w:rPr>
                <w:b/>
                <w:bCs/>
                <w:sz w:val="14"/>
                <w:szCs w:val="14"/>
              </w:rPr>
            </w:pPr>
            <w:r w:rsidRPr="00E34A8F">
              <w:rPr>
                <w:b/>
                <w:bCs/>
                <w:sz w:val="14"/>
                <w:szCs w:val="14"/>
              </w:rPr>
              <w:t>Tech</w:t>
            </w:r>
          </w:p>
        </w:tc>
        <w:tc>
          <w:tcPr>
            <w:tcW w:w="700" w:type="dxa"/>
            <w:tcBorders>
              <w:top w:val="nil"/>
              <w:left w:val="nil"/>
              <w:bottom w:val="single" w:sz="8" w:space="0" w:color="000000"/>
              <w:right w:val="single" w:sz="8" w:space="0" w:color="000000"/>
            </w:tcBorders>
            <w:shd w:val="clear" w:color="auto" w:fill="auto"/>
            <w:vAlign w:val="bottom"/>
            <w:hideMark/>
          </w:tcPr>
          <w:p w14:paraId="765A01EE" w14:textId="77777777" w:rsidR="00E34A8F" w:rsidRPr="00E34A8F" w:rsidRDefault="00E34A8F" w:rsidP="00E34A8F">
            <w:pPr>
              <w:widowControl/>
              <w:adjustRightInd/>
              <w:jc w:val="center"/>
              <w:rPr>
                <w:b/>
                <w:bCs/>
                <w:sz w:val="14"/>
                <w:szCs w:val="14"/>
              </w:rPr>
            </w:pPr>
            <w:r w:rsidRPr="00E34A8F">
              <w:rPr>
                <w:b/>
                <w:bCs/>
                <w:sz w:val="14"/>
                <w:szCs w:val="14"/>
              </w:rPr>
              <w:t>Clerical</w:t>
            </w:r>
          </w:p>
        </w:tc>
        <w:tc>
          <w:tcPr>
            <w:tcW w:w="540" w:type="dxa"/>
            <w:tcBorders>
              <w:top w:val="nil"/>
              <w:left w:val="nil"/>
              <w:bottom w:val="single" w:sz="8" w:space="0" w:color="000000"/>
              <w:right w:val="single" w:sz="8" w:space="0" w:color="000000"/>
            </w:tcBorders>
            <w:shd w:val="clear" w:color="auto" w:fill="auto"/>
            <w:vAlign w:val="bottom"/>
            <w:hideMark/>
          </w:tcPr>
          <w:p w14:paraId="7609026A" w14:textId="77777777" w:rsidR="00E34A8F" w:rsidRPr="00E34A8F" w:rsidRDefault="00E34A8F" w:rsidP="00E34A8F">
            <w:pPr>
              <w:widowControl/>
              <w:adjustRightInd/>
              <w:jc w:val="center"/>
              <w:rPr>
                <w:b/>
                <w:bCs/>
                <w:sz w:val="14"/>
                <w:szCs w:val="14"/>
              </w:rPr>
            </w:pPr>
            <w:r w:rsidRPr="00E34A8F">
              <w:rPr>
                <w:b/>
                <w:bCs/>
                <w:sz w:val="14"/>
                <w:szCs w:val="14"/>
              </w:rPr>
              <w:t>Total</w:t>
            </w:r>
          </w:p>
        </w:tc>
        <w:tc>
          <w:tcPr>
            <w:tcW w:w="580" w:type="dxa"/>
            <w:tcBorders>
              <w:top w:val="nil"/>
              <w:left w:val="nil"/>
              <w:bottom w:val="single" w:sz="8" w:space="0" w:color="000000"/>
              <w:right w:val="single" w:sz="8" w:space="0" w:color="000000"/>
            </w:tcBorders>
            <w:shd w:val="clear" w:color="auto" w:fill="auto"/>
            <w:vAlign w:val="bottom"/>
            <w:hideMark/>
          </w:tcPr>
          <w:p w14:paraId="52AE9F8E" w14:textId="77777777" w:rsidR="00E34A8F" w:rsidRPr="00E34A8F" w:rsidRDefault="00E34A8F" w:rsidP="00E34A8F">
            <w:pPr>
              <w:widowControl/>
              <w:adjustRightInd/>
              <w:jc w:val="center"/>
              <w:rPr>
                <w:b/>
                <w:bCs/>
                <w:sz w:val="14"/>
                <w:szCs w:val="14"/>
              </w:rPr>
            </w:pPr>
            <w:r w:rsidRPr="00E34A8F">
              <w:rPr>
                <w:b/>
                <w:bCs/>
                <w:sz w:val="14"/>
                <w:szCs w:val="14"/>
              </w:rPr>
              <w:t>Mgt</w:t>
            </w:r>
          </w:p>
        </w:tc>
        <w:tc>
          <w:tcPr>
            <w:tcW w:w="700" w:type="dxa"/>
            <w:tcBorders>
              <w:top w:val="nil"/>
              <w:left w:val="nil"/>
              <w:bottom w:val="single" w:sz="8" w:space="0" w:color="000000"/>
              <w:right w:val="single" w:sz="8" w:space="0" w:color="000000"/>
            </w:tcBorders>
            <w:shd w:val="clear" w:color="auto" w:fill="auto"/>
            <w:vAlign w:val="bottom"/>
            <w:hideMark/>
          </w:tcPr>
          <w:p w14:paraId="102BFEF4" w14:textId="77777777" w:rsidR="00E34A8F" w:rsidRPr="00E34A8F" w:rsidRDefault="00E34A8F" w:rsidP="00E34A8F">
            <w:pPr>
              <w:widowControl/>
              <w:adjustRightInd/>
              <w:jc w:val="center"/>
              <w:rPr>
                <w:b/>
                <w:bCs/>
                <w:sz w:val="14"/>
                <w:szCs w:val="14"/>
              </w:rPr>
            </w:pPr>
            <w:r w:rsidRPr="00E34A8F">
              <w:rPr>
                <w:b/>
                <w:bCs/>
                <w:sz w:val="14"/>
                <w:szCs w:val="14"/>
              </w:rPr>
              <w:t>Tech</w:t>
            </w:r>
          </w:p>
        </w:tc>
        <w:tc>
          <w:tcPr>
            <w:tcW w:w="700" w:type="dxa"/>
            <w:tcBorders>
              <w:top w:val="nil"/>
              <w:left w:val="nil"/>
              <w:bottom w:val="single" w:sz="8" w:space="0" w:color="000000"/>
              <w:right w:val="single" w:sz="8" w:space="0" w:color="000000"/>
            </w:tcBorders>
            <w:shd w:val="clear" w:color="auto" w:fill="auto"/>
            <w:vAlign w:val="bottom"/>
            <w:hideMark/>
          </w:tcPr>
          <w:p w14:paraId="02E08D7E" w14:textId="77777777" w:rsidR="00E34A8F" w:rsidRPr="00E34A8F" w:rsidRDefault="00E34A8F" w:rsidP="00E34A8F">
            <w:pPr>
              <w:widowControl/>
              <w:adjustRightInd/>
              <w:jc w:val="center"/>
              <w:rPr>
                <w:b/>
                <w:bCs/>
                <w:sz w:val="14"/>
                <w:szCs w:val="14"/>
              </w:rPr>
            </w:pPr>
            <w:r w:rsidRPr="00E34A8F">
              <w:rPr>
                <w:b/>
                <w:bCs/>
                <w:sz w:val="14"/>
                <w:szCs w:val="14"/>
              </w:rPr>
              <w:t>Clerical</w:t>
            </w:r>
          </w:p>
        </w:tc>
        <w:tc>
          <w:tcPr>
            <w:tcW w:w="700" w:type="dxa"/>
            <w:tcBorders>
              <w:top w:val="nil"/>
              <w:left w:val="nil"/>
              <w:bottom w:val="single" w:sz="8" w:space="0" w:color="000000"/>
              <w:right w:val="double" w:sz="6" w:space="0" w:color="000000"/>
            </w:tcBorders>
            <w:shd w:val="clear" w:color="auto" w:fill="auto"/>
            <w:vAlign w:val="bottom"/>
            <w:hideMark/>
          </w:tcPr>
          <w:p w14:paraId="7BA0CCBF" w14:textId="77777777" w:rsidR="00E34A8F" w:rsidRPr="00E34A8F" w:rsidRDefault="00E34A8F" w:rsidP="00E34A8F">
            <w:pPr>
              <w:widowControl/>
              <w:adjustRightInd/>
              <w:jc w:val="center"/>
              <w:rPr>
                <w:b/>
                <w:bCs/>
                <w:sz w:val="14"/>
                <w:szCs w:val="14"/>
              </w:rPr>
            </w:pPr>
            <w:r w:rsidRPr="00E34A8F">
              <w:rPr>
                <w:b/>
                <w:bCs/>
                <w:sz w:val="14"/>
                <w:szCs w:val="14"/>
              </w:rPr>
              <w:t>Total</w:t>
            </w:r>
          </w:p>
        </w:tc>
      </w:tr>
      <w:tr w:rsidR="00E34A8F" w:rsidRPr="00E34A8F" w14:paraId="543DAB02" w14:textId="77777777" w:rsidTr="00E34A8F">
        <w:trPr>
          <w:trHeight w:val="780"/>
        </w:trPr>
        <w:tc>
          <w:tcPr>
            <w:tcW w:w="1660" w:type="dxa"/>
            <w:tcBorders>
              <w:top w:val="nil"/>
              <w:left w:val="double" w:sz="6" w:space="0" w:color="000000"/>
              <w:bottom w:val="single" w:sz="8" w:space="0" w:color="000000"/>
              <w:right w:val="single" w:sz="8" w:space="0" w:color="000000"/>
            </w:tcBorders>
            <w:shd w:val="clear" w:color="auto" w:fill="auto"/>
            <w:vAlign w:val="bottom"/>
            <w:hideMark/>
          </w:tcPr>
          <w:p w14:paraId="239B8E64" w14:textId="77777777" w:rsidR="00E34A8F" w:rsidRPr="00E34A8F" w:rsidRDefault="00E34A8F" w:rsidP="00E34A8F">
            <w:pPr>
              <w:widowControl/>
              <w:adjustRightInd/>
              <w:rPr>
                <w:sz w:val="20"/>
                <w:szCs w:val="20"/>
              </w:rPr>
            </w:pPr>
            <w:r w:rsidRPr="00E34A8F">
              <w:rPr>
                <w:sz w:val="20"/>
                <w:szCs w:val="20"/>
              </w:rPr>
              <w:t>Providing an Initial Telephone Notification</w:t>
            </w:r>
          </w:p>
        </w:tc>
        <w:tc>
          <w:tcPr>
            <w:tcW w:w="580" w:type="dxa"/>
            <w:tcBorders>
              <w:top w:val="nil"/>
              <w:left w:val="nil"/>
              <w:bottom w:val="single" w:sz="8" w:space="0" w:color="000000"/>
              <w:right w:val="single" w:sz="8" w:space="0" w:color="000000"/>
            </w:tcBorders>
            <w:shd w:val="clear" w:color="auto" w:fill="auto"/>
            <w:vAlign w:val="bottom"/>
            <w:hideMark/>
          </w:tcPr>
          <w:p w14:paraId="21B256F7" w14:textId="77777777" w:rsidR="00E34A8F" w:rsidRPr="00E34A8F" w:rsidRDefault="00E34A8F" w:rsidP="00E34A8F">
            <w:pPr>
              <w:widowControl/>
              <w:adjustRightInd/>
              <w:jc w:val="center"/>
              <w:rPr>
                <w:sz w:val="20"/>
                <w:szCs w:val="20"/>
              </w:rPr>
            </w:pPr>
            <w:r w:rsidRPr="00E34A8F">
              <w:rPr>
                <w:sz w:val="20"/>
                <w:szCs w:val="20"/>
              </w:rPr>
              <w:t>8.0</w:t>
            </w:r>
          </w:p>
        </w:tc>
        <w:tc>
          <w:tcPr>
            <w:tcW w:w="580" w:type="dxa"/>
            <w:tcBorders>
              <w:top w:val="nil"/>
              <w:left w:val="nil"/>
              <w:bottom w:val="single" w:sz="8" w:space="0" w:color="000000"/>
              <w:right w:val="single" w:sz="8" w:space="0" w:color="000000"/>
            </w:tcBorders>
            <w:shd w:val="clear" w:color="auto" w:fill="auto"/>
            <w:vAlign w:val="bottom"/>
            <w:hideMark/>
          </w:tcPr>
          <w:p w14:paraId="51BF03E4" w14:textId="77777777" w:rsidR="00E34A8F" w:rsidRPr="00E34A8F" w:rsidRDefault="00E34A8F" w:rsidP="00E34A8F">
            <w:pPr>
              <w:widowControl/>
              <w:adjustRightInd/>
              <w:jc w:val="center"/>
              <w:rPr>
                <w:sz w:val="20"/>
                <w:szCs w:val="20"/>
              </w:rPr>
            </w:pPr>
            <w:r w:rsidRPr="00E34A8F">
              <w:rPr>
                <w:sz w:val="20"/>
                <w:szCs w:val="20"/>
              </w:rPr>
              <w:t>16.0</w:t>
            </w:r>
          </w:p>
        </w:tc>
        <w:tc>
          <w:tcPr>
            <w:tcW w:w="700" w:type="dxa"/>
            <w:tcBorders>
              <w:top w:val="nil"/>
              <w:left w:val="nil"/>
              <w:bottom w:val="single" w:sz="8" w:space="0" w:color="000000"/>
              <w:right w:val="single" w:sz="8" w:space="0" w:color="000000"/>
            </w:tcBorders>
            <w:shd w:val="clear" w:color="auto" w:fill="auto"/>
            <w:vAlign w:val="bottom"/>
            <w:hideMark/>
          </w:tcPr>
          <w:p w14:paraId="28052A94" w14:textId="77777777" w:rsidR="00E34A8F" w:rsidRPr="00E34A8F" w:rsidRDefault="00E34A8F" w:rsidP="00E34A8F">
            <w:pPr>
              <w:widowControl/>
              <w:adjustRightInd/>
              <w:jc w:val="center"/>
              <w:rPr>
                <w:sz w:val="20"/>
                <w:szCs w:val="20"/>
              </w:rPr>
            </w:pPr>
            <w:r w:rsidRPr="00E34A8F">
              <w:rPr>
                <w:sz w:val="20"/>
                <w:szCs w:val="20"/>
              </w:rPr>
              <w:t>0.0</w:t>
            </w:r>
          </w:p>
        </w:tc>
        <w:tc>
          <w:tcPr>
            <w:tcW w:w="620" w:type="dxa"/>
            <w:tcBorders>
              <w:top w:val="nil"/>
              <w:left w:val="nil"/>
              <w:bottom w:val="single" w:sz="8" w:space="0" w:color="000000"/>
              <w:right w:val="single" w:sz="8" w:space="0" w:color="000000"/>
            </w:tcBorders>
            <w:shd w:val="clear" w:color="auto" w:fill="auto"/>
            <w:vAlign w:val="bottom"/>
            <w:hideMark/>
          </w:tcPr>
          <w:p w14:paraId="693F470E" w14:textId="77777777" w:rsidR="00E34A8F" w:rsidRPr="00E34A8F" w:rsidRDefault="00E34A8F" w:rsidP="00E34A8F">
            <w:pPr>
              <w:widowControl/>
              <w:adjustRightInd/>
              <w:jc w:val="center"/>
              <w:rPr>
                <w:b/>
                <w:bCs/>
                <w:sz w:val="20"/>
                <w:szCs w:val="20"/>
              </w:rPr>
            </w:pPr>
            <w:r w:rsidRPr="00E34A8F">
              <w:rPr>
                <w:b/>
                <w:bCs/>
                <w:sz w:val="20"/>
                <w:szCs w:val="20"/>
              </w:rPr>
              <w:t>24.0</w:t>
            </w:r>
          </w:p>
        </w:tc>
        <w:tc>
          <w:tcPr>
            <w:tcW w:w="700" w:type="dxa"/>
            <w:tcBorders>
              <w:top w:val="nil"/>
              <w:left w:val="nil"/>
              <w:bottom w:val="single" w:sz="8" w:space="0" w:color="000000"/>
              <w:right w:val="single" w:sz="8" w:space="0" w:color="000000"/>
            </w:tcBorders>
            <w:shd w:val="clear" w:color="auto" w:fill="auto"/>
            <w:vAlign w:val="bottom"/>
            <w:hideMark/>
          </w:tcPr>
          <w:p w14:paraId="3B95D561" w14:textId="77777777"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14:paraId="7E27B649" w14:textId="77777777"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14:paraId="54891CBC" w14:textId="77777777" w:rsidR="00E34A8F" w:rsidRPr="00E34A8F" w:rsidRDefault="00E34A8F" w:rsidP="00E34A8F">
            <w:pPr>
              <w:widowControl/>
              <w:adjustRightInd/>
              <w:jc w:val="center"/>
              <w:rPr>
                <w:sz w:val="20"/>
                <w:szCs w:val="20"/>
              </w:rPr>
            </w:pPr>
            <w:r w:rsidRPr="00E34A8F">
              <w:rPr>
                <w:sz w:val="20"/>
                <w:szCs w:val="20"/>
              </w:rPr>
              <w:t>NA</w:t>
            </w:r>
          </w:p>
        </w:tc>
        <w:tc>
          <w:tcPr>
            <w:tcW w:w="540" w:type="dxa"/>
            <w:tcBorders>
              <w:top w:val="nil"/>
              <w:left w:val="nil"/>
              <w:bottom w:val="single" w:sz="8" w:space="0" w:color="000000"/>
              <w:right w:val="single" w:sz="8" w:space="0" w:color="000000"/>
            </w:tcBorders>
            <w:shd w:val="clear" w:color="auto" w:fill="auto"/>
            <w:vAlign w:val="bottom"/>
            <w:hideMark/>
          </w:tcPr>
          <w:p w14:paraId="2B2028D9" w14:textId="77777777" w:rsidR="00E34A8F" w:rsidRPr="00E34A8F" w:rsidRDefault="00E34A8F" w:rsidP="00E34A8F">
            <w:pPr>
              <w:widowControl/>
              <w:adjustRightInd/>
              <w:jc w:val="center"/>
              <w:rPr>
                <w:b/>
                <w:bCs/>
                <w:sz w:val="20"/>
                <w:szCs w:val="20"/>
              </w:rPr>
            </w:pPr>
            <w:r w:rsidRPr="00E34A8F">
              <w:rPr>
                <w:b/>
                <w:bCs/>
                <w:sz w:val="20"/>
                <w:szCs w:val="20"/>
              </w:rPr>
              <w:t>0.0</w:t>
            </w:r>
          </w:p>
        </w:tc>
        <w:tc>
          <w:tcPr>
            <w:tcW w:w="580" w:type="dxa"/>
            <w:tcBorders>
              <w:top w:val="nil"/>
              <w:left w:val="nil"/>
              <w:bottom w:val="single" w:sz="8" w:space="0" w:color="000000"/>
              <w:right w:val="single" w:sz="8" w:space="0" w:color="000000"/>
            </w:tcBorders>
            <w:shd w:val="clear" w:color="auto" w:fill="auto"/>
            <w:vAlign w:val="bottom"/>
            <w:hideMark/>
          </w:tcPr>
          <w:p w14:paraId="0BCBCA6D" w14:textId="77777777"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14:paraId="242176EA" w14:textId="77777777"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14:paraId="32DBB524" w14:textId="77777777"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double" w:sz="6" w:space="0" w:color="000000"/>
            </w:tcBorders>
            <w:shd w:val="clear" w:color="auto" w:fill="auto"/>
            <w:vAlign w:val="bottom"/>
            <w:hideMark/>
          </w:tcPr>
          <w:p w14:paraId="31C10085" w14:textId="77777777" w:rsidR="00E34A8F" w:rsidRPr="00E34A8F" w:rsidRDefault="00E34A8F" w:rsidP="00E34A8F">
            <w:pPr>
              <w:widowControl/>
              <w:adjustRightInd/>
              <w:jc w:val="center"/>
              <w:rPr>
                <w:b/>
                <w:bCs/>
                <w:sz w:val="20"/>
                <w:szCs w:val="20"/>
              </w:rPr>
            </w:pPr>
            <w:r w:rsidRPr="00E34A8F">
              <w:rPr>
                <w:b/>
                <w:bCs/>
                <w:sz w:val="20"/>
                <w:szCs w:val="20"/>
              </w:rPr>
              <w:t>0.0</w:t>
            </w:r>
          </w:p>
        </w:tc>
      </w:tr>
      <w:tr w:rsidR="00E34A8F" w:rsidRPr="00E34A8F" w14:paraId="2E4CCEA2" w14:textId="77777777" w:rsidTr="00E34A8F">
        <w:trPr>
          <w:trHeight w:val="525"/>
        </w:trPr>
        <w:tc>
          <w:tcPr>
            <w:tcW w:w="1660" w:type="dxa"/>
            <w:tcBorders>
              <w:top w:val="nil"/>
              <w:left w:val="double" w:sz="6" w:space="0" w:color="000000"/>
              <w:bottom w:val="single" w:sz="8" w:space="0" w:color="000000"/>
              <w:right w:val="single" w:sz="8" w:space="0" w:color="000000"/>
            </w:tcBorders>
            <w:shd w:val="clear" w:color="auto" w:fill="auto"/>
            <w:vAlign w:val="bottom"/>
            <w:hideMark/>
          </w:tcPr>
          <w:p w14:paraId="5CD64A82" w14:textId="77777777" w:rsidR="00E34A8F" w:rsidRPr="00E34A8F" w:rsidRDefault="00E34A8F" w:rsidP="00E34A8F">
            <w:pPr>
              <w:widowControl/>
              <w:adjustRightInd/>
              <w:rPr>
                <w:color w:val="99CC00"/>
                <w:sz w:val="20"/>
                <w:szCs w:val="20"/>
              </w:rPr>
            </w:pPr>
            <w:r w:rsidRPr="00613D9D">
              <w:rPr>
                <w:color w:val="008000"/>
                <w:sz w:val="20"/>
                <w:szCs w:val="20"/>
              </w:rPr>
              <w:t>Preparing an Initial Written Report</w:t>
            </w:r>
          </w:p>
        </w:tc>
        <w:tc>
          <w:tcPr>
            <w:tcW w:w="580" w:type="dxa"/>
            <w:tcBorders>
              <w:top w:val="nil"/>
              <w:left w:val="nil"/>
              <w:bottom w:val="single" w:sz="8" w:space="0" w:color="000000"/>
              <w:right w:val="single" w:sz="8" w:space="0" w:color="000000"/>
            </w:tcBorders>
            <w:shd w:val="clear" w:color="auto" w:fill="auto"/>
            <w:vAlign w:val="bottom"/>
            <w:hideMark/>
          </w:tcPr>
          <w:p w14:paraId="23F554D0" w14:textId="77777777" w:rsidR="00E34A8F" w:rsidRPr="00E34A8F" w:rsidRDefault="00E34A8F" w:rsidP="00E34A8F">
            <w:pPr>
              <w:widowControl/>
              <w:adjustRightInd/>
              <w:jc w:val="center"/>
              <w:rPr>
                <w:sz w:val="20"/>
                <w:szCs w:val="20"/>
              </w:rPr>
            </w:pPr>
            <w:r w:rsidRPr="00E34A8F">
              <w:rPr>
                <w:sz w:val="20"/>
                <w:szCs w:val="20"/>
              </w:rPr>
              <w:t>24.0</w:t>
            </w:r>
          </w:p>
        </w:tc>
        <w:tc>
          <w:tcPr>
            <w:tcW w:w="580" w:type="dxa"/>
            <w:tcBorders>
              <w:top w:val="nil"/>
              <w:left w:val="nil"/>
              <w:bottom w:val="single" w:sz="8" w:space="0" w:color="000000"/>
              <w:right w:val="single" w:sz="8" w:space="0" w:color="000000"/>
            </w:tcBorders>
            <w:shd w:val="clear" w:color="auto" w:fill="auto"/>
            <w:vAlign w:val="bottom"/>
            <w:hideMark/>
          </w:tcPr>
          <w:p w14:paraId="15C38582" w14:textId="77777777" w:rsidR="00E34A8F" w:rsidRPr="00613D9D" w:rsidRDefault="00E34A8F" w:rsidP="00E34A8F">
            <w:pPr>
              <w:widowControl/>
              <w:adjustRightInd/>
              <w:jc w:val="center"/>
              <w:rPr>
                <w:color w:val="008000"/>
                <w:sz w:val="20"/>
                <w:szCs w:val="20"/>
              </w:rPr>
            </w:pPr>
            <w:r w:rsidRPr="00613D9D">
              <w:rPr>
                <w:color w:val="008000"/>
                <w:sz w:val="20"/>
                <w:szCs w:val="20"/>
              </w:rPr>
              <w:t>24.0</w:t>
            </w:r>
          </w:p>
        </w:tc>
        <w:tc>
          <w:tcPr>
            <w:tcW w:w="700" w:type="dxa"/>
            <w:tcBorders>
              <w:top w:val="nil"/>
              <w:left w:val="nil"/>
              <w:bottom w:val="single" w:sz="8" w:space="0" w:color="000000"/>
              <w:right w:val="single" w:sz="8" w:space="0" w:color="000000"/>
            </w:tcBorders>
            <w:shd w:val="clear" w:color="auto" w:fill="auto"/>
            <w:vAlign w:val="bottom"/>
            <w:hideMark/>
          </w:tcPr>
          <w:p w14:paraId="08E58CD2" w14:textId="77777777" w:rsidR="00E34A8F" w:rsidRPr="00E34A8F" w:rsidRDefault="00E34A8F" w:rsidP="00E34A8F">
            <w:pPr>
              <w:widowControl/>
              <w:adjustRightInd/>
              <w:jc w:val="center"/>
              <w:rPr>
                <w:sz w:val="20"/>
                <w:szCs w:val="20"/>
              </w:rPr>
            </w:pPr>
            <w:r w:rsidRPr="00E34A8F">
              <w:rPr>
                <w:sz w:val="20"/>
                <w:szCs w:val="20"/>
              </w:rPr>
              <w:t>8.0</w:t>
            </w:r>
          </w:p>
        </w:tc>
        <w:tc>
          <w:tcPr>
            <w:tcW w:w="620" w:type="dxa"/>
            <w:tcBorders>
              <w:top w:val="nil"/>
              <w:left w:val="nil"/>
              <w:bottom w:val="single" w:sz="8" w:space="0" w:color="000000"/>
              <w:right w:val="single" w:sz="8" w:space="0" w:color="000000"/>
            </w:tcBorders>
            <w:shd w:val="clear" w:color="auto" w:fill="auto"/>
            <w:vAlign w:val="bottom"/>
            <w:hideMark/>
          </w:tcPr>
          <w:p w14:paraId="6957F76E" w14:textId="77777777" w:rsidR="00E34A8F" w:rsidRPr="00613D9D" w:rsidRDefault="00E34A8F" w:rsidP="00E34A8F">
            <w:pPr>
              <w:widowControl/>
              <w:adjustRightInd/>
              <w:jc w:val="center"/>
              <w:rPr>
                <w:b/>
                <w:bCs/>
                <w:color w:val="008000"/>
                <w:sz w:val="20"/>
                <w:szCs w:val="20"/>
              </w:rPr>
            </w:pPr>
            <w:r w:rsidRPr="00613D9D">
              <w:rPr>
                <w:b/>
                <w:bCs/>
                <w:color w:val="008000"/>
                <w:sz w:val="20"/>
                <w:szCs w:val="20"/>
              </w:rPr>
              <w:t>56.0</w:t>
            </w:r>
          </w:p>
        </w:tc>
        <w:tc>
          <w:tcPr>
            <w:tcW w:w="700" w:type="dxa"/>
            <w:tcBorders>
              <w:top w:val="nil"/>
              <w:left w:val="nil"/>
              <w:bottom w:val="single" w:sz="8" w:space="0" w:color="000000"/>
              <w:right w:val="single" w:sz="8" w:space="0" w:color="000000"/>
            </w:tcBorders>
            <w:shd w:val="clear" w:color="auto" w:fill="auto"/>
            <w:vAlign w:val="bottom"/>
            <w:hideMark/>
          </w:tcPr>
          <w:p w14:paraId="6EBC1811" w14:textId="77777777"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14:paraId="40F42D9A" w14:textId="77777777"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14:paraId="7286364C" w14:textId="77777777" w:rsidR="00E34A8F" w:rsidRPr="00E34A8F" w:rsidRDefault="00E34A8F" w:rsidP="00E34A8F">
            <w:pPr>
              <w:widowControl/>
              <w:adjustRightInd/>
              <w:jc w:val="center"/>
              <w:rPr>
                <w:sz w:val="20"/>
                <w:szCs w:val="20"/>
              </w:rPr>
            </w:pPr>
            <w:r w:rsidRPr="00E34A8F">
              <w:rPr>
                <w:sz w:val="20"/>
                <w:szCs w:val="20"/>
              </w:rPr>
              <w:t>NA</w:t>
            </w:r>
          </w:p>
        </w:tc>
        <w:tc>
          <w:tcPr>
            <w:tcW w:w="540" w:type="dxa"/>
            <w:tcBorders>
              <w:top w:val="nil"/>
              <w:left w:val="nil"/>
              <w:bottom w:val="single" w:sz="8" w:space="0" w:color="000000"/>
              <w:right w:val="single" w:sz="8" w:space="0" w:color="000000"/>
            </w:tcBorders>
            <w:shd w:val="clear" w:color="auto" w:fill="auto"/>
            <w:vAlign w:val="bottom"/>
            <w:hideMark/>
          </w:tcPr>
          <w:p w14:paraId="21DDFB25" w14:textId="77777777" w:rsidR="00E34A8F" w:rsidRPr="00E34A8F" w:rsidRDefault="00E34A8F" w:rsidP="00E34A8F">
            <w:pPr>
              <w:widowControl/>
              <w:adjustRightInd/>
              <w:jc w:val="center"/>
              <w:rPr>
                <w:b/>
                <w:bCs/>
                <w:sz w:val="20"/>
                <w:szCs w:val="20"/>
              </w:rPr>
            </w:pPr>
            <w:r w:rsidRPr="00E34A8F">
              <w:rPr>
                <w:b/>
                <w:bCs/>
                <w:sz w:val="20"/>
                <w:szCs w:val="20"/>
              </w:rPr>
              <w:t>0.0</w:t>
            </w:r>
          </w:p>
        </w:tc>
        <w:tc>
          <w:tcPr>
            <w:tcW w:w="580" w:type="dxa"/>
            <w:tcBorders>
              <w:top w:val="nil"/>
              <w:left w:val="nil"/>
              <w:bottom w:val="single" w:sz="8" w:space="0" w:color="000000"/>
              <w:right w:val="single" w:sz="8" w:space="0" w:color="000000"/>
            </w:tcBorders>
            <w:shd w:val="clear" w:color="auto" w:fill="auto"/>
            <w:vAlign w:val="bottom"/>
            <w:hideMark/>
          </w:tcPr>
          <w:p w14:paraId="5BF885E5" w14:textId="77777777"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14:paraId="683578A8" w14:textId="77777777"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14:paraId="6662B665" w14:textId="77777777"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double" w:sz="6" w:space="0" w:color="000000"/>
            </w:tcBorders>
            <w:shd w:val="clear" w:color="auto" w:fill="auto"/>
            <w:vAlign w:val="bottom"/>
            <w:hideMark/>
          </w:tcPr>
          <w:p w14:paraId="73FC3A13" w14:textId="77777777" w:rsidR="00E34A8F" w:rsidRPr="00E34A8F" w:rsidRDefault="00E34A8F" w:rsidP="00E34A8F">
            <w:pPr>
              <w:widowControl/>
              <w:adjustRightInd/>
              <w:jc w:val="center"/>
              <w:rPr>
                <w:b/>
                <w:bCs/>
                <w:sz w:val="20"/>
                <w:szCs w:val="20"/>
              </w:rPr>
            </w:pPr>
            <w:r w:rsidRPr="00E34A8F">
              <w:rPr>
                <w:b/>
                <w:bCs/>
                <w:sz w:val="20"/>
                <w:szCs w:val="20"/>
              </w:rPr>
              <w:t>0.0</w:t>
            </w:r>
          </w:p>
        </w:tc>
      </w:tr>
      <w:tr w:rsidR="00E34A8F" w:rsidRPr="00E34A8F" w14:paraId="7B87A55E" w14:textId="77777777" w:rsidTr="00E34A8F">
        <w:trPr>
          <w:trHeight w:val="780"/>
        </w:trPr>
        <w:tc>
          <w:tcPr>
            <w:tcW w:w="1660" w:type="dxa"/>
            <w:tcBorders>
              <w:top w:val="nil"/>
              <w:left w:val="double" w:sz="6" w:space="0" w:color="000000"/>
              <w:bottom w:val="single" w:sz="8" w:space="0" w:color="000000"/>
              <w:right w:val="single" w:sz="8" w:space="0" w:color="000000"/>
            </w:tcBorders>
            <w:shd w:val="clear" w:color="auto" w:fill="auto"/>
            <w:vAlign w:val="bottom"/>
            <w:hideMark/>
          </w:tcPr>
          <w:p w14:paraId="539FEDB3" w14:textId="77777777" w:rsidR="00E34A8F" w:rsidRPr="00E34A8F" w:rsidRDefault="00E34A8F" w:rsidP="00E34A8F">
            <w:pPr>
              <w:widowControl/>
              <w:adjustRightInd/>
              <w:rPr>
                <w:sz w:val="20"/>
                <w:szCs w:val="20"/>
              </w:rPr>
            </w:pPr>
            <w:r w:rsidRPr="00E34A8F">
              <w:rPr>
                <w:sz w:val="20"/>
                <w:szCs w:val="20"/>
              </w:rPr>
              <w:t>Preparing a Follow–up Written Report</w:t>
            </w:r>
          </w:p>
        </w:tc>
        <w:tc>
          <w:tcPr>
            <w:tcW w:w="580" w:type="dxa"/>
            <w:tcBorders>
              <w:top w:val="nil"/>
              <w:left w:val="nil"/>
              <w:bottom w:val="single" w:sz="8" w:space="0" w:color="000000"/>
              <w:right w:val="single" w:sz="8" w:space="0" w:color="000000"/>
            </w:tcBorders>
            <w:shd w:val="clear" w:color="auto" w:fill="auto"/>
            <w:vAlign w:val="bottom"/>
            <w:hideMark/>
          </w:tcPr>
          <w:p w14:paraId="396EC57E" w14:textId="77777777" w:rsidR="00E34A8F" w:rsidRPr="00E34A8F" w:rsidRDefault="00E34A8F" w:rsidP="00E34A8F">
            <w:pPr>
              <w:widowControl/>
              <w:adjustRightInd/>
              <w:jc w:val="center"/>
              <w:rPr>
                <w:sz w:val="20"/>
                <w:szCs w:val="20"/>
              </w:rPr>
            </w:pPr>
            <w:r w:rsidRPr="00E34A8F">
              <w:rPr>
                <w:sz w:val="20"/>
                <w:szCs w:val="20"/>
              </w:rPr>
              <w:t>NA</w:t>
            </w:r>
          </w:p>
        </w:tc>
        <w:tc>
          <w:tcPr>
            <w:tcW w:w="580" w:type="dxa"/>
            <w:tcBorders>
              <w:top w:val="nil"/>
              <w:left w:val="nil"/>
              <w:bottom w:val="single" w:sz="8" w:space="0" w:color="000000"/>
              <w:right w:val="single" w:sz="8" w:space="0" w:color="000000"/>
            </w:tcBorders>
            <w:shd w:val="clear" w:color="auto" w:fill="auto"/>
            <w:vAlign w:val="bottom"/>
            <w:hideMark/>
          </w:tcPr>
          <w:p w14:paraId="699B47F7" w14:textId="77777777"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14:paraId="0524BCBB" w14:textId="77777777" w:rsidR="00E34A8F" w:rsidRPr="00E34A8F" w:rsidRDefault="00E34A8F" w:rsidP="00E34A8F">
            <w:pPr>
              <w:widowControl/>
              <w:adjustRightInd/>
              <w:jc w:val="center"/>
              <w:rPr>
                <w:sz w:val="20"/>
                <w:szCs w:val="20"/>
              </w:rPr>
            </w:pPr>
            <w:r w:rsidRPr="00E34A8F">
              <w:rPr>
                <w:sz w:val="20"/>
                <w:szCs w:val="20"/>
              </w:rPr>
              <w:t>NA</w:t>
            </w:r>
          </w:p>
        </w:tc>
        <w:tc>
          <w:tcPr>
            <w:tcW w:w="620" w:type="dxa"/>
            <w:tcBorders>
              <w:top w:val="nil"/>
              <w:left w:val="nil"/>
              <w:bottom w:val="single" w:sz="8" w:space="0" w:color="000000"/>
              <w:right w:val="single" w:sz="8" w:space="0" w:color="000000"/>
            </w:tcBorders>
            <w:shd w:val="clear" w:color="auto" w:fill="auto"/>
            <w:vAlign w:val="bottom"/>
            <w:hideMark/>
          </w:tcPr>
          <w:p w14:paraId="6D68F7EB" w14:textId="77777777" w:rsidR="00E34A8F" w:rsidRPr="00E34A8F" w:rsidRDefault="00E34A8F" w:rsidP="00E34A8F">
            <w:pPr>
              <w:widowControl/>
              <w:adjustRightInd/>
              <w:jc w:val="center"/>
              <w:rPr>
                <w:b/>
                <w:bCs/>
                <w:sz w:val="20"/>
                <w:szCs w:val="20"/>
              </w:rPr>
            </w:pPr>
            <w:r w:rsidRPr="00E34A8F">
              <w:rPr>
                <w:b/>
                <w:bCs/>
                <w:sz w:val="20"/>
                <w:szCs w:val="20"/>
              </w:rPr>
              <w:t>0.0</w:t>
            </w:r>
          </w:p>
        </w:tc>
        <w:tc>
          <w:tcPr>
            <w:tcW w:w="700" w:type="dxa"/>
            <w:tcBorders>
              <w:top w:val="nil"/>
              <w:left w:val="nil"/>
              <w:bottom w:val="single" w:sz="8" w:space="0" w:color="000000"/>
              <w:right w:val="single" w:sz="8" w:space="0" w:color="000000"/>
            </w:tcBorders>
            <w:shd w:val="clear" w:color="auto" w:fill="auto"/>
            <w:vAlign w:val="bottom"/>
            <w:hideMark/>
          </w:tcPr>
          <w:p w14:paraId="6EFBF618" w14:textId="77777777" w:rsidR="00E34A8F" w:rsidRPr="00E34A8F" w:rsidRDefault="00E34A8F" w:rsidP="00E34A8F">
            <w:pPr>
              <w:widowControl/>
              <w:adjustRightInd/>
              <w:jc w:val="center"/>
              <w:rPr>
                <w:sz w:val="20"/>
                <w:szCs w:val="20"/>
              </w:rPr>
            </w:pPr>
            <w:r w:rsidRPr="00E34A8F">
              <w:rPr>
                <w:sz w:val="20"/>
                <w:szCs w:val="20"/>
              </w:rPr>
              <w:t>24.0</w:t>
            </w:r>
          </w:p>
        </w:tc>
        <w:tc>
          <w:tcPr>
            <w:tcW w:w="700" w:type="dxa"/>
            <w:tcBorders>
              <w:top w:val="nil"/>
              <w:left w:val="nil"/>
              <w:bottom w:val="single" w:sz="8" w:space="0" w:color="000000"/>
              <w:right w:val="single" w:sz="8" w:space="0" w:color="000000"/>
            </w:tcBorders>
            <w:shd w:val="clear" w:color="auto" w:fill="auto"/>
            <w:vAlign w:val="bottom"/>
            <w:hideMark/>
          </w:tcPr>
          <w:p w14:paraId="531CDD25" w14:textId="77777777" w:rsidR="00E34A8F" w:rsidRPr="00E34A8F" w:rsidRDefault="00E34A8F" w:rsidP="00E34A8F">
            <w:pPr>
              <w:widowControl/>
              <w:adjustRightInd/>
              <w:jc w:val="center"/>
              <w:rPr>
                <w:sz w:val="20"/>
                <w:szCs w:val="20"/>
              </w:rPr>
            </w:pPr>
            <w:r w:rsidRPr="00E34A8F">
              <w:rPr>
                <w:sz w:val="20"/>
                <w:szCs w:val="20"/>
              </w:rPr>
              <w:t>8.0</w:t>
            </w:r>
          </w:p>
        </w:tc>
        <w:tc>
          <w:tcPr>
            <w:tcW w:w="700" w:type="dxa"/>
            <w:tcBorders>
              <w:top w:val="nil"/>
              <w:left w:val="nil"/>
              <w:bottom w:val="single" w:sz="8" w:space="0" w:color="000000"/>
              <w:right w:val="single" w:sz="8" w:space="0" w:color="000000"/>
            </w:tcBorders>
            <w:shd w:val="clear" w:color="auto" w:fill="auto"/>
            <w:vAlign w:val="bottom"/>
            <w:hideMark/>
          </w:tcPr>
          <w:p w14:paraId="155CB9F9" w14:textId="77777777" w:rsidR="00E34A8F" w:rsidRPr="00E34A8F" w:rsidRDefault="00E34A8F" w:rsidP="00E34A8F">
            <w:pPr>
              <w:widowControl/>
              <w:adjustRightInd/>
              <w:jc w:val="center"/>
              <w:rPr>
                <w:sz w:val="20"/>
                <w:szCs w:val="20"/>
              </w:rPr>
            </w:pPr>
            <w:r w:rsidRPr="00E34A8F">
              <w:rPr>
                <w:sz w:val="20"/>
                <w:szCs w:val="20"/>
              </w:rPr>
              <w:t>8.0</w:t>
            </w:r>
          </w:p>
        </w:tc>
        <w:tc>
          <w:tcPr>
            <w:tcW w:w="540" w:type="dxa"/>
            <w:tcBorders>
              <w:top w:val="nil"/>
              <w:left w:val="nil"/>
              <w:bottom w:val="single" w:sz="8" w:space="0" w:color="000000"/>
              <w:right w:val="single" w:sz="8" w:space="0" w:color="000000"/>
            </w:tcBorders>
            <w:shd w:val="clear" w:color="auto" w:fill="auto"/>
            <w:vAlign w:val="bottom"/>
            <w:hideMark/>
          </w:tcPr>
          <w:p w14:paraId="21573DA8" w14:textId="77777777" w:rsidR="00E34A8F" w:rsidRPr="00E34A8F" w:rsidRDefault="00E34A8F" w:rsidP="00E34A8F">
            <w:pPr>
              <w:widowControl/>
              <w:adjustRightInd/>
              <w:jc w:val="center"/>
              <w:rPr>
                <w:b/>
                <w:bCs/>
                <w:sz w:val="20"/>
                <w:szCs w:val="20"/>
              </w:rPr>
            </w:pPr>
            <w:r w:rsidRPr="00E34A8F">
              <w:rPr>
                <w:b/>
                <w:bCs/>
                <w:sz w:val="20"/>
                <w:szCs w:val="20"/>
              </w:rPr>
              <w:t>40.0</w:t>
            </w:r>
          </w:p>
        </w:tc>
        <w:tc>
          <w:tcPr>
            <w:tcW w:w="580" w:type="dxa"/>
            <w:tcBorders>
              <w:top w:val="nil"/>
              <w:left w:val="nil"/>
              <w:bottom w:val="single" w:sz="8" w:space="0" w:color="000000"/>
              <w:right w:val="single" w:sz="8" w:space="0" w:color="000000"/>
            </w:tcBorders>
            <w:shd w:val="clear" w:color="auto" w:fill="auto"/>
            <w:vAlign w:val="bottom"/>
            <w:hideMark/>
          </w:tcPr>
          <w:p w14:paraId="2AE5125A" w14:textId="77777777"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14:paraId="30FDC2A4" w14:textId="77777777"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14:paraId="1220CD0C" w14:textId="77777777"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double" w:sz="6" w:space="0" w:color="000000"/>
            </w:tcBorders>
            <w:shd w:val="clear" w:color="auto" w:fill="auto"/>
            <w:vAlign w:val="bottom"/>
            <w:hideMark/>
          </w:tcPr>
          <w:p w14:paraId="0F66F312" w14:textId="77777777" w:rsidR="00E34A8F" w:rsidRPr="00E34A8F" w:rsidRDefault="00E34A8F" w:rsidP="00E34A8F">
            <w:pPr>
              <w:widowControl/>
              <w:adjustRightInd/>
              <w:jc w:val="center"/>
              <w:rPr>
                <w:b/>
                <w:bCs/>
                <w:sz w:val="20"/>
                <w:szCs w:val="20"/>
              </w:rPr>
            </w:pPr>
            <w:r w:rsidRPr="00E34A8F">
              <w:rPr>
                <w:b/>
                <w:bCs/>
                <w:sz w:val="20"/>
                <w:szCs w:val="20"/>
              </w:rPr>
              <w:t>0.0</w:t>
            </w:r>
          </w:p>
        </w:tc>
      </w:tr>
      <w:tr w:rsidR="00E34A8F" w:rsidRPr="00E34A8F" w14:paraId="175811FA" w14:textId="77777777" w:rsidTr="00E34A8F">
        <w:trPr>
          <w:trHeight w:val="780"/>
        </w:trPr>
        <w:tc>
          <w:tcPr>
            <w:tcW w:w="1660" w:type="dxa"/>
            <w:tcBorders>
              <w:top w:val="nil"/>
              <w:left w:val="double" w:sz="6" w:space="0" w:color="000000"/>
              <w:bottom w:val="single" w:sz="8" w:space="0" w:color="000000"/>
              <w:right w:val="single" w:sz="8" w:space="0" w:color="000000"/>
            </w:tcBorders>
            <w:shd w:val="clear" w:color="auto" w:fill="auto"/>
            <w:vAlign w:val="bottom"/>
            <w:hideMark/>
          </w:tcPr>
          <w:p w14:paraId="1DE01152" w14:textId="77777777" w:rsidR="00E34A8F" w:rsidRPr="00E34A8F" w:rsidRDefault="00E34A8F" w:rsidP="00E34A8F">
            <w:pPr>
              <w:widowControl/>
              <w:adjustRightInd/>
              <w:rPr>
                <w:sz w:val="20"/>
                <w:szCs w:val="20"/>
              </w:rPr>
            </w:pPr>
            <w:r w:rsidRPr="00E34A8F">
              <w:rPr>
                <w:sz w:val="20"/>
                <w:szCs w:val="20"/>
              </w:rPr>
              <w:t>Conducting an Annual Evaluation of a Release</w:t>
            </w:r>
          </w:p>
        </w:tc>
        <w:tc>
          <w:tcPr>
            <w:tcW w:w="580" w:type="dxa"/>
            <w:tcBorders>
              <w:top w:val="nil"/>
              <w:left w:val="nil"/>
              <w:bottom w:val="single" w:sz="8" w:space="0" w:color="000000"/>
              <w:right w:val="single" w:sz="8" w:space="0" w:color="000000"/>
            </w:tcBorders>
            <w:shd w:val="clear" w:color="auto" w:fill="auto"/>
            <w:vAlign w:val="bottom"/>
            <w:hideMark/>
          </w:tcPr>
          <w:p w14:paraId="3805282B" w14:textId="77777777" w:rsidR="00E34A8F" w:rsidRPr="00E34A8F" w:rsidRDefault="00E34A8F" w:rsidP="00E34A8F">
            <w:pPr>
              <w:widowControl/>
              <w:adjustRightInd/>
              <w:jc w:val="center"/>
              <w:rPr>
                <w:sz w:val="20"/>
                <w:szCs w:val="20"/>
              </w:rPr>
            </w:pPr>
            <w:r w:rsidRPr="00E34A8F">
              <w:rPr>
                <w:sz w:val="20"/>
                <w:szCs w:val="20"/>
              </w:rPr>
              <w:t>NA</w:t>
            </w:r>
          </w:p>
        </w:tc>
        <w:tc>
          <w:tcPr>
            <w:tcW w:w="580" w:type="dxa"/>
            <w:tcBorders>
              <w:top w:val="nil"/>
              <w:left w:val="nil"/>
              <w:bottom w:val="single" w:sz="8" w:space="0" w:color="000000"/>
              <w:right w:val="single" w:sz="8" w:space="0" w:color="000000"/>
            </w:tcBorders>
            <w:shd w:val="clear" w:color="auto" w:fill="auto"/>
            <w:vAlign w:val="bottom"/>
            <w:hideMark/>
          </w:tcPr>
          <w:p w14:paraId="38E2C7FF" w14:textId="77777777"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14:paraId="6F1F5B53" w14:textId="77777777" w:rsidR="00E34A8F" w:rsidRPr="00E34A8F" w:rsidRDefault="00E34A8F" w:rsidP="00E34A8F">
            <w:pPr>
              <w:widowControl/>
              <w:adjustRightInd/>
              <w:jc w:val="center"/>
              <w:rPr>
                <w:sz w:val="20"/>
                <w:szCs w:val="20"/>
              </w:rPr>
            </w:pPr>
            <w:r w:rsidRPr="00E34A8F">
              <w:rPr>
                <w:sz w:val="20"/>
                <w:szCs w:val="20"/>
              </w:rPr>
              <w:t>NA</w:t>
            </w:r>
          </w:p>
        </w:tc>
        <w:tc>
          <w:tcPr>
            <w:tcW w:w="620" w:type="dxa"/>
            <w:tcBorders>
              <w:top w:val="nil"/>
              <w:left w:val="nil"/>
              <w:bottom w:val="single" w:sz="8" w:space="0" w:color="000000"/>
              <w:right w:val="single" w:sz="8" w:space="0" w:color="000000"/>
            </w:tcBorders>
            <w:shd w:val="clear" w:color="auto" w:fill="auto"/>
            <w:vAlign w:val="bottom"/>
            <w:hideMark/>
          </w:tcPr>
          <w:p w14:paraId="20FF6941" w14:textId="77777777" w:rsidR="00E34A8F" w:rsidRPr="00E34A8F" w:rsidRDefault="00E34A8F" w:rsidP="00E34A8F">
            <w:pPr>
              <w:widowControl/>
              <w:adjustRightInd/>
              <w:jc w:val="center"/>
              <w:rPr>
                <w:b/>
                <w:bCs/>
                <w:sz w:val="20"/>
                <w:szCs w:val="20"/>
              </w:rPr>
            </w:pPr>
            <w:r w:rsidRPr="00E34A8F">
              <w:rPr>
                <w:b/>
                <w:bCs/>
                <w:sz w:val="20"/>
                <w:szCs w:val="20"/>
              </w:rPr>
              <w:t>0.0</w:t>
            </w:r>
          </w:p>
        </w:tc>
        <w:tc>
          <w:tcPr>
            <w:tcW w:w="700" w:type="dxa"/>
            <w:tcBorders>
              <w:top w:val="nil"/>
              <w:left w:val="nil"/>
              <w:bottom w:val="single" w:sz="8" w:space="0" w:color="000000"/>
              <w:right w:val="single" w:sz="8" w:space="0" w:color="000000"/>
            </w:tcBorders>
            <w:shd w:val="clear" w:color="auto" w:fill="auto"/>
            <w:vAlign w:val="bottom"/>
            <w:hideMark/>
          </w:tcPr>
          <w:p w14:paraId="01759DE3" w14:textId="77777777"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14:paraId="1836B495" w14:textId="77777777"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14:paraId="05BA6491" w14:textId="77777777" w:rsidR="00E34A8F" w:rsidRPr="00E34A8F" w:rsidRDefault="00E34A8F" w:rsidP="00E34A8F">
            <w:pPr>
              <w:widowControl/>
              <w:adjustRightInd/>
              <w:jc w:val="center"/>
              <w:rPr>
                <w:sz w:val="20"/>
                <w:szCs w:val="20"/>
              </w:rPr>
            </w:pPr>
            <w:r w:rsidRPr="00E34A8F">
              <w:rPr>
                <w:sz w:val="20"/>
                <w:szCs w:val="20"/>
              </w:rPr>
              <w:t>NA</w:t>
            </w:r>
          </w:p>
        </w:tc>
        <w:tc>
          <w:tcPr>
            <w:tcW w:w="540" w:type="dxa"/>
            <w:tcBorders>
              <w:top w:val="nil"/>
              <w:left w:val="nil"/>
              <w:bottom w:val="single" w:sz="8" w:space="0" w:color="000000"/>
              <w:right w:val="single" w:sz="8" w:space="0" w:color="000000"/>
            </w:tcBorders>
            <w:shd w:val="clear" w:color="auto" w:fill="auto"/>
            <w:vAlign w:val="bottom"/>
            <w:hideMark/>
          </w:tcPr>
          <w:p w14:paraId="5AB0C2A3" w14:textId="77777777" w:rsidR="00E34A8F" w:rsidRPr="00E34A8F" w:rsidRDefault="00E34A8F" w:rsidP="00E34A8F">
            <w:pPr>
              <w:widowControl/>
              <w:adjustRightInd/>
              <w:jc w:val="center"/>
              <w:rPr>
                <w:b/>
                <w:bCs/>
                <w:sz w:val="20"/>
                <w:szCs w:val="20"/>
              </w:rPr>
            </w:pPr>
            <w:r w:rsidRPr="00E34A8F">
              <w:rPr>
                <w:b/>
                <w:bCs/>
                <w:sz w:val="20"/>
                <w:szCs w:val="20"/>
              </w:rPr>
              <w:t>0.0</w:t>
            </w:r>
          </w:p>
        </w:tc>
        <w:tc>
          <w:tcPr>
            <w:tcW w:w="580" w:type="dxa"/>
            <w:tcBorders>
              <w:top w:val="nil"/>
              <w:left w:val="nil"/>
              <w:bottom w:val="single" w:sz="8" w:space="0" w:color="000000"/>
              <w:right w:val="single" w:sz="8" w:space="0" w:color="000000"/>
            </w:tcBorders>
            <w:shd w:val="clear" w:color="auto" w:fill="auto"/>
            <w:vAlign w:val="bottom"/>
            <w:hideMark/>
          </w:tcPr>
          <w:p w14:paraId="4A27D300" w14:textId="77777777" w:rsidR="00E34A8F" w:rsidRPr="00E34A8F" w:rsidRDefault="00E34A8F" w:rsidP="00E34A8F">
            <w:pPr>
              <w:widowControl/>
              <w:adjustRightInd/>
              <w:jc w:val="center"/>
              <w:rPr>
                <w:sz w:val="20"/>
                <w:szCs w:val="20"/>
              </w:rPr>
            </w:pPr>
            <w:r w:rsidRPr="00E34A8F">
              <w:rPr>
                <w:sz w:val="20"/>
                <w:szCs w:val="20"/>
              </w:rPr>
              <w:t>24.0</w:t>
            </w:r>
          </w:p>
        </w:tc>
        <w:tc>
          <w:tcPr>
            <w:tcW w:w="700" w:type="dxa"/>
            <w:tcBorders>
              <w:top w:val="nil"/>
              <w:left w:val="nil"/>
              <w:bottom w:val="single" w:sz="8" w:space="0" w:color="000000"/>
              <w:right w:val="single" w:sz="8" w:space="0" w:color="000000"/>
            </w:tcBorders>
            <w:shd w:val="clear" w:color="auto" w:fill="auto"/>
            <w:vAlign w:val="bottom"/>
            <w:hideMark/>
          </w:tcPr>
          <w:p w14:paraId="74D678D2" w14:textId="77777777" w:rsidR="00E34A8F" w:rsidRPr="00E34A8F" w:rsidRDefault="00E34A8F" w:rsidP="00E34A8F">
            <w:pPr>
              <w:widowControl/>
              <w:adjustRightInd/>
              <w:jc w:val="center"/>
              <w:rPr>
                <w:sz w:val="20"/>
                <w:szCs w:val="20"/>
              </w:rPr>
            </w:pPr>
            <w:r w:rsidRPr="00E34A8F">
              <w:rPr>
                <w:sz w:val="20"/>
                <w:szCs w:val="20"/>
              </w:rPr>
              <w:t>8.0</w:t>
            </w:r>
          </w:p>
        </w:tc>
        <w:tc>
          <w:tcPr>
            <w:tcW w:w="700" w:type="dxa"/>
            <w:tcBorders>
              <w:top w:val="nil"/>
              <w:left w:val="nil"/>
              <w:bottom w:val="single" w:sz="8" w:space="0" w:color="000000"/>
              <w:right w:val="single" w:sz="8" w:space="0" w:color="000000"/>
            </w:tcBorders>
            <w:shd w:val="clear" w:color="auto" w:fill="auto"/>
            <w:vAlign w:val="bottom"/>
            <w:hideMark/>
          </w:tcPr>
          <w:p w14:paraId="62E5F79D" w14:textId="77777777" w:rsidR="00E34A8F" w:rsidRPr="00E34A8F" w:rsidRDefault="00E34A8F" w:rsidP="00E34A8F">
            <w:pPr>
              <w:widowControl/>
              <w:adjustRightInd/>
              <w:jc w:val="center"/>
              <w:rPr>
                <w:sz w:val="20"/>
                <w:szCs w:val="20"/>
              </w:rPr>
            </w:pPr>
            <w:r w:rsidRPr="00E34A8F">
              <w:rPr>
                <w:sz w:val="20"/>
                <w:szCs w:val="20"/>
              </w:rPr>
              <w:t>8.0</w:t>
            </w:r>
          </w:p>
        </w:tc>
        <w:tc>
          <w:tcPr>
            <w:tcW w:w="700" w:type="dxa"/>
            <w:tcBorders>
              <w:top w:val="nil"/>
              <w:left w:val="nil"/>
              <w:bottom w:val="single" w:sz="8" w:space="0" w:color="000000"/>
              <w:right w:val="double" w:sz="6" w:space="0" w:color="000000"/>
            </w:tcBorders>
            <w:shd w:val="clear" w:color="auto" w:fill="auto"/>
            <w:vAlign w:val="bottom"/>
            <w:hideMark/>
          </w:tcPr>
          <w:p w14:paraId="2B592E75" w14:textId="77777777" w:rsidR="00E34A8F" w:rsidRPr="00E34A8F" w:rsidRDefault="00E34A8F" w:rsidP="00E34A8F">
            <w:pPr>
              <w:widowControl/>
              <w:adjustRightInd/>
              <w:jc w:val="center"/>
              <w:rPr>
                <w:b/>
                <w:bCs/>
                <w:sz w:val="20"/>
                <w:szCs w:val="20"/>
              </w:rPr>
            </w:pPr>
            <w:r w:rsidRPr="00E34A8F">
              <w:rPr>
                <w:b/>
                <w:bCs/>
                <w:sz w:val="20"/>
                <w:szCs w:val="20"/>
              </w:rPr>
              <w:t>40.0</w:t>
            </w:r>
          </w:p>
        </w:tc>
      </w:tr>
      <w:tr w:rsidR="00E34A8F" w:rsidRPr="00E34A8F" w14:paraId="04A32F2C" w14:textId="77777777" w:rsidTr="00E34A8F">
        <w:trPr>
          <w:trHeight w:val="780"/>
        </w:trPr>
        <w:tc>
          <w:tcPr>
            <w:tcW w:w="1660" w:type="dxa"/>
            <w:tcBorders>
              <w:top w:val="nil"/>
              <w:left w:val="double" w:sz="6" w:space="0" w:color="000000"/>
              <w:bottom w:val="single" w:sz="8" w:space="0" w:color="000000"/>
              <w:right w:val="single" w:sz="8" w:space="0" w:color="000000"/>
            </w:tcBorders>
            <w:shd w:val="clear" w:color="auto" w:fill="auto"/>
            <w:vAlign w:val="bottom"/>
            <w:hideMark/>
          </w:tcPr>
          <w:p w14:paraId="28B664A3" w14:textId="77777777" w:rsidR="00E34A8F" w:rsidRPr="00E34A8F" w:rsidRDefault="00E34A8F" w:rsidP="00E34A8F">
            <w:pPr>
              <w:widowControl/>
              <w:adjustRightInd/>
              <w:rPr>
                <w:sz w:val="20"/>
                <w:szCs w:val="20"/>
              </w:rPr>
            </w:pPr>
            <w:r w:rsidRPr="00E34A8F">
              <w:rPr>
                <w:sz w:val="20"/>
                <w:szCs w:val="20"/>
              </w:rPr>
              <w:t>Reporting Other Changes in Information</w:t>
            </w:r>
          </w:p>
        </w:tc>
        <w:tc>
          <w:tcPr>
            <w:tcW w:w="580" w:type="dxa"/>
            <w:tcBorders>
              <w:top w:val="nil"/>
              <w:left w:val="nil"/>
              <w:bottom w:val="single" w:sz="8" w:space="0" w:color="000000"/>
              <w:right w:val="single" w:sz="8" w:space="0" w:color="000000"/>
            </w:tcBorders>
            <w:shd w:val="clear" w:color="auto" w:fill="auto"/>
            <w:vAlign w:val="bottom"/>
            <w:hideMark/>
          </w:tcPr>
          <w:p w14:paraId="783F7942" w14:textId="77777777" w:rsidR="00E34A8F" w:rsidRPr="00E34A8F" w:rsidRDefault="00E34A8F" w:rsidP="00E34A8F">
            <w:pPr>
              <w:widowControl/>
              <w:adjustRightInd/>
              <w:jc w:val="center"/>
              <w:rPr>
                <w:sz w:val="20"/>
                <w:szCs w:val="20"/>
              </w:rPr>
            </w:pPr>
            <w:r w:rsidRPr="00E34A8F">
              <w:rPr>
                <w:sz w:val="20"/>
                <w:szCs w:val="20"/>
              </w:rPr>
              <w:t>NA</w:t>
            </w:r>
          </w:p>
        </w:tc>
        <w:tc>
          <w:tcPr>
            <w:tcW w:w="580" w:type="dxa"/>
            <w:tcBorders>
              <w:top w:val="nil"/>
              <w:left w:val="nil"/>
              <w:bottom w:val="single" w:sz="8" w:space="0" w:color="000000"/>
              <w:right w:val="single" w:sz="8" w:space="0" w:color="000000"/>
            </w:tcBorders>
            <w:shd w:val="clear" w:color="auto" w:fill="auto"/>
            <w:vAlign w:val="bottom"/>
            <w:hideMark/>
          </w:tcPr>
          <w:p w14:paraId="361BD416" w14:textId="77777777" w:rsidR="00E34A8F" w:rsidRPr="00E34A8F" w:rsidRDefault="00E34A8F" w:rsidP="00E34A8F">
            <w:pPr>
              <w:widowControl/>
              <w:adjustRightInd/>
              <w:jc w:val="center"/>
              <w:rPr>
                <w:sz w:val="20"/>
                <w:szCs w:val="20"/>
              </w:rPr>
            </w:pPr>
            <w:r w:rsidRPr="00E34A8F">
              <w:rPr>
                <w:sz w:val="20"/>
                <w:szCs w:val="20"/>
              </w:rPr>
              <w:t>NA</w:t>
            </w:r>
          </w:p>
        </w:tc>
        <w:tc>
          <w:tcPr>
            <w:tcW w:w="700" w:type="dxa"/>
            <w:tcBorders>
              <w:top w:val="nil"/>
              <w:left w:val="nil"/>
              <w:bottom w:val="single" w:sz="8" w:space="0" w:color="000000"/>
              <w:right w:val="single" w:sz="8" w:space="0" w:color="000000"/>
            </w:tcBorders>
            <w:shd w:val="clear" w:color="auto" w:fill="auto"/>
            <w:vAlign w:val="bottom"/>
            <w:hideMark/>
          </w:tcPr>
          <w:p w14:paraId="64A41440" w14:textId="77777777" w:rsidR="00E34A8F" w:rsidRPr="00E34A8F" w:rsidRDefault="00E34A8F" w:rsidP="00E34A8F">
            <w:pPr>
              <w:widowControl/>
              <w:adjustRightInd/>
              <w:jc w:val="center"/>
              <w:rPr>
                <w:sz w:val="20"/>
                <w:szCs w:val="20"/>
              </w:rPr>
            </w:pPr>
            <w:r w:rsidRPr="00E34A8F">
              <w:rPr>
                <w:sz w:val="20"/>
                <w:szCs w:val="20"/>
              </w:rPr>
              <w:t>NA</w:t>
            </w:r>
          </w:p>
        </w:tc>
        <w:tc>
          <w:tcPr>
            <w:tcW w:w="620" w:type="dxa"/>
            <w:tcBorders>
              <w:top w:val="nil"/>
              <w:left w:val="nil"/>
              <w:bottom w:val="single" w:sz="8" w:space="0" w:color="000000"/>
              <w:right w:val="single" w:sz="8" w:space="0" w:color="000000"/>
            </w:tcBorders>
            <w:shd w:val="clear" w:color="auto" w:fill="auto"/>
            <w:vAlign w:val="bottom"/>
            <w:hideMark/>
          </w:tcPr>
          <w:p w14:paraId="05A9C74D" w14:textId="77777777" w:rsidR="00E34A8F" w:rsidRPr="00E34A8F" w:rsidRDefault="00E34A8F" w:rsidP="00E34A8F">
            <w:pPr>
              <w:widowControl/>
              <w:adjustRightInd/>
              <w:jc w:val="center"/>
              <w:rPr>
                <w:b/>
                <w:bCs/>
                <w:sz w:val="20"/>
                <w:szCs w:val="20"/>
              </w:rPr>
            </w:pPr>
            <w:r w:rsidRPr="00E34A8F">
              <w:rPr>
                <w:b/>
                <w:bCs/>
                <w:sz w:val="20"/>
                <w:szCs w:val="20"/>
              </w:rPr>
              <w:t>0.0</w:t>
            </w:r>
          </w:p>
        </w:tc>
        <w:tc>
          <w:tcPr>
            <w:tcW w:w="700" w:type="dxa"/>
            <w:tcBorders>
              <w:top w:val="nil"/>
              <w:left w:val="nil"/>
              <w:bottom w:val="single" w:sz="8" w:space="0" w:color="000000"/>
              <w:right w:val="single" w:sz="8" w:space="0" w:color="000000"/>
            </w:tcBorders>
            <w:shd w:val="clear" w:color="auto" w:fill="auto"/>
            <w:vAlign w:val="bottom"/>
            <w:hideMark/>
          </w:tcPr>
          <w:p w14:paraId="5D4F859A" w14:textId="77777777" w:rsidR="00E34A8F" w:rsidRPr="00E34A8F" w:rsidRDefault="00E34A8F" w:rsidP="00E34A8F">
            <w:pPr>
              <w:widowControl/>
              <w:adjustRightInd/>
              <w:jc w:val="center"/>
              <w:rPr>
                <w:sz w:val="20"/>
                <w:szCs w:val="20"/>
              </w:rPr>
            </w:pPr>
            <w:r w:rsidRPr="00E34A8F">
              <w:rPr>
                <w:sz w:val="20"/>
                <w:szCs w:val="20"/>
              </w:rPr>
              <w:t>1.0</w:t>
            </w:r>
          </w:p>
        </w:tc>
        <w:tc>
          <w:tcPr>
            <w:tcW w:w="700" w:type="dxa"/>
            <w:tcBorders>
              <w:top w:val="nil"/>
              <w:left w:val="nil"/>
              <w:bottom w:val="single" w:sz="8" w:space="0" w:color="000000"/>
              <w:right w:val="single" w:sz="8" w:space="0" w:color="000000"/>
            </w:tcBorders>
            <w:shd w:val="clear" w:color="auto" w:fill="auto"/>
            <w:vAlign w:val="bottom"/>
            <w:hideMark/>
          </w:tcPr>
          <w:p w14:paraId="4EC53A5D" w14:textId="77777777" w:rsidR="00E34A8F" w:rsidRPr="00E34A8F" w:rsidRDefault="00E34A8F" w:rsidP="00E34A8F">
            <w:pPr>
              <w:widowControl/>
              <w:adjustRightInd/>
              <w:jc w:val="center"/>
              <w:rPr>
                <w:sz w:val="20"/>
                <w:szCs w:val="20"/>
              </w:rPr>
            </w:pPr>
            <w:r w:rsidRPr="00E34A8F">
              <w:rPr>
                <w:sz w:val="20"/>
                <w:szCs w:val="20"/>
              </w:rPr>
              <w:t>1.0</w:t>
            </w:r>
          </w:p>
        </w:tc>
        <w:tc>
          <w:tcPr>
            <w:tcW w:w="700" w:type="dxa"/>
            <w:tcBorders>
              <w:top w:val="nil"/>
              <w:left w:val="nil"/>
              <w:bottom w:val="single" w:sz="8" w:space="0" w:color="000000"/>
              <w:right w:val="single" w:sz="8" w:space="0" w:color="000000"/>
            </w:tcBorders>
            <w:shd w:val="clear" w:color="auto" w:fill="auto"/>
            <w:vAlign w:val="bottom"/>
            <w:hideMark/>
          </w:tcPr>
          <w:p w14:paraId="7F5CDE51" w14:textId="77777777" w:rsidR="00E34A8F" w:rsidRPr="00E34A8F" w:rsidRDefault="00E34A8F" w:rsidP="00E34A8F">
            <w:pPr>
              <w:widowControl/>
              <w:adjustRightInd/>
              <w:jc w:val="center"/>
              <w:rPr>
                <w:sz w:val="20"/>
                <w:szCs w:val="20"/>
              </w:rPr>
            </w:pPr>
            <w:r w:rsidRPr="00E34A8F">
              <w:rPr>
                <w:sz w:val="20"/>
                <w:szCs w:val="20"/>
              </w:rPr>
              <w:t>0.5</w:t>
            </w:r>
          </w:p>
        </w:tc>
        <w:tc>
          <w:tcPr>
            <w:tcW w:w="540" w:type="dxa"/>
            <w:tcBorders>
              <w:top w:val="nil"/>
              <w:left w:val="nil"/>
              <w:bottom w:val="single" w:sz="8" w:space="0" w:color="000000"/>
              <w:right w:val="single" w:sz="8" w:space="0" w:color="000000"/>
            </w:tcBorders>
            <w:shd w:val="clear" w:color="auto" w:fill="auto"/>
            <w:vAlign w:val="bottom"/>
            <w:hideMark/>
          </w:tcPr>
          <w:p w14:paraId="28C9D625" w14:textId="77777777" w:rsidR="00E34A8F" w:rsidRPr="00E34A8F" w:rsidRDefault="00E34A8F" w:rsidP="00E34A8F">
            <w:pPr>
              <w:widowControl/>
              <w:adjustRightInd/>
              <w:jc w:val="center"/>
              <w:rPr>
                <w:b/>
                <w:bCs/>
                <w:sz w:val="20"/>
                <w:szCs w:val="20"/>
              </w:rPr>
            </w:pPr>
            <w:r w:rsidRPr="00E34A8F">
              <w:rPr>
                <w:b/>
                <w:bCs/>
                <w:sz w:val="20"/>
                <w:szCs w:val="20"/>
              </w:rPr>
              <w:t>2.5</w:t>
            </w:r>
          </w:p>
        </w:tc>
        <w:tc>
          <w:tcPr>
            <w:tcW w:w="580" w:type="dxa"/>
            <w:tcBorders>
              <w:top w:val="nil"/>
              <w:left w:val="nil"/>
              <w:bottom w:val="single" w:sz="8" w:space="0" w:color="000000"/>
              <w:right w:val="single" w:sz="8" w:space="0" w:color="000000"/>
            </w:tcBorders>
            <w:shd w:val="clear" w:color="auto" w:fill="auto"/>
            <w:vAlign w:val="bottom"/>
            <w:hideMark/>
          </w:tcPr>
          <w:p w14:paraId="622901B6" w14:textId="77777777" w:rsidR="00E34A8F" w:rsidRPr="00E34A8F" w:rsidRDefault="00E34A8F" w:rsidP="00E34A8F">
            <w:pPr>
              <w:widowControl/>
              <w:adjustRightInd/>
              <w:jc w:val="center"/>
              <w:rPr>
                <w:sz w:val="20"/>
                <w:szCs w:val="20"/>
              </w:rPr>
            </w:pPr>
            <w:r w:rsidRPr="00E34A8F">
              <w:rPr>
                <w:sz w:val="20"/>
                <w:szCs w:val="20"/>
              </w:rPr>
              <w:t>1.0</w:t>
            </w:r>
          </w:p>
        </w:tc>
        <w:tc>
          <w:tcPr>
            <w:tcW w:w="700" w:type="dxa"/>
            <w:tcBorders>
              <w:top w:val="nil"/>
              <w:left w:val="nil"/>
              <w:bottom w:val="single" w:sz="8" w:space="0" w:color="000000"/>
              <w:right w:val="single" w:sz="8" w:space="0" w:color="000000"/>
            </w:tcBorders>
            <w:shd w:val="clear" w:color="auto" w:fill="auto"/>
            <w:vAlign w:val="bottom"/>
            <w:hideMark/>
          </w:tcPr>
          <w:p w14:paraId="5A338CC4" w14:textId="77777777" w:rsidR="00E34A8F" w:rsidRPr="00E34A8F" w:rsidRDefault="00E34A8F" w:rsidP="00E34A8F">
            <w:pPr>
              <w:widowControl/>
              <w:adjustRightInd/>
              <w:jc w:val="center"/>
              <w:rPr>
                <w:sz w:val="20"/>
                <w:szCs w:val="20"/>
              </w:rPr>
            </w:pPr>
            <w:r w:rsidRPr="00E34A8F">
              <w:rPr>
                <w:sz w:val="20"/>
                <w:szCs w:val="20"/>
              </w:rPr>
              <w:t>1.0</w:t>
            </w:r>
          </w:p>
        </w:tc>
        <w:tc>
          <w:tcPr>
            <w:tcW w:w="700" w:type="dxa"/>
            <w:tcBorders>
              <w:top w:val="nil"/>
              <w:left w:val="nil"/>
              <w:bottom w:val="single" w:sz="8" w:space="0" w:color="000000"/>
              <w:right w:val="single" w:sz="8" w:space="0" w:color="000000"/>
            </w:tcBorders>
            <w:shd w:val="clear" w:color="auto" w:fill="auto"/>
            <w:vAlign w:val="bottom"/>
            <w:hideMark/>
          </w:tcPr>
          <w:p w14:paraId="06AC1964" w14:textId="77777777" w:rsidR="00E34A8F" w:rsidRPr="00E34A8F" w:rsidRDefault="00E34A8F" w:rsidP="00E34A8F">
            <w:pPr>
              <w:widowControl/>
              <w:adjustRightInd/>
              <w:jc w:val="center"/>
              <w:rPr>
                <w:sz w:val="20"/>
                <w:szCs w:val="20"/>
              </w:rPr>
            </w:pPr>
            <w:r w:rsidRPr="00E34A8F">
              <w:rPr>
                <w:sz w:val="20"/>
                <w:szCs w:val="20"/>
              </w:rPr>
              <w:t>0.5</w:t>
            </w:r>
          </w:p>
        </w:tc>
        <w:tc>
          <w:tcPr>
            <w:tcW w:w="700" w:type="dxa"/>
            <w:tcBorders>
              <w:top w:val="nil"/>
              <w:left w:val="nil"/>
              <w:bottom w:val="single" w:sz="8" w:space="0" w:color="000000"/>
              <w:right w:val="double" w:sz="6" w:space="0" w:color="000000"/>
            </w:tcBorders>
            <w:shd w:val="clear" w:color="auto" w:fill="auto"/>
            <w:vAlign w:val="bottom"/>
            <w:hideMark/>
          </w:tcPr>
          <w:p w14:paraId="1356D12C" w14:textId="77777777" w:rsidR="00E34A8F" w:rsidRPr="00E34A8F" w:rsidRDefault="00E34A8F" w:rsidP="00E34A8F">
            <w:pPr>
              <w:widowControl/>
              <w:adjustRightInd/>
              <w:jc w:val="center"/>
              <w:rPr>
                <w:b/>
                <w:bCs/>
                <w:sz w:val="20"/>
                <w:szCs w:val="20"/>
              </w:rPr>
            </w:pPr>
            <w:r w:rsidRPr="00E34A8F">
              <w:rPr>
                <w:b/>
                <w:bCs/>
                <w:sz w:val="20"/>
                <w:szCs w:val="20"/>
              </w:rPr>
              <w:t>2.5</w:t>
            </w:r>
          </w:p>
        </w:tc>
      </w:tr>
      <w:tr w:rsidR="00E34A8F" w:rsidRPr="00E34A8F" w14:paraId="7CC2D84A" w14:textId="77777777" w:rsidTr="00E34A8F">
        <w:trPr>
          <w:trHeight w:val="270"/>
        </w:trPr>
        <w:tc>
          <w:tcPr>
            <w:tcW w:w="1660" w:type="dxa"/>
            <w:tcBorders>
              <w:top w:val="nil"/>
              <w:left w:val="double" w:sz="6" w:space="0" w:color="000000"/>
              <w:bottom w:val="single" w:sz="8" w:space="0" w:color="000000"/>
              <w:right w:val="single" w:sz="8" w:space="0" w:color="000000"/>
            </w:tcBorders>
            <w:shd w:val="clear" w:color="auto" w:fill="auto"/>
            <w:vAlign w:val="bottom"/>
            <w:hideMark/>
          </w:tcPr>
          <w:p w14:paraId="03556894" w14:textId="77777777" w:rsidR="00E34A8F" w:rsidRPr="00E34A8F" w:rsidRDefault="00E34A8F" w:rsidP="00E34A8F">
            <w:pPr>
              <w:widowControl/>
              <w:adjustRightInd/>
              <w:rPr>
                <w:sz w:val="20"/>
                <w:szCs w:val="20"/>
              </w:rPr>
            </w:pPr>
            <w:r w:rsidRPr="00E34A8F">
              <w:rPr>
                <w:sz w:val="20"/>
                <w:szCs w:val="20"/>
              </w:rPr>
              <w:t>Record keeping</w:t>
            </w:r>
          </w:p>
        </w:tc>
        <w:tc>
          <w:tcPr>
            <w:tcW w:w="580" w:type="dxa"/>
            <w:tcBorders>
              <w:top w:val="nil"/>
              <w:left w:val="nil"/>
              <w:bottom w:val="single" w:sz="8" w:space="0" w:color="000000"/>
              <w:right w:val="single" w:sz="8" w:space="0" w:color="000000"/>
            </w:tcBorders>
            <w:shd w:val="clear" w:color="auto" w:fill="auto"/>
            <w:vAlign w:val="bottom"/>
            <w:hideMark/>
          </w:tcPr>
          <w:p w14:paraId="7E99B514" w14:textId="77777777" w:rsidR="00E34A8F" w:rsidRPr="00E34A8F" w:rsidRDefault="00E34A8F" w:rsidP="00E34A8F">
            <w:pPr>
              <w:widowControl/>
              <w:adjustRightInd/>
              <w:jc w:val="center"/>
              <w:rPr>
                <w:sz w:val="20"/>
                <w:szCs w:val="20"/>
              </w:rPr>
            </w:pPr>
            <w:r w:rsidRPr="00E34A8F">
              <w:rPr>
                <w:sz w:val="20"/>
                <w:szCs w:val="20"/>
              </w:rPr>
              <w:t>0.0</w:t>
            </w:r>
          </w:p>
        </w:tc>
        <w:tc>
          <w:tcPr>
            <w:tcW w:w="580" w:type="dxa"/>
            <w:tcBorders>
              <w:top w:val="nil"/>
              <w:left w:val="nil"/>
              <w:bottom w:val="single" w:sz="8" w:space="0" w:color="000000"/>
              <w:right w:val="single" w:sz="8" w:space="0" w:color="000000"/>
            </w:tcBorders>
            <w:shd w:val="clear" w:color="auto" w:fill="auto"/>
            <w:vAlign w:val="bottom"/>
            <w:hideMark/>
          </w:tcPr>
          <w:p w14:paraId="69C4ACC3" w14:textId="77777777" w:rsidR="00E34A8F" w:rsidRPr="00E34A8F" w:rsidRDefault="00E34A8F" w:rsidP="00E34A8F">
            <w:pPr>
              <w:widowControl/>
              <w:adjustRightInd/>
              <w:jc w:val="center"/>
              <w:rPr>
                <w:sz w:val="20"/>
                <w:szCs w:val="20"/>
              </w:rPr>
            </w:pPr>
            <w:r w:rsidRPr="00E34A8F">
              <w:rPr>
                <w:sz w:val="20"/>
                <w:szCs w:val="20"/>
              </w:rPr>
              <w:t>32.0</w:t>
            </w:r>
          </w:p>
        </w:tc>
        <w:tc>
          <w:tcPr>
            <w:tcW w:w="700" w:type="dxa"/>
            <w:tcBorders>
              <w:top w:val="nil"/>
              <w:left w:val="nil"/>
              <w:bottom w:val="single" w:sz="8" w:space="0" w:color="000000"/>
              <w:right w:val="single" w:sz="8" w:space="0" w:color="000000"/>
            </w:tcBorders>
            <w:shd w:val="clear" w:color="auto" w:fill="auto"/>
            <w:vAlign w:val="bottom"/>
            <w:hideMark/>
          </w:tcPr>
          <w:p w14:paraId="3924A65B" w14:textId="77777777" w:rsidR="00E34A8F" w:rsidRPr="00E34A8F" w:rsidRDefault="00E34A8F" w:rsidP="00E34A8F">
            <w:pPr>
              <w:widowControl/>
              <w:adjustRightInd/>
              <w:jc w:val="center"/>
              <w:rPr>
                <w:sz w:val="20"/>
                <w:szCs w:val="20"/>
              </w:rPr>
            </w:pPr>
            <w:r w:rsidRPr="00E34A8F">
              <w:rPr>
                <w:sz w:val="20"/>
                <w:szCs w:val="20"/>
              </w:rPr>
              <w:t>0.0</w:t>
            </w:r>
          </w:p>
        </w:tc>
        <w:tc>
          <w:tcPr>
            <w:tcW w:w="620" w:type="dxa"/>
            <w:tcBorders>
              <w:top w:val="nil"/>
              <w:left w:val="nil"/>
              <w:bottom w:val="single" w:sz="8" w:space="0" w:color="000000"/>
              <w:right w:val="single" w:sz="8" w:space="0" w:color="000000"/>
            </w:tcBorders>
            <w:shd w:val="clear" w:color="auto" w:fill="auto"/>
            <w:vAlign w:val="bottom"/>
            <w:hideMark/>
          </w:tcPr>
          <w:p w14:paraId="4E0ED204" w14:textId="77777777" w:rsidR="00E34A8F" w:rsidRPr="00E34A8F" w:rsidRDefault="00E34A8F" w:rsidP="00E34A8F">
            <w:pPr>
              <w:widowControl/>
              <w:adjustRightInd/>
              <w:jc w:val="center"/>
              <w:rPr>
                <w:b/>
                <w:bCs/>
                <w:sz w:val="20"/>
                <w:szCs w:val="20"/>
              </w:rPr>
            </w:pPr>
            <w:r w:rsidRPr="00E34A8F">
              <w:rPr>
                <w:b/>
                <w:bCs/>
                <w:sz w:val="20"/>
                <w:szCs w:val="20"/>
              </w:rPr>
              <w:t>32.0</w:t>
            </w:r>
          </w:p>
        </w:tc>
        <w:tc>
          <w:tcPr>
            <w:tcW w:w="700" w:type="dxa"/>
            <w:tcBorders>
              <w:top w:val="nil"/>
              <w:left w:val="nil"/>
              <w:bottom w:val="single" w:sz="8" w:space="0" w:color="000000"/>
              <w:right w:val="single" w:sz="8" w:space="0" w:color="000000"/>
            </w:tcBorders>
            <w:shd w:val="clear" w:color="auto" w:fill="auto"/>
            <w:vAlign w:val="bottom"/>
            <w:hideMark/>
          </w:tcPr>
          <w:p w14:paraId="299BBEF1" w14:textId="77777777" w:rsidR="00E34A8F" w:rsidRPr="00E34A8F" w:rsidRDefault="00E34A8F" w:rsidP="00E34A8F">
            <w:pPr>
              <w:widowControl/>
              <w:adjustRightInd/>
              <w:jc w:val="center"/>
              <w:rPr>
                <w:sz w:val="20"/>
                <w:szCs w:val="20"/>
              </w:rPr>
            </w:pPr>
            <w:r w:rsidRPr="00E34A8F">
              <w:rPr>
                <w:sz w:val="20"/>
                <w:szCs w:val="20"/>
              </w:rPr>
              <w:t>0.0</w:t>
            </w:r>
          </w:p>
        </w:tc>
        <w:tc>
          <w:tcPr>
            <w:tcW w:w="700" w:type="dxa"/>
            <w:tcBorders>
              <w:top w:val="nil"/>
              <w:left w:val="nil"/>
              <w:bottom w:val="single" w:sz="8" w:space="0" w:color="000000"/>
              <w:right w:val="single" w:sz="8" w:space="0" w:color="000000"/>
            </w:tcBorders>
            <w:shd w:val="clear" w:color="auto" w:fill="auto"/>
            <w:vAlign w:val="bottom"/>
            <w:hideMark/>
          </w:tcPr>
          <w:p w14:paraId="56F8F512" w14:textId="77777777" w:rsidR="00E34A8F" w:rsidRPr="00E34A8F" w:rsidRDefault="00E34A8F" w:rsidP="00E34A8F">
            <w:pPr>
              <w:widowControl/>
              <w:adjustRightInd/>
              <w:jc w:val="center"/>
              <w:rPr>
                <w:sz w:val="20"/>
                <w:szCs w:val="20"/>
              </w:rPr>
            </w:pPr>
            <w:r w:rsidRPr="00E34A8F">
              <w:rPr>
                <w:sz w:val="20"/>
                <w:szCs w:val="20"/>
              </w:rPr>
              <w:t>32.0</w:t>
            </w:r>
          </w:p>
        </w:tc>
        <w:tc>
          <w:tcPr>
            <w:tcW w:w="700" w:type="dxa"/>
            <w:tcBorders>
              <w:top w:val="nil"/>
              <w:left w:val="nil"/>
              <w:bottom w:val="single" w:sz="8" w:space="0" w:color="000000"/>
              <w:right w:val="single" w:sz="8" w:space="0" w:color="000000"/>
            </w:tcBorders>
            <w:shd w:val="clear" w:color="auto" w:fill="auto"/>
            <w:vAlign w:val="bottom"/>
            <w:hideMark/>
          </w:tcPr>
          <w:p w14:paraId="27DEA55B" w14:textId="77777777" w:rsidR="00E34A8F" w:rsidRPr="00E34A8F" w:rsidRDefault="00E34A8F" w:rsidP="00E34A8F">
            <w:pPr>
              <w:widowControl/>
              <w:adjustRightInd/>
              <w:jc w:val="center"/>
              <w:rPr>
                <w:sz w:val="20"/>
                <w:szCs w:val="20"/>
              </w:rPr>
            </w:pPr>
            <w:r w:rsidRPr="00E34A8F">
              <w:rPr>
                <w:sz w:val="20"/>
                <w:szCs w:val="20"/>
              </w:rPr>
              <w:t>0.0</w:t>
            </w:r>
          </w:p>
        </w:tc>
        <w:tc>
          <w:tcPr>
            <w:tcW w:w="540" w:type="dxa"/>
            <w:tcBorders>
              <w:top w:val="nil"/>
              <w:left w:val="nil"/>
              <w:bottom w:val="single" w:sz="8" w:space="0" w:color="000000"/>
              <w:right w:val="single" w:sz="8" w:space="0" w:color="000000"/>
            </w:tcBorders>
            <w:shd w:val="clear" w:color="auto" w:fill="auto"/>
            <w:vAlign w:val="bottom"/>
            <w:hideMark/>
          </w:tcPr>
          <w:p w14:paraId="237A6A87" w14:textId="77777777" w:rsidR="00E34A8F" w:rsidRPr="00E34A8F" w:rsidRDefault="00E34A8F" w:rsidP="00E34A8F">
            <w:pPr>
              <w:widowControl/>
              <w:adjustRightInd/>
              <w:jc w:val="center"/>
              <w:rPr>
                <w:b/>
                <w:bCs/>
                <w:sz w:val="20"/>
                <w:szCs w:val="20"/>
              </w:rPr>
            </w:pPr>
            <w:r w:rsidRPr="00E34A8F">
              <w:rPr>
                <w:b/>
                <w:bCs/>
                <w:sz w:val="20"/>
                <w:szCs w:val="20"/>
              </w:rPr>
              <w:t>32.0</w:t>
            </w:r>
          </w:p>
        </w:tc>
        <w:tc>
          <w:tcPr>
            <w:tcW w:w="580" w:type="dxa"/>
            <w:tcBorders>
              <w:top w:val="nil"/>
              <w:left w:val="nil"/>
              <w:bottom w:val="single" w:sz="8" w:space="0" w:color="000000"/>
              <w:right w:val="single" w:sz="8" w:space="0" w:color="000000"/>
            </w:tcBorders>
            <w:shd w:val="clear" w:color="auto" w:fill="auto"/>
            <w:vAlign w:val="bottom"/>
            <w:hideMark/>
          </w:tcPr>
          <w:p w14:paraId="2A55880C" w14:textId="77777777" w:rsidR="00E34A8F" w:rsidRPr="00E34A8F" w:rsidRDefault="00E34A8F" w:rsidP="00E34A8F">
            <w:pPr>
              <w:widowControl/>
              <w:adjustRightInd/>
              <w:jc w:val="center"/>
              <w:rPr>
                <w:sz w:val="20"/>
                <w:szCs w:val="20"/>
              </w:rPr>
            </w:pPr>
            <w:r w:rsidRPr="00E34A8F">
              <w:rPr>
                <w:sz w:val="20"/>
                <w:szCs w:val="20"/>
              </w:rPr>
              <w:t>0.0</w:t>
            </w:r>
          </w:p>
        </w:tc>
        <w:tc>
          <w:tcPr>
            <w:tcW w:w="700" w:type="dxa"/>
            <w:tcBorders>
              <w:top w:val="nil"/>
              <w:left w:val="nil"/>
              <w:bottom w:val="single" w:sz="8" w:space="0" w:color="000000"/>
              <w:right w:val="single" w:sz="8" w:space="0" w:color="000000"/>
            </w:tcBorders>
            <w:shd w:val="clear" w:color="auto" w:fill="auto"/>
            <w:vAlign w:val="bottom"/>
            <w:hideMark/>
          </w:tcPr>
          <w:p w14:paraId="2E510762" w14:textId="77777777" w:rsidR="00E34A8F" w:rsidRPr="00E34A8F" w:rsidRDefault="00E34A8F" w:rsidP="00E34A8F">
            <w:pPr>
              <w:widowControl/>
              <w:adjustRightInd/>
              <w:jc w:val="center"/>
              <w:rPr>
                <w:sz w:val="20"/>
                <w:szCs w:val="20"/>
              </w:rPr>
            </w:pPr>
            <w:r w:rsidRPr="00E34A8F">
              <w:rPr>
                <w:sz w:val="20"/>
                <w:szCs w:val="20"/>
              </w:rPr>
              <w:t>32.0</w:t>
            </w:r>
          </w:p>
        </w:tc>
        <w:tc>
          <w:tcPr>
            <w:tcW w:w="700" w:type="dxa"/>
            <w:tcBorders>
              <w:top w:val="nil"/>
              <w:left w:val="nil"/>
              <w:bottom w:val="single" w:sz="8" w:space="0" w:color="000000"/>
              <w:right w:val="single" w:sz="8" w:space="0" w:color="000000"/>
            </w:tcBorders>
            <w:shd w:val="clear" w:color="auto" w:fill="auto"/>
            <w:vAlign w:val="bottom"/>
            <w:hideMark/>
          </w:tcPr>
          <w:p w14:paraId="7594F7F7" w14:textId="77777777" w:rsidR="00E34A8F" w:rsidRPr="00E34A8F" w:rsidRDefault="00E34A8F" w:rsidP="00E34A8F">
            <w:pPr>
              <w:widowControl/>
              <w:adjustRightInd/>
              <w:jc w:val="center"/>
              <w:rPr>
                <w:sz w:val="20"/>
                <w:szCs w:val="20"/>
              </w:rPr>
            </w:pPr>
            <w:r w:rsidRPr="00E34A8F">
              <w:rPr>
                <w:sz w:val="20"/>
                <w:szCs w:val="20"/>
              </w:rPr>
              <w:t>0.0</w:t>
            </w:r>
          </w:p>
        </w:tc>
        <w:tc>
          <w:tcPr>
            <w:tcW w:w="700" w:type="dxa"/>
            <w:tcBorders>
              <w:top w:val="nil"/>
              <w:left w:val="nil"/>
              <w:bottom w:val="single" w:sz="8" w:space="0" w:color="000000"/>
              <w:right w:val="double" w:sz="6" w:space="0" w:color="000000"/>
            </w:tcBorders>
            <w:shd w:val="clear" w:color="auto" w:fill="auto"/>
            <w:vAlign w:val="bottom"/>
            <w:hideMark/>
          </w:tcPr>
          <w:p w14:paraId="6EF9B5DD" w14:textId="77777777" w:rsidR="00E34A8F" w:rsidRPr="00E34A8F" w:rsidRDefault="00E34A8F" w:rsidP="00E34A8F">
            <w:pPr>
              <w:widowControl/>
              <w:adjustRightInd/>
              <w:jc w:val="center"/>
              <w:rPr>
                <w:b/>
                <w:bCs/>
                <w:sz w:val="20"/>
                <w:szCs w:val="20"/>
              </w:rPr>
            </w:pPr>
            <w:r w:rsidRPr="00E34A8F">
              <w:rPr>
                <w:b/>
                <w:bCs/>
                <w:sz w:val="20"/>
                <w:szCs w:val="20"/>
              </w:rPr>
              <w:t>32.0</w:t>
            </w:r>
          </w:p>
        </w:tc>
      </w:tr>
      <w:tr w:rsidR="00E34A8F" w:rsidRPr="00E34A8F" w14:paraId="07742758" w14:textId="77777777" w:rsidTr="00E34A8F">
        <w:trPr>
          <w:trHeight w:val="780"/>
        </w:trPr>
        <w:tc>
          <w:tcPr>
            <w:tcW w:w="1660" w:type="dxa"/>
            <w:tcBorders>
              <w:top w:val="nil"/>
              <w:left w:val="double" w:sz="6" w:space="0" w:color="000000"/>
              <w:bottom w:val="double" w:sz="6" w:space="0" w:color="000000"/>
              <w:right w:val="single" w:sz="8" w:space="0" w:color="000000"/>
            </w:tcBorders>
            <w:shd w:val="clear" w:color="auto" w:fill="auto"/>
            <w:vAlign w:val="bottom"/>
            <w:hideMark/>
          </w:tcPr>
          <w:p w14:paraId="59F09C92" w14:textId="77777777" w:rsidR="00E34A8F" w:rsidRPr="00E34A8F" w:rsidRDefault="00E34A8F" w:rsidP="00E34A8F">
            <w:pPr>
              <w:widowControl/>
              <w:adjustRightInd/>
              <w:rPr>
                <w:b/>
                <w:bCs/>
                <w:sz w:val="20"/>
                <w:szCs w:val="20"/>
              </w:rPr>
            </w:pPr>
            <w:r w:rsidRPr="00E34A8F">
              <w:rPr>
                <w:b/>
                <w:bCs/>
                <w:sz w:val="20"/>
                <w:szCs w:val="20"/>
              </w:rPr>
              <w:t>Total Burden Hours for a Typical Facility</w:t>
            </w:r>
          </w:p>
        </w:tc>
        <w:tc>
          <w:tcPr>
            <w:tcW w:w="580" w:type="dxa"/>
            <w:tcBorders>
              <w:top w:val="nil"/>
              <w:left w:val="nil"/>
              <w:bottom w:val="double" w:sz="6" w:space="0" w:color="000000"/>
              <w:right w:val="single" w:sz="8" w:space="0" w:color="000000"/>
            </w:tcBorders>
            <w:shd w:val="clear" w:color="auto" w:fill="auto"/>
            <w:vAlign w:val="bottom"/>
            <w:hideMark/>
          </w:tcPr>
          <w:p w14:paraId="7EB37975" w14:textId="77777777" w:rsidR="00E34A8F" w:rsidRPr="00E34A8F" w:rsidRDefault="00E34A8F" w:rsidP="00E34A8F">
            <w:pPr>
              <w:widowControl/>
              <w:adjustRightInd/>
              <w:jc w:val="center"/>
              <w:rPr>
                <w:b/>
                <w:bCs/>
                <w:sz w:val="20"/>
                <w:szCs w:val="20"/>
              </w:rPr>
            </w:pPr>
            <w:r w:rsidRPr="00E34A8F">
              <w:rPr>
                <w:b/>
                <w:bCs/>
                <w:sz w:val="20"/>
                <w:szCs w:val="20"/>
              </w:rPr>
              <w:t>32.0</w:t>
            </w:r>
          </w:p>
        </w:tc>
        <w:tc>
          <w:tcPr>
            <w:tcW w:w="580" w:type="dxa"/>
            <w:tcBorders>
              <w:top w:val="nil"/>
              <w:left w:val="nil"/>
              <w:bottom w:val="double" w:sz="6" w:space="0" w:color="000000"/>
              <w:right w:val="single" w:sz="8" w:space="0" w:color="000000"/>
            </w:tcBorders>
            <w:shd w:val="clear" w:color="auto" w:fill="auto"/>
            <w:vAlign w:val="bottom"/>
            <w:hideMark/>
          </w:tcPr>
          <w:p w14:paraId="46477756" w14:textId="77777777" w:rsidR="00E34A8F" w:rsidRPr="00613D9D" w:rsidRDefault="00E34A8F" w:rsidP="00E34A8F">
            <w:pPr>
              <w:widowControl/>
              <w:adjustRightInd/>
              <w:jc w:val="center"/>
              <w:rPr>
                <w:b/>
                <w:bCs/>
                <w:color w:val="008000"/>
                <w:sz w:val="20"/>
                <w:szCs w:val="20"/>
              </w:rPr>
            </w:pPr>
            <w:r w:rsidRPr="00613D9D">
              <w:rPr>
                <w:b/>
                <w:bCs/>
                <w:color w:val="008000"/>
                <w:sz w:val="20"/>
                <w:szCs w:val="20"/>
              </w:rPr>
              <w:t>72.0</w:t>
            </w:r>
          </w:p>
        </w:tc>
        <w:tc>
          <w:tcPr>
            <w:tcW w:w="700" w:type="dxa"/>
            <w:tcBorders>
              <w:top w:val="nil"/>
              <w:left w:val="nil"/>
              <w:bottom w:val="double" w:sz="6" w:space="0" w:color="000000"/>
              <w:right w:val="single" w:sz="8" w:space="0" w:color="000000"/>
            </w:tcBorders>
            <w:shd w:val="clear" w:color="auto" w:fill="auto"/>
            <w:vAlign w:val="bottom"/>
            <w:hideMark/>
          </w:tcPr>
          <w:p w14:paraId="3EBA0592" w14:textId="77777777" w:rsidR="00E34A8F" w:rsidRPr="00E34A8F" w:rsidRDefault="00E34A8F" w:rsidP="00E34A8F">
            <w:pPr>
              <w:widowControl/>
              <w:adjustRightInd/>
              <w:jc w:val="center"/>
              <w:rPr>
                <w:b/>
                <w:bCs/>
                <w:sz w:val="20"/>
                <w:szCs w:val="20"/>
              </w:rPr>
            </w:pPr>
            <w:r w:rsidRPr="00E34A8F">
              <w:rPr>
                <w:b/>
                <w:bCs/>
                <w:sz w:val="20"/>
                <w:szCs w:val="20"/>
              </w:rPr>
              <w:t>8.0</w:t>
            </w:r>
          </w:p>
        </w:tc>
        <w:tc>
          <w:tcPr>
            <w:tcW w:w="620" w:type="dxa"/>
            <w:tcBorders>
              <w:top w:val="nil"/>
              <w:left w:val="nil"/>
              <w:bottom w:val="double" w:sz="6" w:space="0" w:color="000000"/>
              <w:right w:val="single" w:sz="8" w:space="0" w:color="000000"/>
            </w:tcBorders>
            <w:shd w:val="clear" w:color="auto" w:fill="auto"/>
            <w:vAlign w:val="bottom"/>
            <w:hideMark/>
          </w:tcPr>
          <w:p w14:paraId="01747807" w14:textId="77777777" w:rsidR="00E34A8F" w:rsidRPr="00613D9D" w:rsidRDefault="00E34A8F" w:rsidP="00E34A8F">
            <w:pPr>
              <w:widowControl/>
              <w:adjustRightInd/>
              <w:jc w:val="center"/>
              <w:rPr>
                <w:b/>
                <w:bCs/>
                <w:color w:val="008000"/>
                <w:sz w:val="20"/>
                <w:szCs w:val="20"/>
              </w:rPr>
            </w:pPr>
            <w:r w:rsidRPr="00613D9D">
              <w:rPr>
                <w:b/>
                <w:bCs/>
                <w:color w:val="008000"/>
                <w:sz w:val="20"/>
                <w:szCs w:val="20"/>
              </w:rPr>
              <w:t>112.0</w:t>
            </w:r>
          </w:p>
        </w:tc>
        <w:tc>
          <w:tcPr>
            <w:tcW w:w="700" w:type="dxa"/>
            <w:tcBorders>
              <w:top w:val="nil"/>
              <w:left w:val="nil"/>
              <w:bottom w:val="double" w:sz="6" w:space="0" w:color="000000"/>
              <w:right w:val="single" w:sz="8" w:space="0" w:color="000000"/>
            </w:tcBorders>
            <w:shd w:val="clear" w:color="auto" w:fill="auto"/>
            <w:vAlign w:val="bottom"/>
            <w:hideMark/>
          </w:tcPr>
          <w:p w14:paraId="6C2D4AAE" w14:textId="77777777" w:rsidR="00E34A8F" w:rsidRPr="00E34A8F" w:rsidRDefault="00E34A8F" w:rsidP="00E34A8F">
            <w:pPr>
              <w:widowControl/>
              <w:adjustRightInd/>
              <w:jc w:val="center"/>
              <w:rPr>
                <w:b/>
                <w:bCs/>
                <w:sz w:val="20"/>
                <w:szCs w:val="20"/>
              </w:rPr>
            </w:pPr>
            <w:r w:rsidRPr="00E34A8F">
              <w:rPr>
                <w:b/>
                <w:bCs/>
                <w:sz w:val="20"/>
                <w:szCs w:val="20"/>
              </w:rPr>
              <w:t>25.0</w:t>
            </w:r>
          </w:p>
        </w:tc>
        <w:tc>
          <w:tcPr>
            <w:tcW w:w="700" w:type="dxa"/>
            <w:tcBorders>
              <w:top w:val="nil"/>
              <w:left w:val="nil"/>
              <w:bottom w:val="double" w:sz="6" w:space="0" w:color="000000"/>
              <w:right w:val="single" w:sz="8" w:space="0" w:color="000000"/>
            </w:tcBorders>
            <w:shd w:val="clear" w:color="auto" w:fill="auto"/>
            <w:vAlign w:val="bottom"/>
            <w:hideMark/>
          </w:tcPr>
          <w:p w14:paraId="2096E083" w14:textId="77777777" w:rsidR="00E34A8F" w:rsidRPr="00E34A8F" w:rsidRDefault="00E34A8F" w:rsidP="00E34A8F">
            <w:pPr>
              <w:widowControl/>
              <w:adjustRightInd/>
              <w:jc w:val="center"/>
              <w:rPr>
                <w:b/>
                <w:bCs/>
                <w:sz w:val="20"/>
                <w:szCs w:val="20"/>
              </w:rPr>
            </w:pPr>
            <w:r w:rsidRPr="00E34A8F">
              <w:rPr>
                <w:b/>
                <w:bCs/>
                <w:sz w:val="20"/>
                <w:szCs w:val="20"/>
              </w:rPr>
              <w:t>41.0</w:t>
            </w:r>
          </w:p>
        </w:tc>
        <w:tc>
          <w:tcPr>
            <w:tcW w:w="700" w:type="dxa"/>
            <w:tcBorders>
              <w:top w:val="nil"/>
              <w:left w:val="nil"/>
              <w:bottom w:val="double" w:sz="6" w:space="0" w:color="000000"/>
              <w:right w:val="single" w:sz="8" w:space="0" w:color="000000"/>
            </w:tcBorders>
            <w:shd w:val="clear" w:color="auto" w:fill="auto"/>
            <w:vAlign w:val="bottom"/>
            <w:hideMark/>
          </w:tcPr>
          <w:p w14:paraId="572FC4CD" w14:textId="77777777" w:rsidR="00E34A8F" w:rsidRPr="00E34A8F" w:rsidRDefault="00E34A8F" w:rsidP="00E34A8F">
            <w:pPr>
              <w:widowControl/>
              <w:adjustRightInd/>
              <w:jc w:val="center"/>
              <w:rPr>
                <w:b/>
                <w:bCs/>
                <w:sz w:val="20"/>
                <w:szCs w:val="20"/>
              </w:rPr>
            </w:pPr>
            <w:r w:rsidRPr="00E34A8F">
              <w:rPr>
                <w:b/>
                <w:bCs/>
                <w:sz w:val="20"/>
                <w:szCs w:val="20"/>
              </w:rPr>
              <w:t>8.5</w:t>
            </w:r>
          </w:p>
        </w:tc>
        <w:tc>
          <w:tcPr>
            <w:tcW w:w="540" w:type="dxa"/>
            <w:tcBorders>
              <w:top w:val="nil"/>
              <w:left w:val="nil"/>
              <w:bottom w:val="double" w:sz="6" w:space="0" w:color="000000"/>
              <w:right w:val="single" w:sz="8" w:space="0" w:color="000000"/>
            </w:tcBorders>
            <w:shd w:val="clear" w:color="auto" w:fill="auto"/>
            <w:vAlign w:val="bottom"/>
            <w:hideMark/>
          </w:tcPr>
          <w:p w14:paraId="5E9DC3B0" w14:textId="77777777" w:rsidR="00E34A8F" w:rsidRPr="00E34A8F" w:rsidRDefault="00E34A8F" w:rsidP="00E34A8F">
            <w:pPr>
              <w:widowControl/>
              <w:adjustRightInd/>
              <w:jc w:val="center"/>
              <w:rPr>
                <w:b/>
                <w:bCs/>
                <w:sz w:val="20"/>
                <w:szCs w:val="20"/>
              </w:rPr>
            </w:pPr>
            <w:r w:rsidRPr="00E34A8F">
              <w:rPr>
                <w:b/>
                <w:bCs/>
                <w:sz w:val="20"/>
                <w:szCs w:val="20"/>
              </w:rPr>
              <w:t>74.5</w:t>
            </w:r>
          </w:p>
        </w:tc>
        <w:tc>
          <w:tcPr>
            <w:tcW w:w="580" w:type="dxa"/>
            <w:tcBorders>
              <w:top w:val="nil"/>
              <w:left w:val="nil"/>
              <w:bottom w:val="double" w:sz="6" w:space="0" w:color="000000"/>
              <w:right w:val="single" w:sz="8" w:space="0" w:color="000000"/>
            </w:tcBorders>
            <w:shd w:val="clear" w:color="auto" w:fill="auto"/>
            <w:vAlign w:val="bottom"/>
            <w:hideMark/>
          </w:tcPr>
          <w:p w14:paraId="65692142" w14:textId="77777777" w:rsidR="00E34A8F" w:rsidRPr="00E34A8F" w:rsidRDefault="00E34A8F" w:rsidP="00E34A8F">
            <w:pPr>
              <w:widowControl/>
              <w:adjustRightInd/>
              <w:jc w:val="center"/>
              <w:rPr>
                <w:b/>
                <w:bCs/>
                <w:sz w:val="20"/>
                <w:szCs w:val="20"/>
              </w:rPr>
            </w:pPr>
            <w:r w:rsidRPr="00E34A8F">
              <w:rPr>
                <w:b/>
                <w:bCs/>
                <w:sz w:val="20"/>
                <w:szCs w:val="20"/>
              </w:rPr>
              <w:t>25.0</w:t>
            </w:r>
          </w:p>
        </w:tc>
        <w:tc>
          <w:tcPr>
            <w:tcW w:w="700" w:type="dxa"/>
            <w:tcBorders>
              <w:top w:val="nil"/>
              <w:left w:val="nil"/>
              <w:bottom w:val="double" w:sz="6" w:space="0" w:color="000000"/>
              <w:right w:val="single" w:sz="8" w:space="0" w:color="000000"/>
            </w:tcBorders>
            <w:shd w:val="clear" w:color="auto" w:fill="auto"/>
            <w:vAlign w:val="bottom"/>
            <w:hideMark/>
          </w:tcPr>
          <w:p w14:paraId="0D2DD784" w14:textId="77777777" w:rsidR="00E34A8F" w:rsidRPr="00E34A8F" w:rsidRDefault="00E34A8F" w:rsidP="00E34A8F">
            <w:pPr>
              <w:widowControl/>
              <w:adjustRightInd/>
              <w:jc w:val="center"/>
              <w:rPr>
                <w:b/>
                <w:bCs/>
                <w:sz w:val="20"/>
                <w:szCs w:val="20"/>
              </w:rPr>
            </w:pPr>
            <w:r w:rsidRPr="00E34A8F">
              <w:rPr>
                <w:b/>
                <w:bCs/>
                <w:sz w:val="20"/>
                <w:szCs w:val="20"/>
              </w:rPr>
              <w:t>41.0</w:t>
            </w:r>
          </w:p>
        </w:tc>
        <w:tc>
          <w:tcPr>
            <w:tcW w:w="700" w:type="dxa"/>
            <w:tcBorders>
              <w:top w:val="nil"/>
              <w:left w:val="nil"/>
              <w:bottom w:val="double" w:sz="6" w:space="0" w:color="000000"/>
              <w:right w:val="single" w:sz="8" w:space="0" w:color="000000"/>
            </w:tcBorders>
            <w:shd w:val="clear" w:color="auto" w:fill="auto"/>
            <w:vAlign w:val="bottom"/>
            <w:hideMark/>
          </w:tcPr>
          <w:p w14:paraId="32B1A411" w14:textId="77777777" w:rsidR="00E34A8F" w:rsidRPr="00E34A8F" w:rsidRDefault="00E34A8F" w:rsidP="00E34A8F">
            <w:pPr>
              <w:widowControl/>
              <w:adjustRightInd/>
              <w:jc w:val="center"/>
              <w:rPr>
                <w:b/>
                <w:bCs/>
                <w:sz w:val="20"/>
                <w:szCs w:val="20"/>
              </w:rPr>
            </w:pPr>
            <w:r w:rsidRPr="00E34A8F">
              <w:rPr>
                <w:b/>
                <w:bCs/>
                <w:sz w:val="20"/>
                <w:szCs w:val="20"/>
              </w:rPr>
              <w:t>8.5</w:t>
            </w:r>
          </w:p>
        </w:tc>
        <w:tc>
          <w:tcPr>
            <w:tcW w:w="700" w:type="dxa"/>
            <w:tcBorders>
              <w:top w:val="nil"/>
              <w:left w:val="nil"/>
              <w:bottom w:val="double" w:sz="6" w:space="0" w:color="000000"/>
              <w:right w:val="double" w:sz="6" w:space="0" w:color="000000"/>
            </w:tcBorders>
            <w:shd w:val="clear" w:color="auto" w:fill="auto"/>
            <w:vAlign w:val="bottom"/>
            <w:hideMark/>
          </w:tcPr>
          <w:p w14:paraId="63EFF418" w14:textId="77777777" w:rsidR="00E34A8F" w:rsidRPr="00E34A8F" w:rsidRDefault="00E34A8F" w:rsidP="00E34A8F">
            <w:pPr>
              <w:widowControl/>
              <w:adjustRightInd/>
              <w:jc w:val="center"/>
              <w:rPr>
                <w:b/>
                <w:bCs/>
                <w:sz w:val="20"/>
                <w:szCs w:val="20"/>
              </w:rPr>
            </w:pPr>
            <w:r w:rsidRPr="00E34A8F">
              <w:rPr>
                <w:b/>
                <w:bCs/>
                <w:sz w:val="20"/>
                <w:szCs w:val="20"/>
              </w:rPr>
              <w:t>74.5</w:t>
            </w:r>
          </w:p>
        </w:tc>
      </w:tr>
      <w:tr w:rsidR="00E34A8F" w:rsidRPr="00E34A8F" w14:paraId="01EF7DAA" w14:textId="77777777" w:rsidTr="00E34A8F">
        <w:trPr>
          <w:trHeight w:val="1050"/>
        </w:trPr>
        <w:tc>
          <w:tcPr>
            <w:tcW w:w="9460" w:type="dxa"/>
            <w:gridSpan w:val="13"/>
            <w:tcBorders>
              <w:top w:val="double" w:sz="6" w:space="0" w:color="000000"/>
              <w:left w:val="nil"/>
              <w:bottom w:val="nil"/>
              <w:right w:val="nil"/>
            </w:tcBorders>
            <w:shd w:val="clear" w:color="auto" w:fill="auto"/>
            <w:vAlign w:val="bottom"/>
            <w:hideMark/>
          </w:tcPr>
          <w:p w14:paraId="0E1620A8" w14:textId="77777777" w:rsidR="00E34A8F" w:rsidRPr="00E34A8F" w:rsidRDefault="00E34A8F" w:rsidP="00E34A8F">
            <w:pPr>
              <w:widowControl/>
              <w:adjustRightInd/>
              <w:rPr>
                <w:sz w:val="20"/>
                <w:szCs w:val="20"/>
              </w:rPr>
            </w:pPr>
            <w:r w:rsidRPr="00E34A8F">
              <w:rPr>
                <w:sz w:val="20"/>
                <w:szCs w:val="20"/>
              </w:rPr>
              <w:t xml:space="preserve"> A “typical” respondent is assumed to report eight continuous hazardous substance releases in year one and to experience a change in one release in the second and third years (e.g., the frequency of the release per week changes each year, causing a modification in the estimated annual release amount).  No other conditional activities are assumed to be required of the typical respondent.</w:t>
            </w:r>
          </w:p>
        </w:tc>
      </w:tr>
    </w:tbl>
    <w:p w14:paraId="6296C751" w14:textId="77777777" w:rsidR="002F5353" w:rsidRDefault="002F5353" w:rsidP="00513A4B">
      <w:pPr>
        <w:rPr>
          <w:sz w:val="20"/>
          <w:szCs w:val="20"/>
        </w:rPr>
      </w:pPr>
    </w:p>
    <w:p w14:paraId="5BB491D0" w14:textId="77777777" w:rsidR="00513A4B" w:rsidRPr="00513A4B" w:rsidRDefault="00513A4B" w:rsidP="00513A4B">
      <w:pPr>
        <w:rPr>
          <w:color w:val="99CC00"/>
        </w:rPr>
      </w:pPr>
      <w:r w:rsidRPr="008813A3">
        <w:rPr>
          <w:sz w:val="20"/>
          <w:szCs w:val="20"/>
        </w:rPr>
        <w:t>N/A – Not Applicable</w:t>
      </w:r>
    </w:p>
    <w:p w14:paraId="394AB51A" w14:textId="77777777" w:rsidR="00105F09" w:rsidRDefault="004E5182" w:rsidP="004E5182">
      <w:pPr>
        <w:pStyle w:val="Heading2"/>
      </w:pPr>
      <w:bookmarkStart w:id="55" w:name="_Toc302552502"/>
      <w:r>
        <w:t>Estimating Respondent Costs</w:t>
      </w:r>
      <w:bookmarkEnd w:id="55"/>
    </w:p>
    <w:p w14:paraId="02127D71" w14:textId="77777777" w:rsidR="004E5182" w:rsidRDefault="004E5182" w:rsidP="00255258">
      <w:pPr>
        <w:pStyle w:val="Heading3"/>
        <w:tabs>
          <w:tab w:val="clear" w:pos="1800"/>
          <w:tab w:val="num" w:pos="1080"/>
        </w:tabs>
      </w:pPr>
      <w:bookmarkStart w:id="56" w:name="_Toc302552503"/>
      <w:r>
        <w:t>Estimating Labor Costs</w:t>
      </w:r>
      <w:bookmarkEnd w:id="56"/>
    </w:p>
    <w:p w14:paraId="1A63071C" w14:textId="77777777" w:rsidR="004E5182" w:rsidRDefault="004E5182" w:rsidP="004E5182">
      <w:pPr>
        <w:ind w:firstLine="720"/>
      </w:pPr>
    </w:p>
    <w:p w14:paraId="64147358" w14:textId="7CD96C2F" w:rsidR="004E5182" w:rsidRPr="007A1462" w:rsidRDefault="004E5182" w:rsidP="00E34A8F">
      <w:r w:rsidRPr="001F3A52">
        <w:t xml:space="preserve">The estimated cost to complete various continuous release reports required under the CRRR is a </w:t>
      </w:r>
      <w:r w:rsidRPr="001F3A52">
        <w:lastRenderedPageBreak/>
        <w:t xml:space="preserve">function of the time expended by industry personnel (i.e., the burden estimates presented in section 6(a)), and the hourly wage rates for the appropriate categories of labor.  </w:t>
      </w:r>
      <w:r w:rsidRPr="00064F31">
        <w:t xml:space="preserve">The hourly wage rates used </w:t>
      </w:r>
      <w:r w:rsidRPr="007A1462">
        <w:t>for indust</w:t>
      </w:r>
      <w:r w:rsidR="002F5353" w:rsidRPr="007A1462">
        <w:t xml:space="preserve">ry in this ICR are from </w:t>
      </w:r>
      <w:r w:rsidR="0026315B" w:rsidRPr="007A1462">
        <w:t>December</w:t>
      </w:r>
      <w:r w:rsidRPr="007A1462">
        <w:t xml:space="preserve"> 20</w:t>
      </w:r>
      <w:r w:rsidR="00E34A8F" w:rsidRPr="007A1462">
        <w:t>1</w:t>
      </w:r>
      <w:r w:rsidR="002F5353" w:rsidRPr="007A1462">
        <w:t>4</w:t>
      </w:r>
      <w:r w:rsidRPr="007A1462">
        <w:t xml:space="preserve"> and were obtained from the Bureau of Labor Statistics.</w:t>
      </w:r>
      <w:r w:rsidRPr="007A1462">
        <w:rPr>
          <w:rStyle w:val="FootnoteReference"/>
          <w:vertAlign w:val="superscript"/>
        </w:rPr>
        <w:footnoteReference w:id="4"/>
      </w:r>
      <w:r w:rsidRPr="007A1462">
        <w:t xml:space="preserve">  For purposes of this analysis, EPA estimates an average hourly respondent labor cost of </w:t>
      </w:r>
      <w:r w:rsidR="002F5353" w:rsidRPr="007A1462">
        <w:t>$</w:t>
      </w:r>
      <w:r w:rsidR="00885F67" w:rsidRPr="007A1462">
        <w:t>65.</w:t>
      </w:r>
      <w:r w:rsidR="00E96A5F" w:rsidRPr="007A1462">
        <w:t>5</w:t>
      </w:r>
      <w:r w:rsidR="00885F67" w:rsidRPr="007A1462">
        <w:t>0</w:t>
      </w:r>
      <w:r w:rsidR="002F5353" w:rsidRPr="007A1462">
        <w:t xml:space="preserve"> for managerial staff, $</w:t>
      </w:r>
      <w:r w:rsidR="00885F67" w:rsidRPr="007A1462">
        <w:t>50.40</w:t>
      </w:r>
      <w:r w:rsidR="002F5353" w:rsidRPr="007A1462">
        <w:t xml:space="preserve"> for technical staff, and $24.76 for clerical staff.</w:t>
      </w:r>
    </w:p>
    <w:p w14:paraId="7F99F452" w14:textId="77777777" w:rsidR="004E5182" w:rsidRPr="007A1462" w:rsidRDefault="004E5182" w:rsidP="004E5182"/>
    <w:p w14:paraId="503EE992" w14:textId="66467117" w:rsidR="004E5182" w:rsidRPr="001F3A52" w:rsidRDefault="004E5182" w:rsidP="004E5182">
      <w:pPr>
        <w:ind w:firstLine="720"/>
      </w:pPr>
      <w:r w:rsidRPr="007A1462">
        <w:t xml:space="preserve">These rates reflect </w:t>
      </w:r>
      <w:r w:rsidR="00591DAF" w:rsidRPr="007A1462">
        <w:t xml:space="preserve">the </w:t>
      </w:r>
      <w:r w:rsidRPr="007A1462">
        <w:t>employer cost</w:t>
      </w:r>
      <w:r w:rsidR="00591DAF" w:rsidRPr="007A1462">
        <w:t>s</w:t>
      </w:r>
      <w:r w:rsidRPr="007A1462">
        <w:t xml:space="preserve"> for employee compensation in the United States </w:t>
      </w:r>
      <w:r w:rsidR="002F5353" w:rsidRPr="007A1462">
        <w:t xml:space="preserve">as of </w:t>
      </w:r>
      <w:r w:rsidR="00885F67" w:rsidRPr="007A1462">
        <w:t>December</w:t>
      </w:r>
      <w:r w:rsidR="00064F31" w:rsidRPr="007A1462">
        <w:t xml:space="preserve"> 20</w:t>
      </w:r>
      <w:r w:rsidR="00E34A8F" w:rsidRPr="007A1462">
        <w:t>1</w:t>
      </w:r>
      <w:r w:rsidR="002F5353" w:rsidRPr="007A1462">
        <w:t>4</w:t>
      </w:r>
      <w:r w:rsidRPr="007A1462">
        <w:t xml:space="preserve"> and include both employer co</w:t>
      </w:r>
      <w:r w:rsidRPr="001F3A52">
        <w:t>sts for legally required benefits (e.g., social security, worker</w:t>
      </w:r>
      <w:r>
        <w:t>’</w:t>
      </w:r>
      <w:r w:rsidRPr="001F3A52">
        <w:t>s compensation, and unemployment insurance), other important fringe benefit categories (e.g., insurance, paid leave, retirement, and savings), and overhead and general and administrative costs.  Costs associated with the burden hours presented in Section 6(a) of this ICR are shown in Exhibit 3.</w:t>
      </w:r>
      <w:r w:rsidRPr="001F3A52">
        <w:tab/>
      </w:r>
    </w:p>
    <w:p w14:paraId="18936294" w14:textId="77777777" w:rsidR="004E5182" w:rsidRPr="001F3A52" w:rsidRDefault="004E5182" w:rsidP="004E5182"/>
    <w:p w14:paraId="693987C1" w14:textId="77777777" w:rsidR="00513A4B" w:rsidRDefault="004E5182" w:rsidP="00802272">
      <w:pPr>
        <w:ind w:firstLine="720"/>
      </w:pPr>
      <w:r w:rsidRPr="001F3A52">
        <w:t xml:space="preserve">Exhibit 3 presents the unit costs to industry of performing the notification, record keeping, and other activities that may be required in reporting a continuous release.  The unit cost of each collection activity is calculated by multiplying the annual burden hour estimates in Exhibit 2 by the hourly wage rate for the appropriate labor category (listed above).  </w:t>
      </w:r>
    </w:p>
    <w:p w14:paraId="5F19D599" w14:textId="77777777" w:rsidR="00513A4B" w:rsidRDefault="00513A4B" w:rsidP="00513A4B">
      <w:pPr>
        <w:ind w:firstLine="720"/>
        <w:jc w:val="center"/>
      </w:pPr>
    </w:p>
    <w:p w14:paraId="7D242A4A" w14:textId="77777777" w:rsidR="000F2845" w:rsidRPr="000F2845" w:rsidRDefault="000F2845" w:rsidP="000F2845">
      <w:pPr>
        <w:keepNext/>
        <w:jc w:val="center"/>
        <w:outlineLvl w:val="4"/>
        <w:rPr>
          <w:b/>
        </w:rPr>
      </w:pPr>
      <w:bookmarkStart w:id="57" w:name="_Toc302552504"/>
      <w:r>
        <w:rPr>
          <w:b/>
        </w:rPr>
        <w:lastRenderedPageBreak/>
        <w:t>Exhibit 3 – Unit Labor Cost per Respondent Information Collection Activity</w:t>
      </w:r>
      <w:bookmarkEnd w:id="57"/>
    </w:p>
    <w:p w14:paraId="6F7765AC" w14:textId="5B8D5B79" w:rsidR="00513A4B" w:rsidRDefault="003C60AA" w:rsidP="00BF767F">
      <w:pPr>
        <w:jc w:val="center"/>
      </w:pPr>
      <w:r w:rsidRPr="003C60AA">
        <w:rPr>
          <w:noProof/>
        </w:rPr>
        <w:drawing>
          <wp:inline distT="0" distB="0" distL="0" distR="0" wp14:anchorId="22819D6B" wp14:editId="23FA7CAA">
            <wp:extent cx="4981575" cy="3695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1575" cy="3695700"/>
                    </a:xfrm>
                    <a:prstGeom prst="rect">
                      <a:avLst/>
                    </a:prstGeom>
                    <a:noFill/>
                    <a:ln>
                      <a:noFill/>
                    </a:ln>
                  </pic:spPr>
                </pic:pic>
              </a:graphicData>
            </a:graphic>
          </wp:inline>
        </w:drawing>
      </w:r>
    </w:p>
    <w:p w14:paraId="52845D03" w14:textId="77777777" w:rsidR="00513A4B" w:rsidRDefault="00513A4B" w:rsidP="00513A4B">
      <w:pPr>
        <w:ind w:firstLine="720"/>
        <w:jc w:val="center"/>
      </w:pPr>
    </w:p>
    <w:p w14:paraId="3AF11ABA" w14:textId="77777777" w:rsidR="00513A4B" w:rsidRDefault="00513A4B" w:rsidP="00802272">
      <w:pPr>
        <w:ind w:firstLine="720"/>
        <w:rPr>
          <w:color w:val="99CC00"/>
        </w:rPr>
      </w:pPr>
      <w:r w:rsidRPr="00613D9D">
        <w:rPr>
          <w:color w:val="008000"/>
        </w:rPr>
        <w:t>Exhibit 3 (With Forms) presents the unit costs to industry of performing the notification, record keeping, and other activities that may be required in reporting a continuous release.  The unit cost of each collection activity is calculated by multiplying the annual burden hour estimates in Exhibit 2 (With Forms) by the hourly wage rate for the appropriate labor category (listed above).</w:t>
      </w:r>
    </w:p>
    <w:p w14:paraId="4E9B14DB" w14:textId="77777777" w:rsidR="00513A4B" w:rsidRDefault="00513A4B" w:rsidP="000F2845">
      <w:pPr>
        <w:rPr>
          <w:color w:val="99CC00"/>
        </w:rPr>
      </w:pPr>
    </w:p>
    <w:p w14:paraId="2E7BF3BF" w14:textId="77777777" w:rsidR="000F2845" w:rsidRPr="00613D9D" w:rsidRDefault="000F2845" w:rsidP="000F2845">
      <w:pPr>
        <w:keepNext/>
        <w:jc w:val="center"/>
        <w:outlineLvl w:val="4"/>
        <w:rPr>
          <w:b/>
          <w:color w:val="008000"/>
        </w:rPr>
      </w:pPr>
      <w:bookmarkStart w:id="58" w:name="_Toc302552505"/>
      <w:r w:rsidRPr="00613D9D">
        <w:rPr>
          <w:b/>
          <w:color w:val="008000"/>
        </w:rPr>
        <w:lastRenderedPageBreak/>
        <w:t>Exhibit 3 (With Forms) – Unit Labor Cost per Respondent Information Collection Activity</w:t>
      </w:r>
      <w:bookmarkEnd w:id="58"/>
    </w:p>
    <w:p w14:paraId="6442A639" w14:textId="5272EBAE" w:rsidR="00513A4B" w:rsidRDefault="003C60AA" w:rsidP="00BF767F">
      <w:pPr>
        <w:jc w:val="center"/>
        <w:rPr>
          <w:color w:val="99CC00"/>
        </w:rPr>
      </w:pPr>
      <w:r w:rsidRPr="003C60AA">
        <w:rPr>
          <w:noProof/>
        </w:rPr>
        <w:drawing>
          <wp:inline distT="0" distB="0" distL="0" distR="0" wp14:anchorId="6D89C0B1" wp14:editId="38EF6142">
            <wp:extent cx="4981575" cy="3695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1575" cy="3695700"/>
                    </a:xfrm>
                    <a:prstGeom prst="rect">
                      <a:avLst/>
                    </a:prstGeom>
                    <a:noFill/>
                    <a:ln>
                      <a:noFill/>
                    </a:ln>
                  </pic:spPr>
                </pic:pic>
              </a:graphicData>
            </a:graphic>
          </wp:inline>
        </w:drawing>
      </w:r>
    </w:p>
    <w:p w14:paraId="6BEFCF9E" w14:textId="77777777" w:rsidR="00513A4B" w:rsidRPr="00513A4B" w:rsidRDefault="00513A4B" w:rsidP="00513A4B">
      <w:pPr>
        <w:ind w:firstLine="720"/>
        <w:jc w:val="center"/>
        <w:rPr>
          <w:color w:val="99CC00"/>
        </w:rPr>
      </w:pPr>
    </w:p>
    <w:p w14:paraId="69FCC45A" w14:textId="77777777" w:rsidR="005D7CA5" w:rsidRDefault="004E5182" w:rsidP="00802272">
      <w:pPr>
        <w:ind w:firstLine="720"/>
      </w:pPr>
      <w:r w:rsidRPr="001F3A52">
        <w:t>Exhibit 4 presents the annual labor cost estimated to be incurred by a typical facility.  (The reporting pattern assumed for a typical facility is discussed in Section 6(a) above.)</w:t>
      </w:r>
    </w:p>
    <w:p w14:paraId="21059686" w14:textId="77777777" w:rsidR="00B41B73" w:rsidRDefault="00B41B73" w:rsidP="00802272">
      <w:pPr>
        <w:ind w:firstLine="720"/>
      </w:pPr>
    </w:p>
    <w:p w14:paraId="6E6C66BF" w14:textId="77777777" w:rsidR="005D7CA5" w:rsidRPr="00B41B73" w:rsidRDefault="00B41B73" w:rsidP="00B41B73">
      <w:pPr>
        <w:keepNext/>
        <w:jc w:val="center"/>
        <w:outlineLvl w:val="4"/>
        <w:rPr>
          <w:b/>
        </w:rPr>
      </w:pPr>
      <w:bookmarkStart w:id="59" w:name="_Toc302552506"/>
      <w:r>
        <w:rPr>
          <w:b/>
        </w:rPr>
        <w:t>Exhibit 4 – Annual Labor Costs for a Typical Facility</w:t>
      </w:r>
      <w:bookmarkEnd w:id="59"/>
    </w:p>
    <w:tbl>
      <w:tblPr>
        <w:tblW w:w="9460" w:type="dxa"/>
        <w:tblInd w:w="85" w:type="dxa"/>
        <w:tblLook w:val="04A0" w:firstRow="1" w:lastRow="0" w:firstColumn="1" w:lastColumn="0" w:noHBand="0" w:noVBand="1"/>
      </w:tblPr>
      <w:tblGrid>
        <w:gridCol w:w="9635"/>
      </w:tblGrid>
      <w:tr w:rsidR="00E34A8F" w:rsidRPr="00E34A8F" w14:paraId="6400B399" w14:textId="77777777" w:rsidTr="00E34A8F">
        <w:trPr>
          <w:trHeight w:val="1095"/>
        </w:trPr>
        <w:tc>
          <w:tcPr>
            <w:tcW w:w="9460" w:type="dxa"/>
            <w:tcBorders>
              <w:top w:val="double" w:sz="6" w:space="0" w:color="000000"/>
              <w:left w:val="nil"/>
              <w:bottom w:val="nil"/>
              <w:right w:val="nil"/>
            </w:tcBorders>
            <w:shd w:val="clear" w:color="auto" w:fill="auto"/>
            <w:vAlign w:val="center"/>
            <w:hideMark/>
          </w:tcPr>
          <w:tbl>
            <w:tblPr>
              <w:tblW w:w="9460" w:type="dxa"/>
              <w:tblLook w:val="04A0" w:firstRow="1" w:lastRow="0" w:firstColumn="1" w:lastColumn="0" w:noHBand="0" w:noVBand="1"/>
            </w:tblPr>
            <w:tblGrid>
              <w:gridCol w:w="2307"/>
              <w:gridCol w:w="1461"/>
              <w:gridCol w:w="1334"/>
              <w:gridCol w:w="1310"/>
              <w:gridCol w:w="1016"/>
              <w:gridCol w:w="1016"/>
              <w:gridCol w:w="1016"/>
            </w:tblGrid>
            <w:tr w:rsidR="003C60AA" w:rsidRPr="003C60AA" w14:paraId="5417E489" w14:textId="77777777" w:rsidTr="003C60AA">
              <w:trPr>
                <w:trHeight w:val="285"/>
              </w:trPr>
              <w:tc>
                <w:tcPr>
                  <w:tcW w:w="2520" w:type="dxa"/>
                  <w:vMerge w:val="restart"/>
                  <w:tcBorders>
                    <w:top w:val="double" w:sz="6" w:space="0" w:color="000000"/>
                    <w:left w:val="double" w:sz="6" w:space="0" w:color="000000"/>
                    <w:bottom w:val="single" w:sz="8" w:space="0" w:color="000000"/>
                    <w:right w:val="single" w:sz="8" w:space="0" w:color="000000"/>
                  </w:tcBorders>
                  <w:shd w:val="clear" w:color="auto" w:fill="auto"/>
                  <w:vAlign w:val="bottom"/>
                  <w:hideMark/>
                </w:tcPr>
                <w:p w14:paraId="5CD16641" w14:textId="77777777" w:rsidR="003C60AA" w:rsidRPr="003C60AA" w:rsidRDefault="003C60AA" w:rsidP="003C60AA">
                  <w:pPr>
                    <w:widowControl/>
                    <w:adjustRightInd/>
                    <w:jc w:val="center"/>
                    <w:rPr>
                      <w:b/>
                      <w:bCs/>
                      <w:sz w:val="20"/>
                      <w:szCs w:val="20"/>
                    </w:rPr>
                  </w:pPr>
                  <w:r w:rsidRPr="003C60AA">
                    <w:rPr>
                      <w:b/>
                      <w:bCs/>
                      <w:sz w:val="20"/>
                      <w:szCs w:val="20"/>
                    </w:rPr>
                    <w:t>Collection Activity</w:t>
                  </w:r>
                </w:p>
              </w:tc>
              <w:tc>
                <w:tcPr>
                  <w:tcW w:w="4020" w:type="dxa"/>
                  <w:gridSpan w:val="3"/>
                  <w:tcBorders>
                    <w:top w:val="double" w:sz="6" w:space="0" w:color="000000"/>
                    <w:left w:val="nil"/>
                    <w:bottom w:val="single" w:sz="8" w:space="0" w:color="000000"/>
                    <w:right w:val="single" w:sz="8" w:space="0" w:color="000000"/>
                  </w:tcBorders>
                  <w:shd w:val="clear" w:color="auto" w:fill="auto"/>
                  <w:vAlign w:val="bottom"/>
                  <w:hideMark/>
                </w:tcPr>
                <w:p w14:paraId="684CB4CF" w14:textId="77777777" w:rsidR="003C60AA" w:rsidRPr="003C60AA" w:rsidRDefault="003C60AA" w:rsidP="003C60AA">
                  <w:pPr>
                    <w:widowControl/>
                    <w:adjustRightInd/>
                    <w:jc w:val="center"/>
                    <w:rPr>
                      <w:b/>
                      <w:bCs/>
                      <w:sz w:val="20"/>
                      <w:szCs w:val="20"/>
                    </w:rPr>
                  </w:pPr>
                  <w:r w:rsidRPr="003C60AA">
                    <w:rPr>
                      <w:b/>
                      <w:bCs/>
                      <w:sz w:val="20"/>
                      <w:szCs w:val="20"/>
                    </w:rPr>
                    <w:t>Annual Burden Hours</w:t>
                  </w:r>
                </w:p>
              </w:tc>
              <w:tc>
                <w:tcPr>
                  <w:tcW w:w="2920" w:type="dxa"/>
                  <w:gridSpan w:val="3"/>
                  <w:tcBorders>
                    <w:top w:val="double" w:sz="6" w:space="0" w:color="000000"/>
                    <w:left w:val="nil"/>
                    <w:bottom w:val="single" w:sz="8" w:space="0" w:color="000000"/>
                    <w:right w:val="double" w:sz="6" w:space="0" w:color="000000"/>
                  </w:tcBorders>
                  <w:shd w:val="clear" w:color="auto" w:fill="auto"/>
                  <w:vAlign w:val="bottom"/>
                  <w:hideMark/>
                </w:tcPr>
                <w:p w14:paraId="61C16A4D" w14:textId="77777777" w:rsidR="003C60AA" w:rsidRPr="003C60AA" w:rsidRDefault="003C60AA" w:rsidP="003C60AA">
                  <w:pPr>
                    <w:widowControl/>
                    <w:adjustRightInd/>
                    <w:jc w:val="center"/>
                    <w:rPr>
                      <w:b/>
                      <w:bCs/>
                      <w:sz w:val="20"/>
                      <w:szCs w:val="20"/>
                    </w:rPr>
                  </w:pPr>
                  <w:r w:rsidRPr="003C60AA">
                    <w:rPr>
                      <w:b/>
                      <w:bCs/>
                      <w:sz w:val="20"/>
                      <w:szCs w:val="20"/>
                    </w:rPr>
                    <w:t>Annual Labor Costs</w:t>
                  </w:r>
                </w:p>
              </w:tc>
            </w:tr>
            <w:tr w:rsidR="003C60AA" w:rsidRPr="003C60AA" w14:paraId="721E89AC" w14:textId="77777777" w:rsidTr="003C60AA">
              <w:trPr>
                <w:trHeight w:val="255"/>
              </w:trPr>
              <w:tc>
                <w:tcPr>
                  <w:tcW w:w="2520" w:type="dxa"/>
                  <w:vMerge/>
                  <w:tcBorders>
                    <w:top w:val="double" w:sz="6" w:space="0" w:color="000000"/>
                    <w:left w:val="double" w:sz="6" w:space="0" w:color="000000"/>
                    <w:bottom w:val="single" w:sz="8" w:space="0" w:color="000000"/>
                    <w:right w:val="single" w:sz="8" w:space="0" w:color="000000"/>
                  </w:tcBorders>
                  <w:vAlign w:val="center"/>
                  <w:hideMark/>
                </w:tcPr>
                <w:p w14:paraId="33A7506F" w14:textId="77777777" w:rsidR="003C60AA" w:rsidRPr="003C60AA" w:rsidRDefault="003C60AA" w:rsidP="003C60AA">
                  <w:pPr>
                    <w:widowControl/>
                    <w:adjustRightInd/>
                    <w:rPr>
                      <w:b/>
                      <w:bCs/>
                      <w:sz w:val="20"/>
                      <w:szCs w:val="20"/>
                    </w:rPr>
                  </w:pPr>
                </w:p>
              </w:tc>
              <w:tc>
                <w:tcPr>
                  <w:tcW w:w="1340" w:type="dxa"/>
                  <w:tcBorders>
                    <w:top w:val="nil"/>
                    <w:left w:val="nil"/>
                    <w:bottom w:val="nil"/>
                    <w:right w:val="single" w:sz="8" w:space="0" w:color="000000"/>
                  </w:tcBorders>
                  <w:shd w:val="clear" w:color="auto" w:fill="auto"/>
                  <w:vAlign w:val="bottom"/>
                  <w:hideMark/>
                </w:tcPr>
                <w:p w14:paraId="34C5850C" w14:textId="77777777" w:rsidR="003C60AA" w:rsidRPr="003C60AA" w:rsidRDefault="003C60AA" w:rsidP="003C60AA">
                  <w:pPr>
                    <w:widowControl/>
                    <w:adjustRightInd/>
                    <w:jc w:val="center"/>
                    <w:rPr>
                      <w:b/>
                      <w:bCs/>
                      <w:sz w:val="20"/>
                      <w:szCs w:val="20"/>
                    </w:rPr>
                  </w:pPr>
                  <w:r w:rsidRPr="003C60AA">
                    <w:rPr>
                      <w:b/>
                      <w:bCs/>
                      <w:sz w:val="20"/>
                      <w:szCs w:val="20"/>
                    </w:rPr>
                    <w:t>Managerial/hr</w:t>
                  </w:r>
                </w:p>
              </w:tc>
              <w:tc>
                <w:tcPr>
                  <w:tcW w:w="1340" w:type="dxa"/>
                  <w:tcBorders>
                    <w:top w:val="nil"/>
                    <w:left w:val="nil"/>
                    <w:bottom w:val="nil"/>
                    <w:right w:val="single" w:sz="8" w:space="0" w:color="000000"/>
                  </w:tcBorders>
                  <w:shd w:val="clear" w:color="auto" w:fill="auto"/>
                  <w:vAlign w:val="bottom"/>
                  <w:hideMark/>
                </w:tcPr>
                <w:p w14:paraId="188DE538" w14:textId="77777777" w:rsidR="003C60AA" w:rsidRPr="003C60AA" w:rsidRDefault="003C60AA" w:rsidP="003C60AA">
                  <w:pPr>
                    <w:widowControl/>
                    <w:adjustRightInd/>
                    <w:jc w:val="center"/>
                    <w:rPr>
                      <w:b/>
                      <w:bCs/>
                      <w:sz w:val="20"/>
                      <w:szCs w:val="20"/>
                    </w:rPr>
                  </w:pPr>
                  <w:r w:rsidRPr="003C60AA">
                    <w:rPr>
                      <w:b/>
                      <w:bCs/>
                      <w:sz w:val="20"/>
                      <w:szCs w:val="20"/>
                    </w:rPr>
                    <w:t>Technical/hr</w:t>
                  </w:r>
                </w:p>
              </w:tc>
              <w:tc>
                <w:tcPr>
                  <w:tcW w:w="1340" w:type="dxa"/>
                  <w:tcBorders>
                    <w:top w:val="nil"/>
                    <w:left w:val="nil"/>
                    <w:bottom w:val="nil"/>
                    <w:right w:val="single" w:sz="8" w:space="0" w:color="000000"/>
                  </w:tcBorders>
                  <w:shd w:val="clear" w:color="auto" w:fill="auto"/>
                  <w:vAlign w:val="bottom"/>
                  <w:hideMark/>
                </w:tcPr>
                <w:p w14:paraId="169F503E" w14:textId="77777777" w:rsidR="003C60AA" w:rsidRPr="003C60AA" w:rsidRDefault="003C60AA" w:rsidP="003C60AA">
                  <w:pPr>
                    <w:widowControl/>
                    <w:adjustRightInd/>
                    <w:jc w:val="center"/>
                    <w:rPr>
                      <w:b/>
                      <w:bCs/>
                      <w:sz w:val="20"/>
                      <w:szCs w:val="20"/>
                    </w:rPr>
                  </w:pPr>
                  <w:r w:rsidRPr="003C60AA">
                    <w:rPr>
                      <w:b/>
                      <w:bCs/>
                      <w:sz w:val="20"/>
                      <w:szCs w:val="20"/>
                    </w:rPr>
                    <w:t>Clerical/hr</w:t>
                  </w:r>
                </w:p>
              </w:tc>
              <w:tc>
                <w:tcPr>
                  <w:tcW w:w="940" w:type="dxa"/>
                  <w:vMerge w:val="restart"/>
                  <w:tcBorders>
                    <w:top w:val="nil"/>
                    <w:left w:val="single" w:sz="8" w:space="0" w:color="000000"/>
                    <w:bottom w:val="single" w:sz="8" w:space="0" w:color="000000"/>
                    <w:right w:val="single" w:sz="8" w:space="0" w:color="000000"/>
                  </w:tcBorders>
                  <w:shd w:val="clear" w:color="auto" w:fill="auto"/>
                  <w:vAlign w:val="bottom"/>
                  <w:hideMark/>
                </w:tcPr>
                <w:p w14:paraId="78D60528" w14:textId="77777777" w:rsidR="003C60AA" w:rsidRPr="003C60AA" w:rsidRDefault="003C60AA" w:rsidP="003C60AA">
                  <w:pPr>
                    <w:widowControl/>
                    <w:adjustRightInd/>
                    <w:jc w:val="center"/>
                    <w:rPr>
                      <w:b/>
                      <w:bCs/>
                      <w:sz w:val="20"/>
                      <w:szCs w:val="20"/>
                    </w:rPr>
                  </w:pPr>
                  <w:r w:rsidRPr="003C60AA">
                    <w:rPr>
                      <w:b/>
                      <w:bCs/>
                      <w:sz w:val="20"/>
                      <w:szCs w:val="20"/>
                    </w:rPr>
                    <w:t>First Year</w:t>
                  </w:r>
                </w:p>
              </w:tc>
              <w:tc>
                <w:tcPr>
                  <w:tcW w:w="980" w:type="dxa"/>
                  <w:vMerge w:val="restart"/>
                  <w:tcBorders>
                    <w:top w:val="nil"/>
                    <w:left w:val="single" w:sz="8" w:space="0" w:color="000000"/>
                    <w:bottom w:val="single" w:sz="8" w:space="0" w:color="000000"/>
                    <w:right w:val="single" w:sz="8" w:space="0" w:color="000000"/>
                  </w:tcBorders>
                  <w:shd w:val="clear" w:color="auto" w:fill="auto"/>
                  <w:vAlign w:val="bottom"/>
                  <w:hideMark/>
                </w:tcPr>
                <w:p w14:paraId="4590B6EF" w14:textId="77777777" w:rsidR="003C60AA" w:rsidRPr="003C60AA" w:rsidRDefault="003C60AA" w:rsidP="003C60AA">
                  <w:pPr>
                    <w:widowControl/>
                    <w:adjustRightInd/>
                    <w:jc w:val="center"/>
                    <w:rPr>
                      <w:b/>
                      <w:bCs/>
                      <w:sz w:val="20"/>
                      <w:szCs w:val="20"/>
                    </w:rPr>
                  </w:pPr>
                  <w:r w:rsidRPr="003C60AA">
                    <w:rPr>
                      <w:b/>
                      <w:bCs/>
                      <w:sz w:val="20"/>
                      <w:szCs w:val="20"/>
                    </w:rPr>
                    <w:t>Second Year</w:t>
                  </w:r>
                </w:p>
              </w:tc>
              <w:tc>
                <w:tcPr>
                  <w:tcW w:w="1000" w:type="dxa"/>
                  <w:vMerge w:val="restart"/>
                  <w:tcBorders>
                    <w:top w:val="nil"/>
                    <w:left w:val="single" w:sz="8" w:space="0" w:color="000000"/>
                    <w:bottom w:val="single" w:sz="8" w:space="0" w:color="000000"/>
                    <w:right w:val="double" w:sz="6" w:space="0" w:color="000000"/>
                  </w:tcBorders>
                  <w:shd w:val="clear" w:color="auto" w:fill="auto"/>
                  <w:vAlign w:val="bottom"/>
                  <w:hideMark/>
                </w:tcPr>
                <w:p w14:paraId="5BC6BBC6" w14:textId="77777777" w:rsidR="003C60AA" w:rsidRPr="003C60AA" w:rsidRDefault="003C60AA" w:rsidP="003C60AA">
                  <w:pPr>
                    <w:widowControl/>
                    <w:adjustRightInd/>
                    <w:jc w:val="center"/>
                    <w:rPr>
                      <w:b/>
                      <w:bCs/>
                      <w:sz w:val="20"/>
                      <w:szCs w:val="20"/>
                    </w:rPr>
                  </w:pPr>
                  <w:r w:rsidRPr="003C60AA">
                    <w:rPr>
                      <w:b/>
                      <w:bCs/>
                      <w:sz w:val="20"/>
                      <w:szCs w:val="20"/>
                    </w:rPr>
                    <w:t>Third Year</w:t>
                  </w:r>
                </w:p>
              </w:tc>
            </w:tr>
            <w:tr w:rsidR="003C60AA" w:rsidRPr="003C60AA" w14:paraId="64D4EE45" w14:textId="77777777" w:rsidTr="003C60AA">
              <w:trPr>
                <w:trHeight w:val="270"/>
              </w:trPr>
              <w:tc>
                <w:tcPr>
                  <w:tcW w:w="2520" w:type="dxa"/>
                  <w:vMerge/>
                  <w:tcBorders>
                    <w:top w:val="double" w:sz="6" w:space="0" w:color="000000"/>
                    <w:left w:val="double" w:sz="6" w:space="0" w:color="000000"/>
                    <w:bottom w:val="single" w:sz="8" w:space="0" w:color="000000"/>
                    <w:right w:val="single" w:sz="8" w:space="0" w:color="000000"/>
                  </w:tcBorders>
                  <w:vAlign w:val="center"/>
                  <w:hideMark/>
                </w:tcPr>
                <w:p w14:paraId="18947729" w14:textId="77777777" w:rsidR="003C60AA" w:rsidRPr="003C60AA" w:rsidRDefault="003C60AA" w:rsidP="003C60AA">
                  <w:pPr>
                    <w:widowControl/>
                    <w:adjustRightInd/>
                    <w:rPr>
                      <w:b/>
                      <w:bCs/>
                      <w:sz w:val="20"/>
                      <w:szCs w:val="20"/>
                    </w:rPr>
                  </w:pPr>
                </w:p>
              </w:tc>
              <w:tc>
                <w:tcPr>
                  <w:tcW w:w="1340" w:type="dxa"/>
                  <w:tcBorders>
                    <w:top w:val="nil"/>
                    <w:left w:val="nil"/>
                    <w:bottom w:val="single" w:sz="8" w:space="0" w:color="000000"/>
                    <w:right w:val="single" w:sz="8" w:space="0" w:color="000000"/>
                  </w:tcBorders>
                  <w:shd w:val="clear" w:color="auto" w:fill="auto"/>
                  <w:vAlign w:val="bottom"/>
                  <w:hideMark/>
                </w:tcPr>
                <w:p w14:paraId="12AC141F" w14:textId="77777777" w:rsidR="003C60AA" w:rsidRPr="003C60AA" w:rsidRDefault="003C60AA" w:rsidP="003C60AA">
                  <w:pPr>
                    <w:widowControl/>
                    <w:adjustRightInd/>
                    <w:jc w:val="center"/>
                    <w:rPr>
                      <w:b/>
                      <w:bCs/>
                      <w:sz w:val="20"/>
                      <w:szCs w:val="20"/>
                    </w:rPr>
                  </w:pPr>
                  <w:r w:rsidRPr="003C60AA">
                    <w:rPr>
                      <w:b/>
                      <w:bCs/>
                      <w:sz w:val="20"/>
                      <w:szCs w:val="20"/>
                    </w:rPr>
                    <w:t xml:space="preserve">$65.50 </w:t>
                  </w:r>
                </w:p>
              </w:tc>
              <w:tc>
                <w:tcPr>
                  <w:tcW w:w="1340" w:type="dxa"/>
                  <w:tcBorders>
                    <w:top w:val="nil"/>
                    <w:left w:val="nil"/>
                    <w:bottom w:val="single" w:sz="8" w:space="0" w:color="000000"/>
                    <w:right w:val="single" w:sz="8" w:space="0" w:color="000000"/>
                  </w:tcBorders>
                  <w:shd w:val="clear" w:color="auto" w:fill="auto"/>
                  <w:vAlign w:val="bottom"/>
                  <w:hideMark/>
                </w:tcPr>
                <w:p w14:paraId="6E8CB3E3" w14:textId="77777777" w:rsidR="003C60AA" w:rsidRPr="003C60AA" w:rsidRDefault="003C60AA" w:rsidP="003C60AA">
                  <w:pPr>
                    <w:widowControl/>
                    <w:adjustRightInd/>
                    <w:jc w:val="center"/>
                    <w:rPr>
                      <w:b/>
                      <w:bCs/>
                      <w:sz w:val="20"/>
                      <w:szCs w:val="20"/>
                    </w:rPr>
                  </w:pPr>
                  <w:r w:rsidRPr="003C60AA">
                    <w:rPr>
                      <w:b/>
                      <w:bCs/>
                      <w:sz w:val="20"/>
                      <w:szCs w:val="20"/>
                    </w:rPr>
                    <w:t xml:space="preserve">$50.40 </w:t>
                  </w:r>
                </w:p>
              </w:tc>
              <w:tc>
                <w:tcPr>
                  <w:tcW w:w="1340" w:type="dxa"/>
                  <w:tcBorders>
                    <w:top w:val="nil"/>
                    <w:left w:val="nil"/>
                    <w:bottom w:val="single" w:sz="8" w:space="0" w:color="000000"/>
                    <w:right w:val="single" w:sz="8" w:space="0" w:color="000000"/>
                  </w:tcBorders>
                  <w:shd w:val="clear" w:color="auto" w:fill="auto"/>
                  <w:vAlign w:val="bottom"/>
                  <w:hideMark/>
                </w:tcPr>
                <w:p w14:paraId="26DE085F" w14:textId="77777777" w:rsidR="003C60AA" w:rsidRPr="003C60AA" w:rsidRDefault="003C60AA" w:rsidP="003C60AA">
                  <w:pPr>
                    <w:widowControl/>
                    <w:adjustRightInd/>
                    <w:jc w:val="center"/>
                    <w:rPr>
                      <w:b/>
                      <w:bCs/>
                      <w:sz w:val="20"/>
                      <w:szCs w:val="20"/>
                    </w:rPr>
                  </w:pPr>
                  <w:r w:rsidRPr="003C60AA">
                    <w:rPr>
                      <w:b/>
                      <w:bCs/>
                      <w:sz w:val="20"/>
                      <w:szCs w:val="20"/>
                    </w:rPr>
                    <w:t xml:space="preserve">$24.76 </w:t>
                  </w:r>
                </w:p>
              </w:tc>
              <w:tc>
                <w:tcPr>
                  <w:tcW w:w="940" w:type="dxa"/>
                  <w:vMerge/>
                  <w:tcBorders>
                    <w:top w:val="nil"/>
                    <w:left w:val="single" w:sz="8" w:space="0" w:color="000000"/>
                    <w:bottom w:val="single" w:sz="8" w:space="0" w:color="000000"/>
                    <w:right w:val="single" w:sz="8" w:space="0" w:color="000000"/>
                  </w:tcBorders>
                  <w:vAlign w:val="center"/>
                  <w:hideMark/>
                </w:tcPr>
                <w:p w14:paraId="2EF3F68F" w14:textId="77777777" w:rsidR="003C60AA" w:rsidRPr="003C60AA" w:rsidRDefault="003C60AA" w:rsidP="003C60AA">
                  <w:pPr>
                    <w:widowControl/>
                    <w:adjustRightInd/>
                    <w:rPr>
                      <w:b/>
                      <w:bCs/>
                      <w:sz w:val="20"/>
                      <w:szCs w:val="20"/>
                    </w:rPr>
                  </w:pPr>
                </w:p>
              </w:tc>
              <w:tc>
                <w:tcPr>
                  <w:tcW w:w="980" w:type="dxa"/>
                  <w:vMerge/>
                  <w:tcBorders>
                    <w:top w:val="nil"/>
                    <w:left w:val="single" w:sz="8" w:space="0" w:color="000000"/>
                    <w:bottom w:val="single" w:sz="8" w:space="0" w:color="000000"/>
                    <w:right w:val="single" w:sz="8" w:space="0" w:color="000000"/>
                  </w:tcBorders>
                  <w:vAlign w:val="center"/>
                  <w:hideMark/>
                </w:tcPr>
                <w:p w14:paraId="6046A1D1" w14:textId="77777777" w:rsidR="003C60AA" w:rsidRPr="003C60AA" w:rsidRDefault="003C60AA" w:rsidP="003C60AA">
                  <w:pPr>
                    <w:widowControl/>
                    <w:adjustRightInd/>
                    <w:rPr>
                      <w:b/>
                      <w:bCs/>
                      <w:sz w:val="20"/>
                      <w:szCs w:val="20"/>
                    </w:rPr>
                  </w:pPr>
                </w:p>
              </w:tc>
              <w:tc>
                <w:tcPr>
                  <w:tcW w:w="1000" w:type="dxa"/>
                  <w:vMerge/>
                  <w:tcBorders>
                    <w:top w:val="nil"/>
                    <w:left w:val="single" w:sz="8" w:space="0" w:color="000000"/>
                    <w:bottom w:val="single" w:sz="8" w:space="0" w:color="000000"/>
                    <w:right w:val="double" w:sz="6" w:space="0" w:color="000000"/>
                  </w:tcBorders>
                  <w:vAlign w:val="center"/>
                  <w:hideMark/>
                </w:tcPr>
                <w:p w14:paraId="10BAAEEA" w14:textId="77777777" w:rsidR="003C60AA" w:rsidRPr="003C60AA" w:rsidRDefault="003C60AA" w:rsidP="003C60AA">
                  <w:pPr>
                    <w:widowControl/>
                    <w:adjustRightInd/>
                    <w:rPr>
                      <w:b/>
                      <w:bCs/>
                      <w:sz w:val="20"/>
                      <w:szCs w:val="20"/>
                    </w:rPr>
                  </w:pPr>
                </w:p>
              </w:tc>
            </w:tr>
            <w:tr w:rsidR="003C60AA" w:rsidRPr="003C60AA" w14:paraId="214A9B5D" w14:textId="77777777" w:rsidTr="003C60AA">
              <w:trPr>
                <w:trHeight w:val="525"/>
              </w:trPr>
              <w:tc>
                <w:tcPr>
                  <w:tcW w:w="2520" w:type="dxa"/>
                  <w:tcBorders>
                    <w:top w:val="nil"/>
                    <w:left w:val="double" w:sz="6" w:space="0" w:color="000000"/>
                    <w:bottom w:val="single" w:sz="8" w:space="0" w:color="000000"/>
                    <w:right w:val="single" w:sz="8" w:space="0" w:color="000000"/>
                  </w:tcBorders>
                  <w:shd w:val="clear" w:color="auto" w:fill="auto"/>
                  <w:vAlign w:val="bottom"/>
                  <w:hideMark/>
                </w:tcPr>
                <w:p w14:paraId="57C5ADCC" w14:textId="77777777" w:rsidR="003C60AA" w:rsidRPr="003C60AA" w:rsidRDefault="003C60AA" w:rsidP="003C60AA">
                  <w:pPr>
                    <w:widowControl/>
                    <w:adjustRightInd/>
                    <w:rPr>
                      <w:sz w:val="20"/>
                      <w:szCs w:val="20"/>
                    </w:rPr>
                  </w:pPr>
                  <w:r w:rsidRPr="003C60AA">
                    <w:rPr>
                      <w:sz w:val="20"/>
                      <w:szCs w:val="20"/>
                    </w:rPr>
                    <w:t>Providing an Initial Telephone Notification</w:t>
                  </w:r>
                </w:p>
              </w:tc>
              <w:tc>
                <w:tcPr>
                  <w:tcW w:w="1340" w:type="dxa"/>
                  <w:tcBorders>
                    <w:top w:val="nil"/>
                    <w:left w:val="nil"/>
                    <w:bottom w:val="single" w:sz="8" w:space="0" w:color="000000"/>
                    <w:right w:val="single" w:sz="8" w:space="0" w:color="000000"/>
                  </w:tcBorders>
                  <w:shd w:val="clear" w:color="auto" w:fill="auto"/>
                  <w:vAlign w:val="bottom"/>
                  <w:hideMark/>
                </w:tcPr>
                <w:p w14:paraId="55A9580E" w14:textId="77777777" w:rsidR="003C60AA" w:rsidRPr="003C60AA" w:rsidRDefault="003C60AA" w:rsidP="003C60AA">
                  <w:pPr>
                    <w:widowControl/>
                    <w:adjustRightInd/>
                    <w:jc w:val="center"/>
                    <w:rPr>
                      <w:sz w:val="20"/>
                      <w:szCs w:val="20"/>
                    </w:rPr>
                  </w:pPr>
                  <w:r w:rsidRPr="003C60AA">
                    <w:rPr>
                      <w:sz w:val="20"/>
                      <w:szCs w:val="20"/>
                    </w:rPr>
                    <w:t>8</w:t>
                  </w:r>
                </w:p>
              </w:tc>
              <w:tc>
                <w:tcPr>
                  <w:tcW w:w="1340" w:type="dxa"/>
                  <w:tcBorders>
                    <w:top w:val="nil"/>
                    <w:left w:val="nil"/>
                    <w:bottom w:val="single" w:sz="8" w:space="0" w:color="000000"/>
                    <w:right w:val="single" w:sz="8" w:space="0" w:color="000000"/>
                  </w:tcBorders>
                  <w:shd w:val="clear" w:color="auto" w:fill="auto"/>
                  <w:vAlign w:val="bottom"/>
                  <w:hideMark/>
                </w:tcPr>
                <w:p w14:paraId="5CA3EEF8" w14:textId="77777777" w:rsidR="003C60AA" w:rsidRPr="003C60AA" w:rsidRDefault="003C60AA" w:rsidP="003C60AA">
                  <w:pPr>
                    <w:widowControl/>
                    <w:adjustRightInd/>
                    <w:jc w:val="center"/>
                    <w:rPr>
                      <w:sz w:val="20"/>
                      <w:szCs w:val="20"/>
                    </w:rPr>
                  </w:pPr>
                  <w:r w:rsidRPr="003C60AA">
                    <w:rPr>
                      <w:sz w:val="20"/>
                      <w:szCs w:val="20"/>
                    </w:rPr>
                    <w:t>16</w:t>
                  </w:r>
                </w:p>
              </w:tc>
              <w:tc>
                <w:tcPr>
                  <w:tcW w:w="1340" w:type="dxa"/>
                  <w:tcBorders>
                    <w:top w:val="nil"/>
                    <w:left w:val="nil"/>
                    <w:bottom w:val="single" w:sz="8" w:space="0" w:color="000000"/>
                    <w:right w:val="single" w:sz="8" w:space="0" w:color="000000"/>
                  </w:tcBorders>
                  <w:shd w:val="clear" w:color="auto" w:fill="auto"/>
                  <w:vAlign w:val="bottom"/>
                  <w:hideMark/>
                </w:tcPr>
                <w:p w14:paraId="181390CA" w14:textId="77777777" w:rsidR="003C60AA" w:rsidRPr="003C60AA" w:rsidRDefault="003C60AA" w:rsidP="003C60AA">
                  <w:pPr>
                    <w:widowControl/>
                    <w:adjustRightInd/>
                    <w:jc w:val="center"/>
                    <w:rPr>
                      <w:sz w:val="20"/>
                      <w:szCs w:val="20"/>
                    </w:rPr>
                  </w:pPr>
                  <w:r w:rsidRPr="003C60AA">
                    <w:rPr>
                      <w:sz w:val="20"/>
                      <w:szCs w:val="20"/>
                    </w:rPr>
                    <w:t>0</w:t>
                  </w:r>
                </w:p>
              </w:tc>
              <w:tc>
                <w:tcPr>
                  <w:tcW w:w="940" w:type="dxa"/>
                  <w:tcBorders>
                    <w:top w:val="nil"/>
                    <w:left w:val="nil"/>
                    <w:bottom w:val="single" w:sz="8" w:space="0" w:color="000000"/>
                    <w:right w:val="single" w:sz="8" w:space="0" w:color="000000"/>
                  </w:tcBorders>
                  <w:shd w:val="clear" w:color="auto" w:fill="auto"/>
                  <w:vAlign w:val="bottom"/>
                  <w:hideMark/>
                </w:tcPr>
                <w:p w14:paraId="41A6500D" w14:textId="77777777" w:rsidR="003C60AA" w:rsidRPr="003C60AA" w:rsidRDefault="003C60AA" w:rsidP="003C60AA">
                  <w:pPr>
                    <w:widowControl/>
                    <w:adjustRightInd/>
                    <w:jc w:val="right"/>
                    <w:rPr>
                      <w:sz w:val="20"/>
                      <w:szCs w:val="20"/>
                    </w:rPr>
                  </w:pPr>
                  <w:r w:rsidRPr="003C60AA">
                    <w:rPr>
                      <w:sz w:val="20"/>
                      <w:szCs w:val="20"/>
                    </w:rPr>
                    <w:t xml:space="preserve">$1,330.40 </w:t>
                  </w:r>
                </w:p>
              </w:tc>
              <w:tc>
                <w:tcPr>
                  <w:tcW w:w="980" w:type="dxa"/>
                  <w:tcBorders>
                    <w:top w:val="nil"/>
                    <w:left w:val="nil"/>
                    <w:bottom w:val="single" w:sz="8" w:space="0" w:color="000000"/>
                    <w:right w:val="single" w:sz="8" w:space="0" w:color="000000"/>
                  </w:tcBorders>
                  <w:shd w:val="clear" w:color="auto" w:fill="auto"/>
                  <w:vAlign w:val="bottom"/>
                  <w:hideMark/>
                </w:tcPr>
                <w:p w14:paraId="2459E52E" w14:textId="77777777" w:rsidR="003C60AA" w:rsidRPr="003C60AA" w:rsidRDefault="003C60AA" w:rsidP="003C60AA">
                  <w:pPr>
                    <w:widowControl/>
                    <w:adjustRightInd/>
                    <w:jc w:val="right"/>
                    <w:rPr>
                      <w:sz w:val="20"/>
                      <w:szCs w:val="20"/>
                    </w:rPr>
                  </w:pPr>
                  <w:r w:rsidRPr="003C60AA">
                    <w:rPr>
                      <w:sz w:val="20"/>
                      <w:szCs w:val="20"/>
                    </w:rPr>
                    <w:t>NA</w:t>
                  </w:r>
                </w:p>
              </w:tc>
              <w:tc>
                <w:tcPr>
                  <w:tcW w:w="1000" w:type="dxa"/>
                  <w:tcBorders>
                    <w:top w:val="nil"/>
                    <w:left w:val="nil"/>
                    <w:bottom w:val="single" w:sz="8" w:space="0" w:color="000000"/>
                    <w:right w:val="double" w:sz="6" w:space="0" w:color="000000"/>
                  </w:tcBorders>
                  <w:shd w:val="clear" w:color="auto" w:fill="auto"/>
                  <w:vAlign w:val="bottom"/>
                  <w:hideMark/>
                </w:tcPr>
                <w:p w14:paraId="27B9E31D" w14:textId="77777777" w:rsidR="003C60AA" w:rsidRPr="003C60AA" w:rsidRDefault="003C60AA" w:rsidP="003C60AA">
                  <w:pPr>
                    <w:widowControl/>
                    <w:adjustRightInd/>
                    <w:jc w:val="right"/>
                    <w:rPr>
                      <w:sz w:val="20"/>
                      <w:szCs w:val="20"/>
                    </w:rPr>
                  </w:pPr>
                  <w:r w:rsidRPr="003C60AA">
                    <w:rPr>
                      <w:sz w:val="20"/>
                      <w:szCs w:val="20"/>
                    </w:rPr>
                    <w:t>NA</w:t>
                  </w:r>
                </w:p>
              </w:tc>
            </w:tr>
            <w:tr w:rsidR="003C60AA" w:rsidRPr="003C60AA" w14:paraId="51DD6A0A" w14:textId="77777777" w:rsidTr="003C60AA">
              <w:trPr>
                <w:trHeight w:val="525"/>
              </w:trPr>
              <w:tc>
                <w:tcPr>
                  <w:tcW w:w="2520" w:type="dxa"/>
                  <w:tcBorders>
                    <w:top w:val="nil"/>
                    <w:left w:val="double" w:sz="6" w:space="0" w:color="000000"/>
                    <w:bottom w:val="single" w:sz="8" w:space="0" w:color="000000"/>
                    <w:right w:val="single" w:sz="8" w:space="0" w:color="000000"/>
                  </w:tcBorders>
                  <w:shd w:val="clear" w:color="auto" w:fill="auto"/>
                  <w:vAlign w:val="bottom"/>
                  <w:hideMark/>
                </w:tcPr>
                <w:p w14:paraId="463711BB" w14:textId="77777777" w:rsidR="003C60AA" w:rsidRPr="003C60AA" w:rsidRDefault="003C60AA" w:rsidP="003C60AA">
                  <w:pPr>
                    <w:widowControl/>
                    <w:adjustRightInd/>
                    <w:rPr>
                      <w:sz w:val="20"/>
                      <w:szCs w:val="20"/>
                    </w:rPr>
                  </w:pPr>
                  <w:r w:rsidRPr="003C60AA">
                    <w:rPr>
                      <w:sz w:val="20"/>
                      <w:szCs w:val="20"/>
                    </w:rPr>
                    <w:t>Preparing an Initial Written Report</w:t>
                  </w:r>
                </w:p>
              </w:tc>
              <w:tc>
                <w:tcPr>
                  <w:tcW w:w="1340" w:type="dxa"/>
                  <w:tcBorders>
                    <w:top w:val="nil"/>
                    <w:left w:val="nil"/>
                    <w:bottom w:val="single" w:sz="8" w:space="0" w:color="000000"/>
                    <w:right w:val="single" w:sz="8" w:space="0" w:color="000000"/>
                  </w:tcBorders>
                  <w:shd w:val="clear" w:color="auto" w:fill="auto"/>
                  <w:vAlign w:val="bottom"/>
                  <w:hideMark/>
                </w:tcPr>
                <w:p w14:paraId="49B00FB2" w14:textId="77777777" w:rsidR="003C60AA" w:rsidRPr="003C60AA" w:rsidRDefault="003C60AA" w:rsidP="003C60AA">
                  <w:pPr>
                    <w:widowControl/>
                    <w:adjustRightInd/>
                    <w:jc w:val="center"/>
                    <w:rPr>
                      <w:sz w:val="20"/>
                      <w:szCs w:val="20"/>
                    </w:rPr>
                  </w:pPr>
                  <w:r w:rsidRPr="003C60AA">
                    <w:rPr>
                      <w:sz w:val="20"/>
                      <w:szCs w:val="20"/>
                    </w:rPr>
                    <w:t>24</w:t>
                  </w:r>
                </w:p>
              </w:tc>
              <w:tc>
                <w:tcPr>
                  <w:tcW w:w="1340" w:type="dxa"/>
                  <w:tcBorders>
                    <w:top w:val="nil"/>
                    <w:left w:val="nil"/>
                    <w:bottom w:val="single" w:sz="8" w:space="0" w:color="000000"/>
                    <w:right w:val="single" w:sz="8" w:space="0" w:color="000000"/>
                  </w:tcBorders>
                  <w:shd w:val="clear" w:color="auto" w:fill="auto"/>
                  <w:vAlign w:val="bottom"/>
                  <w:hideMark/>
                </w:tcPr>
                <w:p w14:paraId="0256F490" w14:textId="77777777" w:rsidR="003C60AA" w:rsidRPr="003C60AA" w:rsidRDefault="003C60AA" w:rsidP="003C60AA">
                  <w:pPr>
                    <w:widowControl/>
                    <w:adjustRightInd/>
                    <w:jc w:val="center"/>
                    <w:rPr>
                      <w:sz w:val="20"/>
                      <w:szCs w:val="20"/>
                    </w:rPr>
                  </w:pPr>
                  <w:r w:rsidRPr="003C60AA">
                    <w:rPr>
                      <w:sz w:val="20"/>
                      <w:szCs w:val="20"/>
                    </w:rPr>
                    <w:t>32</w:t>
                  </w:r>
                </w:p>
              </w:tc>
              <w:tc>
                <w:tcPr>
                  <w:tcW w:w="1340" w:type="dxa"/>
                  <w:tcBorders>
                    <w:top w:val="nil"/>
                    <w:left w:val="nil"/>
                    <w:bottom w:val="single" w:sz="8" w:space="0" w:color="000000"/>
                    <w:right w:val="single" w:sz="8" w:space="0" w:color="000000"/>
                  </w:tcBorders>
                  <w:shd w:val="clear" w:color="auto" w:fill="auto"/>
                  <w:vAlign w:val="bottom"/>
                  <w:hideMark/>
                </w:tcPr>
                <w:p w14:paraId="5CF0E412" w14:textId="77777777" w:rsidR="003C60AA" w:rsidRPr="003C60AA" w:rsidRDefault="003C60AA" w:rsidP="003C60AA">
                  <w:pPr>
                    <w:widowControl/>
                    <w:adjustRightInd/>
                    <w:jc w:val="center"/>
                    <w:rPr>
                      <w:sz w:val="20"/>
                      <w:szCs w:val="20"/>
                    </w:rPr>
                  </w:pPr>
                  <w:r w:rsidRPr="003C60AA">
                    <w:rPr>
                      <w:sz w:val="20"/>
                      <w:szCs w:val="20"/>
                    </w:rPr>
                    <w:t>8</w:t>
                  </w:r>
                </w:p>
              </w:tc>
              <w:tc>
                <w:tcPr>
                  <w:tcW w:w="940" w:type="dxa"/>
                  <w:tcBorders>
                    <w:top w:val="nil"/>
                    <w:left w:val="nil"/>
                    <w:bottom w:val="single" w:sz="8" w:space="0" w:color="000000"/>
                    <w:right w:val="single" w:sz="8" w:space="0" w:color="000000"/>
                  </w:tcBorders>
                  <w:shd w:val="clear" w:color="auto" w:fill="auto"/>
                  <w:vAlign w:val="bottom"/>
                  <w:hideMark/>
                </w:tcPr>
                <w:p w14:paraId="206A6361" w14:textId="77777777" w:rsidR="003C60AA" w:rsidRPr="003C60AA" w:rsidRDefault="003C60AA" w:rsidP="003C60AA">
                  <w:pPr>
                    <w:widowControl/>
                    <w:adjustRightInd/>
                    <w:jc w:val="right"/>
                    <w:rPr>
                      <w:sz w:val="20"/>
                      <w:szCs w:val="20"/>
                    </w:rPr>
                  </w:pPr>
                  <w:r w:rsidRPr="003C60AA">
                    <w:rPr>
                      <w:sz w:val="20"/>
                      <w:szCs w:val="20"/>
                    </w:rPr>
                    <w:t xml:space="preserve">$3,382.88 </w:t>
                  </w:r>
                </w:p>
              </w:tc>
              <w:tc>
                <w:tcPr>
                  <w:tcW w:w="980" w:type="dxa"/>
                  <w:tcBorders>
                    <w:top w:val="nil"/>
                    <w:left w:val="nil"/>
                    <w:bottom w:val="single" w:sz="8" w:space="0" w:color="000000"/>
                    <w:right w:val="single" w:sz="8" w:space="0" w:color="000000"/>
                  </w:tcBorders>
                  <w:shd w:val="clear" w:color="auto" w:fill="auto"/>
                  <w:vAlign w:val="bottom"/>
                  <w:hideMark/>
                </w:tcPr>
                <w:p w14:paraId="2C734CBE" w14:textId="77777777" w:rsidR="003C60AA" w:rsidRPr="003C60AA" w:rsidRDefault="003C60AA" w:rsidP="003C60AA">
                  <w:pPr>
                    <w:widowControl/>
                    <w:adjustRightInd/>
                    <w:jc w:val="right"/>
                    <w:rPr>
                      <w:sz w:val="20"/>
                      <w:szCs w:val="20"/>
                    </w:rPr>
                  </w:pPr>
                  <w:r w:rsidRPr="003C60AA">
                    <w:rPr>
                      <w:sz w:val="20"/>
                      <w:szCs w:val="20"/>
                    </w:rPr>
                    <w:t>NA</w:t>
                  </w:r>
                </w:p>
              </w:tc>
              <w:tc>
                <w:tcPr>
                  <w:tcW w:w="1000" w:type="dxa"/>
                  <w:tcBorders>
                    <w:top w:val="nil"/>
                    <w:left w:val="nil"/>
                    <w:bottom w:val="single" w:sz="8" w:space="0" w:color="000000"/>
                    <w:right w:val="double" w:sz="6" w:space="0" w:color="000000"/>
                  </w:tcBorders>
                  <w:shd w:val="clear" w:color="auto" w:fill="auto"/>
                  <w:vAlign w:val="bottom"/>
                  <w:hideMark/>
                </w:tcPr>
                <w:p w14:paraId="5E53D9F5" w14:textId="77777777" w:rsidR="003C60AA" w:rsidRPr="003C60AA" w:rsidRDefault="003C60AA" w:rsidP="003C60AA">
                  <w:pPr>
                    <w:widowControl/>
                    <w:adjustRightInd/>
                    <w:jc w:val="right"/>
                    <w:rPr>
                      <w:sz w:val="20"/>
                      <w:szCs w:val="20"/>
                    </w:rPr>
                  </w:pPr>
                  <w:r w:rsidRPr="003C60AA">
                    <w:rPr>
                      <w:sz w:val="20"/>
                      <w:szCs w:val="20"/>
                    </w:rPr>
                    <w:t>NA</w:t>
                  </w:r>
                </w:p>
              </w:tc>
            </w:tr>
            <w:tr w:rsidR="003C60AA" w:rsidRPr="003C60AA" w14:paraId="1CA055F4" w14:textId="77777777" w:rsidTr="003C60AA">
              <w:trPr>
                <w:trHeight w:val="525"/>
              </w:trPr>
              <w:tc>
                <w:tcPr>
                  <w:tcW w:w="2520" w:type="dxa"/>
                  <w:tcBorders>
                    <w:top w:val="nil"/>
                    <w:left w:val="double" w:sz="6" w:space="0" w:color="000000"/>
                    <w:bottom w:val="single" w:sz="8" w:space="0" w:color="000000"/>
                    <w:right w:val="single" w:sz="8" w:space="0" w:color="000000"/>
                  </w:tcBorders>
                  <w:shd w:val="clear" w:color="auto" w:fill="auto"/>
                  <w:vAlign w:val="bottom"/>
                  <w:hideMark/>
                </w:tcPr>
                <w:p w14:paraId="3639D9E6" w14:textId="77777777" w:rsidR="003C60AA" w:rsidRPr="003C60AA" w:rsidRDefault="003C60AA" w:rsidP="003C60AA">
                  <w:pPr>
                    <w:widowControl/>
                    <w:adjustRightInd/>
                    <w:rPr>
                      <w:sz w:val="20"/>
                      <w:szCs w:val="20"/>
                    </w:rPr>
                  </w:pPr>
                  <w:r w:rsidRPr="003C60AA">
                    <w:rPr>
                      <w:sz w:val="20"/>
                      <w:szCs w:val="20"/>
                    </w:rPr>
                    <w:t>Preparing a Follow-up Written Report</w:t>
                  </w:r>
                </w:p>
              </w:tc>
              <w:tc>
                <w:tcPr>
                  <w:tcW w:w="1340" w:type="dxa"/>
                  <w:tcBorders>
                    <w:top w:val="nil"/>
                    <w:left w:val="nil"/>
                    <w:bottom w:val="single" w:sz="8" w:space="0" w:color="000000"/>
                    <w:right w:val="single" w:sz="8" w:space="0" w:color="000000"/>
                  </w:tcBorders>
                  <w:shd w:val="clear" w:color="auto" w:fill="auto"/>
                  <w:vAlign w:val="bottom"/>
                  <w:hideMark/>
                </w:tcPr>
                <w:p w14:paraId="64692558" w14:textId="77777777" w:rsidR="003C60AA" w:rsidRPr="003C60AA" w:rsidRDefault="003C60AA" w:rsidP="003C60AA">
                  <w:pPr>
                    <w:widowControl/>
                    <w:adjustRightInd/>
                    <w:jc w:val="center"/>
                    <w:rPr>
                      <w:sz w:val="20"/>
                      <w:szCs w:val="20"/>
                    </w:rPr>
                  </w:pPr>
                  <w:r w:rsidRPr="003C60AA">
                    <w:rPr>
                      <w:sz w:val="20"/>
                      <w:szCs w:val="20"/>
                    </w:rPr>
                    <w:t>24</w:t>
                  </w:r>
                </w:p>
              </w:tc>
              <w:tc>
                <w:tcPr>
                  <w:tcW w:w="1340" w:type="dxa"/>
                  <w:tcBorders>
                    <w:top w:val="nil"/>
                    <w:left w:val="nil"/>
                    <w:bottom w:val="single" w:sz="8" w:space="0" w:color="000000"/>
                    <w:right w:val="single" w:sz="8" w:space="0" w:color="000000"/>
                  </w:tcBorders>
                  <w:shd w:val="clear" w:color="auto" w:fill="auto"/>
                  <w:vAlign w:val="bottom"/>
                  <w:hideMark/>
                </w:tcPr>
                <w:p w14:paraId="30CA842D" w14:textId="77777777" w:rsidR="003C60AA" w:rsidRPr="003C60AA" w:rsidRDefault="003C60AA" w:rsidP="003C60AA">
                  <w:pPr>
                    <w:widowControl/>
                    <w:adjustRightInd/>
                    <w:jc w:val="center"/>
                    <w:rPr>
                      <w:sz w:val="20"/>
                      <w:szCs w:val="20"/>
                    </w:rPr>
                  </w:pPr>
                  <w:r w:rsidRPr="003C60AA">
                    <w:rPr>
                      <w:sz w:val="20"/>
                      <w:szCs w:val="20"/>
                    </w:rPr>
                    <w:t>8</w:t>
                  </w:r>
                </w:p>
              </w:tc>
              <w:tc>
                <w:tcPr>
                  <w:tcW w:w="1340" w:type="dxa"/>
                  <w:tcBorders>
                    <w:top w:val="nil"/>
                    <w:left w:val="nil"/>
                    <w:bottom w:val="single" w:sz="8" w:space="0" w:color="000000"/>
                    <w:right w:val="single" w:sz="8" w:space="0" w:color="000000"/>
                  </w:tcBorders>
                  <w:shd w:val="clear" w:color="auto" w:fill="auto"/>
                  <w:vAlign w:val="bottom"/>
                  <w:hideMark/>
                </w:tcPr>
                <w:p w14:paraId="643D78B4" w14:textId="77777777" w:rsidR="003C60AA" w:rsidRPr="003C60AA" w:rsidRDefault="003C60AA" w:rsidP="003C60AA">
                  <w:pPr>
                    <w:widowControl/>
                    <w:adjustRightInd/>
                    <w:jc w:val="center"/>
                    <w:rPr>
                      <w:sz w:val="20"/>
                      <w:szCs w:val="20"/>
                    </w:rPr>
                  </w:pPr>
                  <w:r w:rsidRPr="003C60AA">
                    <w:rPr>
                      <w:sz w:val="20"/>
                      <w:szCs w:val="20"/>
                    </w:rPr>
                    <w:t>8</w:t>
                  </w:r>
                </w:p>
              </w:tc>
              <w:tc>
                <w:tcPr>
                  <w:tcW w:w="940" w:type="dxa"/>
                  <w:tcBorders>
                    <w:top w:val="nil"/>
                    <w:left w:val="nil"/>
                    <w:bottom w:val="single" w:sz="8" w:space="0" w:color="000000"/>
                    <w:right w:val="single" w:sz="8" w:space="0" w:color="000000"/>
                  </w:tcBorders>
                  <w:shd w:val="clear" w:color="auto" w:fill="auto"/>
                  <w:vAlign w:val="bottom"/>
                  <w:hideMark/>
                </w:tcPr>
                <w:p w14:paraId="254C80BC" w14:textId="77777777" w:rsidR="003C60AA" w:rsidRPr="003C60AA" w:rsidRDefault="003C60AA" w:rsidP="003C60AA">
                  <w:pPr>
                    <w:widowControl/>
                    <w:adjustRightInd/>
                    <w:jc w:val="right"/>
                    <w:rPr>
                      <w:sz w:val="20"/>
                      <w:szCs w:val="20"/>
                    </w:rPr>
                  </w:pPr>
                  <w:r w:rsidRPr="003C60AA">
                    <w:rPr>
                      <w:sz w:val="20"/>
                      <w:szCs w:val="20"/>
                    </w:rPr>
                    <w:t>NA</w:t>
                  </w:r>
                </w:p>
              </w:tc>
              <w:tc>
                <w:tcPr>
                  <w:tcW w:w="980" w:type="dxa"/>
                  <w:tcBorders>
                    <w:top w:val="nil"/>
                    <w:left w:val="nil"/>
                    <w:bottom w:val="single" w:sz="8" w:space="0" w:color="000000"/>
                    <w:right w:val="single" w:sz="8" w:space="0" w:color="000000"/>
                  </w:tcBorders>
                  <w:shd w:val="clear" w:color="auto" w:fill="auto"/>
                  <w:vAlign w:val="bottom"/>
                  <w:hideMark/>
                </w:tcPr>
                <w:p w14:paraId="02F382FE" w14:textId="77777777" w:rsidR="003C60AA" w:rsidRPr="003C60AA" w:rsidRDefault="003C60AA" w:rsidP="003C60AA">
                  <w:pPr>
                    <w:widowControl/>
                    <w:adjustRightInd/>
                    <w:jc w:val="right"/>
                    <w:rPr>
                      <w:sz w:val="20"/>
                      <w:szCs w:val="20"/>
                    </w:rPr>
                  </w:pPr>
                  <w:r w:rsidRPr="003C60AA">
                    <w:rPr>
                      <w:sz w:val="20"/>
                      <w:szCs w:val="20"/>
                    </w:rPr>
                    <w:t xml:space="preserve">$2,173.28 </w:t>
                  </w:r>
                </w:p>
              </w:tc>
              <w:tc>
                <w:tcPr>
                  <w:tcW w:w="1000" w:type="dxa"/>
                  <w:tcBorders>
                    <w:top w:val="nil"/>
                    <w:left w:val="nil"/>
                    <w:bottom w:val="single" w:sz="8" w:space="0" w:color="000000"/>
                    <w:right w:val="double" w:sz="6" w:space="0" w:color="000000"/>
                  </w:tcBorders>
                  <w:shd w:val="clear" w:color="auto" w:fill="auto"/>
                  <w:vAlign w:val="bottom"/>
                  <w:hideMark/>
                </w:tcPr>
                <w:p w14:paraId="52F503D1" w14:textId="77777777" w:rsidR="003C60AA" w:rsidRPr="003C60AA" w:rsidRDefault="003C60AA" w:rsidP="003C60AA">
                  <w:pPr>
                    <w:widowControl/>
                    <w:adjustRightInd/>
                    <w:jc w:val="right"/>
                    <w:rPr>
                      <w:sz w:val="20"/>
                      <w:szCs w:val="20"/>
                    </w:rPr>
                  </w:pPr>
                  <w:r w:rsidRPr="003C60AA">
                    <w:rPr>
                      <w:sz w:val="20"/>
                      <w:szCs w:val="20"/>
                    </w:rPr>
                    <w:t>NA</w:t>
                  </w:r>
                </w:p>
              </w:tc>
            </w:tr>
            <w:tr w:rsidR="003C60AA" w:rsidRPr="003C60AA" w14:paraId="7A004D66" w14:textId="77777777" w:rsidTr="003C60AA">
              <w:trPr>
                <w:trHeight w:val="525"/>
              </w:trPr>
              <w:tc>
                <w:tcPr>
                  <w:tcW w:w="2520" w:type="dxa"/>
                  <w:tcBorders>
                    <w:top w:val="nil"/>
                    <w:left w:val="double" w:sz="6" w:space="0" w:color="000000"/>
                    <w:bottom w:val="single" w:sz="8" w:space="0" w:color="000000"/>
                    <w:right w:val="single" w:sz="8" w:space="0" w:color="000000"/>
                  </w:tcBorders>
                  <w:shd w:val="clear" w:color="auto" w:fill="auto"/>
                  <w:vAlign w:val="bottom"/>
                  <w:hideMark/>
                </w:tcPr>
                <w:p w14:paraId="4E0E20C5" w14:textId="77777777" w:rsidR="003C60AA" w:rsidRPr="003C60AA" w:rsidRDefault="003C60AA" w:rsidP="003C60AA">
                  <w:pPr>
                    <w:widowControl/>
                    <w:adjustRightInd/>
                    <w:rPr>
                      <w:sz w:val="20"/>
                      <w:szCs w:val="20"/>
                    </w:rPr>
                  </w:pPr>
                  <w:r w:rsidRPr="003C60AA">
                    <w:rPr>
                      <w:sz w:val="20"/>
                      <w:szCs w:val="20"/>
                    </w:rPr>
                    <w:t>Conducting an Annual Evaluation of a Release</w:t>
                  </w:r>
                </w:p>
              </w:tc>
              <w:tc>
                <w:tcPr>
                  <w:tcW w:w="1340" w:type="dxa"/>
                  <w:tcBorders>
                    <w:top w:val="nil"/>
                    <w:left w:val="nil"/>
                    <w:bottom w:val="single" w:sz="8" w:space="0" w:color="000000"/>
                    <w:right w:val="single" w:sz="8" w:space="0" w:color="000000"/>
                  </w:tcBorders>
                  <w:shd w:val="clear" w:color="auto" w:fill="auto"/>
                  <w:vAlign w:val="bottom"/>
                  <w:hideMark/>
                </w:tcPr>
                <w:p w14:paraId="0F0C0913" w14:textId="77777777" w:rsidR="003C60AA" w:rsidRPr="003C60AA" w:rsidRDefault="003C60AA" w:rsidP="003C60AA">
                  <w:pPr>
                    <w:widowControl/>
                    <w:adjustRightInd/>
                    <w:jc w:val="center"/>
                    <w:rPr>
                      <w:sz w:val="20"/>
                      <w:szCs w:val="20"/>
                    </w:rPr>
                  </w:pPr>
                  <w:r w:rsidRPr="003C60AA">
                    <w:rPr>
                      <w:sz w:val="20"/>
                      <w:szCs w:val="20"/>
                    </w:rPr>
                    <w:t>24</w:t>
                  </w:r>
                </w:p>
              </w:tc>
              <w:tc>
                <w:tcPr>
                  <w:tcW w:w="1340" w:type="dxa"/>
                  <w:tcBorders>
                    <w:top w:val="nil"/>
                    <w:left w:val="nil"/>
                    <w:bottom w:val="single" w:sz="8" w:space="0" w:color="000000"/>
                    <w:right w:val="single" w:sz="8" w:space="0" w:color="000000"/>
                  </w:tcBorders>
                  <w:shd w:val="clear" w:color="auto" w:fill="auto"/>
                  <w:vAlign w:val="bottom"/>
                  <w:hideMark/>
                </w:tcPr>
                <w:p w14:paraId="5BC4D9C5" w14:textId="77777777" w:rsidR="003C60AA" w:rsidRPr="003C60AA" w:rsidRDefault="003C60AA" w:rsidP="003C60AA">
                  <w:pPr>
                    <w:widowControl/>
                    <w:adjustRightInd/>
                    <w:jc w:val="center"/>
                    <w:rPr>
                      <w:sz w:val="20"/>
                      <w:szCs w:val="20"/>
                    </w:rPr>
                  </w:pPr>
                  <w:r w:rsidRPr="003C60AA">
                    <w:rPr>
                      <w:sz w:val="20"/>
                      <w:szCs w:val="20"/>
                    </w:rPr>
                    <w:t>8</w:t>
                  </w:r>
                </w:p>
              </w:tc>
              <w:tc>
                <w:tcPr>
                  <w:tcW w:w="1340" w:type="dxa"/>
                  <w:tcBorders>
                    <w:top w:val="nil"/>
                    <w:left w:val="nil"/>
                    <w:bottom w:val="single" w:sz="8" w:space="0" w:color="000000"/>
                    <w:right w:val="single" w:sz="8" w:space="0" w:color="000000"/>
                  </w:tcBorders>
                  <w:shd w:val="clear" w:color="auto" w:fill="auto"/>
                  <w:vAlign w:val="bottom"/>
                  <w:hideMark/>
                </w:tcPr>
                <w:p w14:paraId="29E3396D" w14:textId="77777777" w:rsidR="003C60AA" w:rsidRPr="003C60AA" w:rsidRDefault="003C60AA" w:rsidP="003C60AA">
                  <w:pPr>
                    <w:widowControl/>
                    <w:adjustRightInd/>
                    <w:jc w:val="center"/>
                    <w:rPr>
                      <w:sz w:val="20"/>
                      <w:szCs w:val="20"/>
                    </w:rPr>
                  </w:pPr>
                  <w:r w:rsidRPr="003C60AA">
                    <w:rPr>
                      <w:sz w:val="20"/>
                      <w:szCs w:val="20"/>
                    </w:rPr>
                    <w:t>8</w:t>
                  </w:r>
                </w:p>
              </w:tc>
              <w:tc>
                <w:tcPr>
                  <w:tcW w:w="940" w:type="dxa"/>
                  <w:tcBorders>
                    <w:top w:val="nil"/>
                    <w:left w:val="nil"/>
                    <w:bottom w:val="single" w:sz="8" w:space="0" w:color="000000"/>
                    <w:right w:val="single" w:sz="8" w:space="0" w:color="000000"/>
                  </w:tcBorders>
                  <w:shd w:val="clear" w:color="auto" w:fill="auto"/>
                  <w:vAlign w:val="bottom"/>
                  <w:hideMark/>
                </w:tcPr>
                <w:p w14:paraId="0D1EE2CB" w14:textId="77777777" w:rsidR="003C60AA" w:rsidRPr="003C60AA" w:rsidRDefault="003C60AA" w:rsidP="003C60AA">
                  <w:pPr>
                    <w:widowControl/>
                    <w:adjustRightInd/>
                    <w:jc w:val="right"/>
                    <w:rPr>
                      <w:sz w:val="20"/>
                      <w:szCs w:val="20"/>
                    </w:rPr>
                  </w:pPr>
                  <w:r w:rsidRPr="003C60AA">
                    <w:rPr>
                      <w:sz w:val="20"/>
                      <w:szCs w:val="20"/>
                    </w:rPr>
                    <w:t>NA</w:t>
                  </w:r>
                </w:p>
              </w:tc>
              <w:tc>
                <w:tcPr>
                  <w:tcW w:w="980" w:type="dxa"/>
                  <w:tcBorders>
                    <w:top w:val="nil"/>
                    <w:left w:val="nil"/>
                    <w:bottom w:val="single" w:sz="8" w:space="0" w:color="000000"/>
                    <w:right w:val="single" w:sz="8" w:space="0" w:color="000000"/>
                  </w:tcBorders>
                  <w:shd w:val="clear" w:color="auto" w:fill="auto"/>
                  <w:vAlign w:val="bottom"/>
                  <w:hideMark/>
                </w:tcPr>
                <w:p w14:paraId="74EF3134" w14:textId="77777777" w:rsidR="003C60AA" w:rsidRPr="003C60AA" w:rsidRDefault="003C60AA" w:rsidP="003C60AA">
                  <w:pPr>
                    <w:widowControl/>
                    <w:adjustRightInd/>
                    <w:jc w:val="right"/>
                    <w:rPr>
                      <w:sz w:val="20"/>
                      <w:szCs w:val="20"/>
                    </w:rPr>
                  </w:pPr>
                  <w:r w:rsidRPr="003C60AA">
                    <w:rPr>
                      <w:sz w:val="20"/>
                      <w:szCs w:val="20"/>
                    </w:rPr>
                    <w:t>NA</w:t>
                  </w:r>
                </w:p>
              </w:tc>
              <w:tc>
                <w:tcPr>
                  <w:tcW w:w="1000" w:type="dxa"/>
                  <w:tcBorders>
                    <w:top w:val="nil"/>
                    <w:left w:val="nil"/>
                    <w:bottom w:val="single" w:sz="8" w:space="0" w:color="000000"/>
                    <w:right w:val="double" w:sz="6" w:space="0" w:color="000000"/>
                  </w:tcBorders>
                  <w:shd w:val="clear" w:color="auto" w:fill="auto"/>
                  <w:vAlign w:val="bottom"/>
                  <w:hideMark/>
                </w:tcPr>
                <w:p w14:paraId="173F7F38" w14:textId="77777777" w:rsidR="003C60AA" w:rsidRPr="003C60AA" w:rsidRDefault="003C60AA" w:rsidP="003C60AA">
                  <w:pPr>
                    <w:widowControl/>
                    <w:adjustRightInd/>
                    <w:jc w:val="right"/>
                    <w:rPr>
                      <w:sz w:val="20"/>
                      <w:szCs w:val="20"/>
                    </w:rPr>
                  </w:pPr>
                  <w:r w:rsidRPr="003C60AA">
                    <w:rPr>
                      <w:sz w:val="20"/>
                      <w:szCs w:val="20"/>
                    </w:rPr>
                    <w:t xml:space="preserve">$2,173.28 </w:t>
                  </w:r>
                </w:p>
              </w:tc>
            </w:tr>
            <w:tr w:rsidR="003C60AA" w:rsidRPr="003C60AA" w14:paraId="19F9F40E" w14:textId="77777777" w:rsidTr="003C60AA">
              <w:trPr>
                <w:trHeight w:val="525"/>
              </w:trPr>
              <w:tc>
                <w:tcPr>
                  <w:tcW w:w="2520" w:type="dxa"/>
                  <w:tcBorders>
                    <w:top w:val="nil"/>
                    <w:left w:val="double" w:sz="6" w:space="0" w:color="000000"/>
                    <w:bottom w:val="single" w:sz="8" w:space="0" w:color="000000"/>
                    <w:right w:val="single" w:sz="8" w:space="0" w:color="000000"/>
                  </w:tcBorders>
                  <w:shd w:val="clear" w:color="auto" w:fill="auto"/>
                  <w:vAlign w:val="bottom"/>
                  <w:hideMark/>
                </w:tcPr>
                <w:p w14:paraId="78A63BE3" w14:textId="77777777" w:rsidR="003C60AA" w:rsidRPr="003C60AA" w:rsidRDefault="003C60AA" w:rsidP="003C60AA">
                  <w:pPr>
                    <w:widowControl/>
                    <w:adjustRightInd/>
                    <w:rPr>
                      <w:sz w:val="20"/>
                      <w:szCs w:val="20"/>
                    </w:rPr>
                  </w:pPr>
                  <w:r w:rsidRPr="003C60AA">
                    <w:rPr>
                      <w:sz w:val="20"/>
                      <w:szCs w:val="20"/>
                    </w:rPr>
                    <w:t>Reporting Other Changes in Information</w:t>
                  </w:r>
                </w:p>
              </w:tc>
              <w:tc>
                <w:tcPr>
                  <w:tcW w:w="1340" w:type="dxa"/>
                  <w:tcBorders>
                    <w:top w:val="nil"/>
                    <w:left w:val="nil"/>
                    <w:bottom w:val="single" w:sz="8" w:space="0" w:color="000000"/>
                    <w:right w:val="single" w:sz="8" w:space="0" w:color="000000"/>
                  </w:tcBorders>
                  <w:shd w:val="clear" w:color="auto" w:fill="auto"/>
                  <w:vAlign w:val="bottom"/>
                  <w:hideMark/>
                </w:tcPr>
                <w:p w14:paraId="1C545ACB" w14:textId="77777777" w:rsidR="003C60AA" w:rsidRPr="003C60AA" w:rsidRDefault="003C60AA" w:rsidP="003C60AA">
                  <w:pPr>
                    <w:widowControl/>
                    <w:adjustRightInd/>
                    <w:jc w:val="center"/>
                    <w:rPr>
                      <w:sz w:val="20"/>
                      <w:szCs w:val="20"/>
                    </w:rPr>
                  </w:pPr>
                  <w:r w:rsidRPr="003C60AA">
                    <w:rPr>
                      <w:sz w:val="20"/>
                      <w:szCs w:val="20"/>
                    </w:rPr>
                    <w:t>1</w:t>
                  </w:r>
                </w:p>
              </w:tc>
              <w:tc>
                <w:tcPr>
                  <w:tcW w:w="1340" w:type="dxa"/>
                  <w:tcBorders>
                    <w:top w:val="nil"/>
                    <w:left w:val="nil"/>
                    <w:bottom w:val="single" w:sz="8" w:space="0" w:color="000000"/>
                    <w:right w:val="single" w:sz="8" w:space="0" w:color="000000"/>
                  </w:tcBorders>
                  <w:shd w:val="clear" w:color="auto" w:fill="auto"/>
                  <w:vAlign w:val="bottom"/>
                  <w:hideMark/>
                </w:tcPr>
                <w:p w14:paraId="6B2BE3CD" w14:textId="77777777" w:rsidR="003C60AA" w:rsidRPr="003C60AA" w:rsidRDefault="003C60AA" w:rsidP="003C60AA">
                  <w:pPr>
                    <w:widowControl/>
                    <w:adjustRightInd/>
                    <w:jc w:val="center"/>
                    <w:rPr>
                      <w:sz w:val="20"/>
                      <w:szCs w:val="20"/>
                    </w:rPr>
                  </w:pPr>
                  <w:r w:rsidRPr="003C60AA">
                    <w:rPr>
                      <w:sz w:val="20"/>
                      <w:szCs w:val="20"/>
                    </w:rPr>
                    <w:t>1</w:t>
                  </w:r>
                </w:p>
              </w:tc>
              <w:tc>
                <w:tcPr>
                  <w:tcW w:w="1340" w:type="dxa"/>
                  <w:tcBorders>
                    <w:top w:val="nil"/>
                    <w:left w:val="nil"/>
                    <w:bottom w:val="single" w:sz="8" w:space="0" w:color="000000"/>
                    <w:right w:val="single" w:sz="8" w:space="0" w:color="000000"/>
                  </w:tcBorders>
                  <w:shd w:val="clear" w:color="auto" w:fill="auto"/>
                  <w:vAlign w:val="bottom"/>
                  <w:hideMark/>
                </w:tcPr>
                <w:p w14:paraId="0DCF294F" w14:textId="77777777" w:rsidR="003C60AA" w:rsidRPr="003C60AA" w:rsidRDefault="003C60AA" w:rsidP="003C60AA">
                  <w:pPr>
                    <w:widowControl/>
                    <w:adjustRightInd/>
                    <w:jc w:val="center"/>
                    <w:rPr>
                      <w:sz w:val="20"/>
                      <w:szCs w:val="20"/>
                    </w:rPr>
                  </w:pPr>
                  <w:r w:rsidRPr="003C60AA">
                    <w:rPr>
                      <w:sz w:val="20"/>
                      <w:szCs w:val="20"/>
                    </w:rPr>
                    <w:t>0.5</w:t>
                  </w:r>
                </w:p>
              </w:tc>
              <w:tc>
                <w:tcPr>
                  <w:tcW w:w="940" w:type="dxa"/>
                  <w:tcBorders>
                    <w:top w:val="nil"/>
                    <w:left w:val="nil"/>
                    <w:bottom w:val="single" w:sz="8" w:space="0" w:color="000000"/>
                    <w:right w:val="single" w:sz="8" w:space="0" w:color="000000"/>
                  </w:tcBorders>
                  <w:shd w:val="clear" w:color="auto" w:fill="auto"/>
                  <w:vAlign w:val="bottom"/>
                  <w:hideMark/>
                </w:tcPr>
                <w:p w14:paraId="5F707CA9" w14:textId="77777777" w:rsidR="003C60AA" w:rsidRPr="003C60AA" w:rsidRDefault="003C60AA" w:rsidP="003C60AA">
                  <w:pPr>
                    <w:widowControl/>
                    <w:adjustRightInd/>
                    <w:jc w:val="right"/>
                    <w:rPr>
                      <w:sz w:val="20"/>
                      <w:szCs w:val="20"/>
                    </w:rPr>
                  </w:pPr>
                  <w:r w:rsidRPr="003C60AA">
                    <w:rPr>
                      <w:sz w:val="20"/>
                      <w:szCs w:val="20"/>
                    </w:rPr>
                    <w:t>NA</w:t>
                  </w:r>
                </w:p>
              </w:tc>
              <w:tc>
                <w:tcPr>
                  <w:tcW w:w="980" w:type="dxa"/>
                  <w:tcBorders>
                    <w:top w:val="nil"/>
                    <w:left w:val="nil"/>
                    <w:bottom w:val="single" w:sz="8" w:space="0" w:color="000000"/>
                    <w:right w:val="single" w:sz="8" w:space="0" w:color="000000"/>
                  </w:tcBorders>
                  <w:shd w:val="clear" w:color="auto" w:fill="auto"/>
                  <w:vAlign w:val="bottom"/>
                  <w:hideMark/>
                </w:tcPr>
                <w:p w14:paraId="796B4BBD" w14:textId="77777777" w:rsidR="003C60AA" w:rsidRPr="003C60AA" w:rsidRDefault="003C60AA" w:rsidP="003C60AA">
                  <w:pPr>
                    <w:widowControl/>
                    <w:adjustRightInd/>
                    <w:jc w:val="right"/>
                    <w:rPr>
                      <w:sz w:val="20"/>
                      <w:szCs w:val="20"/>
                    </w:rPr>
                  </w:pPr>
                  <w:r w:rsidRPr="003C60AA">
                    <w:rPr>
                      <w:sz w:val="20"/>
                      <w:szCs w:val="20"/>
                    </w:rPr>
                    <w:t xml:space="preserve">$128.28 </w:t>
                  </w:r>
                </w:p>
              </w:tc>
              <w:tc>
                <w:tcPr>
                  <w:tcW w:w="1000" w:type="dxa"/>
                  <w:tcBorders>
                    <w:top w:val="nil"/>
                    <w:left w:val="nil"/>
                    <w:bottom w:val="single" w:sz="8" w:space="0" w:color="000000"/>
                    <w:right w:val="double" w:sz="6" w:space="0" w:color="000000"/>
                  </w:tcBorders>
                  <w:shd w:val="clear" w:color="auto" w:fill="auto"/>
                  <w:vAlign w:val="bottom"/>
                  <w:hideMark/>
                </w:tcPr>
                <w:p w14:paraId="24458487" w14:textId="77777777" w:rsidR="003C60AA" w:rsidRPr="003C60AA" w:rsidRDefault="003C60AA" w:rsidP="003C60AA">
                  <w:pPr>
                    <w:widowControl/>
                    <w:adjustRightInd/>
                    <w:jc w:val="right"/>
                    <w:rPr>
                      <w:sz w:val="20"/>
                      <w:szCs w:val="20"/>
                    </w:rPr>
                  </w:pPr>
                  <w:r w:rsidRPr="003C60AA">
                    <w:rPr>
                      <w:sz w:val="20"/>
                      <w:szCs w:val="20"/>
                    </w:rPr>
                    <w:t xml:space="preserve">$128.28 </w:t>
                  </w:r>
                </w:p>
              </w:tc>
            </w:tr>
            <w:tr w:rsidR="003C60AA" w:rsidRPr="003C60AA" w14:paraId="3B797EC3" w14:textId="77777777" w:rsidTr="003C60AA">
              <w:trPr>
                <w:trHeight w:val="270"/>
              </w:trPr>
              <w:tc>
                <w:tcPr>
                  <w:tcW w:w="2520" w:type="dxa"/>
                  <w:tcBorders>
                    <w:top w:val="nil"/>
                    <w:left w:val="double" w:sz="6" w:space="0" w:color="000000"/>
                    <w:bottom w:val="single" w:sz="8" w:space="0" w:color="000000"/>
                    <w:right w:val="single" w:sz="8" w:space="0" w:color="000000"/>
                  </w:tcBorders>
                  <w:shd w:val="clear" w:color="auto" w:fill="auto"/>
                  <w:vAlign w:val="bottom"/>
                  <w:hideMark/>
                </w:tcPr>
                <w:p w14:paraId="25147BBA" w14:textId="77777777" w:rsidR="003C60AA" w:rsidRPr="003C60AA" w:rsidRDefault="003C60AA" w:rsidP="003C60AA">
                  <w:pPr>
                    <w:widowControl/>
                    <w:adjustRightInd/>
                    <w:rPr>
                      <w:sz w:val="20"/>
                      <w:szCs w:val="20"/>
                    </w:rPr>
                  </w:pPr>
                  <w:r w:rsidRPr="003C60AA">
                    <w:rPr>
                      <w:sz w:val="20"/>
                      <w:szCs w:val="20"/>
                    </w:rPr>
                    <w:t>Record keeping</w:t>
                  </w:r>
                </w:p>
              </w:tc>
              <w:tc>
                <w:tcPr>
                  <w:tcW w:w="1340" w:type="dxa"/>
                  <w:tcBorders>
                    <w:top w:val="nil"/>
                    <w:left w:val="nil"/>
                    <w:bottom w:val="single" w:sz="8" w:space="0" w:color="000000"/>
                    <w:right w:val="single" w:sz="8" w:space="0" w:color="000000"/>
                  </w:tcBorders>
                  <w:shd w:val="clear" w:color="auto" w:fill="auto"/>
                  <w:vAlign w:val="bottom"/>
                  <w:hideMark/>
                </w:tcPr>
                <w:p w14:paraId="1DDB62B8" w14:textId="77777777" w:rsidR="003C60AA" w:rsidRPr="003C60AA" w:rsidRDefault="003C60AA" w:rsidP="003C60AA">
                  <w:pPr>
                    <w:widowControl/>
                    <w:adjustRightInd/>
                    <w:jc w:val="center"/>
                    <w:rPr>
                      <w:sz w:val="20"/>
                      <w:szCs w:val="20"/>
                    </w:rPr>
                  </w:pPr>
                  <w:r w:rsidRPr="003C60AA">
                    <w:rPr>
                      <w:sz w:val="20"/>
                      <w:szCs w:val="20"/>
                    </w:rPr>
                    <w:t>0</w:t>
                  </w:r>
                </w:p>
              </w:tc>
              <w:tc>
                <w:tcPr>
                  <w:tcW w:w="1340" w:type="dxa"/>
                  <w:tcBorders>
                    <w:top w:val="nil"/>
                    <w:left w:val="nil"/>
                    <w:bottom w:val="single" w:sz="8" w:space="0" w:color="000000"/>
                    <w:right w:val="single" w:sz="8" w:space="0" w:color="000000"/>
                  </w:tcBorders>
                  <w:shd w:val="clear" w:color="auto" w:fill="auto"/>
                  <w:vAlign w:val="bottom"/>
                  <w:hideMark/>
                </w:tcPr>
                <w:p w14:paraId="0466DFA6" w14:textId="77777777" w:rsidR="003C60AA" w:rsidRPr="003C60AA" w:rsidRDefault="003C60AA" w:rsidP="003C60AA">
                  <w:pPr>
                    <w:widowControl/>
                    <w:adjustRightInd/>
                    <w:jc w:val="center"/>
                    <w:rPr>
                      <w:sz w:val="20"/>
                      <w:szCs w:val="20"/>
                    </w:rPr>
                  </w:pPr>
                  <w:r w:rsidRPr="003C60AA">
                    <w:rPr>
                      <w:sz w:val="20"/>
                      <w:szCs w:val="20"/>
                    </w:rPr>
                    <w:t>32</w:t>
                  </w:r>
                </w:p>
              </w:tc>
              <w:tc>
                <w:tcPr>
                  <w:tcW w:w="1340" w:type="dxa"/>
                  <w:tcBorders>
                    <w:top w:val="nil"/>
                    <w:left w:val="nil"/>
                    <w:bottom w:val="single" w:sz="8" w:space="0" w:color="000000"/>
                    <w:right w:val="single" w:sz="8" w:space="0" w:color="000000"/>
                  </w:tcBorders>
                  <w:shd w:val="clear" w:color="auto" w:fill="auto"/>
                  <w:vAlign w:val="bottom"/>
                  <w:hideMark/>
                </w:tcPr>
                <w:p w14:paraId="799E9C9F" w14:textId="77777777" w:rsidR="003C60AA" w:rsidRPr="003C60AA" w:rsidRDefault="003C60AA" w:rsidP="003C60AA">
                  <w:pPr>
                    <w:widowControl/>
                    <w:adjustRightInd/>
                    <w:jc w:val="center"/>
                    <w:rPr>
                      <w:sz w:val="20"/>
                      <w:szCs w:val="20"/>
                    </w:rPr>
                  </w:pPr>
                  <w:r w:rsidRPr="003C60AA">
                    <w:rPr>
                      <w:sz w:val="20"/>
                      <w:szCs w:val="20"/>
                    </w:rPr>
                    <w:t>0</w:t>
                  </w:r>
                </w:p>
              </w:tc>
              <w:tc>
                <w:tcPr>
                  <w:tcW w:w="940" w:type="dxa"/>
                  <w:tcBorders>
                    <w:top w:val="nil"/>
                    <w:left w:val="nil"/>
                    <w:bottom w:val="single" w:sz="8" w:space="0" w:color="000000"/>
                    <w:right w:val="single" w:sz="8" w:space="0" w:color="000000"/>
                  </w:tcBorders>
                  <w:shd w:val="clear" w:color="auto" w:fill="auto"/>
                  <w:vAlign w:val="bottom"/>
                  <w:hideMark/>
                </w:tcPr>
                <w:p w14:paraId="54EB7E3D" w14:textId="77777777" w:rsidR="003C60AA" w:rsidRPr="003C60AA" w:rsidRDefault="003C60AA" w:rsidP="003C60AA">
                  <w:pPr>
                    <w:widowControl/>
                    <w:adjustRightInd/>
                    <w:jc w:val="right"/>
                    <w:rPr>
                      <w:sz w:val="20"/>
                      <w:szCs w:val="20"/>
                    </w:rPr>
                  </w:pPr>
                  <w:r w:rsidRPr="003C60AA">
                    <w:rPr>
                      <w:sz w:val="20"/>
                      <w:szCs w:val="20"/>
                    </w:rPr>
                    <w:t xml:space="preserve">$1,612.80 </w:t>
                  </w:r>
                </w:p>
              </w:tc>
              <w:tc>
                <w:tcPr>
                  <w:tcW w:w="980" w:type="dxa"/>
                  <w:tcBorders>
                    <w:top w:val="nil"/>
                    <w:left w:val="nil"/>
                    <w:bottom w:val="single" w:sz="8" w:space="0" w:color="000000"/>
                    <w:right w:val="single" w:sz="8" w:space="0" w:color="000000"/>
                  </w:tcBorders>
                  <w:shd w:val="clear" w:color="auto" w:fill="auto"/>
                  <w:vAlign w:val="bottom"/>
                  <w:hideMark/>
                </w:tcPr>
                <w:p w14:paraId="6956DB60" w14:textId="77777777" w:rsidR="003C60AA" w:rsidRPr="003C60AA" w:rsidRDefault="003C60AA" w:rsidP="003C60AA">
                  <w:pPr>
                    <w:widowControl/>
                    <w:adjustRightInd/>
                    <w:jc w:val="right"/>
                    <w:rPr>
                      <w:sz w:val="20"/>
                      <w:szCs w:val="20"/>
                    </w:rPr>
                  </w:pPr>
                  <w:r w:rsidRPr="003C60AA">
                    <w:rPr>
                      <w:sz w:val="20"/>
                      <w:szCs w:val="20"/>
                    </w:rPr>
                    <w:t xml:space="preserve">$1,612.80 </w:t>
                  </w:r>
                </w:p>
              </w:tc>
              <w:tc>
                <w:tcPr>
                  <w:tcW w:w="1000" w:type="dxa"/>
                  <w:tcBorders>
                    <w:top w:val="nil"/>
                    <w:left w:val="nil"/>
                    <w:bottom w:val="single" w:sz="8" w:space="0" w:color="000000"/>
                    <w:right w:val="double" w:sz="6" w:space="0" w:color="000000"/>
                  </w:tcBorders>
                  <w:shd w:val="clear" w:color="auto" w:fill="auto"/>
                  <w:vAlign w:val="bottom"/>
                  <w:hideMark/>
                </w:tcPr>
                <w:p w14:paraId="442ADD52" w14:textId="77777777" w:rsidR="003C60AA" w:rsidRPr="003C60AA" w:rsidRDefault="003C60AA" w:rsidP="003C60AA">
                  <w:pPr>
                    <w:widowControl/>
                    <w:adjustRightInd/>
                    <w:jc w:val="right"/>
                    <w:rPr>
                      <w:sz w:val="20"/>
                      <w:szCs w:val="20"/>
                    </w:rPr>
                  </w:pPr>
                  <w:r w:rsidRPr="003C60AA">
                    <w:rPr>
                      <w:sz w:val="20"/>
                      <w:szCs w:val="20"/>
                    </w:rPr>
                    <w:t xml:space="preserve">$1,612.80 </w:t>
                  </w:r>
                </w:p>
              </w:tc>
            </w:tr>
            <w:tr w:rsidR="003C60AA" w:rsidRPr="003C60AA" w14:paraId="13DA28C1" w14:textId="77777777" w:rsidTr="003C60AA">
              <w:trPr>
                <w:trHeight w:val="600"/>
              </w:trPr>
              <w:tc>
                <w:tcPr>
                  <w:tcW w:w="2520" w:type="dxa"/>
                  <w:tcBorders>
                    <w:top w:val="nil"/>
                    <w:left w:val="double" w:sz="6" w:space="0" w:color="000000"/>
                    <w:bottom w:val="double" w:sz="6" w:space="0" w:color="000000"/>
                    <w:right w:val="single" w:sz="8" w:space="0" w:color="000000"/>
                  </w:tcBorders>
                  <w:shd w:val="clear" w:color="auto" w:fill="auto"/>
                  <w:vAlign w:val="bottom"/>
                  <w:hideMark/>
                </w:tcPr>
                <w:p w14:paraId="3F00CEDD" w14:textId="77777777" w:rsidR="003C60AA" w:rsidRPr="003C60AA" w:rsidRDefault="003C60AA" w:rsidP="003C60AA">
                  <w:pPr>
                    <w:widowControl/>
                    <w:adjustRightInd/>
                    <w:rPr>
                      <w:b/>
                      <w:bCs/>
                      <w:sz w:val="20"/>
                      <w:szCs w:val="20"/>
                    </w:rPr>
                  </w:pPr>
                  <w:r w:rsidRPr="003C60AA">
                    <w:rPr>
                      <w:b/>
                      <w:bCs/>
                      <w:sz w:val="20"/>
                      <w:szCs w:val="20"/>
                    </w:rPr>
                    <w:lastRenderedPageBreak/>
                    <w:t>Total Labor Costs for a Typical Facility</w:t>
                  </w:r>
                </w:p>
              </w:tc>
              <w:tc>
                <w:tcPr>
                  <w:tcW w:w="1340" w:type="dxa"/>
                  <w:tcBorders>
                    <w:top w:val="nil"/>
                    <w:left w:val="nil"/>
                    <w:bottom w:val="double" w:sz="6" w:space="0" w:color="000000"/>
                    <w:right w:val="nil"/>
                  </w:tcBorders>
                  <w:shd w:val="clear" w:color="auto" w:fill="auto"/>
                  <w:vAlign w:val="bottom"/>
                  <w:hideMark/>
                </w:tcPr>
                <w:p w14:paraId="1D0CCDD4" w14:textId="77777777" w:rsidR="003C60AA" w:rsidRPr="003C60AA" w:rsidRDefault="003C60AA" w:rsidP="003C60AA">
                  <w:pPr>
                    <w:widowControl/>
                    <w:adjustRightInd/>
                    <w:rPr>
                      <w:b/>
                      <w:bCs/>
                      <w:sz w:val="20"/>
                      <w:szCs w:val="20"/>
                    </w:rPr>
                  </w:pPr>
                  <w:r w:rsidRPr="003C60AA">
                    <w:rPr>
                      <w:b/>
                      <w:bCs/>
                      <w:sz w:val="20"/>
                      <w:szCs w:val="20"/>
                    </w:rPr>
                    <w:t> </w:t>
                  </w:r>
                </w:p>
              </w:tc>
              <w:tc>
                <w:tcPr>
                  <w:tcW w:w="1340" w:type="dxa"/>
                  <w:tcBorders>
                    <w:top w:val="nil"/>
                    <w:left w:val="nil"/>
                    <w:bottom w:val="double" w:sz="6" w:space="0" w:color="000000"/>
                    <w:right w:val="nil"/>
                  </w:tcBorders>
                  <w:shd w:val="clear" w:color="auto" w:fill="auto"/>
                  <w:vAlign w:val="bottom"/>
                  <w:hideMark/>
                </w:tcPr>
                <w:p w14:paraId="0F40F3D1" w14:textId="77777777" w:rsidR="003C60AA" w:rsidRPr="003C60AA" w:rsidRDefault="003C60AA" w:rsidP="003C60AA">
                  <w:pPr>
                    <w:widowControl/>
                    <w:adjustRightInd/>
                    <w:rPr>
                      <w:b/>
                      <w:bCs/>
                      <w:sz w:val="20"/>
                      <w:szCs w:val="20"/>
                    </w:rPr>
                  </w:pPr>
                  <w:r w:rsidRPr="003C60AA">
                    <w:rPr>
                      <w:b/>
                      <w:bCs/>
                      <w:sz w:val="20"/>
                      <w:szCs w:val="20"/>
                    </w:rPr>
                    <w:t> </w:t>
                  </w:r>
                </w:p>
              </w:tc>
              <w:tc>
                <w:tcPr>
                  <w:tcW w:w="1340" w:type="dxa"/>
                  <w:tcBorders>
                    <w:top w:val="nil"/>
                    <w:left w:val="nil"/>
                    <w:bottom w:val="double" w:sz="6" w:space="0" w:color="000000"/>
                    <w:right w:val="single" w:sz="8" w:space="0" w:color="000000"/>
                  </w:tcBorders>
                  <w:shd w:val="clear" w:color="auto" w:fill="auto"/>
                  <w:vAlign w:val="bottom"/>
                  <w:hideMark/>
                </w:tcPr>
                <w:p w14:paraId="49D65C70" w14:textId="77777777" w:rsidR="003C60AA" w:rsidRPr="003C60AA" w:rsidRDefault="003C60AA" w:rsidP="003C60AA">
                  <w:pPr>
                    <w:widowControl/>
                    <w:adjustRightInd/>
                    <w:rPr>
                      <w:b/>
                      <w:bCs/>
                      <w:sz w:val="20"/>
                      <w:szCs w:val="20"/>
                    </w:rPr>
                  </w:pPr>
                  <w:r w:rsidRPr="003C60AA">
                    <w:rPr>
                      <w:b/>
                      <w:bCs/>
                      <w:sz w:val="20"/>
                      <w:szCs w:val="20"/>
                    </w:rPr>
                    <w:t> </w:t>
                  </w:r>
                </w:p>
              </w:tc>
              <w:tc>
                <w:tcPr>
                  <w:tcW w:w="940" w:type="dxa"/>
                  <w:tcBorders>
                    <w:top w:val="nil"/>
                    <w:left w:val="nil"/>
                    <w:bottom w:val="double" w:sz="6" w:space="0" w:color="000000"/>
                    <w:right w:val="single" w:sz="8" w:space="0" w:color="000000"/>
                  </w:tcBorders>
                  <w:shd w:val="clear" w:color="auto" w:fill="auto"/>
                  <w:vAlign w:val="bottom"/>
                  <w:hideMark/>
                </w:tcPr>
                <w:p w14:paraId="3FA5016A" w14:textId="77777777" w:rsidR="003C60AA" w:rsidRPr="003C60AA" w:rsidRDefault="003C60AA" w:rsidP="003C60AA">
                  <w:pPr>
                    <w:widowControl/>
                    <w:adjustRightInd/>
                    <w:jc w:val="right"/>
                    <w:rPr>
                      <w:b/>
                      <w:bCs/>
                      <w:sz w:val="20"/>
                      <w:szCs w:val="20"/>
                    </w:rPr>
                  </w:pPr>
                  <w:r w:rsidRPr="003C60AA">
                    <w:rPr>
                      <w:b/>
                      <w:bCs/>
                      <w:sz w:val="20"/>
                      <w:szCs w:val="20"/>
                    </w:rPr>
                    <w:t xml:space="preserve">$6,326.08 </w:t>
                  </w:r>
                </w:p>
              </w:tc>
              <w:tc>
                <w:tcPr>
                  <w:tcW w:w="980" w:type="dxa"/>
                  <w:tcBorders>
                    <w:top w:val="nil"/>
                    <w:left w:val="nil"/>
                    <w:bottom w:val="double" w:sz="6" w:space="0" w:color="000000"/>
                    <w:right w:val="single" w:sz="8" w:space="0" w:color="000000"/>
                  </w:tcBorders>
                  <w:shd w:val="clear" w:color="auto" w:fill="auto"/>
                  <w:vAlign w:val="bottom"/>
                  <w:hideMark/>
                </w:tcPr>
                <w:p w14:paraId="38341959" w14:textId="77777777" w:rsidR="003C60AA" w:rsidRPr="003C60AA" w:rsidRDefault="003C60AA" w:rsidP="003C60AA">
                  <w:pPr>
                    <w:widowControl/>
                    <w:adjustRightInd/>
                    <w:jc w:val="right"/>
                    <w:rPr>
                      <w:b/>
                      <w:bCs/>
                      <w:sz w:val="20"/>
                      <w:szCs w:val="20"/>
                    </w:rPr>
                  </w:pPr>
                  <w:r w:rsidRPr="003C60AA">
                    <w:rPr>
                      <w:b/>
                      <w:bCs/>
                      <w:sz w:val="20"/>
                      <w:szCs w:val="20"/>
                    </w:rPr>
                    <w:t xml:space="preserve">$3,914.36 </w:t>
                  </w:r>
                </w:p>
              </w:tc>
              <w:tc>
                <w:tcPr>
                  <w:tcW w:w="1000" w:type="dxa"/>
                  <w:tcBorders>
                    <w:top w:val="nil"/>
                    <w:left w:val="nil"/>
                    <w:bottom w:val="double" w:sz="6" w:space="0" w:color="000000"/>
                    <w:right w:val="double" w:sz="6" w:space="0" w:color="000000"/>
                  </w:tcBorders>
                  <w:shd w:val="clear" w:color="auto" w:fill="auto"/>
                  <w:vAlign w:val="bottom"/>
                  <w:hideMark/>
                </w:tcPr>
                <w:p w14:paraId="41BD3D01" w14:textId="77777777" w:rsidR="003C60AA" w:rsidRPr="003C60AA" w:rsidRDefault="003C60AA" w:rsidP="003C60AA">
                  <w:pPr>
                    <w:widowControl/>
                    <w:adjustRightInd/>
                    <w:jc w:val="right"/>
                    <w:rPr>
                      <w:b/>
                      <w:bCs/>
                      <w:sz w:val="20"/>
                      <w:szCs w:val="20"/>
                    </w:rPr>
                  </w:pPr>
                  <w:r w:rsidRPr="003C60AA">
                    <w:rPr>
                      <w:b/>
                      <w:bCs/>
                      <w:sz w:val="20"/>
                      <w:szCs w:val="20"/>
                    </w:rPr>
                    <w:t xml:space="preserve">$3,914.36 </w:t>
                  </w:r>
                </w:p>
              </w:tc>
            </w:tr>
          </w:tbl>
          <w:p w14:paraId="47E62AB1" w14:textId="77777777" w:rsidR="00E34A8F" w:rsidRPr="00E34A8F" w:rsidRDefault="00E34A8F" w:rsidP="00E34A8F">
            <w:pPr>
              <w:widowControl/>
              <w:adjustRightInd/>
              <w:rPr>
                <w:sz w:val="20"/>
                <w:szCs w:val="20"/>
              </w:rPr>
            </w:pPr>
            <w:r w:rsidRPr="00E34A8F">
              <w:rPr>
                <w:sz w:val="20"/>
                <w:szCs w:val="20"/>
              </w:rPr>
              <w:t xml:space="preserve"> A “typical” respondent is assumed to report </w:t>
            </w:r>
            <w:r w:rsidRPr="00E34A8F">
              <w:rPr>
                <w:b/>
                <w:bCs/>
                <w:sz w:val="20"/>
                <w:szCs w:val="20"/>
              </w:rPr>
              <w:t>eight</w:t>
            </w:r>
            <w:r w:rsidRPr="00E34A8F">
              <w:rPr>
                <w:sz w:val="20"/>
                <w:szCs w:val="20"/>
              </w:rPr>
              <w:t xml:space="preserve"> continuous hazardous substance releases in year one and to experience a change in </w:t>
            </w:r>
            <w:r w:rsidRPr="00E34A8F">
              <w:rPr>
                <w:b/>
                <w:bCs/>
                <w:sz w:val="20"/>
                <w:szCs w:val="20"/>
              </w:rPr>
              <w:t>one release in the second and third years</w:t>
            </w:r>
            <w:r w:rsidRPr="00E34A8F">
              <w:rPr>
                <w:sz w:val="20"/>
                <w:szCs w:val="20"/>
              </w:rPr>
              <w:t xml:space="preserve"> (e.g., the frequency of the release per week changes each year, causing a modification in the estimated annual release amount).  No other </w:t>
            </w:r>
            <w:r w:rsidRPr="00E34A8F">
              <w:rPr>
                <w:sz w:val="20"/>
                <w:szCs w:val="20"/>
                <w:u w:val="single"/>
              </w:rPr>
              <w:t>conditional</w:t>
            </w:r>
            <w:r w:rsidRPr="00E34A8F">
              <w:rPr>
                <w:sz w:val="20"/>
                <w:szCs w:val="20"/>
              </w:rPr>
              <w:t xml:space="preserve"> activities are assumed to be required of the typical respondent.</w:t>
            </w:r>
          </w:p>
        </w:tc>
      </w:tr>
    </w:tbl>
    <w:p w14:paraId="09F6D29F" w14:textId="77777777" w:rsidR="00513A4B" w:rsidRDefault="00513A4B" w:rsidP="00513A4B">
      <w:pPr>
        <w:keepNext/>
        <w:keepLines/>
        <w:rPr>
          <w:bCs/>
          <w:sz w:val="20"/>
          <w:szCs w:val="20"/>
        </w:rPr>
      </w:pPr>
      <w:r>
        <w:rPr>
          <w:bCs/>
          <w:sz w:val="20"/>
          <w:szCs w:val="20"/>
        </w:rPr>
        <w:lastRenderedPageBreak/>
        <w:t>N/A = Not Applicable</w:t>
      </w:r>
    </w:p>
    <w:p w14:paraId="5CFACFAA" w14:textId="77777777" w:rsidR="00513A4B" w:rsidRPr="00513A4B" w:rsidRDefault="00513A4B" w:rsidP="00513A4B">
      <w:pPr>
        <w:keepNext/>
        <w:keepLines/>
        <w:rPr>
          <w:bCs/>
          <w:sz w:val="20"/>
          <w:szCs w:val="20"/>
        </w:rPr>
      </w:pPr>
    </w:p>
    <w:p w14:paraId="1CFD858D" w14:textId="77777777" w:rsidR="00513A4B" w:rsidRPr="00613D9D" w:rsidRDefault="00513A4B" w:rsidP="00513A4B">
      <w:pPr>
        <w:ind w:firstLine="720"/>
        <w:rPr>
          <w:color w:val="008000"/>
        </w:rPr>
      </w:pPr>
      <w:r w:rsidRPr="00613D9D">
        <w:rPr>
          <w:color w:val="008000"/>
        </w:rPr>
        <w:t>Exhibit 4 (With Forms) presents the annual labor cost estimated to be incurred by a typical facility using the continuous release reporting forms (The reporting pattern assumed for a typical facility is discussed in Section 6(a) above.)</w:t>
      </w:r>
    </w:p>
    <w:p w14:paraId="44F92F11" w14:textId="77777777" w:rsidR="00B41B73" w:rsidRPr="00613D9D" w:rsidRDefault="00B41B73" w:rsidP="00513A4B">
      <w:pPr>
        <w:ind w:firstLine="720"/>
        <w:rPr>
          <w:color w:val="008000"/>
        </w:rPr>
      </w:pPr>
    </w:p>
    <w:p w14:paraId="268F6589" w14:textId="77777777" w:rsidR="00B41B73" w:rsidRPr="00613D9D" w:rsidRDefault="00B41B73" w:rsidP="00B41B73">
      <w:pPr>
        <w:keepNext/>
        <w:jc w:val="center"/>
        <w:outlineLvl w:val="4"/>
        <w:rPr>
          <w:b/>
          <w:color w:val="008000"/>
        </w:rPr>
      </w:pPr>
      <w:bookmarkStart w:id="60" w:name="_Toc302552507"/>
      <w:r w:rsidRPr="00613D9D">
        <w:rPr>
          <w:b/>
          <w:color w:val="008000"/>
        </w:rPr>
        <w:t>Exhibit 4 (With Forms) – Annual Labor Costs for a Typical Facility</w:t>
      </w:r>
      <w:bookmarkEnd w:id="60"/>
    </w:p>
    <w:tbl>
      <w:tblPr>
        <w:tblW w:w="9460" w:type="dxa"/>
        <w:tblInd w:w="85" w:type="dxa"/>
        <w:tblLook w:val="04A0" w:firstRow="1" w:lastRow="0" w:firstColumn="1" w:lastColumn="0" w:noHBand="0" w:noVBand="1"/>
      </w:tblPr>
      <w:tblGrid>
        <w:gridCol w:w="9635"/>
      </w:tblGrid>
      <w:tr w:rsidR="00E34A8F" w:rsidRPr="00E34A8F" w14:paraId="4992B647" w14:textId="77777777" w:rsidTr="00E34A8F">
        <w:trPr>
          <w:trHeight w:val="1020"/>
        </w:trPr>
        <w:tc>
          <w:tcPr>
            <w:tcW w:w="9460" w:type="dxa"/>
            <w:tcBorders>
              <w:top w:val="double" w:sz="6" w:space="0" w:color="000000"/>
              <w:left w:val="nil"/>
              <w:bottom w:val="nil"/>
              <w:right w:val="nil"/>
            </w:tcBorders>
            <w:shd w:val="clear" w:color="auto" w:fill="auto"/>
            <w:vAlign w:val="center"/>
            <w:hideMark/>
          </w:tcPr>
          <w:tbl>
            <w:tblPr>
              <w:tblW w:w="9460" w:type="dxa"/>
              <w:tblLook w:val="04A0" w:firstRow="1" w:lastRow="0" w:firstColumn="1" w:lastColumn="0" w:noHBand="0" w:noVBand="1"/>
            </w:tblPr>
            <w:tblGrid>
              <w:gridCol w:w="2307"/>
              <w:gridCol w:w="1461"/>
              <w:gridCol w:w="1334"/>
              <w:gridCol w:w="1310"/>
              <w:gridCol w:w="1016"/>
              <w:gridCol w:w="1016"/>
              <w:gridCol w:w="1016"/>
            </w:tblGrid>
            <w:tr w:rsidR="0046130C" w:rsidRPr="0046130C" w14:paraId="16CDBC6A" w14:textId="77777777" w:rsidTr="0046130C">
              <w:trPr>
                <w:trHeight w:val="285"/>
              </w:trPr>
              <w:tc>
                <w:tcPr>
                  <w:tcW w:w="2520" w:type="dxa"/>
                  <w:vMerge w:val="restart"/>
                  <w:tcBorders>
                    <w:top w:val="double" w:sz="6" w:space="0" w:color="000000"/>
                    <w:left w:val="double" w:sz="6" w:space="0" w:color="000000"/>
                    <w:bottom w:val="single" w:sz="8" w:space="0" w:color="000000"/>
                    <w:right w:val="single" w:sz="8" w:space="0" w:color="000000"/>
                  </w:tcBorders>
                  <w:shd w:val="clear" w:color="auto" w:fill="auto"/>
                  <w:vAlign w:val="bottom"/>
                  <w:hideMark/>
                </w:tcPr>
                <w:p w14:paraId="726C6D60" w14:textId="77777777" w:rsidR="0046130C" w:rsidRPr="0046130C" w:rsidRDefault="0046130C" w:rsidP="0046130C">
                  <w:pPr>
                    <w:widowControl/>
                    <w:adjustRightInd/>
                    <w:jc w:val="center"/>
                    <w:rPr>
                      <w:b/>
                      <w:bCs/>
                      <w:sz w:val="20"/>
                      <w:szCs w:val="20"/>
                    </w:rPr>
                  </w:pPr>
                  <w:r w:rsidRPr="0046130C">
                    <w:rPr>
                      <w:b/>
                      <w:bCs/>
                      <w:sz w:val="20"/>
                      <w:szCs w:val="20"/>
                    </w:rPr>
                    <w:t>Collection Activity</w:t>
                  </w:r>
                </w:p>
              </w:tc>
              <w:tc>
                <w:tcPr>
                  <w:tcW w:w="4020" w:type="dxa"/>
                  <w:gridSpan w:val="3"/>
                  <w:tcBorders>
                    <w:top w:val="double" w:sz="6" w:space="0" w:color="000000"/>
                    <w:left w:val="nil"/>
                    <w:bottom w:val="single" w:sz="8" w:space="0" w:color="000000"/>
                    <w:right w:val="single" w:sz="8" w:space="0" w:color="000000"/>
                  </w:tcBorders>
                  <w:shd w:val="clear" w:color="auto" w:fill="auto"/>
                  <w:vAlign w:val="bottom"/>
                  <w:hideMark/>
                </w:tcPr>
                <w:p w14:paraId="44ACDF3B" w14:textId="77777777" w:rsidR="0046130C" w:rsidRPr="0046130C" w:rsidRDefault="0046130C" w:rsidP="0046130C">
                  <w:pPr>
                    <w:widowControl/>
                    <w:adjustRightInd/>
                    <w:jc w:val="center"/>
                    <w:rPr>
                      <w:b/>
                      <w:bCs/>
                      <w:sz w:val="20"/>
                      <w:szCs w:val="20"/>
                    </w:rPr>
                  </w:pPr>
                  <w:r w:rsidRPr="0046130C">
                    <w:rPr>
                      <w:b/>
                      <w:bCs/>
                      <w:sz w:val="20"/>
                      <w:szCs w:val="20"/>
                    </w:rPr>
                    <w:t>Annual Burden Hours</w:t>
                  </w:r>
                </w:p>
              </w:tc>
              <w:tc>
                <w:tcPr>
                  <w:tcW w:w="2920" w:type="dxa"/>
                  <w:gridSpan w:val="3"/>
                  <w:tcBorders>
                    <w:top w:val="double" w:sz="6" w:space="0" w:color="000000"/>
                    <w:left w:val="nil"/>
                    <w:bottom w:val="single" w:sz="8" w:space="0" w:color="000000"/>
                    <w:right w:val="double" w:sz="6" w:space="0" w:color="000000"/>
                  </w:tcBorders>
                  <w:shd w:val="clear" w:color="auto" w:fill="auto"/>
                  <w:vAlign w:val="bottom"/>
                  <w:hideMark/>
                </w:tcPr>
                <w:p w14:paraId="36FCAEE1" w14:textId="77777777" w:rsidR="0046130C" w:rsidRPr="0046130C" w:rsidRDefault="0046130C" w:rsidP="0046130C">
                  <w:pPr>
                    <w:widowControl/>
                    <w:adjustRightInd/>
                    <w:jc w:val="center"/>
                    <w:rPr>
                      <w:b/>
                      <w:bCs/>
                      <w:sz w:val="20"/>
                      <w:szCs w:val="20"/>
                    </w:rPr>
                  </w:pPr>
                  <w:r w:rsidRPr="0046130C">
                    <w:rPr>
                      <w:b/>
                      <w:bCs/>
                      <w:sz w:val="20"/>
                      <w:szCs w:val="20"/>
                    </w:rPr>
                    <w:t>Annual Labor Costs</w:t>
                  </w:r>
                </w:p>
              </w:tc>
            </w:tr>
            <w:tr w:rsidR="0046130C" w:rsidRPr="0046130C" w14:paraId="063C68A1" w14:textId="77777777" w:rsidTr="0046130C">
              <w:trPr>
                <w:trHeight w:val="255"/>
              </w:trPr>
              <w:tc>
                <w:tcPr>
                  <w:tcW w:w="2520" w:type="dxa"/>
                  <w:vMerge/>
                  <w:tcBorders>
                    <w:top w:val="double" w:sz="6" w:space="0" w:color="000000"/>
                    <w:left w:val="double" w:sz="6" w:space="0" w:color="000000"/>
                    <w:bottom w:val="single" w:sz="8" w:space="0" w:color="000000"/>
                    <w:right w:val="single" w:sz="8" w:space="0" w:color="000000"/>
                  </w:tcBorders>
                  <w:vAlign w:val="center"/>
                  <w:hideMark/>
                </w:tcPr>
                <w:p w14:paraId="6DC1FDB4" w14:textId="77777777" w:rsidR="0046130C" w:rsidRPr="0046130C" w:rsidRDefault="0046130C" w:rsidP="0046130C">
                  <w:pPr>
                    <w:widowControl/>
                    <w:adjustRightInd/>
                    <w:rPr>
                      <w:b/>
                      <w:bCs/>
                      <w:sz w:val="20"/>
                      <w:szCs w:val="20"/>
                    </w:rPr>
                  </w:pPr>
                </w:p>
              </w:tc>
              <w:tc>
                <w:tcPr>
                  <w:tcW w:w="1340" w:type="dxa"/>
                  <w:tcBorders>
                    <w:top w:val="nil"/>
                    <w:left w:val="nil"/>
                    <w:bottom w:val="nil"/>
                    <w:right w:val="single" w:sz="8" w:space="0" w:color="000000"/>
                  </w:tcBorders>
                  <w:shd w:val="clear" w:color="auto" w:fill="auto"/>
                  <w:vAlign w:val="bottom"/>
                  <w:hideMark/>
                </w:tcPr>
                <w:p w14:paraId="462EE25E" w14:textId="77777777" w:rsidR="0046130C" w:rsidRPr="0046130C" w:rsidRDefault="0046130C" w:rsidP="0046130C">
                  <w:pPr>
                    <w:widowControl/>
                    <w:adjustRightInd/>
                    <w:jc w:val="center"/>
                    <w:rPr>
                      <w:b/>
                      <w:bCs/>
                      <w:sz w:val="20"/>
                      <w:szCs w:val="20"/>
                    </w:rPr>
                  </w:pPr>
                  <w:r w:rsidRPr="0046130C">
                    <w:rPr>
                      <w:b/>
                      <w:bCs/>
                      <w:sz w:val="20"/>
                      <w:szCs w:val="20"/>
                    </w:rPr>
                    <w:t>Managerial/hr</w:t>
                  </w:r>
                </w:p>
              </w:tc>
              <w:tc>
                <w:tcPr>
                  <w:tcW w:w="1340" w:type="dxa"/>
                  <w:tcBorders>
                    <w:top w:val="nil"/>
                    <w:left w:val="nil"/>
                    <w:bottom w:val="nil"/>
                    <w:right w:val="single" w:sz="8" w:space="0" w:color="000000"/>
                  </w:tcBorders>
                  <w:shd w:val="clear" w:color="auto" w:fill="auto"/>
                  <w:vAlign w:val="bottom"/>
                  <w:hideMark/>
                </w:tcPr>
                <w:p w14:paraId="0FAF1348" w14:textId="77777777" w:rsidR="0046130C" w:rsidRPr="0046130C" w:rsidRDefault="0046130C" w:rsidP="0046130C">
                  <w:pPr>
                    <w:widowControl/>
                    <w:adjustRightInd/>
                    <w:jc w:val="center"/>
                    <w:rPr>
                      <w:b/>
                      <w:bCs/>
                      <w:sz w:val="20"/>
                      <w:szCs w:val="20"/>
                    </w:rPr>
                  </w:pPr>
                  <w:r w:rsidRPr="0046130C">
                    <w:rPr>
                      <w:b/>
                      <w:bCs/>
                      <w:sz w:val="20"/>
                      <w:szCs w:val="20"/>
                    </w:rPr>
                    <w:t>Technical/hr</w:t>
                  </w:r>
                </w:p>
              </w:tc>
              <w:tc>
                <w:tcPr>
                  <w:tcW w:w="1340" w:type="dxa"/>
                  <w:tcBorders>
                    <w:top w:val="nil"/>
                    <w:left w:val="nil"/>
                    <w:bottom w:val="nil"/>
                    <w:right w:val="single" w:sz="8" w:space="0" w:color="000000"/>
                  </w:tcBorders>
                  <w:shd w:val="clear" w:color="auto" w:fill="auto"/>
                  <w:vAlign w:val="bottom"/>
                  <w:hideMark/>
                </w:tcPr>
                <w:p w14:paraId="4A83708C" w14:textId="77777777" w:rsidR="0046130C" w:rsidRPr="0046130C" w:rsidRDefault="0046130C" w:rsidP="0046130C">
                  <w:pPr>
                    <w:widowControl/>
                    <w:adjustRightInd/>
                    <w:jc w:val="center"/>
                    <w:rPr>
                      <w:b/>
                      <w:bCs/>
                      <w:sz w:val="20"/>
                      <w:szCs w:val="20"/>
                    </w:rPr>
                  </w:pPr>
                  <w:r w:rsidRPr="0046130C">
                    <w:rPr>
                      <w:b/>
                      <w:bCs/>
                      <w:sz w:val="20"/>
                      <w:szCs w:val="20"/>
                    </w:rPr>
                    <w:t>Clerical/hr</w:t>
                  </w:r>
                </w:p>
              </w:tc>
              <w:tc>
                <w:tcPr>
                  <w:tcW w:w="940" w:type="dxa"/>
                  <w:vMerge w:val="restart"/>
                  <w:tcBorders>
                    <w:top w:val="nil"/>
                    <w:left w:val="single" w:sz="8" w:space="0" w:color="000000"/>
                    <w:bottom w:val="single" w:sz="8" w:space="0" w:color="000000"/>
                    <w:right w:val="single" w:sz="8" w:space="0" w:color="000000"/>
                  </w:tcBorders>
                  <w:shd w:val="clear" w:color="auto" w:fill="auto"/>
                  <w:vAlign w:val="bottom"/>
                  <w:hideMark/>
                </w:tcPr>
                <w:p w14:paraId="2F8177F6" w14:textId="77777777" w:rsidR="0046130C" w:rsidRPr="0046130C" w:rsidRDefault="0046130C" w:rsidP="0046130C">
                  <w:pPr>
                    <w:widowControl/>
                    <w:adjustRightInd/>
                    <w:jc w:val="center"/>
                    <w:rPr>
                      <w:b/>
                      <w:bCs/>
                      <w:sz w:val="20"/>
                      <w:szCs w:val="20"/>
                    </w:rPr>
                  </w:pPr>
                  <w:r w:rsidRPr="0046130C">
                    <w:rPr>
                      <w:b/>
                      <w:bCs/>
                      <w:sz w:val="20"/>
                      <w:szCs w:val="20"/>
                    </w:rPr>
                    <w:t>First Year</w:t>
                  </w:r>
                </w:p>
              </w:tc>
              <w:tc>
                <w:tcPr>
                  <w:tcW w:w="980" w:type="dxa"/>
                  <w:vMerge w:val="restart"/>
                  <w:tcBorders>
                    <w:top w:val="nil"/>
                    <w:left w:val="single" w:sz="8" w:space="0" w:color="000000"/>
                    <w:bottom w:val="single" w:sz="8" w:space="0" w:color="000000"/>
                    <w:right w:val="single" w:sz="8" w:space="0" w:color="000000"/>
                  </w:tcBorders>
                  <w:shd w:val="clear" w:color="auto" w:fill="auto"/>
                  <w:vAlign w:val="bottom"/>
                  <w:hideMark/>
                </w:tcPr>
                <w:p w14:paraId="14E3EEB0" w14:textId="77777777" w:rsidR="0046130C" w:rsidRPr="0046130C" w:rsidRDefault="0046130C" w:rsidP="0046130C">
                  <w:pPr>
                    <w:widowControl/>
                    <w:adjustRightInd/>
                    <w:jc w:val="center"/>
                    <w:rPr>
                      <w:b/>
                      <w:bCs/>
                      <w:sz w:val="20"/>
                      <w:szCs w:val="20"/>
                    </w:rPr>
                  </w:pPr>
                  <w:r w:rsidRPr="0046130C">
                    <w:rPr>
                      <w:b/>
                      <w:bCs/>
                      <w:sz w:val="20"/>
                      <w:szCs w:val="20"/>
                    </w:rPr>
                    <w:t>Second Year</w:t>
                  </w:r>
                </w:p>
              </w:tc>
              <w:tc>
                <w:tcPr>
                  <w:tcW w:w="1000" w:type="dxa"/>
                  <w:vMerge w:val="restart"/>
                  <w:tcBorders>
                    <w:top w:val="nil"/>
                    <w:left w:val="single" w:sz="8" w:space="0" w:color="000000"/>
                    <w:bottom w:val="single" w:sz="8" w:space="0" w:color="000000"/>
                    <w:right w:val="double" w:sz="6" w:space="0" w:color="000000"/>
                  </w:tcBorders>
                  <w:shd w:val="clear" w:color="auto" w:fill="auto"/>
                  <w:vAlign w:val="bottom"/>
                  <w:hideMark/>
                </w:tcPr>
                <w:p w14:paraId="07489302" w14:textId="77777777" w:rsidR="0046130C" w:rsidRPr="0046130C" w:rsidRDefault="0046130C" w:rsidP="0046130C">
                  <w:pPr>
                    <w:widowControl/>
                    <w:adjustRightInd/>
                    <w:jc w:val="center"/>
                    <w:rPr>
                      <w:b/>
                      <w:bCs/>
                      <w:sz w:val="20"/>
                      <w:szCs w:val="20"/>
                    </w:rPr>
                  </w:pPr>
                  <w:r w:rsidRPr="0046130C">
                    <w:rPr>
                      <w:b/>
                      <w:bCs/>
                      <w:sz w:val="20"/>
                      <w:szCs w:val="20"/>
                    </w:rPr>
                    <w:t>Third Year</w:t>
                  </w:r>
                </w:p>
              </w:tc>
            </w:tr>
            <w:tr w:rsidR="0046130C" w:rsidRPr="0046130C" w14:paraId="4D149A49" w14:textId="77777777" w:rsidTr="0046130C">
              <w:trPr>
                <w:trHeight w:val="300"/>
              </w:trPr>
              <w:tc>
                <w:tcPr>
                  <w:tcW w:w="2520" w:type="dxa"/>
                  <w:vMerge/>
                  <w:tcBorders>
                    <w:top w:val="double" w:sz="6" w:space="0" w:color="000000"/>
                    <w:left w:val="double" w:sz="6" w:space="0" w:color="000000"/>
                    <w:bottom w:val="single" w:sz="8" w:space="0" w:color="000000"/>
                    <w:right w:val="single" w:sz="8" w:space="0" w:color="000000"/>
                  </w:tcBorders>
                  <w:vAlign w:val="center"/>
                  <w:hideMark/>
                </w:tcPr>
                <w:p w14:paraId="5686A51B" w14:textId="77777777" w:rsidR="0046130C" w:rsidRPr="0046130C" w:rsidRDefault="0046130C" w:rsidP="0046130C">
                  <w:pPr>
                    <w:widowControl/>
                    <w:adjustRightInd/>
                    <w:rPr>
                      <w:b/>
                      <w:bCs/>
                      <w:sz w:val="20"/>
                      <w:szCs w:val="20"/>
                    </w:rPr>
                  </w:pPr>
                </w:p>
              </w:tc>
              <w:tc>
                <w:tcPr>
                  <w:tcW w:w="1340" w:type="dxa"/>
                  <w:tcBorders>
                    <w:top w:val="nil"/>
                    <w:left w:val="nil"/>
                    <w:bottom w:val="single" w:sz="8" w:space="0" w:color="000000"/>
                    <w:right w:val="single" w:sz="8" w:space="0" w:color="000000"/>
                  </w:tcBorders>
                  <w:shd w:val="clear" w:color="auto" w:fill="auto"/>
                  <w:vAlign w:val="bottom"/>
                  <w:hideMark/>
                </w:tcPr>
                <w:p w14:paraId="0678D4A1" w14:textId="77777777" w:rsidR="0046130C" w:rsidRPr="0046130C" w:rsidRDefault="0046130C" w:rsidP="0046130C">
                  <w:pPr>
                    <w:widowControl/>
                    <w:adjustRightInd/>
                    <w:jc w:val="center"/>
                    <w:rPr>
                      <w:b/>
                      <w:bCs/>
                      <w:sz w:val="20"/>
                      <w:szCs w:val="20"/>
                    </w:rPr>
                  </w:pPr>
                  <w:r w:rsidRPr="0046130C">
                    <w:rPr>
                      <w:b/>
                      <w:bCs/>
                      <w:sz w:val="20"/>
                      <w:szCs w:val="20"/>
                    </w:rPr>
                    <w:t xml:space="preserve">$65.50 </w:t>
                  </w:r>
                </w:p>
              </w:tc>
              <w:tc>
                <w:tcPr>
                  <w:tcW w:w="1340" w:type="dxa"/>
                  <w:tcBorders>
                    <w:top w:val="nil"/>
                    <w:left w:val="nil"/>
                    <w:bottom w:val="single" w:sz="8" w:space="0" w:color="000000"/>
                    <w:right w:val="single" w:sz="8" w:space="0" w:color="000000"/>
                  </w:tcBorders>
                  <w:shd w:val="clear" w:color="auto" w:fill="auto"/>
                  <w:vAlign w:val="bottom"/>
                  <w:hideMark/>
                </w:tcPr>
                <w:p w14:paraId="6481D377" w14:textId="77777777" w:rsidR="0046130C" w:rsidRPr="0046130C" w:rsidRDefault="0046130C" w:rsidP="0046130C">
                  <w:pPr>
                    <w:widowControl/>
                    <w:adjustRightInd/>
                    <w:jc w:val="center"/>
                    <w:rPr>
                      <w:b/>
                      <w:bCs/>
                      <w:sz w:val="20"/>
                      <w:szCs w:val="20"/>
                    </w:rPr>
                  </w:pPr>
                  <w:r w:rsidRPr="0046130C">
                    <w:rPr>
                      <w:b/>
                      <w:bCs/>
                      <w:sz w:val="20"/>
                      <w:szCs w:val="20"/>
                    </w:rPr>
                    <w:t xml:space="preserve">$50.40 </w:t>
                  </w:r>
                </w:p>
              </w:tc>
              <w:tc>
                <w:tcPr>
                  <w:tcW w:w="1340" w:type="dxa"/>
                  <w:tcBorders>
                    <w:top w:val="nil"/>
                    <w:left w:val="nil"/>
                    <w:bottom w:val="single" w:sz="8" w:space="0" w:color="000000"/>
                    <w:right w:val="single" w:sz="8" w:space="0" w:color="000000"/>
                  </w:tcBorders>
                  <w:shd w:val="clear" w:color="auto" w:fill="auto"/>
                  <w:vAlign w:val="bottom"/>
                  <w:hideMark/>
                </w:tcPr>
                <w:p w14:paraId="639A7829" w14:textId="77777777" w:rsidR="0046130C" w:rsidRPr="0046130C" w:rsidRDefault="0046130C" w:rsidP="0046130C">
                  <w:pPr>
                    <w:widowControl/>
                    <w:adjustRightInd/>
                    <w:jc w:val="center"/>
                    <w:rPr>
                      <w:b/>
                      <w:bCs/>
                      <w:sz w:val="20"/>
                      <w:szCs w:val="20"/>
                    </w:rPr>
                  </w:pPr>
                  <w:r w:rsidRPr="0046130C">
                    <w:rPr>
                      <w:b/>
                      <w:bCs/>
                      <w:sz w:val="20"/>
                      <w:szCs w:val="20"/>
                    </w:rPr>
                    <w:t xml:space="preserve">$24.76 </w:t>
                  </w:r>
                </w:p>
              </w:tc>
              <w:tc>
                <w:tcPr>
                  <w:tcW w:w="940" w:type="dxa"/>
                  <w:vMerge/>
                  <w:tcBorders>
                    <w:top w:val="nil"/>
                    <w:left w:val="single" w:sz="8" w:space="0" w:color="000000"/>
                    <w:bottom w:val="single" w:sz="8" w:space="0" w:color="000000"/>
                    <w:right w:val="single" w:sz="8" w:space="0" w:color="000000"/>
                  </w:tcBorders>
                  <w:vAlign w:val="center"/>
                  <w:hideMark/>
                </w:tcPr>
                <w:p w14:paraId="3800A75E" w14:textId="77777777" w:rsidR="0046130C" w:rsidRPr="0046130C" w:rsidRDefault="0046130C" w:rsidP="0046130C">
                  <w:pPr>
                    <w:widowControl/>
                    <w:adjustRightInd/>
                    <w:rPr>
                      <w:b/>
                      <w:bCs/>
                      <w:sz w:val="20"/>
                      <w:szCs w:val="20"/>
                    </w:rPr>
                  </w:pPr>
                </w:p>
              </w:tc>
              <w:tc>
                <w:tcPr>
                  <w:tcW w:w="980" w:type="dxa"/>
                  <w:vMerge/>
                  <w:tcBorders>
                    <w:top w:val="nil"/>
                    <w:left w:val="single" w:sz="8" w:space="0" w:color="000000"/>
                    <w:bottom w:val="single" w:sz="8" w:space="0" w:color="000000"/>
                    <w:right w:val="single" w:sz="8" w:space="0" w:color="000000"/>
                  </w:tcBorders>
                  <w:vAlign w:val="center"/>
                  <w:hideMark/>
                </w:tcPr>
                <w:p w14:paraId="0C219F43" w14:textId="77777777" w:rsidR="0046130C" w:rsidRPr="0046130C" w:rsidRDefault="0046130C" w:rsidP="0046130C">
                  <w:pPr>
                    <w:widowControl/>
                    <w:adjustRightInd/>
                    <w:rPr>
                      <w:b/>
                      <w:bCs/>
                      <w:sz w:val="20"/>
                      <w:szCs w:val="20"/>
                    </w:rPr>
                  </w:pPr>
                </w:p>
              </w:tc>
              <w:tc>
                <w:tcPr>
                  <w:tcW w:w="1000" w:type="dxa"/>
                  <w:vMerge/>
                  <w:tcBorders>
                    <w:top w:val="nil"/>
                    <w:left w:val="single" w:sz="8" w:space="0" w:color="000000"/>
                    <w:bottom w:val="single" w:sz="8" w:space="0" w:color="000000"/>
                    <w:right w:val="double" w:sz="6" w:space="0" w:color="000000"/>
                  </w:tcBorders>
                  <w:vAlign w:val="center"/>
                  <w:hideMark/>
                </w:tcPr>
                <w:p w14:paraId="00E78637" w14:textId="77777777" w:rsidR="0046130C" w:rsidRPr="0046130C" w:rsidRDefault="0046130C" w:rsidP="0046130C">
                  <w:pPr>
                    <w:widowControl/>
                    <w:adjustRightInd/>
                    <w:rPr>
                      <w:b/>
                      <w:bCs/>
                      <w:sz w:val="20"/>
                      <w:szCs w:val="20"/>
                    </w:rPr>
                  </w:pPr>
                </w:p>
              </w:tc>
            </w:tr>
            <w:tr w:rsidR="0046130C" w:rsidRPr="0046130C" w14:paraId="6AE3FCCA" w14:textId="77777777" w:rsidTr="0046130C">
              <w:trPr>
                <w:trHeight w:val="525"/>
              </w:trPr>
              <w:tc>
                <w:tcPr>
                  <w:tcW w:w="2520" w:type="dxa"/>
                  <w:tcBorders>
                    <w:top w:val="nil"/>
                    <w:left w:val="double" w:sz="6" w:space="0" w:color="000000"/>
                    <w:bottom w:val="single" w:sz="8" w:space="0" w:color="000000"/>
                    <w:right w:val="single" w:sz="8" w:space="0" w:color="000000"/>
                  </w:tcBorders>
                  <w:shd w:val="clear" w:color="auto" w:fill="auto"/>
                  <w:vAlign w:val="bottom"/>
                  <w:hideMark/>
                </w:tcPr>
                <w:p w14:paraId="2A6FC61A" w14:textId="77777777" w:rsidR="0046130C" w:rsidRPr="0046130C" w:rsidRDefault="0046130C" w:rsidP="0046130C">
                  <w:pPr>
                    <w:widowControl/>
                    <w:adjustRightInd/>
                    <w:rPr>
                      <w:sz w:val="20"/>
                      <w:szCs w:val="20"/>
                    </w:rPr>
                  </w:pPr>
                  <w:r w:rsidRPr="0046130C">
                    <w:rPr>
                      <w:sz w:val="20"/>
                      <w:szCs w:val="20"/>
                    </w:rPr>
                    <w:t>Providing an Initial Telephone Notification</w:t>
                  </w:r>
                </w:p>
              </w:tc>
              <w:tc>
                <w:tcPr>
                  <w:tcW w:w="1340" w:type="dxa"/>
                  <w:tcBorders>
                    <w:top w:val="nil"/>
                    <w:left w:val="nil"/>
                    <w:bottom w:val="single" w:sz="8" w:space="0" w:color="000000"/>
                    <w:right w:val="single" w:sz="8" w:space="0" w:color="000000"/>
                  </w:tcBorders>
                  <w:shd w:val="clear" w:color="auto" w:fill="auto"/>
                  <w:vAlign w:val="bottom"/>
                  <w:hideMark/>
                </w:tcPr>
                <w:p w14:paraId="1D0FA1BF" w14:textId="77777777" w:rsidR="0046130C" w:rsidRPr="0046130C" w:rsidRDefault="0046130C" w:rsidP="0046130C">
                  <w:pPr>
                    <w:widowControl/>
                    <w:adjustRightInd/>
                    <w:jc w:val="center"/>
                    <w:rPr>
                      <w:sz w:val="20"/>
                      <w:szCs w:val="20"/>
                    </w:rPr>
                  </w:pPr>
                  <w:r w:rsidRPr="0046130C">
                    <w:rPr>
                      <w:sz w:val="20"/>
                      <w:szCs w:val="20"/>
                    </w:rPr>
                    <w:t>8</w:t>
                  </w:r>
                </w:p>
              </w:tc>
              <w:tc>
                <w:tcPr>
                  <w:tcW w:w="1340" w:type="dxa"/>
                  <w:tcBorders>
                    <w:top w:val="nil"/>
                    <w:left w:val="nil"/>
                    <w:bottom w:val="single" w:sz="8" w:space="0" w:color="000000"/>
                    <w:right w:val="single" w:sz="8" w:space="0" w:color="000000"/>
                  </w:tcBorders>
                  <w:shd w:val="clear" w:color="auto" w:fill="auto"/>
                  <w:vAlign w:val="bottom"/>
                  <w:hideMark/>
                </w:tcPr>
                <w:p w14:paraId="7BBCEF1B" w14:textId="77777777" w:rsidR="0046130C" w:rsidRPr="0046130C" w:rsidRDefault="0046130C" w:rsidP="0046130C">
                  <w:pPr>
                    <w:widowControl/>
                    <w:adjustRightInd/>
                    <w:jc w:val="center"/>
                    <w:rPr>
                      <w:sz w:val="20"/>
                      <w:szCs w:val="20"/>
                    </w:rPr>
                  </w:pPr>
                  <w:r w:rsidRPr="0046130C">
                    <w:rPr>
                      <w:sz w:val="20"/>
                      <w:szCs w:val="20"/>
                    </w:rPr>
                    <w:t>16</w:t>
                  </w:r>
                </w:p>
              </w:tc>
              <w:tc>
                <w:tcPr>
                  <w:tcW w:w="1340" w:type="dxa"/>
                  <w:tcBorders>
                    <w:top w:val="nil"/>
                    <w:left w:val="nil"/>
                    <w:bottom w:val="single" w:sz="8" w:space="0" w:color="000000"/>
                    <w:right w:val="single" w:sz="8" w:space="0" w:color="000000"/>
                  </w:tcBorders>
                  <w:shd w:val="clear" w:color="auto" w:fill="auto"/>
                  <w:vAlign w:val="bottom"/>
                  <w:hideMark/>
                </w:tcPr>
                <w:p w14:paraId="1A2DCD08" w14:textId="77777777" w:rsidR="0046130C" w:rsidRPr="0046130C" w:rsidRDefault="0046130C" w:rsidP="0046130C">
                  <w:pPr>
                    <w:widowControl/>
                    <w:adjustRightInd/>
                    <w:jc w:val="center"/>
                    <w:rPr>
                      <w:sz w:val="20"/>
                      <w:szCs w:val="20"/>
                    </w:rPr>
                  </w:pPr>
                  <w:r w:rsidRPr="0046130C">
                    <w:rPr>
                      <w:sz w:val="20"/>
                      <w:szCs w:val="20"/>
                    </w:rPr>
                    <w:t>0</w:t>
                  </w:r>
                </w:p>
              </w:tc>
              <w:tc>
                <w:tcPr>
                  <w:tcW w:w="940" w:type="dxa"/>
                  <w:tcBorders>
                    <w:top w:val="nil"/>
                    <w:left w:val="nil"/>
                    <w:bottom w:val="single" w:sz="8" w:space="0" w:color="000000"/>
                    <w:right w:val="single" w:sz="8" w:space="0" w:color="000000"/>
                  </w:tcBorders>
                  <w:shd w:val="clear" w:color="auto" w:fill="auto"/>
                  <w:vAlign w:val="bottom"/>
                  <w:hideMark/>
                </w:tcPr>
                <w:p w14:paraId="6A1F66DF" w14:textId="77777777" w:rsidR="0046130C" w:rsidRPr="0046130C" w:rsidRDefault="0046130C" w:rsidP="0046130C">
                  <w:pPr>
                    <w:widowControl/>
                    <w:adjustRightInd/>
                    <w:jc w:val="right"/>
                    <w:rPr>
                      <w:sz w:val="20"/>
                      <w:szCs w:val="20"/>
                    </w:rPr>
                  </w:pPr>
                  <w:r w:rsidRPr="0046130C">
                    <w:rPr>
                      <w:sz w:val="20"/>
                      <w:szCs w:val="20"/>
                    </w:rPr>
                    <w:t xml:space="preserve">$1,330.40 </w:t>
                  </w:r>
                </w:p>
              </w:tc>
              <w:tc>
                <w:tcPr>
                  <w:tcW w:w="980" w:type="dxa"/>
                  <w:tcBorders>
                    <w:top w:val="nil"/>
                    <w:left w:val="nil"/>
                    <w:bottom w:val="single" w:sz="8" w:space="0" w:color="000000"/>
                    <w:right w:val="single" w:sz="8" w:space="0" w:color="000000"/>
                  </w:tcBorders>
                  <w:shd w:val="clear" w:color="auto" w:fill="auto"/>
                  <w:vAlign w:val="bottom"/>
                  <w:hideMark/>
                </w:tcPr>
                <w:p w14:paraId="51BA7757" w14:textId="77777777" w:rsidR="0046130C" w:rsidRPr="0046130C" w:rsidRDefault="0046130C" w:rsidP="0046130C">
                  <w:pPr>
                    <w:widowControl/>
                    <w:adjustRightInd/>
                    <w:jc w:val="right"/>
                    <w:rPr>
                      <w:sz w:val="20"/>
                      <w:szCs w:val="20"/>
                    </w:rPr>
                  </w:pPr>
                  <w:r w:rsidRPr="0046130C">
                    <w:rPr>
                      <w:sz w:val="20"/>
                      <w:szCs w:val="20"/>
                    </w:rPr>
                    <w:t>NA</w:t>
                  </w:r>
                </w:p>
              </w:tc>
              <w:tc>
                <w:tcPr>
                  <w:tcW w:w="1000" w:type="dxa"/>
                  <w:tcBorders>
                    <w:top w:val="nil"/>
                    <w:left w:val="nil"/>
                    <w:bottom w:val="single" w:sz="8" w:space="0" w:color="000000"/>
                    <w:right w:val="double" w:sz="6" w:space="0" w:color="000000"/>
                  </w:tcBorders>
                  <w:shd w:val="clear" w:color="auto" w:fill="auto"/>
                  <w:vAlign w:val="bottom"/>
                  <w:hideMark/>
                </w:tcPr>
                <w:p w14:paraId="798127E2" w14:textId="77777777" w:rsidR="0046130C" w:rsidRPr="0046130C" w:rsidRDefault="0046130C" w:rsidP="0046130C">
                  <w:pPr>
                    <w:widowControl/>
                    <w:adjustRightInd/>
                    <w:jc w:val="right"/>
                    <w:rPr>
                      <w:sz w:val="20"/>
                      <w:szCs w:val="20"/>
                    </w:rPr>
                  </w:pPr>
                  <w:r w:rsidRPr="0046130C">
                    <w:rPr>
                      <w:sz w:val="20"/>
                      <w:szCs w:val="20"/>
                    </w:rPr>
                    <w:t>NA</w:t>
                  </w:r>
                </w:p>
              </w:tc>
            </w:tr>
            <w:tr w:rsidR="0046130C" w:rsidRPr="0046130C" w14:paraId="53E74665" w14:textId="77777777" w:rsidTr="0046130C">
              <w:trPr>
                <w:trHeight w:val="525"/>
              </w:trPr>
              <w:tc>
                <w:tcPr>
                  <w:tcW w:w="2520" w:type="dxa"/>
                  <w:tcBorders>
                    <w:top w:val="nil"/>
                    <w:left w:val="double" w:sz="6" w:space="0" w:color="000000"/>
                    <w:bottom w:val="single" w:sz="8" w:space="0" w:color="000000"/>
                    <w:right w:val="single" w:sz="8" w:space="0" w:color="000000"/>
                  </w:tcBorders>
                  <w:shd w:val="clear" w:color="auto" w:fill="auto"/>
                  <w:vAlign w:val="bottom"/>
                  <w:hideMark/>
                </w:tcPr>
                <w:p w14:paraId="4765BC9B" w14:textId="77777777" w:rsidR="0046130C" w:rsidRPr="0046130C" w:rsidRDefault="0046130C" w:rsidP="0046130C">
                  <w:pPr>
                    <w:widowControl/>
                    <w:adjustRightInd/>
                    <w:rPr>
                      <w:color w:val="99CC00"/>
                      <w:sz w:val="20"/>
                      <w:szCs w:val="20"/>
                    </w:rPr>
                  </w:pPr>
                  <w:r w:rsidRPr="00613D9D">
                    <w:rPr>
                      <w:color w:val="008000"/>
                      <w:sz w:val="20"/>
                      <w:szCs w:val="20"/>
                    </w:rPr>
                    <w:t>Preparing an Initial Written Report</w:t>
                  </w:r>
                </w:p>
              </w:tc>
              <w:tc>
                <w:tcPr>
                  <w:tcW w:w="1340" w:type="dxa"/>
                  <w:tcBorders>
                    <w:top w:val="nil"/>
                    <w:left w:val="nil"/>
                    <w:bottom w:val="single" w:sz="8" w:space="0" w:color="000000"/>
                    <w:right w:val="single" w:sz="8" w:space="0" w:color="000000"/>
                  </w:tcBorders>
                  <w:shd w:val="clear" w:color="auto" w:fill="auto"/>
                  <w:vAlign w:val="bottom"/>
                  <w:hideMark/>
                </w:tcPr>
                <w:p w14:paraId="25015D74" w14:textId="77777777" w:rsidR="0046130C" w:rsidRPr="0046130C" w:rsidRDefault="0046130C" w:rsidP="0046130C">
                  <w:pPr>
                    <w:widowControl/>
                    <w:adjustRightInd/>
                    <w:jc w:val="center"/>
                    <w:rPr>
                      <w:sz w:val="20"/>
                      <w:szCs w:val="20"/>
                    </w:rPr>
                  </w:pPr>
                  <w:r w:rsidRPr="0046130C">
                    <w:rPr>
                      <w:sz w:val="20"/>
                      <w:szCs w:val="20"/>
                    </w:rPr>
                    <w:t>24</w:t>
                  </w:r>
                </w:p>
              </w:tc>
              <w:tc>
                <w:tcPr>
                  <w:tcW w:w="1340" w:type="dxa"/>
                  <w:tcBorders>
                    <w:top w:val="nil"/>
                    <w:left w:val="nil"/>
                    <w:bottom w:val="single" w:sz="8" w:space="0" w:color="000000"/>
                    <w:right w:val="single" w:sz="8" w:space="0" w:color="000000"/>
                  </w:tcBorders>
                  <w:shd w:val="clear" w:color="auto" w:fill="auto"/>
                  <w:vAlign w:val="bottom"/>
                  <w:hideMark/>
                </w:tcPr>
                <w:p w14:paraId="406AE822" w14:textId="77777777" w:rsidR="0046130C" w:rsidRPr="0046130C" w:rsidRDefault="0046130C" w:rsidP="0046130C">
                  <w:pPr>
                    <w:widowControl/>
                    <w:adjustRightInd/>
                    <w:jc w:val="center"/>
                    <w:rPr>
                      <w:color w:val="99CC00"/>
                      <w:sz w:val="20"/>
                      <w:szCs w:val="20"/>
                    </w:rPr>
                  </w:pPr>
                  <w:r w:rsidRPr="00613D9D">
                    <w:rPr>
                      <w:color w:val="008000"/>
                      <w:sz w:val="20"/>
                      <w:szCs w:val="20"/>
                    </w:rPr>
                    <w:t>24</w:t>
                  </w:r>
                </w:p>
              </w:tc>
              <w:tc>
                <w:tcPr>
                  <w:tcW w:w="1340" w:type="dxa"/>
                  <w:tcBorders>
                    <w:top w:val="nil"/>
                    <w:left w:val="nil"/>
                    <w:bottom w:val="single" w:sz="8" w:space="0" w:color="000000"/>
                    <w:right w:val="single" w:sz="8" w:space="0" w:color="000000"/>
                  </w:tcBorders>
                  <w:shd w:val="clear" w:color="auto" w:fill="auto"/>
                  <w:vAlign w:val="bottom"/>
                  <w:hideMark/>
                </w:tcPr>
                <w:p w14:paraId="605834A5" w14:textId="77777777" w:rsidR="0046130C" w:rsidRPr="0046130C" w:rsidRDefault="0046130C" w:rsidP="0046130C">
                  <w:pPr>
                    <w:widowControl/>
                    <w:adjustRightInd/>
                    <w:jc w:val="center"/>
                    <w:rPr>
                      <w:sz w:val="20"/>
                      <w:szCs w:val="20"/>
                    </w:rPr>
                  </w:pPr>
                  <w:r w:rsidRPr="0046130C">
                    <w:rPr>
                      <w:sz w:val="20"/>
                      <w:szCs w:val="20"/>
                    </w:rPr>
                    <w:t>8</w:t>
                  </w:r>
                </w:p>
              </w:tc>
              <w:tc>
                <w:tcPr>
                  <w:tcW w:w="940" w:type="dxa"/>
                  <w:tcBorders>
                    <w:top w:val="nil"/>
                    <w:left w:val="nil"/>
                    <w:bottom w:val="single" w:sz="8" w:space="0" w:color="000000"/>
                    <w:right w:val="single" w:sz="8" w:space="0" w:color="000000"/>
                  </w:tcBorders>
                  <w:shd w:val="clear" w:color="auto" w:fill="auto"/>
                  <w:vAlign w:val="bottom"/>
                  <w:hideMark/>
                </w:tcPr>
                <w:p w14:paraId="32E8850B" w14:textId="77777777" w:rsidR="0046130C" w:rsidRPr="0046130C" w:rsidRDefault="0046130C" w:rsidP="0046130C">
                  <w:pPr>
                    <w:widowControl/>
                    <w:adjustRightInd/>
                    <w:jc w:val="right"/>
                    <w:rPr>
                      <w:color w:val="99CC00"/>
                      <w:sz w:val="20"/>
                      <w:szCs w:val="20"/>
                    </w:rPr>
                  </w:pPr>
                  <w:r w:rsidRPr="00613D9D">
                    <w:rPr>
                      <w:color w:val="008000"/>
                      <w:sz w:val="20"/>
                      <w:szCs w:val="20"/>
                    </w:rPr>
                    <w:t xml:space="preserve">$2,979.68 </w:t>
                  </w:r>
                </w:p>
              </w:tc>
              <w:tc>
                <w:tcPr>
                  <w:tcW w:w="980" w:type="dxa"/>
                  <w:tcBorders>
                    <w:top w:val="nil"/>
                    <w:left w:val="nil"/>
                    <w:bottom w:val="single" w:sz="8" w:space="0" w:color="000000"/>
                    <w:right w:val="single" w:sz="8" w:space="0" w:color="000000"/>
                  </w:tcBorders>
                  <w:shd w:val="clear" w:color="auto" w:fill="auto"/>
                  <w:vAlign w:val="bottom"/>
                  <w:hideMark/>
                </w:tcPr>
                <w:p w14:paraId="1D44CE71" w14:textId="77777777" w:rsidR="0046130C" w:rsidRPr="0046130C" w:rsidRDefault="0046130C" w:rsidP="0046130C">
                  <w:pPr>
                    <w:widowControl/>
                    <w:adjustRightInd/>
                    <w:jc w:val="right"/>
                    <w:rPr>
                      <w:sz w:val="20"/>
                      <w:szCs w:val="20"/>
                    </w:rPr>
                  </w:pPr>
                  <w:r w:rsidRPr="0046130C">
                    <w:rPr>
                      <w:sz w:val="20"/>
                      <w:szCs w:val="20"/>
                    </w:rPr>
                    <w:t>NA</w:t>
                  </w:r>
                </w:p>
              </w:tc>
              <w:tc>
                <w:tcPr>
                  <w:tcW w:w="1000" w:type="dxa"/>
                  <w:tcBorders>
                    <w:top w:val="nil"/>
                    <w:left w:val="nil"/>
                    <w:bottom w:val="single" w:sz="8" w:space="0" w:color="000000"/>
                    <w:right w:val="double" w:sz="6" w:space="0" w:color="000000"/>
                  </w:tcBorders>
                  <w:shd w:val="clear" w:color="auto" w:fill="auto"/>
                  <w:vAlign w:val="bottom"/>
                  <w:hideMark/>
                </w:tcPr>
                <w:p w14:paraId="73B0778D" w14:textId="77777777" w:rsidR="0046130C" w:rsidRPr="0046130C" w:rsidRDefault="0046130C" w:rsidP="0046130C">
                  <w:pPr>
                    <w:widowControl/>
                    <w:adjustRightInd/>
                    <w:jc w:val="right"/>
                    <w:rPr>
                      <w:sz w:val="20"/>
                      <w:szCs w:val="20"/>
                    </w:rPr>
                  </w:pPr>
                  <w:r w:rsidRPr="0046130C">
                    <w:rPr>
                      <w:sz w:val="20"/>
                      <w:szCs w:val="20"/>
                    </w:rPr>
                    <w:t>NA</w:t>
                  </w:r>
                </w:p>
              </w:tc>
            </w:tr>
            <w:tr w:rsidR="0046130C" w:rsidRPr="0046130C" w14:paraId="146D78B5" w14:textId="77777777" w:rsidTr="0046130C">
              <w:trPr>
                <w:trHeight w:val="525"/>
              </w:trPr>
              <w:tc>
                <w:tcPr>
                  <w:tcW w:w="2520" w:type="dxa"/>
                  <w:tcBorders>
                    <w:top w:val="nil"/>
                    <w:left w:val="double" w:sz="6" w:space="0" w:color="000000"/>
                    <w:bottom w:val="single" w:sz="8" w:space="0" w:color="000000"/>
                    <w:right w:val="single" w:sz="8" w:space="0" w:color="000000"/>
                  </w:tcBorders>
                  <w:shd w:val="clear" w:color="auto" w:fill="auto"/>
                  <w:vAlign w:val="bottom"/>
                  <w:hideMark/>
                </w:tcPr>
                <w:p w14:paraId="6A84795D" w14:textId="77777777" w:rsidR="0046130C" w:rsidRPr="0046130C" w:rsidRDefault="0046130C" w:rsidP="0046130C">
                  <w:pPr>
                    <w:widowControl/>
                    <w:adjustRightInd/>
                    <w:rPr>
                      <w:sz w:val="20"/>
                      <w:szCs w:val="20"/>
                    </w:rPr>
                  </w:pPr>
                  <w:r w:rsidRPr="0046130C">
                    <w:rPr>
                      <w:sz w:val="20"/>
                      <w:szCs w:val="20"/>
                    </w:rPr>
                    <w:t>Preparing a Follow-up Written Report</w:t>
                  </w:r>
                </w:p>
              </w:tc>
              <w:tc>
                <w:tcPr>
                  <w:tcW w:w="1340" w:type="dxa"/>
                  <w:tcBorders>
                    <w:top w:val="nil"/>
                    <w:left w:val="nil"/>
                    <w:bottom w:val="single" w:sz="8" w:space="0" w:color="000000"/>
                    <w:right w:val="single" w:sz="8" w:space="0" w:color="000000"/>
                  </w:tcBorders>
                  <w:shd w:val="clear" w:color="auto" w:fill="auto"/>
                  <w:vAlign w:val="bottom"/>
                  <w:hideMark/>
                </w:tcPr>
                <w:p w14:paraId="7730DB78" w14:textId="77777777" w:rsidR="0046130C" w:rsidRPr="0046130C" w:rsidRDefault="0046130C" w:rsidP="0046130C">
                  <w:pPr>
                    <w:widowControl/>
                    <w:adjustRightInd/>
                    <w:jc w:val="center"/>
                    <w:rPr>
                      <w:sz w:val="20"/>
                      <w:szCs w:val="20"/>
                    </w:rPr>
                  </w:pPr>
                  <w:r w:rsidRPr="0046130C">
                    <w:rPr>
                      <w:sz w:val="20"/>
                      <w:szCs w:val="20"/>
                    </w:rPr>
                    <w:t>24</w:t>
                  </w:r>
                </w:p>
              </w:tc>
              <w:tc>
                <w:tcPr>
                  <w:tcW w:w="1340" w:type="dxa"/>
                  <w:tcBorders>
                    <w:top w:val="nil"/>
                    <w:left w:val="nil"/>
                    <w:bottom w:val="single" w:sz="8" w:space="0" w:color="000000"/>
                    <w:right w:val="single" w:sz="8" w:space="0" w:color="000000"/>
                  </w:tcBorders>
                  <w:shd w:val="clear" w:color="auto" w:fill="auto"/>
                  <w:vAlign w:val="bottom"/>
                  <w:hideMark/>
                </w:tcPr>
                <w:p w14:paraId="28608002" w14:textId="77777777" w:rsidR="0046130C" w:rsidRPr="0046130C" w:rsidRDefault="0046130C" w:rsidP="0046130C">
                  <w:pPr>
                    <w:widowControl/>
                    <w:adjustRightInd/>
                    <w:jc w:val="center"/>
                    <w:rPr>
                      <w:sz w:val="20"/>
                      <w:szCs w:val="20"/>
                    </w:rPr>
                  </w:pPr>
                  <w:r w:rsidRPr="0046130C">
                    <w:rPr>
                      <w:sz w:val="20"/>
                      <w:szCs w:val="20"/>
                    </w:rPr>
                    <w:t>8</w:t>
                  </w:r>
                </w:p>
              </w:tc>
              <w:tc>
                <w:tcPr>
                  <w:tcW w:w="1340" w:type="dxa"/>
                  <w:tcBorders>
                    <w:top w:val="nil"/>
                    <w:left w:val="nil"/>
                    <w:bottom w:val="single" w:sz="8" w:space="0" w:color="000000"/>
                    <w:right w:val="single" w:sz="8" w:space="0" w:color="000000"/>
                  </w:tcBorders>
                  <w:shd w:val="clear" w:color="auto" w:fill="auto"/>
                  <w:vAlign w:val="bottom"/>
                  <w:hideMark/>
                </w:tcPr>
                <w:p w14:paraId="191B987B" w14:textId="77777777" w:rsidR="0046130C" w:rsidRPr="0046130C" w:rsidRDefault="0046130C" w:rsidP="0046130C">
                  <w:pPr>
                    <w:widowControl/>
                    <w:adjustRightInd/>
                    <w:jc w:val="center"/>
                    <w:rPr>
                      <w:sz w:val="20"/>
                      <w:szCs w:val="20"/>
                    </w:rPr>
                  </w:pPr>
                  <w:r w:rsidRPr="0046130C">
                    <w:rPr>
                      <w:sz w:val="20"/>
                      <w:szCs w:val="20"/>
                    </w:rPr>
                    <w:t>8</w:t>
                  </w:r>
                </w:p>
              </w:tc>
              <w:tc>
                <w:tcPr>
                  <w:tcW w:w="940" w:type="dxa"/>
                  <w:tcBorders>
                    <w:top w:val="nil"/>
                    <w:left w:val="nil"/>
                    <w:bottom w:val="single" w:sz="8" w:space="0" w:color="000000"/>
                    <w:right w:val="single" w:sz="8" w:space="0" w:color="000000"/>
                  </w:tcBorders>
                  <w:shd w:val="clear" w:color="auto" w:fill="auto"/>
                  <w:vAlign w:val="bottom"/>
                  <w:hideMark/>
                </w:tcPr>
                <w:p w14:paraId="52B572A9" w14:textId="77777777" w:rsidR="0046130C" w:rsidRPr="0046130C" w:rsidRDefault="0046130C" w:rsidP="0046130C">
                  <w:pPr>
                    <w:widowControl/>
                    <w:adjustRightInd/>
                    <w:jc w:val="right"/>
                    <w:rPr>
                      <w:sz w:val="20"/>
                      <w:szCs w:val="20"/>
                    </w:rPr>
                  </w:pPr>
                  <w:r w:rsidRPr="0046130C">
                    <w:rPr>
                      <w:sz w:val="20"/>
                      <w:szCs w:val="20"/>
                    </w:rPr>
                    <w:t>NA</w:t>
                  </w:r>
                </w:p>
              </w:tc>
              <w:tc>
                <w:tcPr>
                  <w:tcW w:w="980" w:type="dxa"/>
                  <w:tcBorders>
                    <w:top w:val="nil"/>
                    <w:left w:val="nil"/>
                    <w:bottom w:val="single" w:sz="8" w:space="0" w:color="000000"/>
                    <w:right w:val="single" w:sz="8" w:space="0" w:color="000000"/>
                  </w:tcBorders>
                  <w:shd w:val="clear" w:color="auto" w:fill="auto"/>
                  <w:vAlign w:val="bottom"/>
                  <w:hideMark/>
                </w:tcPr>
                <w:p w14:paraId="15FC9E48" w14:textId="77777777" w:rsidR="0046130C" w:rsidRPr="0046130C" w:rsidRDefault="0046130C" w:rsidP="0046130C">
                  <w:pPr>
                    <w:widowControl/>
                    <w:adjustRightInd/>
                    <w:jc w:val="right"/>
                    <w:rPr>
                      <w:sz w:val="20"/>
                      <w:szCs w:val="20"/>
                    </w:rPr>
                  </w:pPr>
                  <w:r w:rsidRPr="0046130C">
                    <w:rPr>
                      <w:sz w:val="20"/>
                      <w:szCs w:val="20"/>
                    </w:rPr>
                    <w:t xml:space="preserve">$2,173.28 </w:t>
                  </w:r>
                </w:p>
              </w:tc>
              <w:tc>
                <w:tcPr>
                  <w:tcW w:w="1000" w:type="dxa"/>
                  <w:tcBorders>
                    <w:top w:val="nil"/>
                    <w:left w:val="nil"/>
                    <w:bottom w:val="single" w:sz="8" w:space="0" w:color="000000"/>
                    <w:right w:val="double" w:sz="6" w:space="0" w:color="000000"/>
                  </w:tcBorders>
                  <w:shd w:val="clear" w:color="auto" w:fill="auto"/>
                  <w:vAlign w:val="bottom"/>
                  <w:hideMark/>
                </w:tcPr>
                <w:p w14:paraId="1750DE51" w14:textId="77777777" w:rsidR="0046130C" w:rsidRPr="0046130C" w:rsidRDefault="0046130C" w:rsidP="0046130C">
                  <w:pPr>
                    <w:widowControl/>
                    <w:adjustRightInd/>
                    <w:jc w:val="right"/>
                    <w:rPr>
                      <w:sz w:val="20"/>
                      <w:szCs w:val="20"/>
                    </w:rPr>
                  </w:pPr>
                  <w:r w:rsidRPr="0046130C">
                    <w:rPr>
                      <w:sz w:val="20"/>
                      <w:szCs w:val="20"/>
                    </w:rPr>
                    <w:t>NA</w:t>
                  </w:r>
                </w:p>
              </w:tc>
            </w:tr>
            <w:tr w:rsidR="0046130C" w:rsidRPr="0046130C" w14:paraId="3945F506" w14:textId="77777777" w:rsidTr="0046130C">
              <w:trPr>
                <w:trHeight w:val="525"/>
              </w:trPr>
              <w:tc>
                <w:tcPr>
                  <w:tcW w:w="2520" w:type="dxa"/>
                  <w:tcBorders>
                    <w:top w:val="nil"/>
                    <w:left w:val="double" w:sz="6" w:space="0" w:color="000000"/>
                    <w:bottom w:val="single" w:sz="8" w:space="0" w:color="000000"/>
                    <w:right w:val="single" w:sz="8" w:space="0" w:color="000000"/>
                  </w:tcBorders>
                  <w:shd w:val="clear" w:color="auto" w:fill="auto"/>
                  <w:vAlign w:val="bottom"/>
                  <w:hideMark/>
                </w:tcPr>
                <w:p w14:paraId="46BC82D5" w14:textId="77777777" w:rsidR="0046130C" w:rsidRPr="0046130C" w:rsidRDefault="0046130C" w:rsidP="0046130C">
                  <w:pPr>
                    <w:widowControl/>
                    <w:adjustRightInd/>
                    <w:rPr>
                      <w:sz w:val="20"/>
                      <w:szCs w:val="20"/>
                    </w:rPr>
                  </w:pPr>
                  <w:r w:rsidRPr="0046130C">
                    <w:rPr>
                      <w:sz w:val="20"/>
                      <w:szCs w:val="20"/>
                    </w:rPr>
                    <w:t>Conducting an Annual Evaluation of a Release</w:t>
                  </w:r>
                </w:p>
              </w:tc>
              <w:tc>
                <w:tcPr>
                  <w:tcW w:w="1340" w:type="dxa"/>
                  <w:tcBorders>
                    <w:top w:val="nil"/>
                    <w:left w:val="nil"/>
                    <w:bottom w:val="single" w:sz="8" w:space="0" w:color="000000"/>
                    <w:right w:val="single" w:sz="8" w:space="0" w:color="000000"/>
                  </w:tcBorders>
                  <w:shd w:val="clear" w:color="auto" w:fill="auto"/>
                  <w:vAlign w:val="bottom"/>
                  <w:hideMark/>
                </w:tcPr>
                <w:p w14:paraId="48F3FF5E" w14:textId="77777777" w:rsidR="0046130C" w:rsidRPr="0046130C" w:rsidRDefault="0046130C" w:rsidP="0046130C">
                  <w:pPr>
                    <w:widowControl/>
                    <w:adjustRightInd/>
                    <w:jc w:val="center"/>
                    <w:rPr>
                      <w:sz w:val="20"/>
                      <w:szCs w:val="20"/>
                    </w:rPr>
                  </w:pPr>
                  <w:r w:rsidRPr="0046130C">
                    <w:rPr>
                      <w:sz w:val="20"/>
                      <w:szCs w:val="20"/>
                    </w:rPr>
                    <w:t>24</w:t>
                  </w:r>
                </w:p>
              </w:tc>
              <w:tc>
                <w:tcPr>
                  <w:tcW w:w="1340" w:type="dxa"/>
                  <w:tcBorders>
                    <w:top w:val="nil"/>
                    <w:left w:val="nil"/>
                    <w:bottom w:val="single" w:sz="8" w:space="0" w:color="000000"/>
                    <w:right w:val="single" w:sz="8" w:space="0" w:color="000000"/>
                  </w:tcBorders>
                  <w:shd w:val="clear" w:color="auto" w:fill="auto"/>
                  <w:vAlign w:val="bottom"/>
                  <w:hideMark/>
                </w:tcPr>
                <w:p w14:paraId="539898C2" w14:textId="77777777" w:rsidR="0046130C" w:rsidRPr="0046130C" w:rsidRDefault="0046130C" w:rsidP="0046130C">
                  <w:pPr>
                    <w:widowControl/>
                    <w:adjustRightInd/>
                    <w:jc w:val="center"/>
                    <w:rPr>
                      <w:sz w:val="20"/>
                      <w:szCs w:val="20"/>
                    </w:rPr>
                  </w:pPr>
                  <w:r w:rsidRPr="0046130C">
                    <w:rPr>
                      <w:sz w:val="20"/>
                      <w:szCs w:val="20"/>
                    </w:rPr>
                    <w:t>8</w:t>
                  </w:r>
                </w:p>
              </w:tc>
              <w:tc>
                <w:tcPr>
                  <w:tcW w:w="1340" w:type="dxa"/>
                  <w:tcBorders>
                    <w:top w:val="nil"/>
                    <w:left w:val="nil"/>
                    <w:bottom w:val="single" w:sz="8" w:space="0" w:color="000000"/>
                    <w:right w:val="single" w:sz="8" w:space="0" w:color="000000"/>
                  </w:tcBorders>
                  <w:shd w:val="clear" w:color="auto" w:fill="auto"/>
                  <w:vAlign w:val="bottom"/>
                  <w:hideMark/>
                </w:tcPr>
                <w:p w14:paraId="20291BA0" w14:textId="77777777" w:rsidR="0046130C" w:rsidRPr="0046130C" w:rsidRDefault="0046130C" w:rsidP="0046130C">
                  <w:pPr>
                    <w:widowControl/>
                    <w:adjustRightInd/>
                    <w:jc w:val="center"/>
                    <w:rPr>
                      <w:sz w:val="20"/>
                      <w:szCs w:val="20"/>
                    </w:rPr>
                  </w:pPr>
                  <w:r w:rsidRPr="0046130C">
                    <w:rPr>
                      <w:sz w:val="20"/>
                      <w:szCs w:val="20"/>
                    </w:rPr>
                    <w:t>8</w:t>
                  </w:r>
                </w:p>
              </w:tc>
              <w:tc>
                <w:tcPr>
                  <w:tcW w:w="940" w:type="dxa"/>
                  <w:tcBorders>
                    <w:top w:val="nil"/>
                    <w:left w:val="nil"/>
                    <w:bottom w:val="single" w:sz="8" w:space="0" w:color="000000"/>
                    <w:right w:val="single" w:sz="8" w:space="0" w:color="000000"/>
                  </w:tcBorders>
                  <w:shd w:val="clear" w:color="auto" w:fill="auto"/>
                  <w:vAlign w:val="bottom"/>
                  <w:hideMark/>
                </w:tcPr>
                <w:p w14:paraId="64159819" w14:textId="77777777" w:rsidR="0046130C" w:rsidRPr="0046130C" w:rsidRDefault="0046130C" w:rsidP="0046130C">
                  <w:pPr>
                    <w:widowControl/>
                    <w:adjustRightInd/>
                    <w:jc w:val="right"/>
                    <w:rPr>
                      <w:sz w:val="20"/>
                      <w:szCs w:val="20"/>
                    </w:rPr>
                  </w:pPr>
                  <w:r w:rsidRPr="0046130C">
                    <w:rPr>
                      <w:sz w:val="20"/>
                      <w:szCs w:val="20"/>
                    </w:rPr>
                    <w:t>NA</w:t>
                  </w:r>
                </w:p>
              </w:tc>
              <w:tc>
                <w:tcPr>
                  <w:tcW w:w="980" w:type="dxa"/>
                  <w:tcBorders>
                    <w:top w:val="nil"/>
                    <w:left w:val="nil"/>
                    <w:bottom w:val="single" w:sz="8" w:space="0" w:color="000000"/>
                    <w:right w:val="single" w:sz="8" w:space="0" w:color="000000"/>
                  </w:tcBorders>
                  <w:shd w:val="clear" w:color="auto" w:fill="auto"/>
                  <w:vAlign w:val="bottom"/>
                  <w:hideMark/>
                </w:tcPr>
                <w:p w14:paraId="2B78E228" w14:textId="77777777" w:rsidR="0046130C" w:rsidRPr="0046130C" w:rsidRDefault="0046130C" w:rsidP="0046130C">
                  <w:pPr>
                    <w:widowControl/>
                    <w:adjustRightInd/>
                    <w:jc w:val="right"/>
                    <w:rPr>
                      <w:sz w:val="20"/>
                      <w:szCs w:val="20"/>
                    </w:rPr>
                  </w:pPr>
                  <w:r w:rsidRPr="0046130C">
                    <w:rPr>
                      <w:sz w:val="20"/>
                      <w:szCs w:val="20"/>
                    </w:rPr>
                    <w:t>NA</w:t>
                  </w:r>
                </w:p>
              </w:tc>
              <w:tc>
                <w:tcPr>
                  <w:tcW w:w="1000" w:type="dxa"/>
                  <w:tcBorders>
                    <w:top w:val="nil"/>
                    <w:left w:val="nil"/>
                    <w:bottom w:val="single" w:sz="8" w:space="0" w:color="000000"/>
                    <w:right w:val="double" w:sz="6" w:space="0" w:color="000000"/>
                  </w:tcBorders>
                  <w:shd w:val="clear" w:color="auto" w:fill="auto"/>
                  <w:vAlign w:val="bottom"/>
                  <w:hideMark/>
                </w:tcPr>
                <w:p w14:paraId="5788E1A9" w14:textId="77777777" w:rsidR="0046130C" w:rsidRPr="0046130C" w:rsidRDefault="0046130C" w:rsidP="0046130C">
                  <w:pPr>
                    <w:widowControl/>
                    <w:adjustRightInd/>
                    <w:jc w:val="right"/>
                    <w:rPr>
                      <w:sz w:val="20"/>
                      <w:szCs w:val="20"/>
                    </w:rPr>
                  </w:pPr>
                  <w:r w:rsidRPr="0046130C">
                    <w:rPr>
                      <w:sz w:val="20"/>
                      <w:szCs w:val="20"/>
                    </w:rPr>
                    <w:t xml:space="preserve">$2,173.28 </w:t>
                  </w:r>
                </w:p>
              </w:tc>
            </w:tr>
            <w:tr w:rsidR="0046130C" w:rsidRPr="0046130C" w14:paraId="57C2F70B" w14:textId="77777777" w:rsidTr="0046130C">
              <w:trPr>
                <w:trHeight w:val="525"/>
              </w:trPr>
              <w:tc>
                <w:tcPr>
                  <w:tcW w:w="2520" w:type="dxa"/>
                  <w:tcBorders>
                    <w:top w:val="nil"/>
                    <w:left w:val="double" w:sz="6" w:space="0" w:color="000000"/>
                    <w:bottom w:val="single" w:sz="8" w:space="0" w:color="000000"/>
                    <w:right w:val="single" w:sz="8" w:space="0" w:color="000000"/>
                  </w:tcBorders>
                  <w:shd w:val="clear" w:color="auto" w:fill="auto"/>
                  <w:vAlign w:val="bottom"/>
                  <w:hideMark/>
                </w:tcPr>
                <w:p w14:paraId="4BD5BED8" w14:textId="77777777" w:rsidR="0046130C" w:rsidRPr="0046130C" w:rsidRDefault="0046130C" w:rsidP="0046130C">
                  <w:pPr>
                    <w:widowControl/>
                    <w:adjustRightInd/>
                    <w:rPr>
                      <w:sz w:val="20"/>
                      <w:szCs w:val="20"/>
                    </w:rPr>
                  </w:pPr>
                  <w:r w:rsidRPr="0046130C">
                    <w:rPr>
                      <w:sz w:val="20"/>
                      <w:szCs w:val="20"/>
                    </w:rPr>
                    <w:t>Reporting Other Changes in Information</w:t>
                  </w:r>
                </w:p>
              </w:tc>
              <w:tc>
                <w:tcPr>
                  <w:tcW w:w="1340" w:type="dxa"/>
                  <w:tcBorders>
                    <w:top w:val="nil"/>
                    <w:left w:val="nil"/>
                    <w:bottom w:val="single" w:sz="8" w:space="0" w:color="000000"/>
                    <w:right w:val="single" w:sz="8" w:space="0" w:color="000000"/>
                  </w:tcBorders>
                  <w:shd w:val="clear" w:color="auto" w:fill="auto"/>
                  <w:vAlign w:val="bottom"/>
                  <w:hideMark/>
                </w:tcPr>
                <w:p w14:paraId="6207523D" w14:textId="77777777" w:rsidR="0046130C" w:rsidRPr="0046130C" w:rsidRDefault="0046130C" w:rsidP="0046130C">
                  <w:pPr>
                    <w:widowControl/>
                    <w:adjustRightInd/>
                    <w:jc w:val="center"/>
                    <w:rPr>
                      <w:sz w:val="20"/>
                      <w:szCs w:val="20"/>
                    </w:rPr>
                  </w:pPr>
                  <w:r w:rsidRPr="0046130C">
                    <w:rPr>
                      <w:sz w:val="20"/>
                      <w:szCs w:val="20"/>
                    </w:rPr>
                    <w:t>1</w:t>
                  </w:r>
                </w:p>
              </w:tc>
              <w:tc>
                <w:tcPr>
                  <w:tcW w:w="1340" w:type="dxa"/>
                  <w:tcBorders>
                    <w:top w:val="nil"/>
                    <w:left w:val="nil"/>
                    <w:bottom w:val="single" w:sz="8" w:space="0" w:color="000000"/>
                    <w:right w:val="single" w:sz="8" w:space="0" w:color="000000"/>
                  </w:tcBorders>
                  <w:shd w:val="clear" w:color="auto" w:fill="auto"/>
                  <w:vAlign w:val="bottom"/>
                  <w:hideMark/>
                </w:tcPr>
                <w:p w14:paraId="4DEACBF8" w14:textId="77777777" w:rsidR="0046130C" w:rsidRPr="0046130C" w:rsidRDefault="0046130C" w:rsidP="0046130C">
                  <w:pPr>
                    <w:widowControl/>
                    <w:adjustRightInd/>
                    <w:jc w:val="center"/>
                    <w:rPr>
                      <w:sz w:val="20"/>
                      <w:szCs w:val="20"/>
                    </w:rPr>
                  </w:pPr>
                  <w:r w:rsidRPr="0046130C">
                    <w:rPr>
                      <w:sz w:val="20"/>
                      <w:szCs w:val="20"/>
                    </w:rPr>
                    <w:t>1</w:t>
                  </w:r>
                </w:p>
              </w:tc>
              <w:tc>
                <w:tcPr>
                  <w:tcW w:w="1340" w:type="dxa"/>
                  <w:tcBorders>
                    <w:top w:val="nil"/>
                    <w:left w:val="nil"/>
                    <w:bottom w:val="single" w:sz="8" w:space="0" w:color="000000"/>
                    <w:right w:val="single" w:sz="8" w:space="0" w:color="000000"/>
                  </w:tcBorders>
                  <w:shd w:val="clear" w:color="auto" w:fill="auto"/>
                  <w:vAlign w:val="bottom"/>
                  <w:hideMark/>
                </w:tcPr>
                <w:p w14:paraId="439FD2D1" w14:textId="77777777" w:rsidR="0046130C" w:rsidRPr="0046130C" w:rsidRDefault="0046130C" w:rsidP="0046130C">
                  <w:pPr>
                    <w:widowControl/>
                    <w:adjustRightInd/>
                    <w:jc w:val="center"/>
                    <w:rPr>
                      <w:sz w:val="20"/>
                      <w:szCs w:val="20"/>
                    </w:rPr>
                  </w:pPr>
                  <w:r w:rsidRPr="0046130C">
                    <w:rPr>
                      <w:sz w:val="20"/>
                      <w:szCs w:val="20"/>
                    </w:rPr>
                    <w:t>0.5</w:t>
                  </w:r>
                </w:p>
              </w:tc>
              <w:tc>
                <w:tcPr>
                  <w:tcW w:w="940" w:type="dxa"/>
                  <w:tcBorders>
                    <w:top w:val="nil"/>
                    <w:left w:val="nil"/>
                    <w:bottom w:val="single" w:sz="8" w:space="0" w:color="000000"/>
                    <w:right w:val="single" w:sz="8" w:space="0" w:color="000000"/>
                  </w:tcBorders>
                  <w:shd w:val="clear" w:color="auto" w:fill="auto"/>
                  <w:vAlign w:val="bottom"/>
                  <w:hideMark/>
                </w:tcPr>
                <w:p w14:paraId="65678114" w14:textId="77777777" w:rsidR="0046130C" w:rsidRPr="0046130C" w:rsidRDefault="0046130C" w:rsidP="0046130C">
                  <w:pPr>
                    <w:widowControl/>
                    <w:adjustRightInd/>
                    <w:jc w:val="right"/>
                    <w:rPr>
                      <w:sz w:val="20"/>
                      <w:szCs w:val="20"/>
                    </w:rPr>
                  </w:pPr>
                  <w:r w:rsidRPr="0046130C">
                    <w:rPr>
                      <w:sz w:val="20"/>
                      <w:szCs w:val="20"/>
                    </w:rPr>
                    <w:t>NA</w:t>
                  </w:r>
                </w:p>
              </w:tc>
              <w:tc>
                <w:tcPr>
                  <w:tcW w:w="980" w:type="dxa"/>
                  <w:tcBorders>
                    <w:top w:val="nil"/>
                    <w:left w:val="nil"/>
                    <w:bottom w:val="single" w:sz="8" w:space="0" w:color="000000"/>
                    <w:right w:val="single" w:sz="8" w:space="0" w:color="000000"/>
                  </w:tcBorders>
                  <w:shd w:val="clear" w:color="auto" w:fill="auto"/>
                  <w:vAlign w:val="bottom"/>
                  <w:hideMark/>
                </w:tcPr>
                <w:p w14:paraId="4ECFBE59" w14:textId="77777777" w:rsidR="0046130C" w:rsidRPr="0046130C" w:rsidRDefault="0046130C" w:rsidP="0046130C">
                  <w:pPr>
                    <w:widowControl/>
                    <w:adjustRightInd/>
                    <w:jc w:val="right"/>
                    <w:rPr>
                      <w:sz w:val="20"/>
                      <w:szCs w:val="20"/>
                    </w:rPr>
                  </w:pPr>
                  <w:r w:rsidRPr="0046130C">
                    <w:rPr>
                      <w:sz w:val="20"/>
                      <w:szCs w:val="20"/>
                    </w:rPr>
                    <w:t xml:space="preserve">$128.28 </w:t>
                  </w:r>
                </w:p>
              </w:tc>
              <w:tc>
                <w:tcPr>
                  <w:tcW w:w="1000" w:type="dxa"/>
                  <w:tcBorders>
                    <w:top w:val="nil"/>
                    <w:left w:val="nil"/>
                    <w:bottom w:val="single" w:sz="8" w:space="0" w:color="000000"/>
                    <w:right w:val="double" w:sz="6" w:space="0" w:color="000000"/>
                  </w:tcBorders>
                  <w:shd w:val="clear" w:color="auto" w:fill="auto"/>
                  <w:vAlign w:val="bottom"/>
                  <w:hideMark/>
                </w:tcPr>
                <w:p w14:paraId="12C62D42" w14:textId="77777777" w:rsidR="0046130C" w:rsidRPr="0046130C" w:rsidRDefault="0046130C" w:rsidP="0046130C">
                  <w:pPr>
                    <w:widowControl/>
                    <w:adjustRightInd/>
                    <w:jc w:val="right"/>
                    <w:rPr>
                      <w:sz w:val="20"/>
                      <w:szCs w:val="20"/>
                    </w:rPr>
                  </w:pPr>
                  <w:r w:rsidRPr="0046130C">
                    <w:rPr>
                      <w:sz w:val="20"/>
                      <w:szCs w:val="20"/>
                    </w:rPr>
                    <w:t xml:space="preserve">$128.28 </w:t>
                  </w:r>
                </w:p>
              </w:tc>
            </w:tr>
            <w:tr w:rsidR="0046130C" w:rsidRPr="0046130C" w14:paraId="6734DE3B" w14:textId="77777777" w:rsidTr="0046130C">
              <w:trPr>
                <w:trHeight w:val="270"/>
              </w:trPr>
              <w:tc>
                <w:tcPr>
                  <w:tcW w:w="2520" w:type="dxa"/>
                  <w:tcBorders>
                    <w:top w:val="nil"/>
                    <w:left w:val="double" w:sz="6" w:space="0" w:color="000000"/>
                    <w:bottom w:val="single" w:sz="8" w:space="0" w:color="000000"/>
                    <w:right w:val="single" w:sz="8" w:space="0" w:color="000000"/>
                  </w:tcBorders>
                  <w:shd w:val="clear" w:color="auto" w:fill="auto"/>
                  <w:vAlign w:val="bottom"/>
                  <w:hideMark/>
                </w:tcPr>
                <w:p w14:paraId="6D8C586E" w14:textId="77777777" w:rsidR="0046130C" w:rsidRPr="0046130C" w:rsidRDefault="0046130C" w:rsidP="0046130C">
                  <w:pPr>
                    <w:widowControl/>
                    <w:adjustRightInd/>
                    <w:rPr>
                      <w:sz w:val="20"/>
                      <w:szCs w:val="20"/>
                    </w:rPr>
                  </w:pPr>
                  <w:r w:rsidRPr="0046130C">
                    <w:rPr>
                      <w:sz w:val="20"/>
                      <w:szCs w:val="20"/>
                    </w:rPr>
                    <w:t>Record keeping</w:t>
                  </w:r>
                </w:p>
              </w:tc>
              <w:tc>
                <w:tcPr>
                  <w:tcW w:w="1340" w:type="dxa"/>
                  <w:tcBorders>
                    <w:top w:val="nil"/>
                    <w:left w:val="nil"/>
                    <w:bottom w:val="single" w:sz="8" w:space="0" w:color="000000"/>
                    <w:right w:val="single" w:sz="8" w:space="0" w:color="000000"/>
                  </w:tcBorders>
                  <w:shd w:val="clear" w:color="auto" w:fill="auto"/>
                  <w:vAlign w:val="bottom"/>
                  <w:hideMark/>
                </w:tcPr>
                <w:p w14:paraId="3C296255" w14:textId="77777777" w:rsidR="0046130C" w:rsidRPr="0046130C" w:rsidRDefault="0046130C" w:rsidP="0046130C">
                  <w:pPr>
                    <w:widowControl/>
                    <w:adjustRightInd/>
                    <w:jc w:val="center"/>
                    <w:rPr>
                      <w:sz w:val="20"/>
                      <w:szCs w:val="20"/>
                    </w:rPr>
                  </w:pPr>
                  <w:r w:rsidRPr="0046130C">
                    <w:rPr>
                      <w:sz w:val="20"/>
                      <w:szCs w:val="20"/>
                    </w:rPr>
                    <w:t>0</w:t>
                  </w:r>
                </w:p>
              </w:tc>
              <w:tc>
                <w:tcPr>
                  <w:tcW w:w="1340" w:type="dxa"/>
                  <w:tcBorders>
                    <w:top w:val="nil"/>
                    <w:left w:val="nil"/>
                    <w:bottom w:val="single" w:sz="8" w:space="0" w:color="000000"/>
                    <w:right w:val="single" w:sz="8" w:space="0" w:color="000000"/>
                  </w:tcBorders>
                  <w:shd w:val="clear" w:color="auto" w:fill="auto"/>
                  <w:vAlign w:val="bottom"/>
                  <w:hideMark/>
                </w:tcPr>
                <w:p w14:paraId="1AAE1FC9" w14:textId="77777777" w:rsidR="0046130C" w:rsidRPr="0046130C" w:rsidRDefault="0046130C" w:rsidP="0046130C">
                  <w:pPr>
                    <w:widowControl/>
                    <w:adjustRightInd/>
                    <w:jc w:val="center"/>
                    <w:rPr>
                      <w:sz w:val="20"/>
                      <w:szCs w:val="20"/>
                    </w:rPr>
                  </w:pPr>
                  <w:r w:rsidRPr="0046130C">
                    <w:rPr>
                      <w:sz w:val="20"/>
                      <w:szCs w:val="20"/>
                    </w:rPr>
                    <w:t>32</w:t>
                  </w:r>
                </w:p>
              </w:tc>
              <w:tc>
                <w:tcPr>
                  <w:tcW w:w="1340" w:type="dxa"/>
                  <w:tcBorders>
                    <w:top w:val="nil"/>
                    <w:left w:val="nil"/>
                    <w:bottom w:val="single" w:sz="8" w:space="0" w:color="000000"/>
                    <w:right w:val="single" w:sz="8" w:space="0" w:color="000000"/>
                  </w:tcBorders>
                  <w:shd w:val="clear" w:color="auto" w:fill="auto"/>
                  <w:vAlign w:val="bottom"/>
                  <w:hideMark/>
                </w:tcPr>
                <w:p w14:paraId="250631BF" w14:textId="77777777" w:rsidR="0046130C" w:rsidRPr="0046130C" w:rsidRDefault="0046130C" w:rsidP="0046130C">
                  <w:pPr>
                    <w:widowControl/>
                    <w:adjustRightInd/>
                    <w:jc w:val="center"/>
                    <w:rPr>
                      <w:sz w:val="20"/>
                      <w:szCs w:val="20"/>
                    </w:rPr>
                  </w:pPr>
                  <w:r w:rsidRPr="0046130C">
                    <w:rPr>
                      <w:sz w:val="20"/>
                      <w:szCs w:val="20"/>
                    </w:rPr>
                    <w:t>0</w:t>
                  </w:r>
                </w:p>
              </w:tc>
              <w:tc>
                <w:tcPr>
                  <w:tcW w:w="940" w:type="dxa"/>
                  <w:tcBorders>
                    <w:top w:val="nil"/>
                    <w:left w:val="nil"/>
                    <w:bottom w:val="single" w:sz="8" w:space="0" w:color="000000"/>
                    <w:right w:val="single" w:sz="8" w:space="0" w:color="000000"/>
                  </w:tcBorders>
                  <w:shd w:val="clear" w:color="auto" w:fill="auto"/>
                  <w:vAlign w:val="bottom"/>
                  <w:hideMark/>
                </w:tcPr>
                <w:p w14:paraId="79AF2A0D" w14:textId="77777777" w:rsidR="0046130C" w:rsidRPr="0046130C" w:rsidRDefault="0046130C" w:rsidP="0046130C">
                  <w:pPr>
                    <w:widowControl/>
                    <w:adjustRightInd/>
                    <w:jc w:val="right"/>
                    <w:rPr>
                      <w:sz w:val="20"/>
                      <w:szCs w:val="20"/>
                    </w:rPr>
                  </w:pPr>
                  <w:r w:rsidRPr="0046130C">
                    <w:rPr>
                      <w:sz w:val="20"/>
                      <w:szCs w:val="20"/>
                    </w:rPr>
                    <w:t xml:space="preserve">$1,612.80 </w:t>
                  </w:r>
                </w:p>
              </w:tc>
              <w:tc>
                <w:tcPr>
                  <w:tcW w:w="980" w:type="dxa"/>
                  <w:tcBorders>
                    <w:top w:val="nil"/>
                    <w:left w:val="nil"/>
                    <w:bottom w:val="single" w:sz="8" w:space="0" w:color="000000"/>
                    <w:right w:val="single" w:sz="8" w:space="0" w:color="000000"/>
                  </w:tcBorders>
                  <w:shd w:val="clear" w:color="auto" w:fill="auto"/>
                  <w:vAlign w:val="bottom"/>
                  <w:hideMark/>
                </w:tcPr>
                <w:p w14:paraId="4FED215E" w14:textId="77777777" w:rsidR="0046130C" w:rsidRPr="0046130C" w:rsidRDefault="0046130C" w:rsidP="0046130C">
                  <w:pPr>
                    <w:widowControl/>
                    <w:adjustRightInd/>
                    <w:jc w:val="right"/>
                    <w:rPr>
                      <w:sz w:val="20"/>
                      <w:szCs w:val="20"/>
                    </w:rPr>
                  </w:pPr>
                  <w:r w:rsidRPr="0046130C">
                    <w:rPr>
                      <w:sz w:val="20"/>
                      <w:szCs w:val="20"/>
                    </w:rPr>
                    <w:t xml:space="preserve">$1,612.80 </w:t>
                  </w:r>
                </w:p>
              </w:tc>
              <w:tc>
                <w:tcPr>
                  <w:tcW w:w="1000" w:type="dxa"/>
                  <w:tcBorders>
                    <w:top w:val="nil"/>
                    <w:left w:val="nil"/>
                    <w:bottom w:val="single" w:sz="8" w:space="0" w:color="000000"/>
                    <w:right w:val="double" w:sz="6" w:space="0" w:color="000000"/>
                  </w:tcBorders>
                  <w:shd w:val="clear" w:color="auto" w:fill="auto"/>
                  <w:vAlign w:val="bottom"/>
                  <w:hideMark/>
                </w:tcPr>
                <w:p w14:paraId="5725FBAC" w14:textId="77777777" w:rsidR="0046130C" w:rsidRPr="0046130C" w:rsidRDefault="0046130C" w:rsidP="0046130C">
                  <w:pPr>
                    <w:widowControl/>
                    <w:adjustRightInd/>
                    <w:jc w:val="right"/>
                    <w:rPr>
                      <w:sz w:val="20"/>
                      <w:szCs w:val="20"/>
                    </w:rPr>
                  </w:pPr>
                  <w:r w:rsidRPr="0046130C">
                    <w:rPr>
                      <w:sz w:val="20"/>
                      <w:szCs w:val="20"/>
                    </w:rPr>
                    <w:t xml:space="preserve">$1,612.80 </w:t>
                  </w:r>
                </w:p>
              </w:tc>
            </w:tr>
            <w:tr w:rsidR="0046130C" w:rsidRPr="0046130C" w14:paraId="7CDF3189" w14:textId="77777777" w:rsidTr="0046130C">
              <w:trPr>
                <w:trHeight w:val="525"/>
              </w:trPr>
              <w:tc>
                <w:tcPr>
                  <w:tcW w:w="2520" w:type="dxa"/>
                  <w:tcBorders>
                    <w:top w:val="nil"/>
                    <w:left w:val="double" w:sz="6" w:space="0" w:color="000000"/>
                    <w:bottom w:val="double" w:sz="6" w:space="0" w:color="000000"/>
                    <w:right w:val="single" w:sz="8" w:space="0" w:color="000000"/>
                  </w:tcBorders>
                  <w:shd w:val="clear" w:color="auto" w:fill="auto"/>
                  <w:vAlign w:val="bottom"/>
                  <w:hideMark/>
                </w:tcPr>
                <w:p w14:paraId="723E7B16" w14:textId="77777777" w:rsidR="0046130C" w:rsidRPr="0046130C" w:rsidRDefault="0046130C" w:rsidP="0046130C">
                  <w:pPr>
                    <w:widowControl/>
                    <w:adjustRightInd/>
                    <w:rPr>
                      <w:b/>
                      <w:bCs/>
                      <w:sz w:val="20"/>
                      <w:szCs w:val="20"/>
                    </w:rPr>
                  </w:pPr>
                  <w:r w:rsidRPr="0046130C">
                    <w:rPr>
                      <w:b/>
                      <w:bCs/>
                      <w:sz w:val="20"/>
                      <w:szCs w:val="20"/>
                    </w:rPr>
                    <w:t>Total Labor Costs for a Typical Facility</w:t>
                  </w:r>
                </w:p>
              </w:tc>
              <w:tc>
                <w:tcPr>
                  <w:tcW w:w="1340" w:type="dxa"/>
                  <w:tcBorders>
                    <w:top w:val="nil"/>
                    <w:left w:val="nil"/>
                    <w:bottom w:val="double" w:sz="6" w:space="0" w:color="000000"/>
                    <w:right w:val="nil"/>
                  </w:tcBorders>
                  <w:shd w:val="clear" w:color="auto" w:fill="auto"/>
                  <w:vAlign w:val="bottom"/>
                  <w:hideMark/>
                </w:tcPr>
                <w:p w14:paraId="6204EC48" w14:textId="77777777" w:rsidR="0046130C" w:rsidRPr="0046130C" w:rsidRDefault="0046130C" w:rsidP="0046130C">
                  <w:pPr>
                    <w:widowControl/>
                    <w:adjustRightInd/>
                    <w:rPr>
                      <w:b/>
                      <w:bCs/>
                      <w:sz w:val="20"/>
                      <w:szCs w:val="20"/>
                    </w:rPr>
                  </w:pPr>
                  <w:r w:rsidRPr="0046130C">
                    <w:rPr>
                      <w:b/>
                      <w:bCs/>
                      <w:sz w:val="20"/>
                      <w:szCs w:val="20"/>
                    </w:rPr>
                    <w:t> </w:t>
                  </w:r>
                </w:p>
              </w:tc>
              <w:tc>
                <w:tcPr>
                  <w:tcW w:w="1340" w:type="dxa"/>
                  <w:tcBorders>
                    <w:top w:val="nil"/>
                    <w:left w:val="nil"/>
                    <w:bottom w:val="double" w:sz="6" w:space="0" w:color="000000"/>
                    <w:right w:val="nil"/>
                  </w:tcBorders>
                  <w:shd w:val="clear" w:color="auto" w:fill="auto"/>
                  <w:vAlign w:val="bottom"/>
                  <w:hideMark/>
                </w:tcPr>
                <w:p w14:paraId="71E97892" w14:textId="77777777" w:rsidR="0046130C" w:rsidRPr="0046130C" w:rsidRDefault="0046130C" w:rsidP="0046130C">
                  <w:pPr>
                    <w:widowControl/>
                    <w:adjustRightInd/>
                    <w:rPr>
                      <w:b/>
                      <w:bCs/>
                      <w:sz w:val="20"/>
                      <w:szCs w:val="20"/>
                    </w:rPr>
                  </w:pPr>
                  <w:r w:rsidRPr="0046130C">
                    <w:rPr>
                      <w:b/>
                      <w:bCs/>
                      <w:sz w:val="20"/>
                      <w:szCs w:val="20"/>
                    </w:rPr>
                    <w:t> </w:t>
                  </w:r>
                </w:p>
              </w:tc>
              <w:tc>
                <w:tcPr>
                  <w:tcW w:w="1340" w:type="dxa"/>
                  <w:tcBorders>
                    <w:top w:val="nil"/>
                    <w:left w:val="nil"/>
                    <w:bottom w:val="double" w:sz="6" w:space="0" w:color="000000"/>
                    <w:right w:val="single" w:sz="8" w:space="0" w:color="000000"/>
                  </w:tcBorders>
                  <w:shd w:val="clear" w:color="auto" w:fill="auto"/>
                  <w:vAlign w:val="bottom"/>
                  <w:hideMark/>
                </w:tcPr>
                <w:p w14:paraId="24C360E4" w14:textId="77777777" w:rsidR="0046130C" w:rsidRPr="0046130C" w:rsidRDefault="0046130C" w:rsidP="0046130C">
                  <w:pPr>
                    <w:widowControl/>
                    <w:adjustRightInd/>
                    <w:rPr>
                      <w:b/>
                      <w:bCs/>
                      <w:sz w:val="20"/>
                      <w:szCs w:val="20"/>
                    </w:rPr>
                  </w:pPr>
                  <w:r w:rsidRPr="0046130C">
                    <w:rPr>
                      <w:b/>
                      <w:bCs/>
                      <w:sz w:val="20"/>
                      <w:szCs w:val="20"/>
                    </w:rPr>
                    <w:t> </w:t>
                  </w:r>
                </w:p>
              </w:tc>
              <w:tc>
                <w:tcPr>
                  <w:tcW w:w="940" w:type="dxa"/>
                  <w:tcBorders>
                    <w:top w:val="nil"/>
                    <w:left w:val="nil"/>
                    <w:bottom w:val="double" w:sz="6" w:space="0" w:color="000000"/>
                    <w:right w:val="single" w:sz="8" w:space="0" w:color="000000"/>
                  </w:tcBorders>
                  <w:shd w:val="clear" w:color="auto" w:fill="auto"/>
                  <w:vAlign w:val="bottom"/>
                  <w:hideMark/>
                </w:tcPr>
                <w:p w14:paraId="7668DB5F" w14:textId="77777777" w:rsidR="0046130C" w:rsidRPr="00613D9D" w:rsidRDefault="0046130C" w:rsidP="0046130C">
                  <w:pPr>
                    <w:widowControl/>
                    <w:adjustRightInd/>
                    <w:jc w:val="right"/>
                    <w:rPr>
                      <w:b/>
                      <w:bCs/>
                      <w:color w:val="008000"/>
                      <w:sz w:val="20"/>
                      <w:szCs w:val="20"/>
                    </w:rPr>
                  </w:pPr>
                  <w:r w:rsidRPr="00613D9D">
                    <w:rPr>
                      <w:b/>
                      <w:bCs/>
                      <w:color w:val="008000"/>
                      <w:sz w:val="20"/>
                      <w:szCs w:val="20"/>
                    </w:rPr>
                    <w:t xml:space="preserve">$5,922.88 </w:t>
                  </w:r>
                </w:p>
              </w:tc>
              <w:tc>
                <w:tcPr>
                  <w:tcW w:w="980" w:type="dxa"/>
                  <w:tcBorders>
                    <w:top w:val="nil"/>
                    <w:left w:val="nil"/>
                    <w:bottom w:val="double" w:sz="6" w:space="0" w:color="000000"/>
                    <w:right w:val="single" w:sz="8" w:space="0" w:color="000000"/>
                  </w:tcBorders>
                  <w:shd w:val="clear" w:color="auto" w:fill="auto"/>
                  <w:vAlign w:val="bottom"/>
                  <w:hideMark/>
                </w:tcPr>
                <w:p w14:paraId="2FB4D5D5" w14:textId="77777777" w:rsidR="0046130C" w:rsidRPr="0046130C" w:rsidRDefault="0046130C" w:rsidP="0046130C">
                  <w:pPr>
                    <w:widowControl/>
                    <w:adjustRightInd/>
                    <w:jc w:val="right"/>
                    <w:rPr>
                      <w:b/>
                      <w:bCs/>
                      <w:sz w:val="20"/>
                      <w:szCs w:val="20"/>
                    </w:rPr>
                  </w:pPr>
                  <w:r w:rsidRPr="0046130C">
                    <w:rPr>
                      <w:b/>
                      <w:bCs/>
                      <w:sz w:val="20"/>
                      <w:szCs w:val="20"/>
                    </w:rPr>
                    <w:t xml:space="preserve">$3,914.36 </w:t>
                  </w:r>
                </w:p>
              </w:tc>
              <w:tc>
                <w:tcPr>
                  <w:tcW w:w="1000" w:type="dxa"/>
                  <w:tcBorders>
                    <w:top w:val="nil"/>
                    <w:left w:val="nil"/>
                    <w:bottom w:val="double" w:sz="6" w:space="0" w:color="000000"/>
                    <w:right w:val="double" w:sz="6" w:space="0" w:color="000000"/>
                  </w:tcBorders>
                  <w:shd w:val="clear" w:color="auto" w:fill="auto"/>
                  <w:vAlign w:val="bottom"/>
                  <w:hideMark/>
                </w:tcPr>
                <w:p w14:paraId="477C0BD8" w14:textId="77777777" w:rsidR="0046130C" w:rsidRPr="0046130C" w:rsidRDefault="0046130C" w:rsidP="0046130C">
                  <w:pPr>
                    <w:widowControl/>
                    <w:adjustRightInd/>
                    <w:jc w:val="right"/>
                    <w:rPr>
                      <w:b/>
                      <w:bCs/>
                      <w:sz w:val="20"/>
                      <w:szCs w:val="20"/>
                    </w:rPr>
                  </w:pPr>
                  <w:r w:rsidRPr="0046130C">
                    <w:rPr>
                      <w:b/>
                      <w:bCs/>
                      <w:sz w:val="20"/>
                      <w:szCs w:val="20"/>
                    </w:rPr>
                    <w:t xml:space="preserve">$3,914.36 </w:t>
                  </w:r>
                </w:p>
              </w:tc>
            </w:tr>
          </w:tbl>
          <w:p w14:paraId="117ED3DE" w14:textId="77777777" w:rsidR="00E34A8F" w:rsidRPr="00E34A8F" w:rsidRDefault="00E34A8F" w:rsidP="00E34A8F">
            <w:pPr>
              <w:widowControl/>
              <w:adjustRightInd/>
              <w:rPr>
                <w:sz w:val="20"/>
                <w:szCs w:val="20"/>
              </w:rPr>
            </w:pPr>
            <w:r w:rsidRPr="00E34A8F">
              <w:rPr>
                <w:sz w:val="20"/>
                <w:szCs w:val="20"/>
              </w:rPr>
              <w:t xml:space="preserve"> A “typical” respondent is assumed to report </w:t>
            </w:r>
            <w:r w:rsidRPr="00E34A8F">
              <w:rPr>
                <w:b/>
                <w:bCs/>
                <w:sz w:val="20"/>
                <w:szCs w:val="20"/>
              </w:rPr>
              <w:t>eight</w:t>
            </w:r>
            <w:r w:rsidRPr="00E34A8F">
              <w:rPr>
                <w:sz w:val="20"/>
                <w:szCs w:val="20"/>
              </w:rPr>
              <w:t xml:space="preserve"> continuous hazardous substance releases in year one and to experience a change in </w:t>
            </w:r>
            <w:r w:rsidRPr="00E34A8F">
              <w:rPr>
                <w:b/>
                <w:bCs/>
                <w:sz w:val="20"/>
                <w:szCs w:val="20"/>
              </w:rPr>
              <w:t>one release in the second and third years</w:t>
            </w:r>
            <w:r w:rsidRPr="00E34A8F">
              <w:rPr>
                <w:sz w:val="20"/>
                <w:szCs w:val="20"/>
              </w:rPr>
              <w:t xml:space="preserve"> (e.g., the frequency of the release per week changes each year, causing a modification in the estimated annual release amount).  No other </w:t>
            </w:r>
            <w:r w:rsidRPr="00E34A8F">
              <w:rPr>
                <w:sz w:val="20"/>
                <w:szCs w:val="20"/>
                <w:u w:val="single"/>
              </w:rPr>
              <w:t>conditional</w:t>
            </w:r>
            <w:r w:rsidRPr="00E34A8F">
              <w:rPr>
                <w:sz w:val="20"/>
                <w:szCs w:val="20"/>
              </w:rPr>
              <w:t xml:space="preserve"> activities are assumed to be required of the typical respondent.</w:t>
            </w:r>
          </w:p>
        </w:tc>
      </w:tr>
    </w:tbl>
    <w:p w14:paraId="1C679856" w14:textId="77777777" w:rsidR="00513A4B" w:rsidRPr="00513A4B" w:rsidRDefault="00513A4B" w:rsidP="00513A4B">
      <w:pPr>
        <w:keepNext/>
        <w:keepLines/>
        <w:rPr>
          <w:bCs/>
          <w:sz w:val="20"/>
          <w:szCs w:val="20"/>
        </w:rPr>
      </w:pPr>
      <w:r>
        <w:rPr>
          <w:bCs/>
          <w:sz w:val="20"/>
          <w:szCs w:val="20"/>
        </w:rPr>
        <w:t>N/A = Not Applicable</w:t>
      </w:r>
    </w:p>
    <w:p w14:paraId="4D4BED37" w14:textId="77777777" w:rsidR="008B3606" w:rsidRDefault="00255258" w:rsidP="00255258">
      <w:pPr>
        <w:pStyle w:val="Heading3"/>
        <w:tabs>
          <w:tab w:val="clear" w:pos="1800"/>
          <w:tab w:val="num" w:pos="1080"/>
        </w:tabs>
      </w:pPr>
      <w:bookmarkStart w:id="61" w:name="_Toc302552508"/>
      <w:r>
        <w:t>Estimating Capital and Operations and Maintenance Costs</w:t>
      </w:r>
      <w:bookmarkEnd w:id="61"/>
    </w:p>
    <w:p w14:paraId="74D825E1" w14:textId="77777777" w:rsidR="00255258" w:rsidRDefault="00255258" w:rsidP="00255258"/>
    <w:p w14:paraId="23320CD8" w14:textId="77777777" w:rsidR="00351226" w:rsidRPr="001F3A52" w:rsidRDefault="00351226" w:rsidP="00351226">
      <w:pPr>
        <w:ind w:firstLine="720"/>
      </w:pPr>
      <w:r w:rsidRPr="001F3A52">
        <w:t>Capital costs usually include any produced physical good needed to provide the needed information, such as machinery, computers, and other equipment.  EPA does not anticipate that respondents will incur capital costs in carrying out the information collection requirements of the CRRR.</w:t>
      </w:r>
    </w:p>
    <w:p w14:paraId="522387B8" w14:textId="77777777" w:rsidR="00351226" w:rsidRPr="001F3A52" w:rsidRDefault="00351226" w:rsidP="00351226"/>
    <w:p w14:paraId="381A8219" w14:textId="62A795F5" w:rsidR="00351226" w:rsidRDefault="00351226" w:rsidP="00C32FD1">
      <w:r w:rsidRPr="001F3A52">
        <w:lastRenderedPageBreak/>
        <w:t>Operating and Maintenance (O&amp;M) costs are those costs associated with a paperwork requirement incurred continually over the life of the ICR.  They</w:t>
      </w:r>
      <w:r w:rsidRPr="001F3A52">
        <w:rPr>
          <w:b/>
          <w:bCs/>
        </w:rPr>
        <w:t xml:space="preserve"> </w:t>
      </w:r>
      <w:r w:rsidRPr="001F3A52">
        <w:t xml:space="preserve">are defined by the PRA as </w:t>
      </w:r>
      <w:r>
        <w:t>“</w:t>
      </w:r>
      <w:r w:rsidRPr="001F3A52">
        <w:t>the recurring dollar amount of cost associated with O&amp;M or purchasing services.</w:t>
      </w:r>
      <w:r>
        <w:t>”</w:t>
      </w:r>
      <w:r w:rsidRPr="001F3A52">
        <w:t xml:space="preserve">  The O&amp;M costs that are incurred by industries are shown in Exhibit 5.  For this ICR, O&amp;M costs cover photocopying of report templates to be filled out for each release source (25 cents per page) and postage and an envelope for reports sent to the Agency.  There are no O&amp;M costs associated with providing the initial telephone notification to the Agency or reporting an SSI under the CRRR.  Each written report, the initial written report, the follow-up written report, changes in sources, composition, or frequency of release report, and other changes in information report, are assumed to require five </w:t>
      </w:r>
      <w:r w:rsidR="005D16AB">
        <w:t xml:space="preserve">(5) </w:t>
      </w:r>
      <w:r w:rsidRPr="001F3A52">
        <w:t>pages.  Requests for additional information by the Agency will vary considerably in scope and length, depending on the nature of the request, however, it is estimated that it will take industry approximately 10 pages to complete the Agency</w:t>
      </w:r>
      <w:r>
        <w:t>’</w:t>
      </w:r>
      <w:r w:rsidRPr="001F3A52">
        <w:t xml:space="preserve">s request.  </w:t>
      </w:r>
      <w:r w:rsidRPr="00970C49">
        <w:t xml:space="preserve">The postage and mailing costs are assumed to be equal for all documents, and are calculated as </w:t>
      </w:r>
      <w:r w:rsidR="00DF4868" w:rsidRPr="00E27E17">
        <w:t xml:space="preserve">$6.91 </w:t>
      </w:r>
      <w:r w:rsidR="00DF4868" w:rsidRPr="00653D7F">
        <w:rPr>
          <w:color w:val="000000" w:themeColor="text1"/>
        </w:rPr>
        <w:t xml:space="preserve">postage and </w:t>
      </w:r>
      <w:r w:rsidR="00DF4868" w:rsidRPr="00E27E17">
        <w:t xml:space="preserve">$0.30 per envelope, totaling $7.21 </w:t>
      </w:r>
      <w:r w:rsidR="00DF4868" w:rsidRPr="00653D7F">
        <w:rPr>
          <w:color w:val="000000" w:themeColor="text1"/>
        </w:rPr>
        <w:t>per report</w:t>
      </w:r>
      <w:r w:rsidRPr="00970C49">
        <w:t>.</w:t>
      </w:r>
      <w:r w:rsidR="00970C49" w:rsidRPr="00970C49">
        <w:rPr>
          <w:rStyle w:val="FootnoteReference"/>
          <w:sz w:val="20"/>
          <w:vertAlign w:val="superscript"/>
        </w:rPr>
        <w:footnoteReference w:id="5"/>
      </w:r>
      <w:r w:rsidRPr="001F3A52">
        <w:t xml:space="preserve">  </w:t>
      </w:r>
    </w:p>
    <w:p w14:paraId="6BFDD444" w14:textId="77777777" w:rsidR="004E674D" w:rsidRDefault="004E674D" w:rsidP="00351226">
      <w:pPr>
        <w:ind w:firstLine="720"/>
      </w:pPr>
    </w:p>
    <w:p w14:paraId="03C53715" w14:textId="77777777" w:rsidR="00B41B73" w:rsidRPr="00B41B73" w:rsidRDefault="00B41B73" w:rsidP="00B41B73">
      <w:pPr>
        <w:keepNext/>
        <w:jc w:val="center"/>
        <w:outlineLvl w:val="4"/>
        <w:rPr>
          <w:b/>
        </w:rPr>
      </w:pPr>
      <w:bookmarkStart w:id="62" w:name="_Toc302552509"/>
      <w:r>
        <w:rPr>
          <w:b/>
        </w:rPr>
        <w:t>Exhibit 5 – Unit Operating and Maintenance Costs per Respondent Information Collection Activity</w:t>
      </w:r>
      <w:bookmarkEnd w:id="62"/>
    </w:p>
    <w:p w14:paraId="3FDED634" w14:textId="2E411C3D" w:rsidR="00513A4B" w:rsidRDefault="007D2484" w:rsidP="00BF767F">
      <w:pPr>
        <w:jc w:val="center"/>
      </w:pPr>
      <w:r w:rsidRPr="00A427FE">
        <w:rPr>
          <w:noProof/>
        </w:rPr>
        <w:drawing>
          <wp:inline distT="0" distB="0" distL="0" distR="0" wp14:anchorId="12E515B2" wp14:editId="797E16B7">
            <wp:extent cx="5505450" cy="27241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0" cy="2724150"/>
                    </a:xfrm>
                    <a:prstGeom prst="rect">
                      <a:avLst/>
                    </a:prstGeom>
                    <a:noFill/>
                    <a:ln>
                      <a:noFill/>
                    </a:ln>
                  </pic:spPr>
                </pic:pic>
              </a:graphicData>
            </a:graphic>
          </wp:inline>
        </w:drawing>
      </w:r>
    </w:p>
    <w:p w14:paraId="62CC5DDC" w14:textId="77777777" w:rsidR="00805571" w:rsidRDefault="00805571" w:rsidP="00351226">
      <w:pPr>
        <w:ind w:firstLine="720"/>
        <w:rPr>
          <w:color w:val="33CC33"/>
        </w:rPr>
      </w:pPr>
    </w:p>
    <w:p w14:paraId="55399A03" w14:textId="77777777" w:rsidR="005D16AB" w:rsidRPr="00B23DF0" w:rsidRDefault="001D26B6" w:rsidP="00351226">
      <w:pPr>
        <w:ind w:firstLine="720"/>
        <w:rPr>
          <w:color w:val="008000"/>
        </w:rPr>
      </w:pPr>
      <w:r w:rsidRPr="00B23DF0">
        <w:rPr>
          <w:color w:val="008000"/>
        </w:rPr>
        <w:t xml:space="preserve">Exhibit 5 (With Forms) shows the O&amp;M costs that are incurred by industries that are using the continuous release reporting forms. </w:t>
      </w:r>
      <w:r w:rsidR="005D16AB" w:rsidRPr="00B23DF0">
        <w:rPr>
          <w:color w:val="008000"/>
        </w:rPr>
        <w:t>We are not making changes to the assumption that each written report, the initial written report, and other changes in information report will require five pages; however, this assumption will be reviewed during the next renewal.</w:t>
      </w:r>
      <w:r w:rsidRPr="00B23DF0">
        <w:rPr>
          <w:color w:val="008000"/>
        </w:rPr>
        <w:t xml:space="preserve">  </w:t>
      </w:r>
      <w:r w:rsidR="008813A3" w:rsidRPr="00B23DF0">
        <w:rPr>
          <w:color w:val="008000"/>
        </w:rPr>
        <w:t>There is no difference realized in O&amp;M unit costs when the continuous release reporting forms are used.</w:t>
      </w:r>
    </w:p>
    <w:p w14:paraId="1DD63DCF" w14:textId="77777777" w:rsidR="00B41B73" w:rsidRDefault="00B41B73" w:rsidP="00351226">
      <w:pPr>
        <w:ind w:firstLine="720"/>
        <w:rPr>
          <w:color w:val="33CC33"/>
        </w:rPr>
      </w:pPr>
    </w:p>
    <w:p w14:paraId="3F0DE413" w14:textId="77777777" w:rsidR="001D26B6" w:rsidRPr="00B23DF0" w:rsidRDefault="00B41B73" w:rsidP="00B41B73">
      <w:pPr>
        <w:keepNext/>
        <w:jc w:val="center"/>
        <w:outlineLvl w:val="4"/>
        <w:rPr>
          <w:b/>
          <w:color w:val="008000"/>
        </w:rPr>
      </w:pPr>
      <w:bookmarkStart w:id="63" w:name="_Toc302552510"/>
      <w:r w:rsidRPr="00B23DF0">
        <w:rPr>
          <w:b/>
          <w:color w:val="008000"/>
        </w:rPr>
        <w:lastRenderedPageBreak/>
        <w:t>Exhibit 5 (With Forms) – Unit Operating and Maintenance Costs per Respondent Information Collection Activity</w:t>
      </w:r>
      <w:bookmarkEnd w:id="63"/>
    </w:p>
    <w:p w14:paraId="12F37762" w14:textId="06567DBB" w:rsidR="001D26B6" w:rsidRDefault="002D5E9E" w:rsidP="00B41B73">
      <w:pPr>
        <w:keepNext/>
        <w:jc w:val="center"/>
      </w:pPr>
      <w:r w:rsidRPr="000B0B58">
        <w:rPr>
          <w:noProof/>
        </w:rPr>
        <w:drawing>
          <wp:inline distT="0" distB="0" distL="0" distR="0" wp14:anchorId="3F2222EF" wp14:editId="1BA306EA">
            <wp:extent cx="5505450" cy="27241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5450" cy="2724150"/>
                    </a:xfrm>
                    <a:prstGeom prst="rect">
                      <a:avLst/>
                    </a:prstGeom>
                    <a:noFill/>
                    <a:ln>
                      <a:noFill/>
                    </a:ln>
                  </pic:spPr>
                </pic:pic>
              </a:graphicData>
            </a:graphic>
          </wp:inline>
        </w:drawing>
      </w:r>
    </w:p>
    <w:p w14:paraId="2137B336" w14:textId="77777777" w:rsidR="00BF767F" w:rsidRDefault="00BF767F" w:rsidP="00351226">
      <w:pPr>
        <w:ind w:firstLine="720"/>
      </w:pPr>
    </w:p>
    <w:p w14:paraId="70E2D277" w14:textId="77777777" w:rsidR="00351226" w:rsidRDefault="00351226" w:rsidP="00351226">
      <w:pPr>
        <w:ind w:firstLine="720"/>
      </w:pPr>
      <w:r w:rsidRPr="001F3A52">
        <w:t>In Exhibit 6, O&amp;M costs for a typical facility are presented.</w:t>
      </w:r>
    </w:p>
    <w:p w14:paraId="48B113BE" w14:textId="77777777" w:rsidR="001D26B6" w:rsidRDefault="001D26B6" w:rsidP="00351226">
      <w:pPr>
        <w:ind w:firstLine="720"/>
      </w:pPr>
    </w:p>
    <w:p w14:paraId="4C4F4B3F" w14:textId="77777777" w:rsidR="00B41B73" w:rsidRPr="00B41B73" w:rsidRDefault="00B41B73" w:rsidP="00B41B73">
      <w:pPr>
        <w:keepNext/>
        <w:jc w:val="center"/>
        <w:outlineLvl w:val="4"/>
        <w:rPr>
          <w:b/>
        </w:rPr>
      </w:pPr>
      <w:bookmarkStart w:id="64" w:name="_Toc302552511"/>
      <w:r>
        <w:rPr>
          <w:b/>
        </w:rPr>
        <w:t>Exhibit 6 – Operating and Maintenance Costs for a Typical Facility</w:t>
      </w:r>
      <w:bookmarkEnd w:id="64"/>
    </w:p>
    <w:tbl>
      <w:tblPr>
        <w:tblW w:w="9480" w:type="dxa"/>
        <w:tblInd w:w="85" w:type="dxa"/>
        <w:tblLook w:val="04A0" w:firstRow="1" w:lastRow="0" w:firstColumn="1" w:lastColumn="0" w:noHBand="0" w:noVBand="1"/>
      </w:tblPr>
      <w:tblGrid>
        <w:gridCol w:w="9635"/>
      </w:tblGrid>
      <w:tr w:rsidR="005371BE" w:rsidRPr="005371BE" w14:paraId="252180A8" w14:textId="77777777" w:rsidTr="005371BE">
        <w:trPr>
          <w:trHeight w:val="1005"/>
        </w:trPr>
        <w:tc>
          <w:tcPr>
            <w:tcW w:w="9480" w:type="dxa"/>
            <w:tcBorders>
              <w:top w:val="nil"/>
              <w:left w:val="nil"/>
              <w:bottom w:val="nil"/>
              <w:right w:val="nil"/>
            </w:tcBorders>
            <w:shd w:val="clear" w:color="auto" w:fill="auto"/>
            <w:vAlign w:val="bottom"/>
            <w:hideMark/>
          </w:tcPr>
          <w:tbl>
            <w:tblPr>
              <w:tblW w:w="9480" w:type="dxa"/>
              <w:tblLook w:val="04A0" w:firstRow="1" w:lastRow="0" w:firstColumn="1" w:lastColumn="0" w:noHBand="0" w:noVBand="1"/>
            </w:tblPr>
            <w:tblGrid>
              <w:gridCol w:w="3413"/>
              <w:gridCol w:w="1383"/>
              <w:gridCol w:w="1335"/>
              <w:gridCol w:w="1116"/>
              <w:gridCol w:w="1117"/>
              <w:gridCol w:w="1116"/>
            </w:tblGrid>
            <w:tr w:rsidR="00540C60" w:rsidRPr="00540C60" w14:paraId="38C4BA83" w14:textId="77777777" w:rsidTr="00540C60">
              <w:trPr>
                <w:trHeight w:val="285"/>
              </w:trPr>
              <w:tc>
                <w:tcPr>
                  <w:tcW w:w="3440" w:type="dxa"/>
                  <w:vMerge w:val="restart"/>
                  <w:tcBorders>
                    <w:top w:val="double" w:sz="6" w:space="0" w:color="000000"/>
                    <w:left w:val="double" w:sz="6" w:space="0" w:color="000000"/>
                    <w:bottom w:val="single" w:sz="8" w:space="0" w:color="000000"/>
                    <w:right w:val="single" w:sz="8" w:space="0" w:color="000000"/>
                  </w:tcBorders>
                  <w:shd w:val="clear" w:color="auto" w:fill="auto"/>
                  <w:vAlign w:val="bottom"/>
                  <w:hideMark/>
                </w:tcPr>
                <w:p w14:paraId="2A5F78AC" w14:textId="77777777" w:rsidR="00540C60" w:rsidRPr="00540C60" w:rsidRDefault="00540C60" w:rsidP="00540C60">
                  <w:pPr>
                    <w:widowControl/>
                    <w:adjustRightInd/>
                    <w:jc w:val="center"/>
                    <w:rPr>
                      <w:b/>
                      <w:bCs/>
                      <w:sz w:val="20"/>
                      <w:szCs w:val="20"/>
                    </w:rPr>
                  </w:pPr>
                  <w:r w:rsidRPr="00540C60">
                    <w:rPr>
                      <w:b/>
                      <w:bCs/>
                      <w:sz w:val="20"/>
                      <w:szCs w:val="20"/>
                    </w:rPr>
                    <w:t>Collection Activity</w:t>
                  </w:r>
                </w:p>
              </w:tc>
              <w:tc>
                <w:tcPr>
                  <w:tcW w:w="2680" w:type="dxa"/>
                  <w:gridSpan w:val="2"/>
                  <w:tcBorders>
                    <w:top w:val="double" w:sz="6" w:space="0" w:color="000000"/>
                    <w:left w:val="nil"/>
                    <w:bottom w:val="single" w:sz="8" w:space="0" w:color="000000"/>
                    <w:right w:val="single" w:sz="8" w:space="0" w:color="000000"/>
                  </w:tcBorders>
                  <w:shd w:val="clear" w:color="auto" w:fill="auto"/>
                  <w:vAlign w:val="bottom"/>
                  <w:hideMark/>
                </w:tcPr>
                <w:p w14:paraId="2BA51D47" w14:textId="77777777" w:rsidR="00540C60" w:rsidRPr="00540C60" w:rsidRDefault="00540C60" w:rsidP="00540C60">
                  <w:pPr>
                    <w:widowControl/>
                    <w:adjustRightInd/>
                    <w:jc w:val="center"/>
                    <w:rPr>
                      <w:b/>
                      <w:bCs/>
                      <w:sz w:val="20"/>
                      <w:szCs w:val="20"/>
                    </w:rPr>
                  </w:pPr>
                  <w:r w:rsidRPr="00540C60">
                    <w:rPr>
                      <w:b/>
                      <w:bCs/>
                      <w:sz w:val="20"/>
                      <w:szCs w:val="20"/>
                    </w:rPr>
                    <w:t>Unit O&amp;M Costs</w:t>
                  </w:r>
                </w:p>
              </w:tc>
              <w:tc>
                <w:tcPr>
                  <w:tcW w:w="3360" w:type="dxa"/>
                  <w:gridSpan w:val="3"/>
                  <w:tcBorders>
                    <w:top w:val="double" w:sz="6" w:space="0" w:color="000000"/>
                    <w:left w:val="nil"/>
                    <w:bottom w:val="single" w:sz="8" w:space="0" w:color="000000"/>
                    <w:right w:val="double" w:sz="6" w:space="0" w:color="000000"/>
                  </w:tcBorders>
                  <w:shd w:val="clear" w:color="auto" w:fill="auto"/>
                  <w:vAlign w:val="bottom"/>
                  <w:hideMark/>
                </w:tcPr>
                <w:p w14:paraId="7860E882" w14:textId="77777777" w:rsidR="00540C60" w:rsidRPr="00540C60" w:rsidRDefault="00540C60" w:rsidP="00540C60">
                  <w:pPr>
                    <w:widowControl/>
                    <w:adjustRightInd/>
                    <w:jc w:val="center"/>
                    <w:rPr>
                      <w:b/>
                      <w:bCs/>
                      <w:sz w:val="20"/>
                      <w:szCs w:val="20"/>
                    </w:rPr>
                  </w:pPr>
                  <w:r w:rsidRPr="00540C60">
                    <w:rPr>
                      <w:b/>
                      <w:bCs/>
                      <w:sz w:val="20"/>
                      <w:szCs w:val="20"/>
                    </w:rPr>
                    <w:t>Total Unit Cost</w:t>
                  </w:r>
                </w:p>
              </w:tc>
            </w:tr>
            <w:tr w:rsidR="00540C60" w:rsidRPr="00540C60" w14:paraId="385B7452" w14:textId="77777777" w:rsidTr="00540C60">
              <w:trPr>
                <w:trHeight w:val="510"/>
              </w:trPr>
              <w:tc>
                <w:tcPr>
                  <w:tcW w:w="3440" w:type="dxa"/>
                  <w:vMerge/>
                  <w:tcBorders>
                    <w:top w:val="double" w:sz="6" w:space="0" w:color="000000"/>
                    <w:left w:val="double" w:sz="6" w:space="0" w:color="000000"/>
                    <w:bottom w:val="single" w:sz="8" w:space="0" w:color="000000"/>
                    <w:right w:val="single" w:sz="8" w:space="0" w:color="000000"/>
                  </w:tcBorders>
                  <w:vAlign w:val="center"/>
                  <w:hideMark/>
                </w:tcPr>
                <w:p w14:paraId="6E341405" w14:textId="77777777" w:rsidR="00540C60" w:rsidRPr="00540C60" w:rsidRDefault="00540C60" w:rsidP="00540C60">
                  <w:pPr>
                    <w:widowControl/>
                    <w:adjustRightInd/>
                    <w:rPr>
                      <w:b/>
                      <w:bCs/>
                      <w:sz w:val="20"/>
                      <w:szCs w:val="20"/>
                    </w:rPr>
                  </w:pPr>
                </w:p>
              </w:tc>
              <w:tc>
                <w:tcPr>
                  <w:tcW w:w="1340" w:type="dxa"/>
                  <w:tcBorders>
                    <w:top w:val="nil"/>
                    <w:left w:val="nil"/>
                    <w:bottom w:val="nil"/>
                    <w:right w:val="single" w:sz="8" w:space="0" w:color="000000"/>
                  </w:tcBorders>
                  <w:shd w:val="clear" w:color="auto" w:fill="auto"/>
                  <w:vAlign w:val="bottom"/>
                  <w:hideMark/>
                </w:tcPr>
                <w:p w14:paraId="5EF0FB40" w14:textId="77777777" w:rsidR="00540C60" w:rsidRPr="00540C60" w:rsidRDefault="00540C60" w:rsidP="00540C60">
                  <w:pPr>
                    <w:widowControl/>
                    <w:adjustRightInd/>
                    <w:jc w:val="center"/>
                    <w:rPr>
                      <w:b/>
                      <w:bCs/>
                      <w:sz w:val="20"/>
                      <w:szCs w:val="20"/>
                    </w:rPr>
                  </w:pPr>
                  <w:r w:rsidRPr="00540C60">
                    <w:rPr>
                      <w:b/>
                      <w:bCs/>
                      <w:sz w:val="20"/>
                      <w:szCs w:val="20"/>
                    </w:rPr>
                    <w:t>Photocopying ($/pg)</w:t>
                  </w:r>
                </w:p>
              </w:tc>
              <w:tc>
                <w:tcPr>
                  <w:tcW w:w="1340" w:type="dxa"/>
                  <w:tcBorders>
                    <w:top w:val="nil"/>
                    <w:left w:val="nil"/>
                    <w:bottom w:val="nil"/>
                    <w:right w:val="single" w:sz="8" w:space="0" w:color="000000"/>
                  </w:tcBorders>
                  <w:shd w:val="clear" w:color="auto" w:fill="auto"/>
                  <w:vAlign w:val="bottom"/>
                  <w:hideMark/>
                </w:tcPr>
                <w:p w14:paraId="5DE3B4C5" w14:textId="77777777" w:rsidR="00540C60" w:rsidRPr="00540C60" w:rsidRDefault="00540C60" w:rsidP="00540C60">
                  <w:pPr>
                    <w:widowControl/>
                    <w:adjustRightInd/>
                    <w:jc w:val="center"/>
                    <w:rPr>
                      <w:b/>
                      <w:bCs/>
                      <w:sz w:val="20"/>
                      <w:szCs w:val="20"/>
                    </w:rPr>
                  </w:pPr>
                  <w:r w:rsidRPr="00540C60">
                    <w:rPr>
                      <w:b/>
                      <w:bCs/>
                      <w:sz w:val="20"/>
                      <w:szCs w:val="20"/>
                    </w:rPr>
                    <w:t>Mailing ($/rpt)</w:t>
                  </w:r>
                </w:p>
              </w:tc>
              <w:tc>
                <w:tcPr>
                  <w:tcW w:w="1120" w:type="dxa"/>
                  <w:vMerge w:val="restart"/>
                  <w:tcBorders>
                    <w:top w:val="nil"/>
                    <w:left w:val="single" w:sz="8" w:space="0" w:color="000000"/>
                    <w:bottom w:val="single" w:sz="8" w:space="0" w:color="000000"/>
                    <w:right w:val="single" w:sz="8" w:space="0" w:color="000000"/>
                  </w:tcBorders>
                  <w:shd w:val="clear" w:color="auto" w:fill="auto"/>
                  <w:vAlign w:val="bottom"/>
                  <w:hideMark/>
                </w:tcPr>
                <w:p w14:paraId="039AC056" w14:textId="77777777" w:rsidR="00540C60" w:rsidRPr="00540C60" w:rsidRDefault="00540C60" w:rsidP="00540C60">
                  <w:pPr>
                    <w:widowControl/>
                    <w:adjustRightInd/>
                    <w:rPr>
                      <w:b/>
                      <w:bCs/>
                      <w:sz w:val="20"/>
                      <w:szCs w:val="20"/>
                    </w:rPr>
                  </w:pPr>
                  <w:r w:rsidRPr="00540C60">
                    <w:rPr>
                      <w:b/>
                      <w:bCs/>
                      <w:sz w:val="20"/>
                      <w:szCs w:val="20"/>
                    </w:rPr>
                    <w:t>First Year</w:t>
                  </w:r>
                </w:p>
              </w:tc>
              <w:tc>
                <w:tcPr>
                  <w:tcW w:w="1120" w:type="dxa"/>
                  <w:vMerge w:val="restart"/>
                  <w:tcBorders>
                    <w:top w:val="nil"/>
                    <w:left w:val="single" w:sz="8" w:space="0" w:color="000000"/>
                    <w:bottom w:val="single" w:sz="8" w:space="0" w:color="000000"/>
                    <w:right w:val="single" w:sz="8" w:space="0" w:color="000000"/>
                  </w:tcBorders>
                  <w:shd w:val="clear" w:color="auto" w:fill="auto"/>
                  <w:vAlign w:val="bottom"/>
                  <w:hideMark/>
                </w:tcPr>
                <w:p w14:paraId="62D163C1" w14:textId="77777777" w:rsidR="00540C60" w:rsidRPr="00540C60" w:rsidRDefault="00540C60" w:rsidP="00540C60">
                  <w:pPr>
                    <w:widowControl/>
                    <w:adjustRightInd/>
                    <w:rPr>
                      <w:b/>
                      <w:bCs/>
                      <w:sz w:val="20"/>
                      <w:szCs w:val="20"/>
                    </w:rPr>
                  </w:pPr>
                  <w:r w:rsidRPr="00540C60">
                    <w:rPr>
                      <w:b/>
                      <w:bCs/>
                      <w:sz w:val="20"/>
                      <w:szCs w:val="20"/>
                    </w:rPr>
                    <w:t>Second Year</w:t>
                  </w:r>
                </w:p>
              </w:tc>
              <w:tc>
                <w:tcPr>
                  <w:tcW w:w="1120" w:type="dxa"/>
                  <w:vMerge w:val="restart"/>
                  <w:tcBorders>
                    <w:top w:val="nil"/>
                    <w:left w:val="single" w:sz="8" w:space="0" w:color="000000"/>
                    <w:bottom w:val="single" w:sz="8" w:space="0" w:color="000000"/>
                    <w:right w:val="double" w:sz="6" w:space="0" w:color="000000"/>
                  </w:tcBorders>
                  <w:shd w:val="clear" w:color="auto" w:fill="auto"/>
                  <w:vAlign w:val="bottom"/>
                  <w:hideMark/>
                </w:tcPr>
                <w:p w14:paraId="15ECCC04" w14:textId="77777777" w:rsidR="00540C60" w:rsidRPr="00540C60" w:rsidRDefault="00540C60" w:rsidP="00540C60">
                  <w:pPr>
                    <w:widowControl/>
                    <w:adjustRightInd/>
                    <w:rPr>
                      <w:b/>
                      <w:bCs/>
                      <w:sz w:val="20"/>
                      <w:szCs w:val="20"/>
                    </w:rPr>
                  </w:pPr>
                  <w:r w:rsidRPr="00540C60">
                    <w:rPr>
                      <w:b/>
                      <w:bCs/>
                      <w:sz w:val="20"/>
                      <w:szCs w:val="20"/>
                    </w:rPr>
                    <w:t>Third Year</w:t>
                  </w:r>
                </w:p>
              </w:tc>
            </w:tr>
            <w:tr w:rsidR="00540C60" w:rsidRPr="00540C60" w14:paraId="43665122" w14:textId="77777777" w:rsidTr="00540C60">
              <w:trPr>
                <w:trHeight w:val="270"/>
              </w:trPr>
              <w:tc>
                <w:tcPr>
                  <w:tcW w:w="3440" w:type="dxa"/>
                  <w:vMerge/>
                  <w:tcBorders>
                    <w:top w:val="double" w:sz="6" w:space="0" w:color="000000"/>
                    <w:left w:val="double" w:sz="6" w:space="0" w:color="000000"/>
                    <w:bottom w:val="single" w:sz="8" w:space="0" w:color="000000"/>
                    <w:right w:val="single" w:sz="8" w:space="0" w:color="000000"/>
                  </w:tcBorders>
                  <w:vAlign w:val="center"/>
                  <w:hideMark/>
                </w:tcPr>
                <w:p w14:paraId="278A307A" w14:textId="77777777" w:rsidR="00540C60" w:rsidRPr="00540C60" w:rsidRDefault="00540C60" w:rsidP="00540C60">
                  <w:pPr>
                    <w:widowControl/>
                    <w:adjustRightInd/>
                    <w:rPr>
                      <w:b/>
                      <w:bCs/>
                      <w:sz w:val="20"/>
                      <w:szCs w:val="20"/>
                    </w:rPr>
                  </w:pPr>
                </w:p>
              </w:tc>
              <w:tc>
                <w:tcPr>
                  <w:tcW w:w="1340" w:type="dxa"/>
                  <w:tcBorders>
                    <w:top w:val="nil"/>
                    <w:left w:val="nil"/>
                    <w:bottom w:val="single" w:sz="8" w:space="0" w:color="000000"/>
                    <w:right w:val="single" w:sz="8" w:space="0" w:color="000000"/>
                  </w:tcBorders>
                  <w:shd w:val="clear" w:color="auto" w:fill="auto"/>
                  <w:vAlign w:val="bottom"/>
                  <w:hideMark/>
                </w:tcPr>
                <w:p w14:paraId="7B72851E" w14:textId="77777777" w:rsidR="00540C60" w:rsidRPr="00540C60" w:rsidRDefault="00540C60" w:rsidP="00540C60">
                  <w:pPr>
                    <w:widowControl/>
                    <w:adjustRightInd/>
                    <w:jc w:val="center"/>
                    <w:rPr>
                      <w:b/>
                      <w:bCs/>
                      <w:sz w:val="20"/>
                      <w:szCs w:val="20"/>
                    </w:rPr>
                  </w:pPr>
                  <w:r w:rsidRPr="00540C60">
                    <w:rPr>
                      <w:b/>
                      <w:bCs/>
                      <w:sz w:val="20"/>
                      <w:szCs w:val="20"/>
                    </w:rPr>
                    <w:t xml:space="preserve">$0.25 </w:t>
                  </w:r>
                </w:p>
              </w:tc>
              <w:tc>
                <w:tcPr>
                  <w:tcW w:w="1340" w:type="dxa"/>
                  <w:tcBorders>
                    <w:top w:val="nil"/>
                    <w:left w:val="nil"/>
                    <w:bottom w:val="single" w:sz="8" w:space="0" w:color="000000"/>
                    <w:right w:val="single" w:sz="8" w:space="0" w:color="000000"/>
                  </w:tcBorders>
                  <w:shd w:val="clear" w:color="auto" w:fill="auto"/>
                  <w:vAlign w:val="bottom"/>
                  <w:hideMark/>
                </w:tcPr>
                <w:p w14:paraId="7369D711" w14:textId="77777777" w:rsidR="00540C60" w:rsidRPr="00540C60" w:rsidRDefault="00540C60" w:rsidP="00540C60">
                  <w:pPr>
                    <w:widowControl/>
                    <w:adjustRightInd/>
                    <w:jc w:val="center"/>
                    <w:rPr>
                      <w:b/>
                      <w:bCs/>
                      <w:sz w:val="20"/>
                      <w:szCs w:val="20"/>
                    </w:rPr>
                  </w:pPr>
                  <w:r w:rsidRPr="00540C60">
                    <w:rPr>
                      <w:b/>
                      <w:bCs/>
                      <w:sz w:val="20"/>
                      <w:szCs w:val="20"/>
                    </w:rPr>
                    <w:t xml:space="preserve">$7 </w:t>
                  </w:r>
                </w:p>
              </w:tc>
              <w:tc>
                <w:tcPr>
                  <w:tcW w:w="1120" w:type="dxa"/>
                  <w:vMerge/>
                  <w:tcBorders>
                    <w:top w:val="nil"/>
                    <w:left w:val="single" w:sz="8" w:space="0" w:color="000000"/>
                    <w:bottom w:val="single" w:sz="8" w:space="0" w:color="000000"/>
                    <w:right w:val="single" w:sz="8" w:space="0" w:color="000000"/>
                  </w:tcBorders>
                  <w:vAlign w:val="center"/>
                  <w:hideMark/>
                </w:tcPr>
                <w:p w14:paraId="3E6C9B17" w14:textId="77777777" w:rsidR="00540C60" w:rsidRPr="00540C60" w:rsidRDefault="00540C60" w:rsidP="00540C60">
                  <w:pPr>
                    <w:widowControl/>
                    <w:adjustRightInd/>
                    <w:rPr>
                      <w:b/>
                      <w:bCs/>
                      <w:sz w:val="20"/>
                      <w:szCs w:val="20"/>
                    </w:rPr>
                  </w:pPr>
                </w:p>
              </w:tc>
              <w:tc>
                <w:tcPr>
                  <w:tcW w:w="1120" w:type="dxa"/>
                  <w:vMerge/>
                  <w:tcBorders>
                    <w:top w:val="nil"/>
                    <w:left w:val="single" w:sz="8" w:space="0" w:color="000000"/>
                    <w:bottom w:val="single" w:sz="8" w:space="0" w:color="000000"/>
                    <w:right w:val="single" w:sz="8" w:space="0" w:color="000000"/>
                  </w:tcBorders>
                  <w:vAlign w:val="center"/>
                  <w:hideMark/>
                </w:tcPr>
                <w:p w14:paraId="67869B31" w14:textId="77777777" w:rsidR="00540C60" w:rsidRPr="00540C60" w:rsidRDefault="00540C60" w:rsidP="00540C60">
                  <w:pPr>
                    <w:widowControl/>
                    <w:adjustRightInd/>
                    <w:rPr>
                      <w:b/>
                      <w:bCs/>
                      <w:sz w:val="20"/>
                      <w:szCs w:val="20"/>
                    </w:rPr>
                  </w:pPr>
                </w:p>
              </w:tc>
              <w:tc>
                <w:tcPr>
                  <w:tcW w:w="1120" w:type="dxa"/>
                  <w:vMerge/>
                  <w:tcBorders>
                    <w:top w:val="nil"/>
                    <w:left w:val="single" w:sz="8" w:space="0" w:color="000000"/>
                    <w:bottom w:val="single" w:sz="8" w:space="0" w:color="000000"/>
                    <w:right w:val="double" w:sz="6" w:space="0" w:color="000000"/>
                  </w:tcBorders>
                  <w:vAlign w:val="center"/>
                  <w:hideMark/>
                </w:tcPr>
                <w:p w14:paraId="31FC9ED6" w14:textId="77777777" w:rsidR="00540C60" w:rsidRPr="00540C60" w:rsidRDefault="00540C60" w:rsidP="00540C60">
                  <w:pPr>
                    <w:widowControl/>
                    <w:adjustRightInd/>
                    <w:rPr>
                      <w:b/>
                      <w:bCs/>
                      <w:sz w:val="20"/>
                      <w:szCs w:val="20"/>
                    </w:rPr>
                  </w:pPr>
                </w:p>
              </w:tc>
            </w:tr>
            <w:tr w:rsidR="00540C60" w:rsidRPr="00540C60" w14:paraId="603C6C92" w14:textId="77777777" w:rsidTr="00540C60">
              <w:trPr>
                <w:trHeight w:val="525"/>
              </w:trPr>
              <w:tc>
                <w:tcPr>
                  <w:tcW w:w="3440" w:type="dxa"/>
                  <w:tcBorders>
                    <w:top w:val="nil"/>
                    <w:left w:val="double" w:sz="6" w:space="0" w:color="000000"/>
                    <w:bottom w:val="single" w:sz="8" w:space="0" w:color="000000"/>
                    <w:right w:val="single" w:sz="8" w:space="0" w:color="000000"/>
                  </w:tcBorders>
                  <w:shd w:val="clear" w:color="auto" w:fill="auto"/>
                  <w:vAlign w:val="bottom"/>
                  <w:hideMark/>
                </w:tcPr>
                <w:p w14:paraId="47435394" w14:textId="77777777" w:rsidR="00540C60" w:rsidRPr="00540C60" w:rsidRDefault="00540C60" w:rsidP="00540C60">
                  <w:pPr>
                    <w:widowControl/>
                    <w:adjustRightInd/>
                    <w:rPr>
                      <w:sz w:val="20"/>
                      <w:szCs w:val="20"/>
                    </w:rPr>
                  </w:pPr>
                  <w:r w:rsidRPr="00540C60">
                    <w:rPr>
                      <w:sz w:val="20"/>
                      <w:szCs w:val="20"/>
                    </w:rPr>
                    <w:t>Providing an Initial Telephone Notification</w:t>
                  </w:r>
                </w:p>
              </w:tc>
              <w:tc>
                <w:tcPr>
                  <w:tcW w:w="1340" w:type="dxa"/>
                  <w:tcBorders>
                    <w:top w:val="nil"/>
                    <w:left w:val="nil"/>
                    <w:bottom w:val="single" w:sz="8" w:space="0" w:color="000000"/>
                    <w:right w:val="single" w:sz="8" w:space="0" w:color="000000"/>
                  </w:tcBorders>
                  <w:shd w:val="clear" w:color="auto" w:fill="auto"/>
                  <w:vAlign w:val="bottom"/>
                  <w:hideMark/>
                </w:tcPr>
                <w:p w14:paraId="7CEA2084" w14:textId="77777777" w:rsidR="00540C60" w:rsidRPr="00540C60" w:rsidRDefault="00540C60" w:rsidP="00540C60">
                  <w:pPr>
                    <w:widowControl/>
                    <w:adjustRightInd/>
                    <w:jc w:val="center"/>
                    <w:rPr>
                      <w:sz w:val="20"/>
                      <w:szCs w:val="20"/>
                    </w:rPr>
                  </w:pPr>
                  <w:r w:rsidRPr="00540C60">
                    <w:rPr>
                      <w:sz w:val="20"/>
                      <w:szCs w:val="20"/>
                    </w:rPr>
                    <w:t xml:space="preserve">$0.00 </w:t>
                  </w:r>
                </w:p>
              </w:tc>
              <w:tc>
                <w:tcPr>
                  <w:tcW w:w="1340" w:type="dxa"/>
                  <w:tcBorders>
                    <w:top w:val="nil"/>
                    <w:left w:val="nil"/>
                    <w:bottom w:val="single" w:sz="8" w:space="0" w:color="000000"/>
                    <w:right w:val="single" w:sz="8" w:space="0" w:color="000000"/>
                  </w:tcBorders>
                  <w:shd w:val="clear" w:color="auto" w:fill="auto"/>
                  <w:vAlign w:val="bottom"/>
                  <w:hideMark/>
                </w:tcPr>
                <w:p w14:paraId="3CEE5A4B" w14:textId="77777777" w:rsidR="00540C60" w:rsidRPr="00540C60" w:rsidRDefault="00540C60" w:rsidP="00540C60">
                  <w:pPr>
                    <w:widowControl/>
                    <w:adjustRightInd/>
                    <w:jc w:val="center"/>
                    <w:rPr>
                      <w:sz w:val="20"/>
                      <w:szCs w:val="20"/>
                    </w:rPr>
                  </w:pPr>
                  <w:r w:rsidRPr="00540C60">
                    <w:rPr>
                      <w:sz w:val="20"/>
                      <w:szCs w:val="20"/>
                    </w:rPr>
                    <w:t xml:space="preserve">$0.00 </w:t>
                  </w:r>
                </w:p>
              </w:tc>
              <w:tc>
                <w:tcPr>
                  <w:tcW w:w="1120" w:type="dxa"/>
                  <w:tcBorders>
                    <w:top w:val="nil"/>
                    <w:left w:val="nil"/>
                    <w:bottom w:val="single" w:sz="8" w:space="0" w:color="000000"/>
                    <w:right w:val="single" w:sz="8" w:space="0" w:color="000000"/>
                  </w:tcBorders>
                  <w:shd w:val="clear" w:color="auto" w:fill="auto"/>
                  <w:vAlign w:val="bottom"/>
                  <w:hideMark/>
                </w:tcPr>
                <w:p w14:paraId="1F0AD048" w14:textId="77777777" w:rsidR="00540C60" w:rsidRPr="00540C60" w:rsidRDefault="00540C60" w:rsidP="00540C60">
                  <w:pPr>
                    <w:widowControl/>
                    <w:adjustRightInd/>
                    <w:jc w:val="center"/>
                    <w:rPr>
                      <w:sz w:val="20"/>
                      <w:szCs w:val="20"/>
                    </w:rPr>
                  </w:pPr>
                  <w:r w:rsidRPr="00540C60">
                    <w:rPr>
                      <w:sz w:val="20"/>
                      <w:szCs w:val="20"/>
                    </w:rPr>
                    <w:t>NA</w:t>
                  </w:r>
                </w:p>
              </w:tc>
              <w:tc>
                <w:tcPr>
                  <w:tcW w:w="1120" w:type="dxa"/>
                  <w:tcBorders>
                    <w:top w:val="nil"/>
                    <w:left w:val="nil"/>
                    <w:bottom w:val="single" w:sz="8" w:space="0" w:color="000000"/>
                    <w:right w:val="single" w:sz="8" w:space="0" w:color="000000"/>
                  </w:tcBorders>
                  <w:shd w:val="clear" w:color="auto" w:fill="auto"/>
                  <w:vAlign w:val="bottom"/>
                  <w:hideMark/>
                </w:tcPr>
                <w:p w14:paraId="7CE5163F" w14:textId="77777777" w:rsidR="00540C60" w:rsidRPr="00540C60" w:rsidRDefault="00540C60" w:rsidP="00540C60">
                  <w:pPr>
                    <w:widowControl/>
                    <w:adjustRightInd/>
                    <w:jc w:val="center"/>
                    <w:rPr>
                      <w:sz w:val="20"/>
                      <w:szCs w:val="20"/>
                    </w:rPr>
                  </w:pPr>
                  <w:r w:rsidRPr="00540C60">
                    <w:rPr>
                      <w:sz w:val="20"/>
                      <w:szCs w:val="20"/>
                    </w:rPr>
                    <w:t>NA</w:t>
                  </w:r>
                </w:p>
              </w:tc>
              <w:tc>
                <w:tcPr>
                  <w:tcW w:w="1120" w:type="dxa"/>
                  <w:tcBorders>
                    <w:top w:val="nil"/>
                    <w:left w:val="nil"/>
                    <w:bottom w:val="single" w:sz="8" w:space="0" w:color="000000"/>
                    <w:right w:val="double" w:sz="6" w:space="0" w:color="000000"/>
                  </w:tcBorders>
                  <w:shd w:val="clear" w:color="auto" w:fill="auto"/>
                  <w:vAlign w:val="bottom"/>
                  <w:hideMark/>
                </w:tcPr>
                <w:p w14:paraId="7B9362A6" w14:textId="77777777" w:rsidR="00540C60" w:rsidRPr="00540C60" w:rsidRDefault="00540C60" w:rsidP="00540C60">
                  <w:pPr>
                    <w:widowControl/>
                    <w:adjustRightInd/>
                    <w:jc w:val="center"/>
                    <w:rPr>
                      <w:sz w:val="20"/>
                      <w:szCs w:val="20"/>
                    </w:rPr>
                  </w:pPr>
                  <w:r w:rsidRPr="00540C60">
                    <w:rPr>
                      <w:sz w:val="20"/>
                      <w:szCs w:val="20"/>
                    </w:rPr>
                    <w:t>NA</w:t>
                  </w:r>
                </w:p>
              </w:tc>
            </w:tr>
            <w:tr w:rsidR="00540C60" w:rsidRPr="00540C60" w14:paraId="6D685465" w14:textId="77777777" w:rsidTr="00540C60">
              <w:trPr>
                <w:trHeight w:val="525"/>
              </w:trPr>
              <w:tc>
                <w:tcPr>
                  <w:tcW w:w="3440" w:type="dxa"/>
                  <w:tcBorders>
                    <w:top w:val="nil"/>
                    <w:left w:val="double" w:sz="6" w:space="0" w:color="000000"/>
                    <w:bottom w:val="single" w:sz="8" w:space="0" w:color="000000"/>
                    <w:right w:val="single" w:sz="8" w:space="0" w:color="000000"/>
                  </w:tcBorders>
                  <w:shd w:val="clear" w:color="auto" w:fill="auto"/>
                  <w:vAlign w:val="bottom"/>
                  <w:hideMark/>
                </w:tcPr>
                <w:p w14:paraId="091DF708" w14:textId="77777777" w:rsidR="00540C60" w:rsidRPr="00540C60" w:rsidRDefault="00540C60" w:rsidP="00540C60">
                  <w:pPr>
                    <w:widowControl/>
                    <w:adjustRightInd/>
                    <w:rPr>
                      <w:sz w:val="20"/>
                      <w:szCs w:val="20"/>
                    </w:rPr>
                  </w:pPr>
                  <w:r w:rsidRPr="00540C60">
                    <w:rPr>
                      <w:sz w:val="20"/>
                      <w:szCs w:val="20"/>
                    </w:rPr>
                    <w:t>Preparing an Initial Written Report - 8 rpts @ (5pgs/1rpt)</w:t>
                  </w:r>
                </w:p>
              </w:tc>
              <w:tc>
                <w:tcPr>
                  <w:tcW w:w="1340" w:type="dxa"/>
                  <w:tcBorders>
                    <w:top w:val="nil"/>
                    <w:left w:val="nil"/>
                    <w:bottom w:val="single" w:sz="8" w:space="0" w:color="000000"/>
                    <w:right w:val="single" w:sz="8" w:space="0" w:color="000000"/>
                  </w:tcBorders>
                  <w:shd w:val="clear" w:color="auto" w:fill="auto"/>
                  <w:vAlign w:val="bottom"/>
                  <w:hideMark/>
                </w:tcPr>
                <w:p w14:paraId="5D9AA726" w14:textId="77777777" w:rsidR="00540C60" w:rsidRPr="00540C60" w:rsidRDefault="00540C60" w:rsidP="00540C60">
                  <w:pPr>
                    <w:widowControl/>
                    <w:adjustRightInd/>
                    <w:jc w:val="center"/>
                    <w:rPr>
                      <w:sz w:val="20"/>
                      <w:szCs w:val="20"/>
                    </w:rPr>
                  </w:pPr>
                  <w:r w:rsidRPr="00540C60">
                    <w:rPr>
                      <w:sz w:val="20"/>
                      <w:szCs w:val="20"/>
                    </w:rPr>
                    <w:t xml:space="preserve">$1.25 </w:t>
                  </w:r>
                </w:p>
              </w:tc>
              <w:tc>
                <w:tcPr>
                  <w:tcW w:w="1340" w:type="dxa"/>
                  <w:tcBorders>
                    <w:top w:val="nil"/>
                    <w:left w:val="nil"/>
                    <w:bottom w:val="single" w:sz="8" w:space="0" w:color="000000"/>
                    <w:right w:val="single" w:sz="8" w:space="0" w:color="000000"/>
                  </w:tcBorders>
                  <w:shd w:val="clear" w:color="auto" w:fill="auto"/>
                  <w:vAlign w:val="bottom"/>
                  <w:hideMark/>
                </w:tcPr>
                <w:p w14:paraId="110B5452" w14:textId="77777777" w:rsidR="00540C60" w:rsidRPr="00540C60" w:rsidRDefault="00540C60" w:rsidP="00540C60">
                  <w:pPr>
                    <w:widowControl/>
                    <w:adjustRightInd/>
                    <w:jc w:val="center"/>
                    <w:rPr>
                      <w:sz w:val="20"/>
                      <w:szCs w:val="20"/>
                    </w:rPr>
                  </w:pPr>
                  <w:r w:rsidRPr="00540C60">
                    <w:rPr>
                      <w:sz w:val="20"/>
                      <w:szCs w:val="20"/>
                    </w:rPr>
                    <w:t xml:space="preserve">$7.21 </w:t>
                  </w:r>
                </w:p>
              </w:tc>
              <w:tc>
                <w:tcPr>
                  <w:tcW w:w="1120" w:type="dxa"/>
                  <w:tcBorders>
                    <w:top w:val="nil"/>
                    <w:left w:val="nil"/>
                    <w:bottom w:val="single" w:sz="8" w:space="0" w:color="000000"/>
                    <w:right w:val="single" w:sz="8" w:space="0" w:color="000000"/>
                  </w:tcBorders>
                  <w:shd w:val="clear" w:color="auto" w:fill="auto"/>
                  <w:vAlign w:val="bottom"/>
                  <w:hideMark/>
                </w:tcPr>
                <w:p w14:paraId="7AAE7666" w14:textId="77777777" w:rsidR="00540C60" w:rsidRPr="00540C60" w:rsidRDefault="00540C60" w:rsidP="00540C60">
                  <w:pPr>
                    <w:widowControl/>
                    <w:adjustRightInd/>
                    <w:jc w:val="center"/>
                    <w:rPr>
                      <w:sz w:val="20"/>
                      <w:szCs w:val="20"/>
                    </w:rPr>
                  </w:pPr>
                  <w:r w:rsidRPr="00540C60">
                    <w:rPr>
                      <w:sz w:val="20"/>
                      <w:szCs w:val="20"/>
                    </w:rPr>
                    <w:t xml:space="preserve">$67.68 </w:t>
                  </w:r>
                </w:p>
              </w:tc>
              <w:tc>
                <w:tcPr>
                  <w:tcW w:w="1120" w:type="dxa"/>
                  <w:tcBorders>
                    <w:top w:val="nil"/>
                    <w:left w:val="nil"/>
                    <w:bottom w:val="single" w:sz="8" w:space="0" w:color="000000"/>
                    <w:right w:val="single" w:sz="8" w:space="0" w:color="000000"/>
                  </w:tcBorders>
                  <w:shd w:val="clear" w:color="auto" w:fill="auto"/>
                  <w:vAlign w:val="bottom"/>
                  <w:hideMark/>
                </w:tcPr>
                <w:p w14:paraId="12011221" w14:textId="77777777" w:rsidR="00540C60" w:rsidRPr="00540C60" w:rsidRDefault="00540C60" w:rsidP="00540C60">
                  <w:pPr>
                    <w:widowControl/>
                    <w:adjustRightInd/>
                    <w:jc w:val="center"/>
                    <w:rPr>
                      <w:sz w:val="20"/>
                      <w:szCs w:val="20"/>
                    </w:rPr>
                  </w:pPr>
                  <w:r w:rsidRPr="00540C60">
                    <w:rPr>
                      <w:sz w:val="20"/>
                      <w:szCs w:val="20"/>
                    </w:rPr>
                    <w:t>NA</w:t>
                  </w:r>
                </w:p>
              </w:tc>
              <w:tc>
                <w:tcPr>
                  <w:tcW w:w="1120" w:type="dxa"/>
                  <w:tcBorders>
                    <w:top w:val="nil"/>
                    <w:left w:val="nil"/>
                    <w:bottom w:val="single" w:sz="8" w:space="0" w:color="000000"/>
                    <w:right w:val="double" w:sz="6" w:space="0" w:color="000000"/>
                  </w:tcBorders>
                  <w:shd w:val="clear" w:color="auto" w:fill="auto"/>
                  <w:vAlign w:val="bottom"/>
                  <w:hideMark/>
                </w:tcPr>
                <w:p w14:paraId="4E214531" w14:textId="77777777" w:rsidR="00540C60" w:rsidRPr="00540C60" w:rsidRDefault="00540C60" w:rsidP="00540C60">
                  <w:pPr>
                    <w:widowControl/>
                    <w:adjustRightInd/>
                    <w:jc w:val="center"/>
                    <w:rPr>
                      <w:sz w:val="20"/>
                      <w:szCs w:val="20"/>
                    </w:rPr>
                  </w:pPr>
                  <w:r w:rsidRPr="00540C60">
                    <w:rPr>
                      <w:sz w:val="20"/>
                      <w:szCs w:val="20"/>
                    </w:rPr>
                    <w:t>NA</w:t>
                  </w:r>
                </w:p>
              </w:tc>
            </w:tr>
            <w:tr w:rsidR="00540C60" w:rsidRPr="00540C60" w14:paraId="5BF79A8A" w14:textId="77777777" w:rsidTr="00540C60">
              <w:trPr>
                <w:trHeight w:val="525"/>
              </w:trPr>
              <w:tc>
                <w:tcPr>
                  <w:tcW w:w="3440" w:type="dxa"/>
                  <w:tcBorders>
                    <w:top w:val="nil"/>
                    <w:left w:val="double" w:sz="6" w:space="0" w:color="000000"/>
                    <w:bottom w:val="single" w:sz="8" w:space="0" w:color="000000"/>
                    <w:right w:val="single" w:sz="8" w:space="0" w:color="000000"/>
                  </w:tcBorders>
                  <w:shd w:val="clear" w:color="auto" w:fill="auto"/>
                  <w:vAlign w:val="bottom"/>
                  <w:hideMark/>
                </w:tcPr>
                <w:p w14:paraId="567AA099" w14:textId="77777777" w:rsidR="00540C60" w:rsidRPr="00540C60" w:rsidRDefault="00540C60" w:rsidP="00540C60">
                  <w:pPr>
                    <w:widowControl/>
                    <w:adjustRightInd/>
                    <w:rPr>
                      <w:sz w:val="20"/>
                      <w:szCs w:val="20"/>
                    </w:rPr>
                  </w:pPr>
                  <w:r w:rsidRPr="00540C60">
                    <w:rPr>
                      <w:sz w:val="20"/>
                      <w:szCs w:val="20"/>
                    </w:rPr>
                    <w:t>Preparing a Follow-up Written Report - 8 rpts @ (5pgs/1rpt)</w:t>
                  </w:r>
                </w:p>
              </w:tc>
              <w:tc>
                <w:tcPr>
                  <w:tcW w:w="1340" w:type="dxa"/>
                  <w:tcBorders>
                    <w:top w:val="nil"/>
                    <w:left w:val="nil"/>
                    <w:bottom w:val="single" w:sz="8" w:space="0" w:color="000000"/>
                    <w:right w:val="single" w:sz="8" w:space="0" w:color="000000"/>
                  </w:tcBorders>
                  <w:shd w:val="clear" w:color="auto" w:fill="auto"/>
                  <w:vAlign w:val="bottom"/>
                  <w:hideMark/>
                </w:tcPr>
                <w:p w14:paraId="396FFBCD" w14:textId="77777777" w:rsidR="00540C60" w:rsidRPr="00540C60" w:rsidRDefault="00540C60" w:rsidP="00540C60">
                  <w:pPr>
                    <w:widowControl/>
                    <w:adjustRightInd/>
                    <w:jc w:val="center"/>
                    <w:rPr>
                      <w:sz w:val="20"/>
                      <w:szCs w:val="20"/>
                    </w:rPr>
                  </w:pPr>
                  <w:r w:rsidRPr="00540C60">
                    <w:rPr>
                      <w:sz w:val="20"/>
                      <w:szCs w:val="20"/>
                    </w:rPr>
                    <w:t xml:space="preserve">$1.25 </w:t>
                  </w:r>
                </w:p>
              </w:tc>
              <w:tc>
                <w:tcPr>
                  <w:tcW w:w="1340" w:type="dxa"/>
                  <w:tcBorders>
                    <w:top w:val="nil"/>
                    <w:left w:val="nil"/>
                    <w:bottom w:val="single" w:sz="8" w:space="0" w:color="000000"/>
                    <w:right w:val="single" w:sz="8" w:space="0" w:color="000000"/>
                  </w:tcBorders>
                  <w:shd w:val="clear" w:color="auto" w:fill="auto"/>
                  <w:vAlign w:val="bottom"/>
                  <w:hideMark/>
                </w:tcPr>
                <w:p w14:paraId="181BC8BB" w14:textId="77777777" w:rsidR="00540C60" w:rsidRPr="00540C60" w:rsidRDefault="00540C60" w:rsidP="00540C60">
                  <w:pPr>
                    <w:widowControl/>
                    <w:adjustRightInd/>
                    <w:jc w:val="center"/>
                    <w:rPr>
                      <w:sz w:val="20"/>
                      <w:szCs w:val="20"/>
                    </w:rPr>
                  </w:pPr>
                  <w:r w:rsidRPr="00540C60">
                    <w:rPr>
                      <w:sz w:val="20"/>
                      <w:szCs w:val="20"/>
                    </w:rPr>
                    <w:t xml:space="preserve">$7.21 </w:t>
                  </w:r>
                </w:p>
              </w:tc>
              <w:tc>
                <w:tcPr>
                  <w:tcW w:w="1120" w:type="dxa"/>
                  <w:tcBorders>
                    <w:top w:val="nil"/>
                    <w:left w:val="nil"/>
                    <w:bottom w:val="single" w:sz="8" w:space="0" w:color="000000"/>
                    <w:right w:val="single" w:sz="8" w:space="0" w:color="000000"/>
                  </w:tcBorders>
                  <w:shd w:val="clear" w:color="auto" w:fill="auto"/>
                  <w:vAlign w:val="bottom"/>
                  <w:hideMark/>
                </w:tcPr>
                <w:p w14:paraId="7CF07EED" w14:textId="77777777" w:rsidR="00540C60" w:rsidRPr="00540C60" w:rsidRDefault="00540C60" w:rsidP="00540C60">
                  <w:pPr>
                    <w:widowControl/>
                    <w:adjustRightInd/>
                    <w:jc w:val="center"/>
                    <w:rPr>
                      <w:sz w:val="20"/>
                      <w:szCs w:val="20"/>
                    </w:rPr>
                  </w:pPr>
                  <w:r w:rsidRPr="00540C60">
                    <w:rPr>
                      <w:sz w:val="20"/>
                      <w:szCs w:val="20"/>
                    </w:rPr>
                    <w:t>NA</w:t>
                  </w:r>
                </w:p>
              </w:tc>
              <w:tc>
                <w:tcPr>
                  <w:tcW w:w="1120" w:type="dxa"/>
                  <w:tcBorders>
                    <w:top w:val="nil"/>
                    <w:left w:val="nil"/>
                    <w:bottom w:val="single" w:sz="8" w:space="0" w:color="000000"/>
                    <w:right w:val="single" w:sz="8" w:space="0" w:color="000000"/>
                  </w:tcBorders>
                  <w:shd w:val="clear" w:color="auto" w:fill="auto"/>
                  <w:vAlign w:val="bottom"/>
                  <w:hideMark/>
                </w:tcPr>
                <w:p w14:paraId="314257DD" w14:textId="77777777" w:rsidR="00540C60" w:rsidRPr="00540C60" w:rsidRDefault="00540C60" w:rsidP="00540C60">
                  <w:pPr>
                    <w:widowControl/>
                    <w:adjustRightInd/>
                    <w:jc w:val="center"/>
                    <w:rPr>
                      <w:sz w:val="20"/>
                      <w:szCs w:val="20"/>
                    </w:rPr>
                  </w:pPr>
                  <w:r w:rsidRPr="00540C60">
                    <w:rPr>
                      <w:sz w:val="20"/>
                      <w:szCs w:val="20"/>
                    </w:rPr>
                    <w:t xml:space="preserve">$67.68 </w:t>
                  </w:r>
                </w:p>
              </w:tc>
              <w:tc>
                <w:tcPr>
                  <w:tcW w:w="1120" w:type="dxa"/>
                  <w:tcBorders>
                    <w:top w:val="nil"/>
                    <w:left w:val="nil"/>
                    <w:bottom w:val="single" w:sz="8" w:space="0" w:color="000000"/>
                    <w:right w:val="double" w:sz="6" w:space="0" w:color="000000"/>
                  </w:tcBorders>
                  <w:shd w:val="clear" w:color="auto" w:fill="auto"/>
                  <w:vAlign w:val="bottom"/>
                  <w:hideMark/>
                </w:tcPr>
                <w:p w14:paraId="5931863C" w14:textId="77777777" w:rsidR="00540C60" w:rsidRPr="00540C60" w:rsidRDefault="00540C60" w:rsidP="00540C60">
                  <w:pPr>
                    <w:widowControl/>
                    <w:adjustRightInd/>
                    <w:jc w:val="center"/>
                    <w:rPr>
                      <w:sz w:val="20"/>
                      <w:szCs w:val="20"/>
                    </w:rPr>
                  </w:pPr>
                  <w:r w:rsidRPr="00540C60">
                    <w:rPr>
                      <w:sz w:val="20"/>
                      <w:szCs w:val="20"/>
                    </w:rPr>
                    <w:t>NA</w:t>
                  </w:r>
                </w:p>
              </w:tc>
            </w:tr>
            <w:tr w:rsidR="00540C60" w:rsidRPr="00540C60" w14:paraId="0210E654" w14:textId="77777777" w:rsidTr="00540C60">
              <w:trPr>
                <w:trHeight w:val="525"/>
              </w:trPr>
              <w:tc>
                <w:tcPr>
                  <w:tcW w:w="3440" w:type="dxa"/>
                  <w:tcBorders>
                    <w:top w:val="nil"/>
                    <w:left w:val="double" w:sz="6" w:space="0" w:color="000000"/>
                    <w:bottom w:val="single" w:sz="8" w:space="0" w:color="000000"/>
                    <w:right w:val="single" w:sz="8" w:space="0" w:color="000000"/>
                  </w:tcBorders>
                  <w:shd w:val="clear" w:color="auto" w:fill="auto"/>
                  <w:vAlign w:val="bottom"/>
                  <w:hideMark/>
                </w:tcPr>
                <w:p w14:paraId="44F08BCE" w14:textId="77777777" w:rsidR="00540C60" w:rsidRPr="00540C60" w:rsidRDefault="00540C60" w:rsidP="00540C60">
                  <w:pPr>
                    <w:widowControl/>
                    <w:adjustRightInd/>
                    <w:rPr>
                      <w:sz w:val="20"/>
                      <w:szCs w:val="20"/>
                    </w:rPr>
                  </w:pPr>
                  <w:r w:rsidRPr="00540C60">
                    <w:rPr>
                      <w:sz w:val="20"/>
                      <w:szCs w:val="20"/>
                    </w:rPr>
                    <w:t>Reporting Other Changes in Information - 1 rpt @ (5pgs/1rpt)</w:t>
                  </w:r>
                </w:p>
              </w:tc>
              <w:tc>
                <w:tcPr>
                  <w:tcW w:w="1340" w:type="dxa"/>
                  <w:tcBorders>
                    <w:top w:val="nil"/>
                    <w:left w:val="nil"/>
                    <w:bottom w:val="single" w:sz="8" w:space="0" w:color="000000"/>
                    <w:right w:val="single" w:sz="8" w:space="0" w:color="000000"/>
                  </w:tcBorders>
                  <w:shd w:val="clear" w:color="auto" w:fill="auto"/>
                  <w:vAlign w:val="bottom"/>
                  <w:hideMark/>
                </w:tcPr>
                <w:p w14:paraId="5B303859" w14:textId="77777777" w:rsidR="00540C60" w:rsidRPr="00540C60" w:rsidRDefault="00540C60" w:rsidP="00540C60">
                  <w:pPr>
                    <w:widowControl/>
                    <w:adjustRightInd/>
                    <w:jc w:val="center"/>
                    <w:rPr>
                      <w:sz w:val="20"/>
                      <w:szCs w:val="20"/>
                    </w:rPr>
                  </w:pPr>
                  <w:r w:rsidRPr="00540C60">
                    <w:rPr>
                      <w:sz w:val="20"/>
                      <w:szCs w:val="20"/>
                    </w:rPr>
                    <w:t xml:space="preserve">$1.25 </w:t>
                  </w:r>
                </w:p>
              </w:tc>
              <w:tc>
                <w:tcPr>
                  <w:tcW w:w="1340" w:type="dxa"/>
                  <w:tcBorders>
                    <w:top w:val="nil"/>
                    <w:left w:val="nil"/>
                    <w:bottom w:val="single" w:sz="8" w:space="0" w:color="000000"/>
                    <w:right w:val="single" w:sz="8" w:space="0" w:color="000000"/>
                  </w:tcBorders>
                  <w:shd w:val="clear" w:color="auto" w:fill="auto"/>
                  <w:vAlign w:val="bottom"/>
                  <w:hideMark/>
                </w:tcPr>
                <w:p w14:paraId="63EE985B" w14:textId="77777777" w:rsidR="00540C60" w:rsidRPr="00540C60" w:rsidRDefault="00540C60" w:rsidP="00540C60">
                  <w:pPr>
                    <w:widowControl/>
                    <w:adjustRightInd/>
                    <w:jc w:val="center"/>
                    <w:rPr>
                      <w:sz w:val="20"/>
                      <w:szCs w:val="20"/>
                    </w:rPr>
                  </w:pPr>
                  <w:r w:rsidRPr="00540C60">
                    <w:rPr>
                      <w:sz w:val="20"/>
                      <w:szCs w:val="20"/>
                    </w:rPr>
                    <w:t xml:space="preserve">$7.21 </w:t>
                  </w:r>
                </w:p>
              </w:tc>
              <w:tc>
                <w:tcPr>
                  <w:tcW w:w="1120" w:type="dxa"/>
                  <w:tcBorders>
                    <w:top w:val="nil"/>
                    <w:left w:val="nil"/>
                    <w:bottom w:val="single" w:sz="8" w:space="0" w:color="000000"/>
                    <w:right w:val="single" w:sz="8" w:space="0" w:color="000000"/>
                  </w:tcBorders>
                  <w:shd w:val="clear" w:color="auto" w:fill="auto"/>
                  <w:vAlign w:val="bottom"/>
                  <w:hideMark/>
                </w:tcPr>
                <w:p w14:paraId="5357B5B9" w14:textId="77777777" w:rsidR="00540C60" w:rsidRPr="00540C60" w:rsidRDefault="00540C60" w:rsidP="00540C60">
                  <w:pPr>
                    <w:widowControl/>
                    <w:adjustRightInd/>
                    <w:jc w:val="center"/>
                    <w:rPr>
                      <w:sz w:val="20"/>
                      <w:szCs w:val="20"/>
                    </w:rPr>
                  </w:pPr>
                  <w:r w:rsidRPr="00540C60">
                    <w:rPr>
                      <w:sz w:val="20"/>
                      <w:szCs w:val="20"/>
                    </w:rPr>
                    <w:t>NA</w:t>
                  </w:r>
                </w:p>
              </w:tc>
              <w:tc>
                <w:tcPr>
                  <w:tcW w:w="1120" w:type="dxa"/>
                  <w:tcBorders>
                    <w:top w:val="nil"/>
                    <w:left w:val="nil"/>
                    <w:bottom w:val="single" w:sz="8" w:space="0" w:color="000000"/>
                    <w:right w:val="single" w:sz="8" w:space="0" w:color="000000"/>
                  </w:tcBorders>
                  <w:shd w:val="clear" w:color="auto" w:fill="auto"/>
                  <w:vAlign w:val="bottom"/>
                  <w:hideMark/>
                </w:tcPr>
                <w:p w14:paraId="66E34BCD" w14:textId="77777777" w:rsidR="00540C60" w:rsidRPr="00540C60" w:rsidRDefault="00540C60" w:rsidP="00540C60">
                  <w:pPr>
                    <w:widowControl/>
                    <w:adjustRightInd/>
                    <w:jc w:val="center"/>
                    <w:rPr>
                      <w:sz w:val="20"/>
                      <w:szCs w:val="20"/>
                    </w:rPr>
                  </w:pPr>
                  <w:r w:rsidRPr="00540C60">
                    <w:rPr>
                      <w:sz w:val="20"/>
                      <w:szCs w:val="20"/>
                    </w:rPr>
                    <w:t xml:space="preserve">$8.46 </w:t>
                  </w:r>
                </w:p>
              </w:tc>
              <w:tc>
                <w:tcPr>
                  <w:tcW w:w="1120" w:type="dxa"/>
                  <w:tcBorders>
                    <w:top w:val="nil"/>
                    <w:left w:val="nil"/>
                    <w:bottom w:val="single" w:sz="8" w:space="0" w:color="000000"/>
                    <w:right w:val="double" w:sz="6" w:space="0" w:color="000000"/>
                  </w:tcBorders>
                  <w:shd w:val="clear" w:color="auto" w:fill="auto"/>
                  <w:vAlign w:val="bottom"/>
                  <w:hideMark/>
                </w:tcPr>
                <w:p w14:paraId="38DFF042" w14:textId="77777777" w:rsidR="00540C60" w:rsidRPr="00540C60" w:rsidRDefault="00540C60" w:rsidP="00540C60">
                  <w:pPr>
                    <w:widowControl/>
                    <w:adjustRightInd/>
                    <w:jc w:val="center"/>
                    <w:rPr>
                      <w:sz w:val="20"/>
                      <w:szCs w:val="20"/>
                    </w:rPr>
                  </w:pPr>
                  <w:r w:rsidRPr="00540C60">
                    <w:rPr>
                      <w:sz w:val="20"/>
                      <w:szCs w:val="20"/>
                    </w:rPr>
                    <w:t xml:space="preserve">$8.46 </w:t>
                  </w:r>
                </w:p>
              </w:tc>
            </w:tr>
            <w:tr w:rsidR="00540C60" w:rsidRPr="00540C60" w14:paraId="40F9E886" w14:textId="77777777" w:rsidTr="00540C60">
              <w:trPr>
                <w:trHeight w:val="270"/>
              </w:trPr>
              <w:tc>
                <w:tcPr>
                  <w:tcW w:w="3440" w:type="dxa"/>
                  <w:tcBorders>
                    <w:top w:val="nil"/>
                    <w:left w:val="double" w:sz="6" w:space="0" w:color="000000"/>
                    <w:bottom w:val="single" w:sz="8" w:space="0" w:color="000000"/>
                    <w:right w:val="single" w:sz="8" w:space="0" w:color="000000"/>
                  </w:tcBorders>
                  <w:shd w:val="clear" w:color="auto" w:fill="auto"/>
                  <w:vAlign w:val="bottom"/>
                  <w:hideMark/>
                </w:tcPr>
                <w:p w14:paraId="5D60C987" w14:textId="77777777" w:rsidR="00540C60" w:rsidRPr="00540C60" w:rsidRDefault="00540C60" w:rsidP="00540C60">
                  <w:pPr>
                    <w:widowControl/>
                    <w:adjustRightInd/>
                    <w:rPr>
                      <w:sz w:val="20"/>
                      <w:szCs w:val="20"/>
                    </w:rPr>
                  </w:pPr>
                  <w:r w:rsidRPr="00540C60">
                    <w:rPr>
                      <w:sz w:val="20"/>
                      <w:szCs w:val="20"/>
                    </w:rPr>
                    <w:t>Record keeping - 8 rpts @ (5pgs/1 rpt)</w:t>
                  </w:r>
                </w:p>
              </w:tc>
              <w:tc>
                <w:tcPr>
                  <w:tcW w:w="1340" w:type="dxa"/>
                  <w:tcBorders>
                    <w:top w:val="nil"/>
                    <w:left w:val="nil"/>
                    <w:bottom w:val="single" w:sz="8" w:space="0" w:color="000000"/>
                    <w:right w:val="single" w:sz="8" w:space="0" w:color="000000"/>
                  </w:tcBorders>
                  <w:shd w:val="clear" w:color="auto" w:fill="auto"/>
                  <w:vAlign w:val="bottom"/>
                  <w:hideMark/>
                </w:tcPr>
                <w:p w14:paraId="652035E8" w14:textId="77777777" w:rsidR="00540C60" w:rsidRPr="00540C60" w:rsidRDefault="00540C60" w:rsidP="00540C60">
                  <w:pPr>
                    <w:widowControl/>
                    <w:adjustRightInd/>
                    <w:jc w:val="center"/>
                    <w:rPr>
                      <w:sz w:val="20"/>
                      <w:szCs w:val="20"/>
                    </w:rPr>
                  </w:pPr>
                  <w:r w:rsidRPr="00540C60">
                    <w:rPr>
                      <w:sz w:val="20"/>
                      <w:szCs w:val="20"/>
                    </w:rPr>
                    <w:t xml:space="preserve">$1.25 </w:t>
                  </w:r>
                </w:p>
              </w:tc>
              <w:tc>
                <w:tcPr>
                  <w:tcW w:w="1340" w:type="dxa"/>
                  <w:tcBorders>
                    <w:top w:val="nil"/>
                    <w:left w:val="nil"/>
                    <w:bottom w:val="single" w:sz="8" w:space="0" w:color="000000"/>
                    <w:right w:val="single" w:sz="8" w:space="0" w:color="000000"/>
                  </w:tcBorders>
                  <w:shd w:val="clear" w:color="auto" w:fill="auto"/>
                  <w:vAlign w:val="bottom"/>
                  <w:hideMark/>
                </w:tcPr>
                <w:p w14:paraId="1FC0EB69" w14:textId="77777777" w:rsidR="00540C60" w:rsidRPr="00540C60" w:rsidRDefault="00540C60" w:rsidP="00540C60">
                  <w:pPr>
                    <w:widowControl/>
                    <w:adjustRightInd/>
                    <w:jc w:val="center"/>
                    <w:rPr>
                      <w:sz w:val="20"/>
                      <w:szCs w:val="20"/>
                    </w:rPr>
                  </w:pPr>
                  <w:r w:rsidRPr="00540C60">
                    <w:rPr>
                      <w:sz w:val="20"/>
                      <w:szCs w:val="20"/>
                    </w:rPr>
                    <w:t xml:space="preserve">$0.00 </w:t>
                  </w:r>
                </w:p>
              </w:tc>
              <w:tc>
                <w:tcPr>
                  <w:tcW w:w="1120" w:type="dxa"/>
                  <w:tcBorders>
                    <w:top w:val="nil"/>
                    <w:left w:val="nil"/>
                    <w:bottom w:val="single" w:sz="8" w:space="0" w:color="000000"/>
                    <w:right w:val="single" w:sz="8" w:space="0" w:color="000000"/>
                  </w:tcBorders>
                  <w:shd w:val="clear" w:color="auto" w:fill="auto"/>
                  <w:vAlign w:val="bottom"/>
                  <w:hideMark/>
                </w:tcPr>
                <w:p w14:paraId="4713E4B9" w14:textId="77777777" w:rsidR="00540C60" w:rsidRPr="00540C60" w:rsidRDefault="00540C60" w:rsidP="00540C60">
                  <w:pPr>
                    <w:widowControl/>
                    <w:adjustRightInd/>
                    <w:jc w:val="center"/>
                    <w:rPr>
                      <w:sz w:val="20"/>
                      <w:szCs w:val="20"/>
                    </w:rPr>
                  </w:pPr>
                  <w:r w:rsidRPr="00540C60">
                    <w:rPr>
                      <w:sz w:val="20"/>
                      <w:szCs w:val="20"/>
                    </w:rPr>
                    <w:t xml:space="preserve">$10.00 </w:t>
                  </w:r>
                </w:p>
              </w:tc>
              <w:tc>
                <w:tcPr>
                  <w:tcW w:w="1120" w:type="dxa"/>
                  <w:tcBorders>
                    <w:top w:val="nil"/>
                    <w:left w:val="nil"/>
                    <w:bottom w:val="single" w:sz="8" w:space="0" w:color="000000"/>
                    <w:right w:val="single" w:sz="8" w:space="0" w:color="000000"/>
                  </w:tcBorders>
                  <w:shd w:val="clear" w:color="auto" w:fill="auto"/>
                  <w:vAlign w:val="bottom"/>
                  <w:hideMark/>
                </w:tcPr>
                <w:p w14:paraId="613A7548" w14:textId="77777777" w:rsidR="00540C60" w:rsidRPr="00540C60" w:rsidRDefault="00540C60" w:rsidP="00540C60">
                  <w:pPr>
                    <w:widowControl/>
                    <w:adjustRightInd/>
                    <w:jc w:val="center"/>
                    <w:rPr>
                      <w:sz w:val="20"/>
                      <w:szCs w:val="20"/>
                    </w:rPr>
                  </w:pPr>
                  <w:r w:rsidRPr="00540C60">
                    <w:rPr>
                      <w:sz w:val="20"/>
                      <w:szCs w:val="20"/>
                    </w:rPr>
                    <w:t xml:space="preserve">$10.00 </w:t>
                  </w:r>
                </w:p>
              </w:tc>
              <w:tc>
                <w:tcPr>
                  <w:tcW w:w="1120" w:type="dxa"/>
                  <w:tcBorders>
                    <w:top w:val="nil"/>
                    <w:left w:val="nil"/>
                    <w:bottom w:val="single" w:sz="8" w:space="0" w:color="000000"/>
                    <w:right w:val="double" w:sz="6" w:space="0" w:color="000000"/>
                  </w:tcBorders>
                  <w:shd w:val="clear" w:color="auto" w:fill="auto"/>
                  <w:vAlign w:val="bottom"/>
                  <w:hideMark/>
                </w:tcPr>
                <w:p w14:paraId="1AB23076" w14:textId="77777777" w:rsidR="00540C60" w:rsidRPr="00540C60" w:rsidRDefault="00540C60" w:rsidP="00540C60">
                  <w:pPr>
                    <w:widowControl/>
                    <w:adjustRightInd/>
                    <w:jc w:val="center"/>
                    <w:rPr>
                      <w:sz w:val="20"/>
                      <w:szCs w:val="20"/>
                    </w:rPr>
                  </w:pPr>
                  <w:r w:rsidRPr="00540C60">
                    <w:rPr>
                      <w:sz w:val="20"/>
                      <w:szCs w:val="20"/>
                    </w:rPr>
                    <w:t xml:space="preserve">$10.00 </w:t>
                  </w:r>
                </w:p>
              </w:tc>
            </w:tr>
            <w:tr w:rsidR="00540C60" w:rsidRPr="00540C60" w14:paraId="547787DD" w14:textId="77777777" w:rsidTr="00540C60">
              <w:trPr>
                <w:trHeight w:val="450"/>
              </w:trPr>
              <w:tc>
                <w:tcPr>
                  <w:tcW w:w="3440" w:type="dxa"/>
                  <w:tcBorders>
                    <w:top w:val="nil"/>
                    <w:left w:val="double" w:sz="6" w:space="0" w:color="000000"/>
                    <w:bottom w:val="double" w:sz="6" w:space="0" w:color="000000"/>
                    <w:right w:val="single" w:sz="8" w:space="0" w:color="000000"/>
                  </w:tcBorders>
                  <w:shd w:val="clear" w:color="auto" w:fill="auto"/>
                  <w:vAlign w:val="bottom"/>
                  <w:hideMark/>
                </w:tcPr>
                <w:p w14:paraId="4E5A255C" w14:textId="77777777" w:rsidR="00540C60" w:rsidRPr="00540C60" w:rsidRDefault="00540C60" w:rsidP="00540C60">
                  <w:pPr>
                    <w:widowControl/>
                    <w:adjustRightInd/>
                    <w:rPr>
                      <w:b/>
                      <w:bCs/>
                      <w:sz w:val="20"/>
                      <w:szCs w:val="20"/>
                    </w:rPr>
                  </w:pPr>
                  <w:r w:rsidRPr="00540C60">
                    <w:rPr>
                      <w:b/>
                      <w:bCs/>
                      <w:sz w:val="20"/>
                      <w:szCs w:val="20"/>
                    </w:rPr>
                    <w:t>Total O&amp;M Costs for a Typical Facility</w:t>
                  </w:r>
                </w:p>
              </w:tc>
              <w:tc>
                <w:tcPr>
                  <w:tcW w:w="1340" w:type="dxa"/>
                  <w:tcBorders>
                    <w:top w:val="nil"/>
                    <w:left w:val="nil"/>
                    <w:bottom w:val="double" w:sz="6" w:space="0" w:color="000000"/>
                    <w:right w:val="nil"/>
                  </w:tcBorders>
                  <w:shd w:val="clear" w:color="auto" w:fill="auto"/>
                  <w:vAlign w:val="bottom"/>
                  <w:hideMark/>
                </w:tcPr>
                <w:p w14:paraId="73581B9A" w14:textId="77777777" w:rsidR="00540C60" w:rsidRPr="00540C60" w:rsidRDefault="00540C60" w:rsidP="00540C60">
                  <w:pPr>
                    <w:widowControl/>
                    <w:adjustRightInd/>
                    <w:rPr>
                      <w:b/>
                      <w:bCs/>
                      <w:sz w:val="20"/>
                      <w:szCs w:val="20"/>
                    </w:rPr>
                  </w:pPr>
                  <w:r w:rsidRPr="00540C60">
                    <w:rPr>
                      <w:b/>
                      <w:bCs/>
                      <w:sz w:val="20"/>
                      <w:szCs w:val="20"/>
                    </w:rPr>
                    <w:t> </w:t>
                  </w:r>
                </w:p>
              </w:tc>
              <w:tc>
                <w:tcPr>
                  <w:tcW w:w="1340" w:type="dxa"/>
                  <w:tcBorders>
                    <w:top w:val="nil"/>
                    <w:left w:val="nil"/>
                    <w:bottom w:val="double" w:sz="6" w:space="0" w:color="000000"/>
                    <w:right w:val="single" w:sz="8" w:space="0" w:color="000000"/>
                  </w:tcBorders>
                  <w:shd w:val="clear" w:color="auto" w:fill="auto"/>
                  <w:vAlign w:val="bottom"/>
                  <w:hideMark/>
                </w:tcPr>
                <w:p w14:paraId="1627D357" w14:textId="77777777" w:rsidR="00540C60" w:rsidRPr="00540C60" w:rsidRDefault="00540C60" w:rsidP="00540C60">
                  <w:pPr>
                    <w:widowControl/>
                    <w:adjustRightInd/>
                    <w:rPr>
                      <w:b/>
                      <w:bCs/>
                      <w:sz w:val="20"/>
                      <w:szCs w:val="20"/>
                    </w:rPr>
                  </w:pPr>
                  <w:r w:rsidRPr="00540C60">
                    <w:rPr>
                      <w:b/>
                      <w:bCs/>
                      <w:sz w:val="20"/>
                      <w:szCs w:val="20"/>
                    </w:rPr>
                    <w:t> </w:t>
                  </w:r>
                </w:p>
              </w:tc>
              <w:tc>
                <w:tcPr>
                  <w:tcW w:w="1120" w:type="dxa"/>
                  <w:tcBorders>
                    <w:top w:val="nil"/>
                    <w:left w:val="nil"/>
                    <w:bottom w:val="double" w:sz="6" w:space="0" w:color="000000"/>
                    <w:right w:val="single" w:sz="8" w:space="0" w:color="000000"/>
                  </w:tcBorders>
                  <w:shd w:val="clear" w:color="auto" w:fill="auto"/>
                  <w:vAlign w:val="bottom"/>
                  <w:hideMark/>
                </w:tcPr>
                <w:p w14:paraId="10E375C4" w14:textId="77777777" w:rsidR="00540C60" w:rsidRPr="00540C60" w:rsidRDefault="00540C60" w:rsidP="00540C60">
                  <w:pPr>
                    <w:widowControl/>
                    <w:adjustRightInd/>
                    <w:jc w:val="center"/>
                    <w:rPr>
                      <w:b/>
                      <w:bCs/>
                      <w:sz w:val="20"/>
                      <w:szCs w:val="20"/>
                    </w:rPr>
                  </w:pPr>
                  <w:r w:rsidRPr="00540C60">
                    <w:rPr>
                      <w:b/>
                      <w:bCs/>
                      <w:sz w:val="20"/>
                      <w:szCs w:val="20"/>
                    </w:rPr>
                    <w:t xml:space="preserve">$77.68 </w:t>
                  </w:r>
                </w:p>
              </w:tc>
              <w:tc>
                <w:tcPr>
                  <w:tcW w:w="1120" w:type="dxa"/>
                  <w:tcBorders>
                    <w:top w:val="nil"/>
                    <w:left w:val="nil"/>
                    <w:bottom w:val="double" w:sz="6" w:space="0" w:color="000000"/>
                    <w:right w:val="single" w:sz="8" w:space="0" w:color="000000"/>
                  </w:tcBorders>
                  <w:shd w:val="clear" w:color="auto" w:fill="auto"/>
                  <w:vAlign w:val="bottom"/>
                  <w:hideMark/>
                </w:tcPr>
                <w:p w14:paraId="0129ACC9" w14:textId="77777777" w:rsidR="00540C60" w:rsidRPr="00540C60" w:rsidRDefault="00540C60" w:rsidP="00540C60">
                  <w:pPr>
                    <w:widowControl/>
                    <w:adjustRightInd/>
                    <w:jc w:val="center"/>
                    <w:rPr>
                      <w:b/>
                      <w:bCs/>
                      <w:sz w:val="20"/>
                      <w:szCs w:val="20"/>
                    </w:rPr>
                  </w:pPr>
                  <w:r w:rsidRPr="00540C60">
                    <w:rPr>
                      <w:b/>
                      <w:bCs/>
                      <w:sz w:val="20"/>
                      <w:szCs w:val="20"/>
                    </w:rPr>
                    <w:t xml:space="preserve">$86.14 </w:t>
                  </w:r>
                </w:p>
              </w:tc>
              <w:tc>
                <w:tcPr>
                  <w:tcW w:w="1120" w:type="dxa"/>
                  <w:tcBorders>
                    <w:top w:val="nil"/>
                    <w:left w:val="nil"/>
                    <w:bottom w:val="double" w:sz="6" w:space="0" w:color="000000"/>
                    <w:right w:val="double" w:sz="6" w:space="0" w:color="000000"/>
                  </w:tcBorders>
                  <w:shd w:val="clear" w:color="auto" w:fill="auto"/>
                  <w:vAlign w:val="bottom"/>
                  <w:hideMark/>
                </w:tcPr>
                <w:p w14:paraId="36D6408F" w14:textId="77777777" w:rsidR="00540C60" w:rsidRPr="00540C60" w:rsidRDefault="00540C60" w:rsidP="00540C60">
                  <w:pPr>
                    <w:widowControl/>
                    <w:adjustRightInd/>
                    <w:jc w:val="center"/>
                    <w:rPr>
                      <w:b/>
                      <w:bCs/>
                      <w:sz w:val="20"/>
                      <w:szCs w:val="20"/>
                    </w:rPr>
                  </w:pPr>
                  <w:r w:rsidRPr="00540C60">
                    <w:rPr>
                      <w:b/>
                      <w:bCs/>
                      <w:sz w:val="20"/>
                      <w:szCs w:val="20"/>
                    </w:rPr>
                    <w:t xml:space="preserve">$18.46 </w:t>
                  </w:r>
                </w:p>
              </w:tc>
            </w:tr>
          </w:tbl>
          <w:p w14:paraId="1155D6E3" w14:textId="77777777" w:rsidR="005371BE" w:rsidRPr="005371BE" w:rsidRDefault="005371BE" w:rsidP="005371BE">
            <w:pPr>
              <w:widowControl/>
              <w:adjustRightInd/>
              <w:rPr>
                <w:sz w:val="20"/>
                <w:szCs w:val="20"/>
              </w:rPr>
            </w:pPr>
            <w:r w:rsidRPr="005371BE">
              <w:rPr>
                <w:sz w:val="20"/>
                <w:szCs w:val="20"/>
              </w:rPr>
              <w:t xml:space="preserve"> A “typical” respondent is assumed to report </w:t>
            </w:r>
            <w:r w:rsidRPr="005371BE">
              <w:rPr>
                <w:b/>
                <w:bCs/>
                <w:sz w:val="20"/>
                <w:szCs w:val="20"/>
              </w:rPr>
              <w:t>eight</w:t>
            </w:r>
            <w:r w:rsidRPr="005371BE">
              <w:rPr>
                <w:sz w:val="20"/>
                <w:szCs w:val="20"/>
              </w:rPr>
              <w:t xml:space="preserve"> continuous hazardous substance releases in year one and to experience a change in </w:t>
            </w:r>
            <w:r w:rsidRPr="005371BE">
              <w:rPr>
                <w:b/>
                <w:bCs/>
                <w:sz w:val="20"/>
                <w:szCs w:val="20"/>
              </w:rPr>
              <w:t>one release in the second and third years</w:t>
            </w:r>
            <w:r w:rsidRPr="005371BE">
              <w:rPr>
                <w:sz w:val="20"/>
                <w:szCs w:val="20"/>
              </w:rPr>
              <w:t xml:space="preserve"> (e.g., the frequency of the release per week changes each year, causing a modification in the estimated annual release amount).  No other </w:t>
            </w:r>
            <w:r w:rsidRPr="005371BE">
              <w:rPr>
                <w:sz w:val="20"/>
                <w:szCs w:val="20"/>
                <w:u w:val="single"/>
              </w:rPr>
              <w:t>conditional</w:t>
            </w:r>
            <w:r w:rsidRPr="005371BE">
              <w:rPr>
                <w:sz w:val="20"/>
                <w:szCs w:val="20"/>
              </w:rPr>
              <w:t xml:space="preserve"> activities are assumed to be required of the typical respondent.</w:t>
            </w:r>
          </w:p>
        </w:tc>
      </w:tr>
    </w:tbl>
    <w:p w14:paraId="11517DBB" w14:textId="77777777" w:rsidR="00351226" w:rsidRPr="001F3A52" w:rsidRDefault="00351226" w:rsidP="001D26B6">
      <w:pPr>
        <w:keepLines/>
      </w:pPr>
      <w:r w:rsidRPr="001F3A52">
        <w:rPr>
          <w:sz w:val="18"/>
          <w:szCs w:val="18"/>
        </w:rPr>
        <w:t>NA = Not Applicable</w:t>
      </w:r>
    </w:p>
    <w:p w14:paraId="7E513A75" w14:textId="77777777" w:rsidR="00351226" w:rsidRDefault="00351226" w:rsidP="00351226"/>
    <w:p w14:paraId="0D3C9E4E" w14:textId="77777777" w:rsidR="001D26B6" w:rsidRPr="00B23DF0" w:rsidRDefault="001D26B6" w:rsidP="001D26B6">
      <w:pPr>
        <w:ind w:firstLine="720"/>
        <w:rPr>
          <w:color w:val="008000"/>
        </w:rPr>
      </w:pPr>
      <w:r w:rsidRPr="00B23DF0">
        <w:rPr>
          <w:color w:val="008000"/>
        </w:rPr>
        <w:lastRenderedPageBreak/>
        <w:t>In Exhibit 6 (With Forms), O&amp;M costs for a typical facility that will use continuous release reporting forms are presented.</w:t>
      </w:r>
      <w:r w:rsidR="008813A3" w:rsidRPr="00B23DF0">
        <w:rPr>
          <w:color w:val="008000"/>
        </w:rPr>
        <w:t xml:space="preserve">  There is no difference in O&amp;M unit costs for a typical facility.</w:t>
      </w:r>
    </w:p>
    <w:p w14:paraId="6991DD4A" w14:textId="77777777" w:rsidR="00B41B73" w:rsidRPr="00B23DF0" w:rsidRDefault="00B41B73" w:rsidP="001D26B6">
      <w:pPr>
        <w:ind w:firstLine="720"/>
        <w:rPr>
          <w:color w:val="008000"/>
        </w:rPr>
      </w:pPr>
    </w:p>
    <w:p w14:paraId="1BE3609D" w14:textId="77777777" w:rsidR="00B41B73" w:rsidRPr="00B23DF0" w:rsidRDefault="00B41B73" w:rsidP="009F5E0D">
      <w:pPr>
        <w:jc w:val="center"/>
        <w:outlineLvl w:val="4"/>
        <w:rPr>
          <w:b/>
          <w:color w:val="008000"/>
        </w:rPr>
      </w:pPr>
      <w:bookmarkStart w:id="65" w:name="_Toc302552512"/>
      <w:r w:rsidRPr="00B23DF0">
        <w:rPr>
          <w:b/>
          <w:color w:val="008000"/>
        </w:rPr>
        <w:t>Exhibit 6 (With Forms) – Operating and Maintenance Costs for a Typical Facility</w:t>
      </w:r>
      <w:bookmarkEnd w:id="65"/>
    </w:p>
    <w:tbl>
      <w:tblPr>
        <w:tblW w:w="9480" w:type="dxa"/>
        <w:tblInd w:w="85" w:type="dxa"/>
        <w:tblLook w:val="04A0" w:firstRow="1" w:lastRow="0" w:firstColumn="1" w:lastColumn="0" w:noHBand="0" w:noVBand="1"/>
      </w:tblPr>
      <w:tblGrid>
        <w:gridCol w:w="9635"/>
      </w:tblGrid>
      <w:tr w:rsidR="005371BE" w:rsidRPr="005371BE" w14:paraId="7A03260A" w14:textId="77777777" w:rsidTr="005371BE">
        <w:trPr>
          <w:trHeight w:val="1050"/>
        </w:trPr>
        <w:tc>
          <w:tcPr>
            <w:tcW w:w="9480" w:type="dxa"/>
            <w:tcBorders>
              <w:top w:val="nil"/>
              <w:left w:val="nil"/>
              <w:bottom w:val="nil"/>
              <w:right w:val="nil"/>
            </w:tcBorders>
            <w:shd w:val="clear" w:color="auto" w:fill="auto"/>
            <w:vAlign w:val="bottom"/>
            <w:hideMark/>
          </w:tcPr>
          <w:tbl>
            <w:tblPr>
              <w:tblW w:w="9480" w:type="dxa"/>
              <w:tblLook w:val="04A0" w:firstRow="1" w:lastRow="0" w:firstColumn="1" w:lastColumn="0" w:noHBand="0" w:noVBand="1"/>
            </w:tblPr>
            <w:tblGrid>
              <w:gridCol w:w="3413"/>
              <w:gridCol w:w="1383"/>
              <w:gridCol w:w="1335"/>
              <w:gridCol w:w="1116"/>
              <w:gridCol w:w="1117"/>
              <w:gridCol w:w="1116"/>
            </w:tblGrid>
            <w:tr w:rsidR="007C7842" w:rsidRPr="007C7842" w14:paraId="362CCAB4" w14:textId="77777777" w:rsidTr="007C7842">
              <w:trPr>
                <w:trHeight w:val="285"/>
              </w:trPr>
              <w:tc>
                <w:tcPr>
                  <w:tcW w:w="3440" w:type="dxa"/>
                  <w:vMerge w:val="restart"/>
                  <w:tcBorders>
                    <w:top w:val="double" w:sz="6" w:space="0" w:color="000000"/>
                    <w:left w:val="double" w:sz="6" w:space="0" w:color="000000"/>
                    <w:bottom w:val="single" w:sz="8" w:space="0" w:color="000000"/>
                    <w:right w:val="single" w:sz="8" w:space="0" w:color="000000"/>
                  </w:tcBorders>
                  <w:shd w:val="clear" w:color="auto" w:fill="auto"/>
                  <w:vAlign w:val="bottom"/>
                  <w:hideMark/>
                </w:tcPr>
                <w:p w14:paraId="1692272C" w14:textId="77777777" w:rsidR="007C7842" w:rsidRPr="007C7842" w:rsidRDefault="007C7842" w:rsidP="007C7842">
                  <w:pPr>
                    <w:widowControl/>
                    <w:adjustRightInd/>
                    <w:jc w:val="center"/>
                    <w:rPr>
                      <w:b/>
                      <w:bCs/>
                      <w:sz w:val="20"/>
                      <w:szCs w:val="20"/>
                    </w:rPr>
                  </w:pPr>
                  <w:r w:rsidRPr="007C7842">
                    <w:rPr>
                      <w:b/>
                      <w:bCs/>
                      <w:sz w:val="20"/>
                      <w:szCs w:val="20"/>
                    </w:rPr>
                    <w:t>Collection Activity</w:t>
                  </w:r>
                </w:p>
              </w:tc>
              <w:tc>
                <w:tcPr>
                  <w:tcW w:w="2680" w:type="dxa"/>
                  <w:gridSpan w:val="2"/>
                  <w:tcBorders>
                    <w:top w:val="double" w:sz="6" w:space="0" w:color="000000"/>
                    <w:left w:val="nil"/>
                    <w:bottom w:val="single" w:sz="8" w:space="0" w:color="000000"/>
                    <w:right w:val="single" w:sz="8" w:space="0" w:color="000000"/>
                  </w:tcBorders>
                  <w:shd w:val="clear" w:color="auto" w:fill="auto"/>
                  <w:vAlign w:val="bottom"/>
                  <w:hideMark/>
                </w:tcPr>
                <w:p w14:paraId="7FF57196" w14:textId="77777777" w:rsidR="007C7842" w:rsidRPr="007C7842" w:rsidRDefault="007C7842" w:rsidP="007C7842">
                  <w:pPr>
                    <w:widowControl/>
                    <w:adjustRightInd/>
                    <w:jc w:val="center"/>
                    <w:rPr>
                      <w:b/>
                      <w:bCs/>
                      <w:sz w:val="20"/>
                      <w:szCs w:val="20"/>
                    </w:rPr>
                  </w:pPr>
                  <w:r w:rsidRPr="007C7842">
                    <w:rPr>
                      <w:b/>
                      <w:bCs/>
                      <w:sz w:val="20"/>
                      <w:szCs w:val="20"/>
                    </w:rPr>
                    <w:t>Unit O&amp;M Costs</w:t>
                  </w:r>
                </w:p>
              </w:tc>
              <w:tc>
                <w:tcPr>
                  <w:tcW w:w="3360" w:type="dxa"/>
                  <w:gridSpan w:val="3"/>
                  <w:tcBorders>
                    <w:top w:val="double" w:sz="6" w:space="0" w:color="000000"/>
                    <w:left w:val="nil"/>
                    <w:bottom w:val="single" w:sz="8" w:space="0" w:color="000000"/>
                    <w:right w:val="double" w:sz="6" w:space="0" w:color="000000"/>
                  </w:tcBorders>
                  <w:shd w:val="clear" w:color="auto" w:fill="auto"/>
                  <w:vAlign w:val="bottom"/>
                  <w:hideMark/>
                </w:tcPr>
                <w:p w14:paraId="061386F3" w14:textId="77777777" w:rsidR="007C7842" w:rsidRPr="007C7842" w:rsidRDefault="007C7842" w:rsidP="007C7842">
                  <w:pPr>
                    <w:widowControl/>
                    <w:adjustRightInd/>
                    <w:jc w:val="center"/>
                    <w:rPr>
                      <w:b/>
                      <w:bCs/>
                      <w:sz w:val="20"/>
                      <w:szCs w:val="20"/>
                    </w:rPr>
                  </w:pPr>
                  <w:r w:rsidRPr="007C7842">
                    <w:rPr>
                      <w:b/>
                      <w:bCs/>
                      <w:sz w:val="20"/>
                      <w:szCs w:val="20"/>
                    </w:rPr>
                    <w:t>Total Unit Cost</w:t>
                  </w:r>
                </w:p>
              </w:tc>
            </w:tr>
            <w:tr w:rsidR="007C7842" w:rsidRPr="007C7842" w14:paraId="53C5B58E" w14:textId="77777777" w:rsidTr="007C7842">
              <w:trPr>
                <w:trHeight w:val="510"/>
              </w:trPr>
              <w:tc>
                <w:tcPr>
                  <w:tcW w:w="3440" w:type="dxa"/>
                  <w:vMerge/>
                  <w:tcBorders>
                    <w:top w:val="double" w:sz="6" w:space="0" w:color="000000"/>
                    <w:left w:val="double" w:sz="6" w:space="0" w:color="000000"/>
                    <w:bottom w:val="single" w:sz="8" w:space="0" w:color="000000"/>
                    <w:right w:val="single" w:sz="8" w:space="0" w:color="000000"/>
                  </w:tcBorders>
                  <w:vAlign w:val="center"/>
                  <w:hideMark/>
                </w:tcPr>
                <w:p w14:paraId="6F693E98" w14:textId="77777777" w:rsidR="007C7842" w:rsidRPr="007C7842" w:rsidRDefault="007C7842" w:rsidP="007C7842">
                  <w:pPr>
                    <w:widowControl/>
                    <w:adjustRightInd/>
                    <w:rPr>
                      <w:b/>
                      <w:bCs/>
                      <w:sz w:val="20"/>
                      <w:szCs w:val="20"/>
                    </w:rPr>
                  </w:pPr>
                </w:p>
              </w:tc>
              <w:tc>
                <w:tcPr>
                  <w:tcW w:w="1340" w:type="dxa"/>
                  <w:tcBorders>
                    <w:top w:val="nil"/>
                    <w:left w:val="nil"/>
                    <w:bottom w:val="nil"/>
                    <w:right w:val="single" w:sz="8" w:space="0" w:color="000000"/>
                  </w:tcBorders>
                  <w:shd w:val="clear" w:color="auto" w:fill="auto"/>
                  <w:vAlign w:val="bottom"/>
                  <w:hideMark/>
                </w:tcPr>
                <w:p w14:paraId="339339F1" w14:textId="77777777" w:rsidR="007C7842" w:rsidRPr="007C7842" w:rsidRDefault="007C7842" w:rsidP="007C7842">
                  <w:pPr>
                    <w:widowControl/>
                    <w:adjustRightInd/>
                    <w:jc w:val="center"/>
                    <w:rPr>
                      <w:b/>
                      <w:bCs/>
                      <w:sz w:val="20"/>
                      <w:szCs w:val="20"/>
                    </w:rPr>
                  </w:pPr>
                  <w:r w:rsidRPr="007C7842">
                    <w:rPr>
                      <w:b/>
                      <w:bCs/>
                      <w:sz w:val="20"/>
                      <w:szCs w:val="20"/>
                    </w:rPr>
                    <w:t>Photocopying ($/pg)</w:t>
                  </w:r>
                </w:p>
              </w:tc>
              <w:tc>
                <w:tcPr>
                  <w:tcW w:w="1340" w:type="dxa"/>
                  <w:tcBorders>
                    <w:top w:val="nil"/>
                    <w:left w:val="nil"/>
                    <w:bottom w:val="nil"/>
                    <w:right w:val="single" w:sz="8" w:space="0" w:color="000000"/>
                  </w:tcBorders>
                  <w:shd w:val="clear" w:color="auto" w:fill="auto"/>
                  <w:vAlign w:val="bottom"/>
                  <w:hideMark/>
                </w:tcPr>
                <w:p w14:paraId="32229B9B" w14:textId="77777777" w:rsidR="007C7842" w:rsidRPr="007C7842" w:rsidRDefault="007C7842" w:rsidP="007C7842">
                  <w:pPr>
                    <w:widowControl/>
                    <w:adjustRightInd/>
                    <w:jc w:val="center"/>
                    <w:rPr>
                      <w:b/>
                      <w:bCs/>
                      <w:sz w:val="20"/>
                      <w:szCs w:val="20"/>
                    </w:rPr>
                  </w:pPr>
                  <w:r w:rsidRPr="007C7842">
                    <w:rPr>
                      <w:b/>
                      <w:bCs/>
                      <w:sz w:val="20"/>
                      <w:szCs w:val="20"/>
                    </w:rPr>
                    <w:t>Mailing ($/rpt)</w:t>
                  </w:r>
                </w:p>
              </w:tc>
              <w:tc>
                <w:tcPr>
                  <w:tcW w:w="1120" w:type="dxa"/>
                  <w:vMerge w:val="restart"/>
                  <w:tcBorders>
                    <w:top w:val="nil"/>
                    <w:left w:val="single" w:sz="8" w:space="0" w:color="000000"/>
                    <w:bottom w:val="single" w:sz="8" w:space="0" w:color="000000"/>
                    <w:right w:val="single" w:sz="8" w:space="0" w:color="000000"/>
                  </w:tcBorders>
                  <w:shd w:val="clear" w:color="auto" w:fill="auto"/>
                  <w:vAlign w:val="bottom"/>
                  <w:hideMark/>
                </w:tcPr>
                <w:p w14:paraId="74B866F7" w14:textId="77777777" w:rsidR="007C7842" w:rsidRPr="007C7842" w:rsidRDefault="007C7842" w:rsidP="007C7842">
                  <w:pPr>
                    <w:widowControl/>
                    <w:adjustRightInd/>
                    <w:rPr>
                      <w:b/>
                      <w:bCs/>
                      <w:sz w:val="20"/>
                      <w:szCs w:val="20"/>
                    </w:rPr>
                  </w:pPr>
                  <w:r w:rsidRPr="007C7842">
                    <w:rPr>
                      <w:b/>
                      <w:bCs/>
                      <w:sz w:val="20"/>
                      <w:szCs w:val="20"/>
                    </w:rPr>
                    <w:t>First Year</w:t>
                  </w:r>
                </w:p>
              </w:tc>
              <w:tc>
                <w:tcPr>
                  <w:tcW w:w="1120" w:type="dxa"/>
                  <w:vMerge w:val="restart"/>
                  <w:tcBorders>
                    <w:top w:val="nil"/>
                    <w:left w:val="single" w:sz="8" w:space="0" w:color="000000"/>
                    <w:bottom w:val="single" w:sz="8" w:space="0" w:color="000000"/>
                    <w:right w:val="single" w:sz="8" w:space="0" w:color="000000"/>
                  </w:tcBorders>
                  <w:shd w:val="clear" w:color="auto" w:fill="auto"/>
                  <w:vAlign w:val="bottom"/>
                  <w:hideMark/>
                </w:tcPr>
                <w:p w14:paraId="615313E1" w14:textId="77777777" w:rsidR="007C7842" w:rsidRPr="007C7842" w:rsidRDefault="007C7842" w:rsidP="007C7842">
                  <w:pPr>
                    <w:widowControl/>
                    <w:adjustRightInd/>
                    <w:rPr>
                      <w:b/>
                      <w:bCs/>
                      <w:sz w:val="20"/>
                      <w:szCs w:val="20"/>
                    </w:rPr>
                  </w:pPr>
                  <w:r w:rsidRPr="007C7842">
                    <w:rPr>
                      <w:b/>
                      <w:bCs/>
                      <w:sz w:val="20"/>
                      <w:szCs w:val="20"/>
                    </w:rPr>
                    <w:t>Second Year</w:t>
                  </w:r>
                </w:p>
              </w:tc>
              <w:tc>
                <w:tcPr>
                  <w:tcW w:w="1120" w:type="dxa"/>
                  <w:vMerge w:val="restart"/>
                  <w:tcBorders>
                    <w:top w:val="nil"/>
                    <w:left w:val="single" w:sz="8" w:space="0" w:color="000000"/>
                    <w:bottom w:val="single" w:sz="8" w:space="0" w:color="000000"/>
                    <w:right w:val="double" w:sz="6" w:space="0" w:color="000000"/>
                  </w:tcBorders>
                  <w:shd w:val="clear" w:color="auto" w:fill="auto"/>
                  <w:vAlign w:val="bottom"/>
                  <w:hideMark/>
                </w:tcPr>
                <w:p w14:paraId="4B2E8C35" w14:textId="77777777" w:rsidR="007C7842" w:rsidRPr="007C7842" w:rsidRDefault="007C7842" w:rsidP="007C7842">
                  <w:pPr>
                    <w:widowControl/>
                    <w:adjustRightInd/>
                    <w:rPr>
                      <w:b/>
                      <w:bCs/>
                      <w:sz w:val="20"/>
                      <w:szCs w:val="20"/>
                    </w:rPr>
                  </w:pPr>
                  <w:r w:rsidRPr="007C7842">
                    <w:rPr>
                      <w:b/>
                      <w:bCs/>
                      <w:sz w:val="20"/>
                      <w:szCs w:val="20"/>
                    </w:rPr>
                    <w:t>Third Year</w:t>
                  </w:r>
                </w:p>
              </w:tc>
            </w:tr>
            <w:tr w:rsidR="007C7842" w:rsidRPr="007C7842" w14:paraId="3288A889" w14:textId="77777777" w:rsidTr="007C7842">
              <w:trPr>
                <w:trHeight w:val="270"/>
              </w:trPr>
              <w:tc>
                <w:tcPr>
                  <w:tcW w:w="3440" w:type="dxa"/>
                  <w:vMerge/>
                  <w:tcBorders>
                    <w:top w:val="double" w:sz="6" w:space="0" w:color="000000"/>
                    <w:left w:val="double" w:sz="6" w:space="0" w:color="000000"/>
                    <w:bottom w:val="single" w:sz="8" w:space="0" w:color="000000"/>
                    <w:right w:val="single" w:sz="8" w:space="0" w:color="000000"/>
                  </w:tcBorders>
                  <w:vAlign w:val="center"/>
                  <w:hideMark/>
                </w:tcPr>
                <w:p w14:paraId="62D2DC6E" w14:textId="77777777" w:rsidR="007C7842" w:rsidRPr="007C7842" w:rsidRDefault="007C7842" w:rsidP="007C7842">
                  <w:pPr>
                    <w:widowControl/>
                    <w:adjustRightInd/>
                    <w:rPr>
                      <w:b/>
                      <w:bCs/>
                      <w:sz w:val="20"/>
                      <w:szCs w:val="20"/>
                    </w:rPr>
                  </w:pPr>
                </w:p>
              </w:tc>
              <w:tc>
                <w:tcPr>
                  <w:tcW w:w="1340" w:type="dxa"/>
                  <w:tcBorders>
                    <w:top w:val="nil"/>
                    <w:left w:val="nil"/>
                    <w:bottom w:val="single" w:sz="8" w:space="0" w:color="000000"/>
                    <w:right w:val="single" w:sz="8" w:space="0" w:color="000000"/>
                  </w:tcBorders>
                  <w:shd w:val="clear" w:color="auto" w:fill="auto"/>
                  <w:vAlign w:val="bottom"/>
                  <w:hideMark/>
                </w:tcPr>
                <w:p w14:paraId="4E5F4B9D" w14:textId="77777777" w:rsidR="007C7842" w:rsidRPr="007C7842" w:rsidRDefault="007C7842" w:rsidP="007C7842">
                  <w:pPr>
                    <w:widowControl/>
                    <w:adjustRightInd/>
                    <w:jc w:val="center"/>
                    <w:rPr>
                      <w:b/>
                      <w:bCs/>
                      <w:sz w:val="20"/>
                      <w:szCs w:val="20"/>
                    </w:rPr>
                  </w:pPr>
                  <w:r w:rsidRPr="007C7842">
                    <w:rPr>
                      <w:b/>
                      <w:bCs/>
                      <w:sz w:val="20"/>
                      <w:szCs w:val="20"/>
                    </w:rPr>
                    <w:t xml:space="preserve">$0.25 </w:t>
                  </w:r>
                </w:p>
              </w:tc>
              <w:tc>
                <w:tcPr>
                  <w:tcW w:w="1340" w:type="dxa"/>
                  <w:tcBorders>
                    <w:top w:val="nil"/>
                    <w:left w:val="nil"/>
                    <w:bottom w:val="single" w:sz="8" w:space="0" w:color="000000"/>
                    <w:right w:val="single" w:sz="8" w:space="0" w:color="000000"/>
                  </w:tcBorders>
                  <w:shd w:val="clear" w:color="auto" w:fill="auto"/>
                  <w:vAlign w:val="bottom"/>
                  <w:hideMark/>
                </w:tcPr>
                <w:p w14:paraId="38E4B634" w14:textId="77777777" w:rsidR="007C7842" w:rsidRPr="007C7842" w:rsidRDefault="007C7842" w:rsidP="007C7842">
                  <w:pPr>
                    <w:widowControl/>
                    <w:adjustRightInd/>
                    <w:jc w:val="center"/>
                    <w:rPr>
                      <w:b/>
                      <w:bCs/>
                      <w:sz w:val="20"/>
                      <w:szCs w:val="20"/>
                    </w:rPr>
                  </w:pPr>
                  <w:r w:rsidRPr="007C7842">
                    <w:rPr>
                      <w:b/>
                      <w:bCs/>
                      <w:sz w:val="20"/>
                      <w:szCs w:val="20"/>
                    </w:rPr>
                    <w:t xml:space="preserve">$7 </w:t>
                  </w:r>
                </w:p>
              </w:tc>
              <w:tc>
                <w:tcPr>
                  <w:tcW w:w="1120" w:type="dxa"/>
                  <w:vMerge/>
                  <w:tcBorders>
                    <w:top w:val="nil"/>
                    <w:left w:val="single" w:sz="8" w:space="0" w:color="000000"/>
                    <w:bottom w:val="single" w:sz="8" w:space="0" w:color="000000"/>
                    <w:right w:val="single" w:sz="8" w:space="0" w:color="000000"/>
                  </w:tcBorders>
                  <w:vAlign w:val="center"/>
                  <w:hideMark/>
                </w:tcPr>
                <w:p w14:paraId="392EBF82" w14:textId="77777777" w:rsidR="007C7842" w:rsidRPr="007C7842" w:rsidRDefault="007C7842" w:rsidP="007C7842">
                  <w:pPr>
                    <w:widowControl/>
                    <w:adjustRightInd/>
                    <w:rPr>
                      <w:b/>
                      <w:bCs/>
                      <w:sz w:val="20"/>
                      <w:szCs w:val="20"/>
                    </w:rPr>
                  </w:pPr>
                </w:p>
              </w:tc>
              <w:tc>
                <w:tcPr>
                  <w:tcW w:w="1120" w:type="dxa"/>
                  <w:vMerge/>
                  <w:tcBorders>
                    <w:top w:val="nil"/>
                    <w:left w:val="single" w:sz="8" w:space="0" w:color="000000"/>
                    <w:bottom w:val="single" w:sz="8" w:space="0" w:color="000000"/>
                    <w:right w:val="single" w:sz="8" w:space="0" w:color="000000"/>
                  </w:tcBorders>
                  <w:vAlign w:val="center"/>
                  <w:hideMark/>
                </w:tcPr>
                <w:p w14:paraId="5175B72A" w14:textId="77777777" w:rsidR="007C7842" w:rsidRPr="007C7842" w:rsidRDefault="007C7842" w:rsidP="007C7842">
                  <w:pPr>
                    <w:widowControl/>
                    <w:adjustRightInd/>
                    <w:rPr>
                      <w:b/>
                      <w:bCs/>
                      <w:sz w:val="20"/>
                      <w:szCs w:val="20"/>
                    </w:rPr>
                  </w:pPr>
                </w:p>
              </w:tc>
              <w:tc>
                <w:tcPr>
                  <w:tcW w:w="1120" w:type="dxa"/>
                  <w:vMerge/>
                  <w:tcBorders>
                    <w:top w:val="nil"/>
                    <w:left w:val="single" w:sz="8" w:space="0" w:color="000000"/>
                    <w:bottom w:val="single" w:sz="8" w:space="0" w:color="000000"/>
                    <w:right w:val="double" w:sz="6" w:space="0" w:color="000000"/>
                  </w:tcBorders>
                  <w:vAlign w:val="center"/>
                  <w:hideMark/>
                </w:tcPr>
                <w:p w14:paraId="2C00B767" w14:textId="77777777" w:rsidR="007C7842" w:rsidRPr="007C7842" w:rsidRDefault="007C7842" w:rsidP="007C7842">
                  <w:pPr>
                    <w:widowControl/>
                    <w:adjustRightInd/>
                    <w:rPr>
                      <w:b/>
                      <w:bCs/>
                      <w:sz w:val="20"/>
                      <w:szCs w:val="20"/>
                    </w:rPr>
                  </w:pPr>
                </w:p>
              </w:tc>
            </w:tr>
            <w:tr w:rsidR="007C7842" w:rsidRPr="007C7842" w14:paraId="6A10B745" w14:textId="77777777" w:rsidTr="007C7842">
              <w:trPr>
                <w:trHeight w:val="525"/>
              </w:trPr>
              <w:tc>
                <w:tcPr>
                  <w:tcW w:w="3440" w:type="dxa"/>
                  <w:tcBorders>
                    <w:top w:val="nil"/>
                    <w:left w:val="double" w:sz="6" w:space="0" w:color="000000"/>
                    <w:bottom w:val="single" w:sz="8" w:space="0" w:color="000000"/>
                    <w:right w:val="single" w:sz="8" w:space="0" w:color="000000"/>
                  </w:tcBorders>
                  <w:shd w:val="clear" w:color="auto" w:fill="auto"/>
                  <w:vAlign w:val="bottom"/>
                  <w:hideMark/>
                </w:tcPr>
                <w:p w14:paraId="3FB65980" w14:textId="77777777" w:rsidR="007C7842" w:rsidRPr="007C7842" w:rsidRDefault="007C7842" w:rsidP="007C7842">
                  <w:pPr>
                    <w:widowControl/>
                    <w:adjustRightInd/>
                    <w:rPr>
                      <w:sz w:val="20"/>
                      <w:szCs w:val="20"/>
                    </w:rPr>
                  </w:pPr>
                  <w:r w:rsidRPr="007C7842">
                    <w:rPr>
                      <w:sz w:val="20"/>
                      <w:szCs w:val="20"/>
                    </w:rPr>
                    <w:t>Providing an Initial Telephone Notification</w:t>
                  </w:r>
                </w:p>
              </w:tc>
              <w:tc>
                <w:tcPr>
                  <w:tcW w:w="1340" w:type="dxa"/>
                  <w:tcBorders>
                    <w:top w:val="nil"/>
                    <w:left w:val="nil"/>
                    <w:bottom w:val="single" w:sz="8" w:space="0" w:color="000000"/>
                    <w:right w:val="single" w:sz="8" w:space="0" w:color="000000"/>
                  </w:tcBorders>
                  <w:shd w:val="clear" w:color="auto" w:fill="auto"/>
                  <w:vAlign w:val="bottom"/>
                  <w:hideMark/>
                </w:tcPr>
                <w:p w14:paraId="51945326" w14:textId="77777777" w:rsidR="007C7842" w:rsidRPr="007C7842" w:rsidRDefault="007C7842" w:rsidP="007C7842">
                  <w:pPr>
                    <w:widowControl/>
                    <w:adjustRightInd/>
                    <w:jc w:val="center"/>
                    <w:rPr>
                      <w:sz w:val="20"/>
                      <w:szCs w:val="20"/>
                    </w:rPr>
                  </w:pPr>
                  <w:r w:rsidRPr="007C7842">
                    <w:rPr>
                      <w:sz w:val="20"/>
                      <w:szCs w:val="20"/>
                    </w:rPr>
                    <w:t xml:space="preserve">$0.00 </w:t>
                  </w:r>
                </w:p>
              </w:tc>
              <w:tc>
                <w:tcPr>
                  <w:tcW w:w="1340" w:type="dxa"/>
                  <w:tcBorders>
                    <w:top w:val="nil"/>
                    <w:left w:val="nil"/>
                    <w:bottom w:val="single" w:sz="8" w:space="0" w:color="000000"/>
                    <w:right w:val="single" w:sz="8" w:space="0" w:color="000000"/>
                  </w:tcBorders>
                  <w:shd w:val="clear" w:color="auto" w:fill="auto"/>
                  <w:vAlign w:val="bottom"/>
                  <w:hideMark/>
                </w:tcPr>
                <w:p w14:paraId="4246B5DE" w14:textId="77777777" w:rsidR="007C7842" w:rsidRPr="007C7842" w:rsidRDefault="007C7842" w:rsidP="007C7842">
                  <w:pPr>
                    <w:widowControl/>
                    <w:adjustRightInd/>
                    <w:jc w:val="center"/>
                    <w:rPr>
                      <w:sz w:val="20"/>
                      <w:szCs w:val="20"/>
                    </w:rPr>
                  </w:pPr>
                  <w:r w:rsidRPr="007C7842">
                    <w:rPr>
                      <w:sz w:val="20"/>
                      <w:szCs w:val="20"/>
                    </w:rPr>
                    <w:t xml:space="preserve">$0.00 </w:t>
                  </w:r>
                </w:p>
              </w:tc>
              <w:tc>
                <w:tcPr>
                  <w:tcW w:w="1120" w:type="dxa"/>
                  <w:tcBorders>
                    <w:top w:val="nil"/>
                    <w:left w:val="nil"/>
                    <w:bottom w:val="single" w:sz="8" w:space="0" w:color="000000"/>
                    <w:right w:val="single" w:sz="8" w:space="0" w:color="000000"/>
                  </w:tcBorders>
                  <w:shd w:val="clear" w:color="auto" w:fill="auto"/>
                  <w:vAlign w:val="bottom"/>
                  <w:hideMark/>
                </w:tcPr>
                <w:p w14:paraId="2DBBD00E" w14:textId="77777777" w:rsidR="007C7842" w:rsidRPr="007C7842" w:rsidRDefault="007C7842" w:rsidP="007C7842">
                  <w:pPr>
                    <w:widowControl/>
                    <w:adjustRightInd/>
                    <w:jc w:val="center"/>
                    <w:rPr>
                      <w:sz w:val="20"/>
                      <w:szCs w:val="20"/>
                    </w:rPr>
                  </w:pPr>
                  <w:r w:rsidRPr="007C7842">
                    <w:rPr>
                      <w:sz w:val="20"/>
                      <w:szCs w:val="20"/>
                    </w:rPr>
                    <w:t>NA</w:t>
                  </w:r>
                </w:p>
              </w:tc>
              <w:tc>
                <w:tcPr>
                  <w:tcW w:w="1120" w:type="dxa"/>
                  <w:tcBorders>
                    <w:top w:val="nil"/>
                    <w:left w:val="nil"/>
                    <w:bottom w:val="single" w:sz="8" w:space="0" w:color="000000"/>
                    <w:right w:val="single" w:sz="8" w:space="0" w:color="000000"/>
                  </w:tcBorders>
                  <w:shd w:val="clear" w:color="auto" w:fill="auto"/>
                  <w:vAlign w:val="bottom"/>
                  <w:hideMark/>
                </w:tcPr>
                <w:p w14:paraId="19296ABA" w14:textId="77777777" w:rsidR="007C7842" w:rsidRPr="007C7842" w:rsidRDefault="007C7842" w:rsidP="007C7842">
                  <w:pPr>
                    <w:widowControl/>
                    <w:adjustRightInd/>
                    <w:jc w:val="center"/>
                    <w:rPr>
                      <w:sz w:val="20"/>
                      <w:szCs w:val="20"/>
                    </w:rPr>
                  </w:pPr>
                  <w:r w:rsidRPr="007C7842">
                    <w:rPr>
                      <w:sz w:val="20"/>
                      <w:szCs w:val="20"/>
                    </w:rPr>
                    <w:t>NA</w:t>
                  </w:r>
                </w:p>
              </w:tc>
              <w:tc>
                <w:tcPr>
                  <w:tcW w:w="1120" w:type="dxa"/>
                  <w:tcBorders>
                    <w:top w:val="nil"/>
                    <w:left w:val="nil"/>
                    <w:bottom w:val="single" w:sz="8" w:space="0" w:color="000000"/>
                    <w:right w:val="double" w:sz="6" w:space="0" w:color="000000"/>
                  </w:tcBorders>
                  <w:shd w:val="clear" w:color="auto" w:fill="auto"/>
                  <w:vAlign w:val="bottom"/>
                  <w:hideMark/>
                </w:tcPr>
                <w:p w14:paraId="64F0198A" w14:textId="77777777" w:rsidR="007C7842" w:rsidRPr="007C7842" w:rsidRDefault="007C7842" w:rsidP="007C7842">
                  <w:pPr>
                    <w:widowControl/>
                    <w:adjustRightInd/>
                    <w:jc w:val="center"/>
                    <w:rPr>
                      <w:sz w:val="20"/>
                      <w:szCs w:val="20"/>
                    </w:rPr>
                  </w:pPr>
                  <w:r w:rsidRPr="007C7842">
                    <w:rPr>
                      <w:sz w:val="20"/>
                      <w:szCs w:val="20"/>
                    </w:rPr>
                    <w:t>NA</w:t>
                  </w:r>
                </w:p>
              </w:tc>
            </w:tr>
            <w:tr w:rsidR="007C7842" w:rsidRPr="007C7842" w14:paraId="524BB091" w14:textId="77777777" w:rsidTr="007C7842">
              <w:trPr>
                <w:trHeight w:val="525"/>
              </w:trPr>
              <w:tc>
                <w:tcPr>
                  <w:tcW w:w="3440" w:type="dxa"/>
                  <w:tcBorders>
                    <w:top w:val="nil"/>
                    <w:left w:val="double" w:sz="6" w:space="0" w:color="000000"/>
                    <w:bottom w:val="single" w:sz="8" w:space="0" w:color="000000"/>
                    <w:right w:val="single" w:sz="8" w:space="0" w:color="000000"/>
                  </w:tcBorders>
                  <w:shd w:val="clear" w:color="auto" w:fill="auto"/>
                  <w:vAlign w:val="bottom"/>
                  <w:hideMark/>
                </w:tcPr>
                <w:p w14:paraId="1E53C0BD" w14:textId="77777777" w:rsidR="007C7842" w:rsidRPr="007C7842" w:rsidRDefault="007C7842" w:rsidP="007C7842">
                  <w:pPr>
                    <w:widowControl/>
                    <w:adjustRightInd/>
                    <w:rPr>
                      <w:sz w:val="20"/>
                      <w:szCs w:val="20"/>
                    </w:rPr>
                  </w:pPr>
                  <w:r w:rsidRPr="007C7842">
                    <w:rPr>
                      <w:sz w:val="20"/>
                      <w:szCs w:val="20"/>
                    </w:rPr>
                    <w:t>Preparing an Initial Written Report - 8 rpts @ (5pgs/1rpt)</w:t>
                  </w:r>
                </w:p>
              </w:tc>
              <w:tc>
                <w:tcPr>
                  <w:tcW w:w="1340" w:type="dxa"/>
                  <w:tcBorders>
                    <w:top w:val="nil"/>
                    <w:left w:val="nil"/>
                    <w:bottom w:val="single" w:sz="8" w:space="0" w:color="000000"/>
                    <w:right w:val="single" w:sz="8" w:space="0" w:color="000000"/>
                  </w:tcBorders>
                  <w:shd w:val="clear" w:color="auto" w:fill="auto"/>
                  <w:vAlign w:val="bottom"/>
                  <w:hideMark/>
                </w:tcPr>
                <w:p w14:paraId="0E15D101" w14:textId="77777777" w:rsidR="007C7842" w:rsidRPr="007C7842" w:rsidRDefault="007C7842" w:rsidP="007C7842">
                  <w:pPr>
                    <w:widowControl/>
                    <w:adjustRightInd/>
                    <w:jc w:val="center"/>
                    <w:rPr>
                      <w:sz w:val="20"/>
                      <w:szCs w:val="20"/>
                    </w:rPr>
                  </w:pPr>
                  <w:r w:rsidRPr="007C7842">
                    <w:rPr>
                      <w:sz w:val="20"/>
                      <w:szCs w:val="20"/>
                    </w:rPr>
                    <w:t xml:space="preserve">$1.25 </w:t>
                  </w:r>
                </w:p>
              </w:tc>
              <w:tc>
                <w:tcPr>
                  <w:tcW w:w="1340" w:type="dxa"/>
                  <w:tcBorders>
                    <w:top w:val="nil"/>
                    <w:left w:val="nil"/>
                    <w:bottom w:val="single" w:sz="8" w:space="0" w:color="000000"/>
                    <w:right w:val="single" w:sz="8" w:space="0" w:color="000000"/>
                  </w:tcBorders>
                  <w:shd w:val="clear" w:color="auto" w:fill="auto"/>
                  <w:vAlign w:val="bottom"/>
                  <w:hideMark/>
                </w:tcPr>
                <w:p w14:paraId="75FFCBA2" w14:textId="77777777" w:rsidR="007C7842" w:rsidRPr="007C7842" w:rsidRDefault="007C7842" w:rsidP="007C7842">
                  <w:pPr>
                    <w:widowControl/>
                    <w:adjustRightInd/>
                    <w:jc w:val="center"/>
                    <w:rPr>
                      <w:sz w:val="20"/>
                      <w:szCs w:val="20"/>
                    </w:rPr>
                  </w:pPr>
                  <w:r w:rsidRPr="007C7842">
                    <w:rPr>
                      <w:sz w:val="20"/>
                      <w:szCs w:val="20"/>
                    </w:rPr>
                    <w:t xml:space="preserve">$7.21 </w:t>
                  </w:r>
                </w:p>
              </w:tc>
              <w:tc>
                <w:tcPr>
                  <w:tcW w:w="1120" w:type="dxa"/>
                  <w:tcBorders>
                    <w:top w:val="nil"/>
                    <w:left w:val="nil"/>
                    <w:bottom w:val="single" w:sz="8" w:space="0" w:color="000000"/>
                    <w:right w:val="single" w:sz="8" w:space="0" w:color="000000"/>
                  </w:tcBorders>
                  <w:shd w:val="clear" w:color="auto" w:fill="auto"/>
                  <w:vAlign w:val="bottom"/>
                  <w:hideMark/>
                </w:tcPr>
                <w:p w14:paraId="7133EF7F" w14:textId="77777777" w:rsidR="007C7842" w:rsidRPr="007C7842" w:rsidRDefault="007C7842" w:rsidP="007C7842">
                  <w:pPr>
                    <w:widowControl/>
                    <w:adjustRightInd/>
                    <w:jc w:val="center"/>
                    <w:rPr>
                      <w:sz w:val="20"/>
                      <w:szCs w:val="20"/>
                    </w:rPr>
                  </w:pPr>
                  <w:r w:rsidRPr="007C7842">
                    <w:rPr>
                      <w:sz w:val="20"/>
                      <w:szCs w:val="20"/>
                    </w:rPr>
                    <w:t xml:space="preserve">$67.68 </w:t>
                  </w:r>
                </w:p>
              </w:tc>
              <w:tc>
                <w:tcPr>
                  <w:tcW w:w="1120" w:type="dxa"/>
                  <w:tcBorders>
                    <w:top w:val="nil"/>
                    <w:left w:val="nil"/>
                    <w:bottom w:val="single" w:sz="8" w:space="0" w:color="000000"/>
                    <w:right w:val="single" w:sz="8" w:space="0" w:color="000000"/>
                  </w:tcBorders>
                  <w:shd w:val="clear" w:color="auto" w:fill="auto"/>
                  <w:vAlign w:val="bottom"/>
                  <w:hideMark/>
                </w:tcPr>
                <w:p w14:paraId="7077DFD5" w14:textId="77777777" w:rsidR="007C7842" w:rsidRPr="007C7842" w:rsidRDefault="007C7842" w:rsidP="007C7842">
                  <w:pPr>
                    <w:widowControl/>
                    <w:adjustRightInd/>
                    <w:jc w:val="center"/>
                    <w:rPr>
                      <w:sz w:val="20"/>
                      <w:szCs w:val="20"/>
                    </w:rPr>
                  </w:pPr>
                  <w:r w:rsidRPr="007C7842">
                    <w:rPr>
                      <w:sz w:val="20"/>
                      <w:szCs w:val="20"/>
                    </w:rPr>
                    <w:t>NA</w:t>
                  </w:r>
                </w:p>
              </w:tc>
              <w:tc>
                <w:tcPr>
                  <w:tcW w:w="1120" w:type="dxa"/>
                  <w:tcBorders>
                    <w:top w:val="nil"/>
                    <w:left w:val="nil"/>
                    <w:bottom w:val="single" w:sz="8" w:space="0" w:color="000000"/>
                    <w:right w:val="double" w:sz="6" w:space="0" w:color="000000"/>
                  </w:tcBorders>
                  <w:shd w:val="clear" w:color="auto" w:fill="auto"/>
                  <w:vAlign w:val="bottom"/>
                  <w:hideMark/>
                </w:tcPr>
                <w:p w14:paraId="41D2E298" w14:textId="77777777" w:rsidR="007C7842" w:rsidRPr="007C7842" w:rsidRDefault="007C7842" w:rsidP="007C7842">
                  <w:pPr>
                    <w:widowControl/>
                    <w:adjustRightInd/>
                    <w:jc w:val="center"/>
                    <w:rPr>
                      <w:sz w:val="20"/>
                      <w:szCs w:val="20"/>
                    </w:rPr>
                  </w:pPr>
                  <w:r w:rsidRPr="007C7842">
                    <w:rPr>
                      <w:sz w:val="20"/>
                      <w:szCs w:val="20"/>
                    </w:rPr>
                    <w:t>NA</w:t>
                  </w:r>
                </w:p>
              </w:tc>
            </w:tr>
            <w:tr w:rsidR="007C7842" w:rsidRPr="007C7842" w14:paraId="5AD35524" w14:textId="77777777" w:rsidTr="007C7842">
              <w:trPr>
                <w:trHeight w:val="525"/>
              </w:trPr>
              <w:tc>
                <w:tcPr>
                  <w:tcW w:w="3440" w:type="dxa"/>
                  <w:tcBorders>
                    <w:top w:val="nil"/>
                    <w:left w:val="double" w:sz="6" w:space="0" w:color="000000"/>
                    <w:bottom w:val="single" w:sz="8" w:space="0" w:color="000000"/>
                    <w:right w:val="single" w:sz="8" w:space="0" w:color="000000"/>
                  </w:tcBorders>
                  <w:shd w:val="clear" w:color="auto" w:fill="auto"/>
                  <w:vAlign w:val="bottom"/>
                  <w:hideMark/>
                </w:tcPr>
                <w:p w14:paraId="3CC1923A" w14:textId="77777777" w:rsidR="007C7842" w:rsidRPr="007C7842" w:rsidRDefault="007C7842" w:rsidP="007C7842">
                  <w:pPr>
                    <w:widowControl/>
                    <w:adjustRightInd/>
                    <w:rPr>
                      <w:sz w:val="20"/>
                      <w:szCs w:val="20"/>
                    </w:rPr>
                  </w:pPr>
                  <w:r w:rsidRPr="007C7842">
                    <w:rPr>
                      <w:sz w:val="20"/>
                      <w:szCs w:val="20"/>
                    </w:rPr>
                    <w:t>Preparing a Follow-up Written Report - 8 rpts @ (5pgs/1rpt)</w:t>
                  </w:r>
                </w:p>
              </w:tc>
              <w:tc>
                <w:tcPr>
                  <w:tcW w:w="1340" w:type="dxa"/>
                  <w:tcBorders>
                    <w:top w:val="nil"/>
                    <w:left w:val="nil"/>
                    <w:bottom w:val="single" w:sz="8" w:space="0" w:color="000000"/>
                    <w:right w:val="single" w:sz="8" w:space="0" w:color="000000"/>
                  </w:tcBorders>
                  <w:shd w:val="clear" w:color="auto" w:fill="auto"/>
                  <w:vAlign w:val="bottom"/>
                  <w:hideMark/>
                </w:tcPr>
                <w:p w14:paraId="691395F5" w14:textId="77777777" w:rsidR="007C7842" w:rsidRPr="007C7842" w:rsidRDefault="007C7842" w:rsidP="007C7842">
                  <w:pPr>
                    <w:widowControl/>
                    <w:adjustRightInd/>
                    <w:jc w:val="center"/>
                    <w:rPr>
                      <w:sz w:val="20"/>
                      <w:szCs w:val="20"/>
                    </w:rPr>
                  </w:pPr>
                  <w:r w:rsidRPr="007C7842">
                    <w:rPr>
                      <w:sz w:val="20"/>
                      <w:szCs w:val="20"/>
                    </w:rPr>
                    <w:t xml:space="preserve">$1.25 </w:t>
                  </w:r>
                </w:p>
              </w:tc>
              <w:tc>
                <w:tcPr>
                  <w:tcW w:w="1340" w:type="dxa"/>
                  <w:tcBorders>
                    <w:top w:val="nil"/>
                    <w:left w:val="nil"/>
                    <w:bottom w:val="single" w:sz="8" w:space="0" w:color="000000"/>
                    <w:right w:val="single" w:sz="8" w:space="0" w:color="000000"/>
                  </w:tcBorders>
                  <w:shd w:val="clear" w:color="auto" w:fill="auto"/>
                  <w:vAlign w:val="bottom"/>
                  <w:hideMark/>
                </w:tcPr>
                <w:p w14:paraId="2F6CBE82" w14:textId="77777777" w:rsidR="007C7842" w:rsidRPr="007C7842" w:rsidRDefault="007C7842" w:rsidP="007C7842">
                  <w:pPr>
                    <w:widowControl/>
                    <w:adjustRightInd/>
                    <w:jc w:val="center"/>
                    <w:rPr>
                      <w:sz w:val="20"/>
                      <w:szCs w:val="20"/>
                    </w:rPr>
                  </w:pPr>
                  <w:r w:rsidRPr="007C7842">
                    <w:rPr>
                      <w:sz w:val="20"/>
                      <w:szCs w:val="20"/>
                    </w:rPr>
                    <w:t xml:space="preserve">$7.21 </w:t>
                  </w:r>
                </w:p>
              </w:tc>
              <w:tc>
                <w:tcPr>
                  <w:tcW w:w="1120" w:type="dxa"/>
                  <w:tcBorders>
                    <w:top w:val="nil"/>
                    <w:left w:val="nil"/>
                    <w:bottom w:val="single" w:sz="8" w:space="0" w:color="000000"/>
                    <w:right w:val="single" w:sz="8" w:space="0" w:color="000000"/>
                  </w:tcBorders>
                  <w:shd w:val="clear" w:color="auto" w:fill="auto"/>
                  <w:vAlign w:val="bottom"/>
                  <w:hideMark/>
                </w:tcPr>
                <w:p w14:paraId="79D54748" w14:textId="77777777" w:rsidR="007C7842" w:rsidRPr="007C7842" w:rsidRDefault="007C7842" w:rsidP="007C7842">
                  <w:pPr>
                    <w:widowControl/>
                    <w:adjustRightInd/>
                    <w:jc w:val="center"/>
                    <w:rPr>
                      <w:sz w:val="20"/>
                      <w:szCs w:val="20"/>
                    </w:rPr>
                  </w:pPr>
                  <w:r w:rsidRPr="007C7842">
                    <w:rPr>
                      <w:sz w:val="20"/>
                      <w:szCs w:val="20"/>
                    </w:rPr>
                    <w:t>NA</w:t>
                  </w:r>
                </w:p>
              </w:tc>
              <w:tc>
                <w:tcPr>
                  <w:tcW w:w="1120" w:type="dxa"/>
                  <w:tcBorders>
                    <w:top w:val="nil"/>
                    <w:left w:val="nil"/>
                    <w:bottom w:val="single" w:sz="8" w:space="0" w:color="000000"/>
                    <w:right w:val="single" w:sz="8" w:space="0" w:color="000000"/>
                  </w:tcBorders>
                  <w:shd w:val="clear" w:color="auto" w:fill="auto"/>
                  <w:vAlign w:val="bottom"/>
                  <w:hideMark/>
                </w:tcPr>
                <w:p w14:paraId="061C8EFE" w14:textId="77777777" w:rsidR="007C7842" w:rsidRPr="007C7842" w:rsidRDefault="007C7842" w:rsidP="007C7842">
                  <w:pPr>
                    <w:widowControl/>
                    <w:adjustRightInd/>
                    <w:jc w:val="center"/>
                    <w:rPr>
                      <w:sz w:val="20"/>
                      <w:szCs w:val="20"/>
                    </w:rPr>
                  </w:pPr>
                  <w:r w:rsidRPr="007C7842">
                    <w:rPr>
                      <w:sz w:val="20"/>
                      <w:szCs w:val="20"/>
                    </w:rPr>
                    <w:t xml:space="preserve">$67.68 </w:t>
                  </w:r>
                </w:p>
              </w:tc>
              <w:tc>
                <w:tcPr>
                  <w:tcW w:w="1120" w:type="dxa"/>
                  <w:tcBorders>
                    <w:top w:val="nil"/>
                    <w:left w:val="nil"/>
                    <w:bottom w:val="single" w:sz="8" w:space="0" w:color="000000"/>
                    <w:right w:val="double" w:sz="6" w:space="0" w:color="000000"/>
                  </w:tcBorders>
                  <w:shd w:val="clear" w:color="auto" w:fill="auto"/>
                  <w:vAlign w:val="bottom"/>
                  <w:hideMark/>
                </w:tcPr>
                <w:p w14:paraId="10A6673D" w14:textId="77777777" w:rsidR="007C7842" w:rsidRPr="007C7842" w:rsidRDefault="007C7842" w:rsidP="007C7842">
                  <w:pPr>
                    <w:widowControl/>
                    <w:adjustRightInd/>
                    <w:jc w:val="center"/>
                    <w:rPr>
                      <w:sz w:val="20"/>
                      <w:szCs w:val="20"/>
                    </w:rPr>
                  </w:pPr>
                  <w:r w:rsidRPr="007C7842">
                    <w:rPr>
                      <w:sz w:val="20"/>
                      <w:szCs w:val="20"/>
                    </w:rPr>
                    <w:t>NA</w:t>
                  </w:r>
                </w:p>
              </w:tc>
            </w:tr>
            <w:tr w:rsidR="007C7842" w:rsidRPr="007C7842" w14:paraId="5774C9C8" w14:textId="77777777" w:rsidTr="007C7842">
              <w:trPr>
                <w:trHeight w:val="525"/>
              </w:trPr>
              <w:tc>
                <w:tcPr>
                  <w:tcW w:w="3440" w:type="dxa"/>
                  <w:tcBorders>
                    <w:top w:val="nil"/>
                    <w:left w:val="double" w:sz="6" w:space="0" w:color="000000"/>
                    <w:bottom w:val="single" w:sz="8" w:space="0" w:color="000000"/>
                    <w:right w:val="single" w:sz="8" w:space="0" w:color="000000"/>
                  </w:tcBorders>
                  <w:shd w:val="clear" w:color="auto" w:fill="auto"/>
                  <w:vAlign w:val="bottom"/>
                  <w:hideMark/>
                </w:tcPr>
                <w:p w14:paraId="787638F1" w14:textId="77777777" w:rsidR="007C7842" w:rsidRPr="007C7842" w:rsidRDefault="007C7842" w:rsidP="007C7842">
                  <w:pPr>
                    <w:widowControl/>
                    <w:adjustRightInd/>
                    <w:rPr>
                      <w:sz w:val="20"/>
                      <w:szCs w:val="20"/>
                    </w:rPr>
                  </w:pPr>
                  <w:r w:rsidRPr="007C7842">
                    <w:rPr>
                      <w:sz w:val="20"/>
                      <w:szCs w:val="20"/>
                    </w:rPr>
                    <w:t>Reporting Other Changes in Information - 1 rpt @ (5pgs/1rpt)</w:t>
                  </w:r>
                </w:p>
              </w:tc>
              <w:tc>
                <w:tcPr>
                  <w:tcW w:w="1340" w:type="dxa"/>
                  <w:tcBorders>
                    <w:top w:val="nil"/>
                    <w:left w:val="nil"/>
                    <w:bottom w:val="single" w:sz="8" w:space="0" w:color="000000"/>
                    <w:right w:val="single" w:sz="8" w:space="0" w:color="000000"/>
                  </w:tcBorders>
                  <w:shd w:val="clear" w:color="auto" w:fill="auto"/>
                  <w:vAlign w:val="bottom"/>
                  <w:hideMark/>
                </w:tcPr>
                <w:p w14:paraId="6A7360D9" w14:textId="77777777" w:rsidR="007C7842" w:rsidRPr="007C7842" w:rsidRDefault="007C7842" w:rsidP="007C7842">
                  <w:pPr>
                    <w:widowControl/>
                    <w:adjustRightInd/>
                    <w:jc w:val="center"/>
                    <w:rPr>
                      <w:sz w:val="20"/>
                      <w:szCs w:val="20"/>
                    </w:rPr>
                  </w:pPr>
                  <w:r w:rsidRPr="007C7842">
                    <w:rPr>
                      <w:sz w:val="20"/>
                      <w:szCs w:val="20"/>
                    </w:rPr>
                    <w:t xml:space="preserve">$1.25 </w:t>
                  </w:r>
                </w:p>
              </w:tc>
              <w:tc>
                <w:tcPr>
                  <w:tcW w:w="1340" w:type="dxa"/>
                  <w:tcBorders>
                    <w:top w:val="nil"/>
                    <w:left w:val="nil"/>
                    <w:bottom w:val="single" w:sz="8" w:space="0" w:color="000000"/>
                    <w:right w:val="single" w:sz="8" w:space="0" w:color="000000"/>
                  </w:tcBorders>
                  <w:shd w:val="clear" w:color="auto" w:fill="auto"/>
                  <w:vAlign w:val="bottom"/>
                  <w:hideMark/>
                </w:tcPr>
                <w:p w14:paraId="675742DD" w14:textId="77777777" w:rsidR="007C7842" w:rsidRPr="007C7842" w:rsidRDefault="007C7842" w:rsidP="007C7842">
                  <w:pPr>
                    <w:widowControl/>
                    <w:adjustRightInd/>
                    <w:jc w:val="center"/>
                    <w:rPr>
                      <w:sz w:val="20"/>
                      <w:szCs w:val="20"/>
                    </w:rPr>
                  </w:pPr>
                  <w:r w:rsidRPr="007C7842">
                    <w:rPr>
                      <w:sz w:val="20"/>
                      <w:szCs w:val="20"/>
                    </w:rPr>
                    <w:t xml:space="preserve">$7.21 </w:t>
                  </w:r>
                </w:p>
              </w:tc>
              <w:tc>
                <w:tcPr>
                  <w:tcW w:w="1120" w:type="dxa"/>
                  <w:tcBorders>
                    <w:top w:val="nil"/>
                    <w:left w:val="nil"/>
                    <w:bottom w:val="single" w:sz="8" w:space="0" w:color="000000"/>
                    <w:right w:val="single" w:sz="8" w:space="0" w:color="000000"/>
                  </w:tcBorders>
                  <w:shd w:val="clear" w:color="auto" w:fill="auto"/>
                  <w:vAlign w:val="bottom"/>
                  <w:hideMark/>
                </w:tcPr>
                <w:p w14:paraId="19AD16EB" w14:textId="77777777" w:rsidR="007C7842" w:rsidRPr="007C7842" w:rsidRDefault="007C7842" w:rsidP="007C7842">
                  <w:pPr>
                    <w:widowControl/>
                    <w:adjustRightInd/>
                    <w:jc w:val="center"/>
                    <w:rPr>
                      <w:sz w:val="20"/>
                      <w:szCs w:val="20"/>
                    </w:rPr>
                  </w:pPr>
                  <w:r w:rsidRPr="007C7842">
                    <w:rPr>
                      <w:sz w:val="20"/>
                      <w:szCs w:val="20"/>
                    </w:rPr>
                    <w:t>NA</w:t>
                  </w:r>
                </w:p>
              </w:tc>
              <w:tc>
                <w:tcPr>
                  <w:tcW w:w="1120" w:type="dxa"/>
                  <w:tcBorders>
                    <w:top w:val="nil"/>
                    <w:left w:val="nil"/>
                    <w:bottom w:val="single" w:sz="8" w:space="0" w:color="000000"/>
                    <w:right w:val="single" w:sz="8" w:space="0" w:color="000000"/>
                  </w:tcBorders>
                  <w:shd w:val="clear" w:color="auto" w:fill="auto"/>
                  <w:vAlign w:val="bottom"/>
                  <w:hideMark/>
                </w:tcPr>
                <w:p w14:paraId="2054E7CD" w14:textId="77777777" w:rsidR="007C7842" w:rsidRPr="007C7842" w:rsidRDefault="007C7842" w:rsidP="007C7842">
                  <w:pPr>
                    <w:widowControl/>
                    <w:adjustRightInd/>
                    <w:jc w:val="center"/>
                    <w:rPr>
                      <w:sz w:val="20"/>
                      <w:szCs w:val="20"/>
                    </w:rPr>
                  </w:pPr>
                  <w:r w:rsidRPr="007C7842">
                    <w:rPr>
                      <w:sz w:val="20"/>
                      <w:szCs w:val="20"/>
                    </w:rPr>
                    <w:t xml:space="preserve">$8.46 </w:t>
                  </w:r>
                </w:p>
              </w:tc>
              <w:tc>
                <w:tcPr>
                  <w:tcW w:w="1120" w:type="dxa"/>
                  <w:tcBorders>
                    <w:top w:val="nil"/>
                    <w:left w:val="nil"/>
                    <w:bottom w:val="single" w:sz="8" w:space="0" w:color="000000"/>
                    <w:right w:val="double" w:sz="6" w:space="0" w:color="000000"/>
                  </w:tcBorders>
                  <w:shd w:val="clear" w:color="auto" w:fill="auto"/>
                  <w:vAlign w:val="bottom"/>
                  <w:hideMark/>
                </w:tcPr>
                <w:p w14:paraId="744D6050" w14:textId="77777777" w:rsidR="007C7842" w:rsidRPr="007C7842" w:rsidRDefault="007C7842" w:rsidP="007C7842">
                  <w:pPr>
                    <w:widowControl/>
                    <w:adjustRightInd/>
                    <w:jc w:val="center"/>
                    <w:rPr>
                      <w:sz w:val="20"/>
                      <w:szCs w:val="20"/>
                    </w:rPr>
                  </w:pPr>
                  <w:r w:rsidRPr="007C7842">
                    <w:rPr>
                      <w:sz w:val="20"/>
                      <w:szCs w:val="20"/>
                    </w:rPr>
                    <w:t xml:space="preserve">$8.46 </w:t>
                  </w:r>
                </w:p>
              </w:tc>
            </w:tr>
            <w:tr w:rsidR="007C7842" w:rsidRPr="007C7842" w14:paraId="5BFA5000" w14:textId="77777777" w:rsidTr="007C7842">
              <w:trPr>
                <w:trHeight w:val="270"/>
              </w:trPr>
              <w:tc>
                <w:tcPr>
                  <w:tcW w:w="3440" w:type="dxa"/>
                  <w:tcBorders>
                    <w:top w:val="nil"/>
                    <w:left w:val="double" w:sz="6" w:space="0" w:color="000000"/>
                    <w:bottom w:val="single" w:sz="8" w:space="0" w:color="000000"/>
                    <w:right w:val="single" w:sz="8" w:space="0" w:color="000000"/>
                  </w:tcBorders>
                  <w:shd w:val="clear" w:color="auto" w:fill="auto"/>
                  <w:vAlign w:val="bottom"/>
                  <w:hideMark/>
                </w:tcPr>
                <w:p w14:paraId="366DED13" w14:textId="77777777" w:rsidR="007C7842" w:rsidRPr="007C7842" w:rsidRDefault="007C7842" w:rsidP="007C7842">
                  <w:pPr>
                    <w:widowControl/>
                    <w:adjustRightInd/>
                    <w:rPr>
                      <w:sz w:val="20"/>
                      <w:szCs w:val="20"/>
                    </w:rPr>
                  </w:pPr>
                  <w:r w:rsidRPr="007C7842">
                    <w:rPr>
                      <w:sz w:val="20"/>
                      <w:szCs w:val="20"/>
                    </w:rPr>
                    <w:t>Record keeping - 8 rpts @ (5pgs/1 rpt)</w:t>
                  </w:r>
                </w:p>
              </w:tc>
              <w:tc>
                <w:tcPr>
                  <w:tcW w:w="1340" w:type="dxa"/>
                  <w:tcBorders>
                    <w:top w:val="nil"/>
                    <w:left w:val="nil"/>
                    <w:bottom w:val="single" w:sz="8" w:space="0" w:color="000000"/>
                    <w:right w:val="single" w:sz="8" w:space="0" w:color="000000"/>
                  </w:tcBorders>
                  <w:shd w:val="clear" w:color="auto" w:fill="auto"/>
                  <w:vAlign w:val="bottom"/>
                  <w:hideMark/>
                </w:tcPr>
                <w:p w14:paraId="322CCF90" w14:textId="77777777" w:rsidR="007C7842" w:rsidRPr="007C7842" w:rsidRDefault="007C7842" w:rsidP="007C7842">
                  <w:pPr>
                    <w:widowControl/>
                    <w:adjustRightInd/>
                    <w:jc w:val="center"/>
                    <w:rPr>
                      <w:sz w:val="20"/>
                      <w:szCs w:val="20"/>
                    </w:rPr>
                  </w:pPr>
                  <w:r w:rsidRPr="007C7842">
                    <w:rPr>
                      <w:sz w:val="20"/>
                      <w:szCs w:val="20"/>
                    </w:rPr>
                    <w:t xml:space="preserve">$1.25 </w:t>
                  </w:r>
                </w:p>
              </w:tc>
              <w:tc>
                <w:tcPr>
                  <w:tcW w:w="1340" w:type="dxa"/>
                  <w:tcBorders>
                    <w:top w:val="nil"/>
                    <w:left w:val="nil"/>
                    <w:bottom w:val="single" w:sz="8" w:space="0" w:color="000000"/>
                    <w:right w:val="single" w:sz="8" w:space="0" w:color="000000"/>
                  </w:tcBorders>
                  <w:shd w:val="clear" w:color="auto" w:fill="auto"/>
                  <w:vAlign w:val="bottom"/>
                  <w:hideMark/>
                </w:tcPr>
                <w:p w14:paraId="7C23A319" w14:textId="77777777" w:rsidR="007C7842" w:rsidRPr="007C7842" w:rsidRDefault="007C7842" w:rsidP="007C7842">
                  <w:pPr>
                    <w:widowControl/>
                    <w:adjustRightInd/>
                    <w:jc w:val="center"/>
                    <w:rPr>
                      <w:sz w:val="20"/>
                      <w:szCs w:val="20"/>
                    </w:rPr>
                  </w:pPr>
                  <w:r w:rsidRPr="007C7842">
                    <w:rPr>
                      <w:sz w:val="20"/>
                      <w:szCs w:val="20"/>
                    </w:rPr>
                    <w:t xml:space="preserve">$0.00 </w:t>
                  </w:r>
                </w:p>
              </w:tc>
              <w:tc>
                <w:tcPr>
                  <w:tcW w:w="1120" w:type="dxa"/>
                  <w:tcBorders>
                    <w:top w:val="nil"/>
                    <w:left w:val="nil"/>
                    <w:bottom w:val="single" w:sz="8" w:space="0" w:color="000000"/>
                    <w:right w:val="single" w:sz="8" w:space="0" w:color="000000"/>
                  </w:tcBorders>
                  <w:shd w:val="clear" w:color="auto" w:fill="auto"/>
                  <w:vAlign w:val="bottom"/>
                  <w:hideMark/>
                </w:tcPr>
                <w:p w14:paraId="7E34E379" w14:textId="77777777" w:rsidR="007C7842" w:rsidRPr="007C7842" w:rsidRDefault="007C7842" w:rsidP="007C7842">
                  <w:pPr>
                    <w:widowControl/>
                    <w:adjustRightInd/>
                    <w:jc w:val="center"/>
                    <w:rPr>
                      <w:sz w:val="20"/>
                      <w:szCs w:val="20"/>
                    </w:rPr>
                  </w:pPr>
                  <w:r w:rsidRPr="007C7842">
                    <w:rPr>
                      <w:sz w:val="20"/>
                      <w:szCs w:val="20"/>
                    </w:rPr>
                    <w:t xml:space="preserve">$10.00 </w:t>
                  </w:r>
                </w:p>
              </w:tc>
              <w:tc>
                <w:tcPr>
                  <w:tcW w:w="1120" w:type="dxa"/>
                  <w:tcBorders>
                    <w:top w:val="nil"/>
                    <w:left w:val="nil"/>
                    <w:bottom w:val="single" w:sz="8" w:space="0" w:color="000000"/>
                    <w:right w:val="single" w:sz="8" w:space="0" w:color="000000"/>
                  </w:tcBorders>
                  <w:shd w:val="clear" w:color="auto" w:fill="auto"/>
                  <w:vAlign w:val="bottom"/>
                  <w:hideMark/>
                </w:tcPr>
                <w:p w14:paraId="4E07A0A7" w14:textId="77777777" w:rsidR="007C7842" w:rsidRPr="007C7842" w:rsidRDefault="007C7842" w:rsidP="007C7842">
                  <w:pPr>
                    <w:widowControl/>
                    <w:adjustRightInd/>
                    <w:jc w:val="center"/>
                    <w:rPr>
                      <w:sz w:val="20"/>
                      <w:szCs w:val="20"/>
                    </w:rPr>
                  </w:pPr>
                  <w:r w:rsidRPr="007C7842">
                    <w:rPr>
                      <w:sz w:val="20"/>
                      <w:szCs w:val="20"/>
                    </w:rPr>
                    <w:t xml:space="preserve">$10.00 </w:t>
                  </w:r>
                </w:p>
              </w:tc>
              <w:tc>
                <w:tcPr>
                  <w:tcW w:w="1120" w:type="dxa"/>
                  <w:tcBorders>
                    <w:top w:val="nil"/>
                    <w:left w:val="nil"/>
                    <w:bottom w:val="single" w:sz="8" w:space="0" w:color="000000"/>
                    <w:right w:val="double" w:sz="6" w:space="0" w:color="000000"/>
                  </w:tcBorders>
                  <w:shd w:val="clear" w:color="auto" w:fill="auto"/>
                  <w:vAlign w:val="bottom"/>
                  <w:hideMark/>
                </w:tcPr>
                <w:p w14:paraId="15AAFEB6" w14:textId="77777777" w:rsidR="007C7842" w:rsidRPr="007C7842" w:rsidRDefault="007C7842" w:rsidP="007C7842">
                  <w:pPr>
                    <w:widowControl/>
                    <w:adjustRightInd/>
                    <w:jc w:val="center"/>
                    <w:rPr>
                      <w:sz w:val="20"/>
                      <w:szCs w:val="20"/>
                    </w:rPr>
                  </w:pPr>
                  <w:r w:rsidRPr="007C7842">
                    <w:rPr>
                      <w:sz w:val="20"/>
                      <w:szCs w:val="20"/>
                    </w:rPr>
                    <w:t xml:space="preserve">$10.00 </w:t>
                  </w:r>
                </w:p>
              </w:tc>
            </w:tr>
            <w:tr w:rsidR="007C7842" w:rsidRPr="007C7842" w14:paraId="7BA76A3C" w14:textId="77777777" w:rsidTr="007C7842">
              <w:trPr>
                <w:trHeight w:val="270"/>
              </w:trPr>
              <w:tc>
                <w:tcPr>
                  <w:tcW w:w="3440" w:type="dxa"/>
                  <w:tcBorders>
                    <w:top w:val="nil"/>
                    <w:left w:val="double" w:sz="6" w:space="0" w:color="000000"/>
                    <w:bottom w:val="double" w:sz="6" w:space="0" w:color="000000"/>
                    <w:right w:val="single" w:sz="8" w:space="0" w:color="000000"/>
                  </w:tcBorders>
                  <w:shd w:val="clear" w:color="auto" w:fill="auto"/>
                  <w:vAlign w:val="bottom"/>
                  <w:hideMark/>
                </w:tcPr>
                <w:p w14:paraId="2CDBFF92" w14:textId="77777777" w:rsidR="007C7842" w:rsidRPr="007C7842" w:rsidRDefault="007C7842" w:rsidP="007C7842">
                  <w:pPr>
                    <w:widowControl/>
                    <w:adjustRightInd/>
                    <w:rPr>
                      <w:b/>
                      <w:bCs/>
                      <w:sz w:val="20"/>
                      <w:szCs w:val="20"/>
                    </w:rPr>
                  </w:pPr>
                  <w:r w:rsidRPr="007C7842">
                    <w:rPr>
                      <w:b/>
                      <w:bCs/>
                      <w:sz w:val="20"/>
                      <w:szCs w:val="20"/>
                    </w:rPr>
                    <w:t>Total O&amp;M Costs for a Typical Facility</w:t>
                  </w:r>
                </w:p>
              </w:tc>
              <w:tc>
                <w:tcPr>
                  <w:tcW w:w="1340" w:type="dxa"/>
                  <w:tcBorders>
                    <w:top w:val="nil"/>
                    <w:left w:val="nil"/>
                    <w:bottom w:val="double" w:sz="6" w:space="0" w:color="000000"/>
                    <w:right w:val="nil"/>
                  </w:tcBorders>
                  <w:shd w:val="clear" w:color="auto" w:fill="auto"/>
                  <w:vAlign w:val="bottom"/>
                  <w:hideMark/>
                </w:tcPr>
                <w:p w14:paraId="0EE84947" w14:textId="77777777" w:rsidR="007C7842" w:rsidRPr="007C7842" w:rsidRDefault="007C7842" w:rsidP="007C7842">
                  <w:pPr>
                    <w:widowControl/>
                    <w:adjustRightInd/>
                    <w:rPr>
                      <w:b/>
                      <w:bCs/>
                      <w:sz w:val="20"/>
                      <w:szCs w:val="20"/>
                    </w:rPr>
                  </w:pPr>
                  <w:r w:rsidRPr="007C7842">
                    <w:rPr>
                      <w:b/>
                      <w:bCs/>
                      <w:sz w:val="20"/>
                      <w:szCs w:val="20"/>
                    </w:rPr>
                    <w:t> </w:t>
                  </w:r>
                </w:p>
              </w:tc>
              <w:tc>
                <w:tcPr>
                  <w:tcW w:w="1340" w:type="dxa"/>
                  <w:tcBorders>
                    <w:top w:val="nil"/>
                    <w:left w:val="nil"/>
                    <w:bottom w:val="double" w:sz="6" w:space="0" w:color="000000"/>
                    <w:right w:val="single" w:sz="8" w:space="0" w:color="000000"/>
                  </w:tcBorders>
                  <w:shd w:val="clear" w:color="auto" w:fill="auto"/>
                  <w:vAlign w:val="bottom"/>
                  <w:hideMark/>
                </w:tcPr>
                <w:p w14:paraId="004FD5FB" w14:textId="77777777" w:rsidR="007C7842" w:rsidRPr="007C7842" w:rsidRDefault="007C7842" w:rsidP="007C7842">
                  <w:pPr>
                    <w:widowControl/>
                    <w:adjustRightInd/>
                    <w:rPr>
                      <w:b/>
                      <w:bCs/>
                      <w:sz w:val="20"/>
                      <w:szCs w:val="20"/>
                    </w:rPr>
                  </w:pPr>
                  <w:r w:rsidRPr="007C7842">
                    <w:rPr>
                      <w:b/>
                      <w:bCs/>
                      <w:sz w:val="20"/>
                      <w:szCs w:val="20"/>
                    </w:rPr>
                    <w:t> </w:t>
                  </w:r>
                </w:p>
              </w:tc>
              <w:tc>
                <w:tcPr>
                  <w:tcW w:w="1120" w:type="dxa"/>
                  <w:tcBorders>
                    <w:top w:val="nil"/>
                    <w:left w:val="nil"/>
                    <w:bottom w:val="double" w:sz="6" w:space="0" w:color="000000"/>
                    <w:right w:val="single" w:sz="8" w:space="0" w:color="000000"/>
                  </w:tcBorders>
                  <w:shd w:val="clear" w:color="auto" w:fill="auto"/>
                  <w:vAlign w:val="bottom"/>
                  <w:hideMark/>
                </w:tcPr>
                <w:p w14:paraId="11D09F9B" w14:textId="77777777" w:rsidR="007C7842" w:rsidRPr="007C7842" w:rsidRDefault="007C7842" w:rsidP="007C7842">
                  <w:pPr>
                    <w:widowControl/>
                    <w:adjustRightInd/>
                    <w:jc w:val="center"/>
                    <w:rPr>
                      <w:b/>
                      <w:bCs/>
                      <w:sz w:val="20"/>
                      <w:szCs w:val="20"/>
                    </w:rPr>
                  </w:pPr>
                  <w:r w:rsidRPr="007C7842">
                    <w:rPr>
                      <w:b/>
                      <w:bCs/>
                      <w:sz w:val="20"/>
                      <w:szCs w:val="20"/>
                    </w:rPr>
                    <w:t xml:space="preserve">$77.68 </w:t>
                  </w:r>
                </w:p>
              </w:tc>
              <w:tc>
                <w:tcPr>
                  <w:tcW w:w="1120" w:type="dxa"/>
                  <w:tcBorders>
                    <w:top w:val="nil"/>
                    <w:left w:val="nil"/>
                    <w:bottom w:val="double" w:sz="6" w:space="0" w:color="000000"/>
                    <w:right w:val="single" w:sz="8" w:space="0" w:color="000000"/>
                  </w:tcBorders>
                  <w:shd w:val="clear" w:color="auto" w:fill="auto"/>
                  <w:vAlign w:val="bottom"/>
                  <w:hideMark/>
                </w:tcPr>
                <w:p w14:paraId="0B87B13D" w14:textId="77777777" w:rsidR="007C7842" w:rsidRPr="007C7842" w:rsidRDefault="007C7842" w:rsidP="007C7842">
                  <w:pPr>
                    <w:widowControl/>
                    <w:adjustRightInd/>
                    <w:jc w:val="center"/>
                    <w:rPr>
                      <w:b/>
                      <w:bCs/>
                      <w:sz w:val="20"/>
                      <w:szCs w:val="20"/>
                    </w:rPr>
                  </w:pPr>
                  <w:r w:rsidRPr="007C7842">
                    <w:rPr>
                      <w:b/>
                      <w:bCs/>
                      <w:sz w:val="20"/>
                      <w:szCs w:val="20"/>
                    </w:rPr>
                    <w:t xml:space="preserve">$86.14 </w:t>
                  </w:r>
                </w:p>
              </w:tc>
              <w:tc>
                <w:tcPr>
                  <w:tcW w:w="1120" w:type="dxa"/>
                  <w:tcBorders>
                    <w:top w:val="nil"/>
                    <w:left w:val="nil"/>
                    <w:bottom w:val="double" w:sz="6" w:space="0" w:color="000000"/>
                    <w:right w:val="double" w:sz="6" w:space="0" w:color="000000"/>
                  </w:tcBorders>
                  <w:shd w:val="clear" w:color="auto" w:fill="auto"/>
                  <w:vAlign w:val="bottom"/>
                  <w:hideMark/>
                </w:tcPr>
                <w:p w14:paraId="6FA72E48" w14:textId="77777777" w:rsidR="007C7842" w:rsidRPr="007C7842" w:rsidRDefault="007C7842" w:rsidP="007C7842">
                  <w:pPr>
                    <w:widowControl/>
                    <w:adjustRightInd/>
                    <w:jc w:val="center"/>
                    <w:rPr>
                      <w:b/>
                      <w:bCs/>
                      <w:sz w:val="20"/>
                      <w:szCs w:val="20"/>
                    </w:rPr>
                  </w:pPr>
                  <w:r w:rsidRPr="007C7842">
                    <w:rPr>
                      <w:b/>
                      <w:bCs/>
                      <w:sz w:val="20"/>
                      <w:szCs w:val="20"/>
                    </w:rPr>
                    <w:t xml:space="preserve">$18.46 </w:t>
                  </w:r>
                </w:p>
              </w:tc>
            </w:tr>
          </w:tbl>
          <w:p w14:paraId="128100AA" w14:textId="77777777" w:rsidR="005371BE" w:rsidRPr="005371BE" w:rsidRDefault="005371BE" w:rsidP="005371BE">
            <w:pPr>
              <w:widowControl/>
              <w:adjustRightInd/>
              <w:rPr>
                <w:sz w:val="20"/>
                <w:szCs w:val="20"/>
              </w:rPr>
            </w:pPr>
            <w:r w:rsidRPr="005371BE">
              <w:rPr>
                <w:sz w:val="20"/>
                <w:szCs w:val="20"/>
              </w:rPr>
              <w:t xml:space="preserve"> A “typical” respondent is assumed to report </w:t>
            </w:r>
            <w:r w:rsidRPr="005371BE">
              <w:rPr>
                <w:b/>
                <w:bCs/>
                <w:sz w:val="20"/>
                <w:szCs w:val="20"/>
              </w:rPr>
              <w:t>eight</w:t>
            </w:r>
            <w:r w:rsidRPr="005371BE">
              <w:rPr>
                <w:sz w:val="20"/>
                <w:szCs w:val="20"/>
              </w:rPr>
              <w:t xml:space="preserve"> continuous hazardous substance releases in year one and to experience a change in </w:t>
            </w:r>
            <w:r w:rsidRPr="005371BE">
              <w:rPr>
                <w:b/>
                <w:bCs/>
                <w:sz w:val="20"/>
                <w:szCs w:val="20"/>
              </w:rPr>
              <w:t>one release in the second and third years</w:t>
            </w:r>
            <w:r w:rsidRPr="005371BE">
              <w:rPr>
                <w:sz w:val="20"/>
                <w:szCs w:val="20"/>
              </w:rPr>
              <w:t xml:space="preserve"> (e.g., the frequency of the release per week changes each year, causing a modification in the estimated annual release amount).  No other </w:t>
            </w:r>
            <w:r w:rsidRPr="005371BE">
              <w:rPr>
                <w:sz w:val="20"/>
                <w:szCs w:val="20"/>
                <w:u w:val="single"/>
              </w:rPr>
              <w:t>conditional</w:t>
            </w:r>
            <w:r w:rsidRPr="005371BE">
              <w:rPr>
                <w:sz w:val="20"/>
                <w:szCs w:val="20"/>
              </w:rPr>
              <w:t xml:space="preserve"> activities are assumed to be required of the typical respondent.</w:t>
            </w:r>
          </w:p>
        </w:tc>
      </w:tr>
    </w:tbl>
    <w:p w14:paraId="65D734E2" w14:textId="77777777" w:rsidR="009F5E0D" w:rsidRPr="00B41B73" w:rsidRDefault="009F5E0D" w:rsidP="00B41B73">
      <w:pPr>
        <w:jc w:val="center"/>
        <w:rPr>
          <w:b/>
          <w:color w:val="99CC00"/>
        </w:rPr>
      </w:pPr>
    </w:p>
    <w:p w14:paraId="0C14A7A2" w14:textId="77777777" w:rsidR="001D26B6" w:rsidRDefault="001D26B6" w:rsidP="00351226"/>
    <w:p w14:paraId="06B6354F" w14:textId="77777777" w:rsidR="0052089C" w:rsidRDefault="0052089C" w:rsidP="00351226"/>
    <w:p w14:paraId="1727C376" w14:textId="77777777" w:rsidR="0052089C" w:rsidRDefault="0052089C" w:rsidP="00351226"/>
    <w:p w14:paraId="6B823C56" w14:textId="77777777" w:rsidR="0052089C" w:rsidRDefault="0052089C" w:rsidP="00351226"/>
    <w:p w14:paraId="7E51B177" w14:textId="77777777" w:rsidR="0052089C" w:rsidRDefault="0052089C" w:rsidP="00351226"/>
    <w:p w14:paraId="1F1216BF" w14:textId="77777777" w:rsidR="0052089C" w:rsidRDefault="0052089C" w:rsidP="00351226"/>
    <w:p w14:paraId="13FF6240" w14:textId="77777777" w:rsidR="0052089C" w:rsidRDefault="0052089C" w:rsidP="00351226"/>
    <w:p w14:paraId="4768E1F4" w14:textId="77777777" w:rsidR="0052089C" w:rsidRDefault="0052089C" w:rsidP="00351226"/>
    <w:p w14:paraId="1DB12A08" w14:textId="77777777" w:rsidR="0052089C" w:rsidRDefault="0052089C" w:rsidP="00351226"/>
    <w:p w14:paraId="30A626F6" w14:textId="77777777" w:rsidR="0052089C" w:rsidRDefault="0052089C" w:rsidP="00351226"/>
    <w:p w14:paraId="71316BBA" w14:textId="77777777" w:rsidR="0052089C" w:rsidRDefault="0052089C" w:rsidP="00351226"/>
    <w:p w14:paraId="0FFEBFE6" w14:textId="77777777" w:rsidR="0052089C" w:rsidRDefault="0052089C" w:rsidP="00351226"/>
    <w:p w14:paraId="3B14A1D0" w14:textId="77777777" w:rsidR="0052089C" w:rsidRDefault="0052089C" w:rsidP="00351226"/>
    <w:p w14:paraId="21907870" w14:textId="77777777" w:rsidR="0052089C" w:rsidRDefault="0052089C" w:rsidP="00351226"/>
    <w:p w14:paraId="3E692C4A" w14:textId="77777777" w:rsidR="0052089C" w:rsidRDefault="0052089C" w:rsidP="00351226"/>
    <w:p w14:paraId="63D4F749" w14:textId="77777777" w:rsidR="0052089C" w:rsidRDefault="0052089C" w:rsidP="00351226"/>
    <w:p w14:paraId="7C1F94A4" w14:textId="77777777" w:rsidR="0052089C" w:rsidRDefault="0052089C" w:rsidP="00351226"/>
    <w:p w14:paraId="629651B6" w14:textId="77777777" w:rsidR="0052089C" w:rsidRPr="001F3A52" w:rsidRDefault="0052089C" w:rsidP="00351226"/>
    <w:p w14:paraId="0F6FAA0D" w14:textId="77777777" w:rsidR="00351226" w:rsidRDefault="00351226" w:rsidP="00351226">
      <w:pPr>
        <w:ind w:firstLine="720"/>
      </w:pPr>
      <w:r w:rsidRPr="001F3A52">
        <w:lastRenderedPageBreak/>
        <w:t>Annual labor and O&amp;M costs incurred by the regulated community are summarized in Exhibit 7.</w:t>
      </w:r>
    </w:p>
    <w:p w14:paraId="49DB710A" w14:textId="77777777" w:rsidR="009F5E0D" w:rsidRDefault="009F5E0D" w:rsidP="00351226">
      <w:pPr>
        <w:ind w:firstLine="720"/>
      </w:pPr>
    </w:p>
    <w:p w14:paraId="028C6EF1" w14:textId="77777777" w:rsidR="00351226" w:rsidRDefault="009F5E0D" w:rsidP="009F5E0D">
      <w:pPr>
        <w:jc w:val="center"/>
      </w:pPr>
      <w:r>
        <w:rPr>
          <w:b/>
        </w:rPr>
        <w:t>Exhibit 7 – Unit Labor and Operating and Maintenance Costs per Respondent Information Collection Activity</w:t>
      </w:r>
    </w:p>
    <w:p w14:paraId="6088D303" w14:textId="53524DB9" w:rsidR="001D26B6" w:rsidRPr="001F3A52" w:rsidRDefault="000413DF" w:rsidP="001D26B6">
      <w:pPr>
        <w:jc w:val="center"/>
      </w:pPr>
      <w:r w:rsidRPr="000413DF">
        <w:rPr>
          <w:noProof/>
        </w:rPr>
        <w:drawing>
          <wp:inline distT="0" distB="0" distL="0" distR="0" wp14:anchorId="36DDA071" wp14:editId="3EDD855E">
            <wp:extent cx="5762625" cy="2400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2400300"/>
                    </a:xfrm>
                    <a:prstGeom prst="rect">
                      <a:avLst/>
                    </a:prstGeom>
                    <a:noFill/>
                    <a:ln>
                      <a:noFill/>
                    </a:ln>
                  </pic:spPr>
                </pic:pic>
              </a:graphicData>
            </a:graphic>
          </wp:inline>
        </w:drawing>
      </w:r>
    </w:p>
    <w:p w14:paraId="7C141486" w14:textId="77777777" w:rsidR="00351226" w:rsidRPr="001F3A52" w:rsidRDefault="00351226" w:rsidP="00351226">
      <w:bookmarkStart w:id="66" w:name="Exhibit_7"/>
      <w:bookmarkEnd w:id="66"/>
    </w:p>
    <w:p w14:paraId="296441E1" w14:textId="77777777" w:rsidR="001D26B6" w:rsidRPr="00B23DF0" w:rsidRDefault="001D26B6" w:rsidP="001D26B6">
      <w:pPr>
        <w:ind w:firstLine="720"/>
        <w:rPr>
          <w:color w:val="008000"/>
        </w:rPr>
      </w:pPr>
      <w:r w:rsidRPr="00B23DF0">
        <w:rPr>
          <w:color w:val="008000"/>
        </w:rPr>
        <w:t>Annual labor and O&amp;M costs incurred by the regulated community that will use continuous release reporting forms are summarized in Exhibit 7 (With Forms).</w:t>
      </w:r>
    </w:p>
    <w:p w14:paraId="06402F7B" w14:textId="77777777" w:rsidR="009F5E0D" w:rsidRPr="00B23DF0" w:rsidRDefault="009F5E0D" w:rsidP="001D26B6">
      <w:pPr>
        <w:ind w:firstLine="720"/>
        <w:rPr>
          <w:color w:val="008000"/>
        </w:rPr>
      </w:pPr>
    </w:p>
    <w:p w14:paraId="676A33E2" w14:textId="77777777" w:rsidR="00351226" w:rsidRPr="00B23DF0" w:rsidRDefault="009F5E0D" w:rsidP="009F5E0D">
      <w:pPr>
        <w:jc w:val="center"/>
        <w:rPr>
          <w:color w:val="008000"/>
        </w:rPr>
      </w:pPr>
      <w:r w:rsidRPr="00B23DF0">
        <w:rPr>
          <w:b/>
          <w:color w:val="008000"/>
        </w:rPr>
        <w:t xml:space="preserve">Exhibit </w:t>
      </w:r>
      <w:r w:rsidR="00AA00E6" w:rsidRPr="00B23DF0">
        <w:rPr>
          <w:b/>
          <w:color w:val="008000"/>
        </w:rPr>
        <w:t xml:space="preserve">7 </w:t>
      </w:r>
      <w:r w:rsidRPr="00B23DF0">
        <w:rPr>
          <w:b/>
          <w:color w:val="008000"/>
        </w:rPr>
        <w:t>(With Forms) – Unit Labor and Operating and Maintenance Costs per Respondent Information Collection Activity</w:t>
      </w:r>
    </w:p>
    <w:p w14:paraId="705559C3" w14:textId="0BC19955" w:rsidR="00046522" w:rsidRDefault="00044F6E" w:rsidP="001D26B6">
      <w:pPr>
        <w:jc w:val="center"/>
      </w:pPr>
      <w:r w:rsidRPr="00044F6E">
        <w:rPr>
          <w:noProof/>
        </w:rPr>
        <w:drawing>
          <wp:inline distT="0" distB="0" distL="0" distR="0" wp14:anchorId="5176742D" wp14:editId="05B855D6">
            <wp:extent cx="5762625" cy="2228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2228850"/>
                    </a:xfrm>
                    <a:prstGeom prst="rect">
                      <a:avLst/>
                    </a:prstGeom>
                    <a:noFill/>
                    <a:ln>
                      <a:noFill/>
                    </a:ln>
                  </pic:spPr>
                </pic:pic>
              </a:graphicData>
            </a:graphic>
          </wp:inline>
        </w:drawing>
      </w:r>
    </w:p>
    <w:p w14:paraId="156186ED" w14:textId="77777777" w:rsidR="00046522" w:rsidRPr="001F3A52" w:rsidRDefault="00046522" w:rsidP="00351226"/>
    <w:p w14:paraId="6A5EE6E5" w14:textId="1165D7E4" w:rsidR="00624695" w:rsidRDefault="00351226" w:rsidP="00C33A9E">
      <w:pPr>
        <w:ind w:firstLine="720"/>
      </w:pPr>
      <w:r w:rsidRPr="00970C49">
        <w:t>In Exhibit 8</w:t>
      </w:r>
      <w:r w:rsidRPr="00970C49">
        <w:rPr>
          <w:rStyle w:val="FootnoteReference"/>
          <w:vertAlign w:val="superscript"/>
        </w:rPr>
        <w:footnoteReference w:id="6"/>
      </w:r>
      <w:r w:rsidRPr="00970C49">
        <w:t>, annual labor and O&amp;M costs for a typical facility are presented.</w:t>
      </w:r>
    </w:p>
    <w:p w14:paraId="55CCD68D" w14:textId="77777777" w:rsidR="00624695" w:rsidRPr="00624695" w:rsidRDefault="00624695" w:rsidP="00624695">
      <w:pPr>
        <w:keepNext/>
        <w:jc w:val="center"/>
        <w:outlineLvl w:val="4"/>
        <w:rPr>
          <w:b/>
        </w:rPr>
      </w:pPr>
      <w:bookmarkStart w:id="67" w:name="_Toc302552513"/>
      <w:r>
        <w:rPr>
          <w:b/>
        </w:rPr>
        <w:lastRenderedPageBreak/>
        <w:t>Exhibit 8 – Labor and Operating and Maintenance Costs for a Typical Facility</w:t>
      </w:r>
      <w:bookmarkEnd w:id="67"/>
    </w:p>
    <w:tbl>
      <w:tblPr>
        <w:tblW w:w="9260" w:type="dxa"/>
        <w:tblInd w:w="85" w:type="dxa"/>
        <w:tblLook w:val="04A0" w:firstRow="1" w:lastRow="0" w:firstColumn="1" w:lastColumn="0" w:noHBand="0" w:noVBand="1"/>
      </w:tblPr>
      <w:tblGrid>
        <w:gridCol w:w="9522"/>
      </w:tblGrid>
      <w:tr w:rsidR="005371BE" w:rsidRPr="005371BE" w14:paraId="301F67B0" w14:textId="77777777" w:rsidTr="005371BE">
        <w:trPr>
          <w:trHeight w:val="1185"/>
        </w:trPr>
        <w:tc>
          <w:tcPr>
            <w:tcW w:w="9260" w:type="dxa"/>
            <w:tcBorders>
              <w:top w:val="double" w:sz="6" w:space="0" w:color="000000"/>
              <w:left w:val="nil"/>
              <w:bottom w:val="nil"/>
              <w:right w:val="nil"/>
            </w:tcBorders>
            <w:shd w:val="clear" w:color="auto" w:fill="auto"/>
            <w:vAlign w:val="center"/>
            <w:hideMark/>
          </w:tcPr>
          <w:tbl>
            <w:tblPr>
              <w:tblW w:w="9260" w:type="dxa"/>
              <w:tblLook w:val="04A0" w:firstRow="1" w:lastRow="0" w:firstColumn="1" w:lastColumn="0" w:noHBand="0" w:noVBand="1"/>
            </w:tblPr>
            <w:tblGrid>
              <w:gridCol w:w="1366"/>
              <w:gridCol w:w="936"/>
              <w:gridCol w:w="936"/>
              <w:gridCol w:w="936"/>
              <w:gridCol w:w="720"/>
              <w:gridCol w:w="828"/>
              <w:gridCol w:w="730"/>
              <w:gridCol w:w="936"/>
              <w:gridCol w:w="936"/>
              <w:gridCol w:w="936"/>
            </w:tblGrid>
            <w:tr w:rsidR="001D3CBE" w:rsidRPr="001D3CBE" w14:paraId="79448919" w14:textId="77777777" w:rsidTr="001D3CBE">
              <w:trPr>
                <w:trHeight w:val="285"/>
              </w:trPr>
              <w:tc>
                <w:tcPr>
                  <w:tcW w:w="1780" w:type="dxa"/>
                  <w:vMerge w:val="restart"/>
                  <w:tcBorders>
                    <w:top w:val="double" w:sz="6" w:space="0" w:color="000000"/>
                    <w:left w:val="double" w:sz="6" w:space="0" w:color="000000"/>
                    <w:bottom w:val="single" w:sz="8" w:space="0" w:color="000000"/>
                    <w:right w:val="single" w:sz="8" w:space="0" w:color="000000"/>
                  </w:tcBorders>
                  <w:shd w:val="clear" w:color="auto" w:fill="auto"/>
                  <w:vAlign w:val="bottom"/>
                  <w:hideMark/>
                </w:tcPr>
                <w:p w14:paraId="5DAA58B6" w14:textId="77777777" w:rsidR="001D3CBE" w:rsidRPr="001D3CBE" w:rsidRDefault="001D3CBE" w:rsidP="001D3CBE">
                  <w:pPr>
                    <w:widowControl/>
                    <w:adjustRightInd/>
                    <w:jc w:val="center"/>
                    <w:rPr>
                      <w:b/>
                      <w:bCs/>
                      <w:sz w:val="20"/>
                      <w:szCs w:val="20"/>
                    </w:rPr>
                  </w:pPr>
                  <w:r w:rsidRPr="001D3CBE">
                    <w:rPr>
                      <w:b/>
                      <w:bCs/>
                      <w:sz w:val="20"/>
                      <w:szCs w:val="20"/>
                    </w:rPr>
                    <w:t>Collection Activity</w:t>
                  </w:r>
                </w:p>
              </w:tc>
              <w:tc>
                <w:tcPr>
                  <w:tcW w:w="2640" w:type="dxa"/>
                  <w:gridSpan w:val="3"/>
                  <w:tcBorders>
                    <w:top w:val="double" w:sz="6" w:space="0" w:color="000000"/>
                    <w:left w:val="nil"/>
                    <w:bottom w:val="single" w:sz="8" w:space="0" w:color="000000"/>
                    <w:right w:val="single" w:sz="8" w:space="0" w:color="000000"/>
                  </w:tcBorders>
                  <w:shd w:val="clear" w:color="auto" w:fill="auto"/>
                  <w:vAlign w:val="bottom"/>
                  <w:hideMark/>
                </w:tcPr>
                <w:p w14:paraId="6B1A2ECF" w14:textId="77777777" w:rsidR="001D3CBE" w:rsidRPr="001D3CBE" w:rsidRDefault="001D3CBE" w:rsidP="001D3CBE">
                  <w:pPr>
                    <w:widowControl/>
                    <w:adjustRightInd/>
                    <w:jc w:val="center"/>
                    <w:rPr>
                      <w:b/>
                      <w:bCs/>
                      <w:sz w:val="20"/>
                      <w:szCs w:val="20"/>
                    </w:rPr>
                  </w:pPr>
                  <w:r w:rsidRPr="001D3CBE">
                    <w:rPr>
                      <w:b/>
                      <w:bCs/>
                      <w:sz w:val="20"/>
                      <w:szCs w:val="20"/>
                    </w:rPr>
                    <w:t>Total Labor Costs</w:t>
                  </w:r>
                </w:p>
              </w:tc>
              <w:tc>
                <w:tcPr>
                  <w:tcW w:w="2280" w:type="dxa"/>
                  <w:gridSpan w:val="3"/>
                  <w:tcBorders>
                    <w:top w:val="double" w:sz="6" w:space="0" w:color="000000"/>
                    <w:left w:val="nil"/>
                    <w:bottom w:val="single" w:sz="8" w:space="0" w:color="000000"/>
                    <w:right w:val="single" w:sz="8" w:space="0" w:color="000000"/>
                  </w:tcBorders>
                  <w:shd w:val="clear" w:color="auto" w:fill="auto"/>
                  <w:vAlign w:val="bottom"/>
                  <w:hideMark/>
                </w:tcPr>
                <w:p w14:paraId="66829C3B" w14:textId="77777777" w:rsidR="001D3CBE" w:rsidRPr="001D3CBE" w:rsidRDefault="001D3CBE" w:rsidP="001D3CBE">
                  <w:pPr>
                    <w:widowControl/>
                    <w:adjustRightInd/>
                    <w:jc w:val="center"/>
                    <w:rPr>
                      <w:b/>
                      <w:bCs/>
                      <w:sz w:val="20"/>
                      <w:szCs w:val="20"/>
                    </w:rPr>
                  </w:pPr>
                  <w:r w:rsidRPr="001D3CBE">
                    <w:rPr>
                      <w:b/>
                      <w:bCs/>
                      <w:sz w:val="20"/>
                      <w:szCs w:val="20"/>
                    </w:rPr>
                    <w:t>Total O&amp;M Costs</w:t>
                  </w:r>
                </w:p>
              </w:tc>
              <w:tc>
                <w:tcPr>
                  <w:tcW w:w="2560" w:type="dxa"/>
                  <w:gridSpan w:val="3"/>
                  <w:tcBorders>
                    <w:top w:val="double" w:sz="6" w:space="0" w:color="000000"/>
                    <w:left w:val="nil"/>
                    <w:bottom w:val="single" w:sz="8" w:space="0" w:color="000000"/>
                    <w:right w:val="double" w:sz="6" w:space="0" w:color="000000"/>
                  </w:tcBorders>
                  <w:shd w:val="clear" w:color="auto" w:fill="auto"/>
                  <w:vAlign w:val="bottom"/>
                  <w:hideMark/>
                </w:tcPr>
                <w:p w14:paraId="3BB065F7" w14:textId="77777777" w:rsidR="001D3CBE" w:rsidRPr="001D3CBE" w:rsidRDefault="001D3CBE" w:rsidP="001D3CBE">
                  <w:pPr>
                    <w:widowControl/>
                    <w:adjustRightInd/>
                    <w:jc w:val="center"/>
                    <w:rPr>
                      <w:b/>
                      <w:bCs/>
                      <w:sz w:val="20"/>
                      <w:szCs w:val="20"/>
                    </w:rPr>
                  </w:pPr>
                  <w:r w:rsidRPr="001D3CBE">
                    <w:rPr>
                      <w:b/>
                      <w:bCs/>
                      <w:sz w:val="20"/>
                      <w:szCs w:val="20"/>
                    </w:rPr>
                    <w:t>Total Costs</w:t>
                  </w:r>
                </w:p>
              </w:tc>
            </w:tr>
            <w:tr w:rsidR="001D3CBE" w:rsidRPr="001D3CBE" w14:paraId="4BF84CFB" w14:textId="77777777" w:rsidTr="001D3CBE">
              <w:trPr>
                <w:trHeight w:val="525"/>
              </w:trPr>
              <w:tc>
                <w:tcPr>
                  <w:tcW w:w="1780" w:type="dxa"/>
                  <w:vMerge/>
                  <w:tcBorders>
                    <w:top w:val="double" w:sz="6" w:space="0" w:color="000000"/>
                    <w:left w:val="double" w:sz="6" w:space="0" w:color="000000"/>
                    <w:bottom w:val="single" w:sz="8" w:space="0" w:color="000000"/>
                    <w:right w:val="single" w:sz="8" w:space="0" w:color="000000"/>
                  </w:tcBorders>
                  <w:vAlign w:val="center"/>
                  <w:hideMark/>
                </w:tcPr>
                <w:p w14:paraId="554C7227" w14:textId="77777777" w:rsidR="001D3CBE" w:rsidRPr="001D3CBE" w:rsidRDefault="001D3CBE" w:rsidP="001D3CBE">
                  <w:pPr>
                    <w:widowControl/>
                    <w:adjustRightInd/>
                    <w:rPr>
                      <w:b/>
                      <w:bCs/>
                      <w:sz w:val="20"/>
                      <w:szCs w:val="20"/>
                    </w:rPr>
                  </w:pPr>
                </w:p>
              </w:tc>
              <w:tc>
                <w:tcPr>
                  <w:tcW w:w="860" w:type="dxa"/>
                  <w:tcBorders>
                    <w:top w:val="nil"/>
                    <w:left w:val="nil"/>
                    <w:bottom w:val="single" w:sz="8" w:space="0" w:color="000000"/>
                    <w:right w:val="single" w:sz="8" w:space="0" w:color="000000"/>
                  </w:tcBorders>
                  <w:shd w:val="clear" w:color="auto" w:fill="auto"/>
                  <w:vAlign w:val="bottom"/>
                  <w:hideMark/>
                </w:tcPr>
                <w:p w14:paraId="70C4158F" w14:textId="77777777" w:rsidR="001D3CBE" w:rsidRPr="001D3CBE" w:rsidRDefault="001D3CBE" w:rsidP="001D3CBE">
                  <w:pPr>
                    <w:widowControl/>
                    <w:adjustRightInd/>
                    <w:jc w:val="center"/>
                    <w:rPr>
                      <w:b/>
                      <w:bCs/>
                      <w:sz w:val="20"/>
                      <w:szCs w:val="20"/>
                    </w:rPr>
                  </w:pPr>
                  <w:r w:rsidRPr="001D3CBE">
                    <w:rPr>
                      <w:b/>
                      <w:bCs/>
                      <w:sz w:val="20"/>
                      <w:szCs w:val="20"/>
                    </w:rPr>
                    <w:t>First Year</w:t>
                  </w:r>
                </w:p>
              </w:tc>
              <w:tc>
                <w:tcPr>
                  <w:tcW w:w="900" w:type="dxa"/>
                  <w:tcBorders>
                    <w:top w:val="nil"/>
                    <w:left w:val="nil"/>
                    <w:bottom w:val="single" w:sz="8" w:space="0" w:color="000000"/>
                    <w:right w:val="single" w:sz="8" w:space="0" w:color="000000"/>
                  </w:tcBorders>
                  <w:shd w:val="clear" w:color="auto" w:fill="auto"/>
                  <w:vAlign w:val="bottom"/>
                  <w:hideMark/>
                </w:tcPr>
                <w:p w14:paraId="2D7C1586" w14:textId="77777777" w:rsidR="001D3CBE" w:rsidRPr="001D3CBE" w:rsidRDefault="001D3CBE" w:rsidP="001D3CBE">
                  <w:pPr>
                    <w:widowControl/>
                    <w:adjustRightInd/>
                    <w:jc w:val="center"/>
                    <w:rPr>
                      <w:b/>
                      <w:bCs/>
                      <w:sz w:val="20"/>
                      <w:szCs w:val="20"/>
                    </w:rPr>
                  </w:pPr>
                  <w:r w:rsidRPr="001D3CBE">
                    <w:rPr>
                      <w:b/>
                      <w:bCs/>
                      <w:sz w:val="20"/>
                      <w:szCs w:val="20"/>
                    </w:rPr>
                    <w:t>Second Year</w:t>
                  </w:r>
                </w:p>
              </w:tc>
              <w:tc>
                <w:tcPr>
                  <w:tcW w:w="880" w:type="dxa"/>
                  <w:tcBorders>
                    <w:top w:val="nil"/>
                    <w:left w:val="nil"/>
                    <w:bottom w:val="single" w:sz="8" w:space="0" w:color="000000"/>
                    <w:right w:val="single" w:sz="8" w:space="0" w:color="000000"/>
                  </w:tcBorders>
                  <w:shd w:val="clear" w:color="auto" w:fill="auto"/>
                  <w:vAlign w:val="bottom"/>
                  <w:hideMark/>
                </w:tcPr>
                <w:p w14:paraId="0C5271DA" w14:textId="77777777" w:rsidR="001D3CBE" w:rsidRPr="001D3CBE" w:rsidRDefault="001D3CBE" w:rsidP="001D3CBE">
                  <w:pPr>
                    <w:widowControl/>
                    <w:adjustRightInd/>
                    <w:jc w:val="center"/>
                    <w:rPr>
                      <w:b/>
                      <w:bCs/>
                      <w:sz w:val="20"/>
                      <w:szCs w:val="20"/>
                    </w:rPr>
                  </w:pPr>
                  <w:r w:rsidRPr="001D3CBE">
                    <w:rPr>
                      <w:b/>
                      <w:bCs/>
                      <w:sz w:val="20"/>
                      <w:szCs w:val="20"/>
                    </w:rPr>
                    <w:t>Third Year</w:t>
                  </w:r>
                </w:p>
              </w:tc>
              <w:tc>
                <w:tcPr>
                  <w:tcW w:w="740" w:type="dxa"/>
                  <w:tcBorders>
                    <w:top w:val="nil"/>
                    <w:left w:val="nil"/>
                    <w:bottom w:val="single" w:sz="8" w:space="0" w:color="000000"/>
                    <w:right w:val="single" w:sz="8" w:space="0" w:color="000000"/>
                  </w:tcBorders>
                  <w:shd w:val="clear" w:color="auto" w:fill="auto"/>
                  <w:vAlign w:val="bottom"/>
                  <w:hideMark/>
                </w:tcPr>
                <w:p w14:paraId="51E66633" w14:textId="77777777" w:rsidR="001D3CBE" w:rsidRPr="001D3CBE" w:rsidRDefault="001D3CBE" w:rsidP="001D3CBE">
                  <w:pPr>
                    <w:widowControl/>
                    <w:adjustRightInd/>
                    <w:jc w:val="center"/>
                    <w:rPr>
                      <w:b/>
                      <w:bCs/>
                      <w:sz w:val="20"/>
                      <w:szCs w:val="20"/>
                    </w:rPr>
                  </w:pPr>
                  <w:r w:rsidRPr="001D3CBE">
                    <w:rPr>
                      <w:b/>
                      <w:bCs/>
                      <w:sz w:val="20"/>
                      <w:szCs w:val="20"/>
                    </w:rPr>
                    <w:t>First Year</w:t>
                  </w:r>
                </w:p>
              </w:tc>
              <w:tc>
                <w:tcPr>
                  <w:tcW w:w="780" w:type="dxa"/>
                  <w:tcBorders>
                    <w:top w:val="nil"/>
                    <w:left w:val="nil"/>
                    <w:bottom w:val="single" w:sz="8" w:space="0" w:color="000000"/>
                    <w:right w:val="single" w:sz="8" w:space="0" w:color="000000"/>
                  </w:tcBorders>
                  <w:shd w:val="clear" w:color="auto" w:fill="auto"/>
                  <w:vAlign w:val="bottom"/>
                  <w:hideMark/>
                </w:tcPr>
                <w:p w14:paraId="0EEBA09A" w14:textId="77777777" w:rsidR="001D3CBE" w:rsidRPr="001D3CBE" w:rsidRDefault="001D3CBE" w:rsidP="001D3CBE">
                  <w:pPr>
                    <w:widowControl/>
                    <w:adjustRightInd/>
                    <w:jc w:val="center"/>
                    <w:rPr>
                      <w:b/>
                      <w:bCs/>
                      <w:sz w:val="20"/>
                      <w:szCs w:val="20"/>
                    </w:rPr>
                  </w:pPr>
                  <w:r w:rsidRPr="001D3CBE">
                    <w:rPr>
                      <w:b/>
                      <w:bCs/>
                      <w:sz w:val="20"/>
                      <w:szCs w:val="20"/>
                    </w:rPr>
                    <w:t>Second Year</w:t>
                  </w:r>
                </w:p>
              </w:tc>
              <w:tc>
                <w:tcPr>
                  <w:tcW w:w="760" w:type="dxa"/>
                  <w:tcBorders>
                    <w:top w:val="nil"/>
                    <w:left w:val="nil"/>
                    <w:bottom w:val="single" w:sz="8" w:space="0" w:color="000000"/>
                    <w:right w:val="single" w:sz="8" w:space="0" w:color="000000"/>
                  </w:tcBorders>
                  <w:shd w:val="clear" w:color="auto" w:fill="auto"/>
                  <w:vAlign w:val="bottom"/>
                  <w:hideMark/>
                </w:tcPr>
                <w:p w14:paraId="007CE0E8" w14:textId="77777777" w:rsidR="001D3CBE" w:rsidRPr="001D3CBE" w:rsidRDefault="001D3CBE" w:rsidP="001D3CBE">
                  <w:pPr>
                    <w:widowControl/>
                    <w:adjustRightInd/>
                    <w:jc w:val="center"/>
                    <w:rPr>
                      <w:b/>
                      <w:bCs/>
                      <w:sz w:val="20"/>
                      <w:szCs w:val="20"/>
                    </w:rPr>
                  </w:pPr>
                  <w:r w:rsidRPr="001D3CBE">
                    <w:rPr>
                      <w:b/>
                      <w:bCs/>
                      <w:sz w:val="20"/>
                      <w:szCs w:val="20"/>
                    </w:rPr>
                    <w:t>Third Year</w:t>
                  </w:r>
                </w:p>
              </w:tc>
              <w:tc>
                <w:tcPr>
                  <w:tcW w:w="880" w:type="dxa"/>
                  <w:tcBorders>
                    <w:top w:val="nil"/>
                    <w:left w:val="nil"/>
                    <w:bottom w:val="single" w:sz="8" w:space="0" w:color="000000"/>
                    <w:right w:val="single" w:sz="8" w:space="0" w:color="000000"/>
                  </w:tcBorders>
                  <w:shd w:val="clear" w:color="auto" w:fill="auto"/>
                  <w:vAlign w:val="bottom"/>
                  <w:hideMark/>
                </w:tcPr>
                <w:p w14:paraId="51CCD728" w14:textId="77777777" w:rsidR="001D3CBE" w:rsidRPr="001D3CBE" w:rsidRDefault="001D3CBE" w:rsidP="001D3CBE">
                  <w:pPr>
                    <w:widowControl/>
                    <w:adjustRightInd/>
                    <w:jc w:val="center"/>
                    <w:rPr>
                      <w:b/>
                      <w:bCs/>
                      <w:sz w:val="20"/>
                      <w:szCs w:val="20"/>
                    </w:rPr>
                  </w:pPr>
                  <w:r w:rsidRPr="001D3CBE">
                    <w:rPr>
                      <w:b/>
                      <w:bCs/>
                      <w:sz w:val="20"/>
                      <w:szCs w:val="20"/>
                    </w:rPr>
                    <w:t>First Year</w:t>
                  </w:r>
                </w:p>
              </w:tc>
              <w:tc>
                <w:tcPr>
                  <w:tcW w:w="840" w:type="dxa"/>
                  <w:tcBorders>
                    <w:top w:val="nil"/>
                    <w:left w:val="nil"/>
                    <w:bottom w:val="single" w:sz="8" w:space="0" w:color="000000"/>
                    <w:right w:val="single" w:sz="8" w:space="0" w:color="000000"/>
                  </w:tcBorders>
                  <w:shd w:val="clear" w:color="auto" w:fill="auto"/>
                  <w:vAlign w:val="bottom"/>
                  <w:hideMark/>
                </w:tcPr>
                <w:p w14:paraId="3A67002F" w14:textId="77777777" w:rsidR="001D3CBE" w:rsidRPr="001D3CBE" w:rsidRDefault="001D3CBE" w:rsidP="001D3CBE">
                  <w:pPr>
                    <w:widowControl/>
                    <w:adjustRightInd/>
                    <w:jc w:val="center"/>
                    <w:rPr>
                      <w:b/>
                      <w:bCs/>
                      <w:sz w:val="20"/>
                      <w:szCs w:val="20"/>
                    </w:rPr>
                  </w:pPr>
                  <w:r w:rsidRPr="001D3CBE">
                    <w:rPr>
                      <w:b/>
                      <w:bCs/>
                      <w:sz w:val="20"/>
                      <w:szCs w:val="20"/>
                    </w:rPr>
                    <w:t>Second Year</w:t>
                  </w:r>
                </w:p>
              </w:tc>
              <w:tc>
                <w:tcPr>
                  <w:tcW w:w="840" w:type="dxa"/>
                  <w:tcBorders>
                    <w:top w:val="nil"/>
                    <w:left w:val="nil"/>
                    <w:bottom w:val="single" w:sz="8" w:space="0" w:color="000000"/>
                    <w:right w:val="double" w:sz="6" w:space="0" w:color="000000"/>
                  </w:tcBorders>
                  <w:shd w:val="clear" w:color="auto" w:fill="auto"/>
                  <w:vAlign w:val="bottom"/>
                  <w:hideMark/>
                </w:tcPr>
                <w:p w14:paraId="1C7EEA89" w14:textId="77777777" w:rsidR="001D3CBE" w:rsidRPr="001D3CBE" w:rsidRDefault="001D3CBE" w:rsidP="001D3CBE">
                  <w:pPr>
                    <w:widowControl/>
                    <w:adjustRightInd/>
                    <w:jc w:val="center"/>
                    <w:rPr>
                      <w:b/>
                      <w:bCs/>
                      <w:sz w:val="20"/>
                      <w:szCs w:val="20"/>
                    </w:rPr>
                  </w:pPr>
                  <w:r w:rsidRPr="001D3CBE">
                    <w:rPr>
                      <w:b/>
                      <w:bCs/>
                      <w:sz w:val="20"/>
                      <w:szCs w:val="20"/>
                    </w:rPr>
                    <w:t xml:space="preserve"> Third Year</w:t>
                  </w:r>
                </w:p>
              </w:tc>
            </w:tr>
            <w:tr w:rsidR="001D3CBE" w:rsidRPr="001D3CBE" w14:paraId="3526CD55" w14:textId="77777777" w:rsidTr="001D3CBE">
              <w:trPr>
                <w:trHeight w:val="780"/>
              </w:trPr>
              <w:tc>
                <w:tcPr>
                  <w:tcW w:w="1780" w:type="dxa"/>
                  <w:tcBorders>
                    <w:top w:val="nil"/>
                    <w:left w:val="double" w:sz="6" w:space="0" w:color="000000"/>
                    <w:bottom w:val="single" w:sz="8" w:space="0" w:color="000000"/>
                    <w:right w:val="single" w:sz="8" w:space="0" w:color="000000"/>
                  </w:tcBorders>
                  <w:shd w:val="clear" w:color="auto" w:fill="auto"/>
                  <w:vAlign w:val="bottom"/>
                  <w:hideMark/>
                </w:tcPr>
                <w:p w14:paraId="0FAE1067" w14:textId="77777777" w:rsidR="001D3CBE" w:rsidRPr="001D3CBE" w:rsidRDefault="001D3CBE" w:rsidP="001D3CBE">
                  <w:pPr>
                    <w:widowControl/>
                    <w:adjustRightInd/>
                    <w:rPr>
                      <w:sz w:val="20"/>
                      <w:szCs w:val="20"/>
                    </w:rPr>
                  </w:pPr>
                  <w:r w:rsidRPr="001D3CBE">
                    <w:rPr>
                      <w:sz w:val="20"/>
                      <w:szCs w:val="20"/>
                    </w:rPr>
                    <w:t>Providing an Initial Telephone Notification</w:t>
                  </w:r>
                </w:p>
              </w:tc>
              <w:tc>
                <w:tcPr>
                  <w:tcW w:w="860" w:type="dxa"/>
                  <w:tcBorders>
                    <w:top w:val="nil"/>
                    <w:left w:val="nil"/>
                    <w:bottom w:val="single" w:sz="8" w:space="0" w:color="000000"/>
                    <w:right w:val="single" w:sz="8" w:space="0" w:color="000000"/>
                  </w:tcBorders>
                  <w:shd w:val="clear" w:color="auto" w:fill="auto"/>
                  <w:vAlign w:val="bottom"/>
                  <w:hideMark/>
                </w:tcPr>
                <w:p w14:paraId="23B80361" w14:textId="77777777" w:rsidR="001D3CBE" w:rsidRPr="001D3CBE" w:rsidRDefault="001D3CBE" w:rsidP="001D3CBE">
                  <w:pPr>
                    <w:widowControl/>
                    <w:adjustRightInd/>
                    <w:jc w:val="center"/>
                    <w:rPr>
                      <w:sz w:val="18"/>
                      <w:szCs w:val="18"/>
                    </w:rPr>
                  </w:pPr>
                  <w:r w:rsidRPr="001D3CBE">
                    <w:rPr>
                      <w:sz w:val="18"/>
                      <w:szCs w:val="18"/>
                    </w:rPr>
                    <w:t xml:space="preserve">$1,330.40 </w:t>
                  </w:r>
                </w:p>
              </w:tc>
              <w:tc>
                <w:tcPr>
                  <w:tcW w:w="900" w:type="dxa"/>
                  <w:tcBorders>
                    <w:top w:val="nil"/>
                    <w:left w:val="nil"/>
                    <w:bottom w:val="single" w:sz="8" w:space="0" w:color="000000"/>
                    <w:right w:val="single" w:sz="8" w:space="0" w:color="000000"/>
                  </w:tcBorders>
                  <w:shd w:val="clear" w:color="auto" w:fill="auto"/>
                  <w:vAlign w:val="bottom"/>
                  <w:hideMark/>
                </w:tcPr>
                <w:p w14:paraId="65667069" w14:textId="77777777" w:rsidR="001D3CBE" w:rsidRPr="001D3CBE" w:rsidRDefault="001D3CBE" w:rsidP="001D3CBE">
                  <w:pPr>
                    <w:widowControl/>
                    <w:adjustRightInd/>
                    <w:jc w:val="center"/>
                    <w:rPr>
                      <w:sz w:val="18"/>
                      <w:szCs w:val="18"/>
                    </w:rPr>
                  </w:pPr>
                  <w:r w:rsidRPr="001D3CBE">
                    <w:rPr>
                      <w:sz w:val="18"/>
                      <w:szCs w:val="18"/>
                    </w:rPr>
                    <w:t>NA</w:t>
                  </w:r>
                </w:p>
              </w:tc>
              <w:tc>
                <w:tcPr>
                  <w:tcW w:w="880" w:type="dxa"/>
                  <w:tcBorders>
                    <w:top w:val="nil"/>
                    <w:left w:val="nil"/>
                    <w:bottom w:val="single" w:sz="8" w:space="0" w:color="000000"/>
                    <w:right w:val="single" w:sz="8" w:space="0" w:color="000000"/>
                  </w:tcBorders>
                  <w:shd w:val="clear" w:color="auto" w:fill="auto"/>
                  <w:vAlign w:val="bottom"/>
                  <w:hideMark/>
                </w:tcPr>
                <w:p w14:paraId="25F3539F" w14:textId="77777777" w:rsidR="001D3CBE" w:rsidRPr="001D3CBE" w:rsidRDefault="001D3CBE" w:rsidP="001D3CBE">
                  <w:pPr>
                    <w:widowControl/>
                    <w:adjustRightInd/>
                    <w:jc w:val="center"/>
                    <w:rPr>
                      <w:sz w:val="18"/>
                      <w:szCs w:val="18"/>
                    </w:rPr>
                  </w:pPr>
                  <w:r w:rsidRPr="001D3CBE">
                    <w:rPr>
                      <w:sz w:val="18"/>
                      <w:szCs w:val="18"/>
                    </w:rPr>
                    <w:t>NA</w:t>
                  </w:r>
                </w:p>
              </w:tc>
              <w:tc>
                <w:tcPr>
                  <w:tcW w:w="740" w:type="dxa"/>
                  <w:tcBorders>
                    <w:top w:val="nil"/>
                    <w:left w:val="nil"/>
                    <w:bottom w:val="single" w:sz="8" w:space="0" w:color="000000"/>
                    <w:right w:val="single" w:sz="8" w:space="0" w:color="000000"/>
                  </w:tcBorders>
                  <w:shd w:val="clear" w:color="auto" w:fill="auto"/>
                  <w:vAlign w:val="bottom"/>
                  <w:hideMark/>
                </w:tcPr>
                <w:p w14:paraId="02DBCEAF" w14:textId="77777777" w:rsidR="001D3CBE" w:rsidRPr="001D3CBE" w:rsidRDefault="001D3CBE" w:rsidP="001D3CBE">
                  <w:pPr>
                    <w:widowControl/>
                    <w:adjustRightInd/>
                    <w:jc w:val="center"/>
                    <w:rPr>
                      <w:sz w:val="18"/>
                      <w:szCs w:val="18"/>
                    </w:rPr>
                  </w:pPr>
                  <w:r w:rsidRPr="001D3CBE">
                    <w:rPr>
                      <w:sz w:val="18"/>
                      <w:szCs w:val="18"/>
                    </w:rPr>
                    <w:t>NA</w:t>
                  </w:r>
                </w:p>
              </w:tc>
              <w:tc>
                <w:tcPr>
                  <w:tcW w:w="780" w:type="dxa"/>
                  <w:tcBorders>
                    <w:top w:val="nil"/>
                    <w:left w:val="nil"/>
                    <w:bottom w:val="single" w:sz="8" w:space="0" w:color="000000"/>
                    <w:right w:val="single" w:sz="8" w:space="0" w:color="000000"/>
                  </w:tcBorders>
                  <w:shd w:val="clear" w:color="auto" w:fill="auto"/>
                  <w:vAlign w:val="bottom"/>
                  <w:hideMark/>
                </w:tcPr>
                <w:p w14:paraId="4594D3D5" w14:textId="77777777" w:rsidR="001D3CBE" w:rsidRPr="001D3CBE" w:rsidRDefault="001D3CBE" w:rsidP="001D3CBE">
                  <w:pPr>
                    <w:widowControl/>
                    <w:adjustRightInd/>
                    <w:jc w:val="center"/>
                    <w:rPr>
                      <w:sz w:val="18"/>
                      <w:szCs w:val="18"/>
                    </w:rPr>
                  </w:pPr>
                  <w:r w:rsidRPr="001D3CBE">
                    <w:rPr>
                      <w:sz w:val="18"/>
                      <w:szCs w:val="18"/>
                    </w:rPr>
                    <w:t>NA</w:t>
                  </w:r>
                </w:p>
              </w:tc>
              <w:tc>
                <w:tcPr>
                  <w:tcW w:w="760" w:type="dxa"/>
                  <w:tcBorders>
                    <w:top w:val="nil"/>
                    <w:left w:val="nil"/>
                    <w:bottom w:val="single" w:sz="8" w:space="0" w:color="000000"/>
                    <w:right w:val="single" w:sz="8" w:space="0" w:color="000000"/>
                  </w:tcBorders>
                  <w:shd w:val="clear" w:color="auto" w:fill="auto"/>
                  <w:vAlign w:val="bottom"/>
                  <w:hideMark/>
                </w:tcPr>
                <w:p w14:paraId="798F7E6D" w14:textId="77777777" w:rsidR="001D3CBE" w:rsidRPr="001D3CBE" w:rsidRDefault="001D3CBE" w:rsidP="001D3CBE">
                  <w:pPr>
                    <w:widowControl/>
                    <w:adjustRightInd/>
                    <w:jc w:val="center"/>
                    <w:rPr>
                      <w:sz w:val="18"/>
                      <w:szCs w:val="18"/>
                    </w:rPr>
                  </w:pPr>
                  <w:r w:rsidRPr="001D3CBE">
                    <w:rPr>
                      <w:sz w:val="18"/>
                      <w:szCs w:val="18"/>
                    </w:rPr>
                    <w:t>NA</w:t>
                  </w:r>
                </w:p>
              </w:tc>
              <w:tc>
                <w:tcPr>
                  <w:tcW w:w="880" w:type="dxa"/>
                  <w:tcBorders>
                    <w:top w:val="nil"/>
                    <w:left w:val="nil"/>
                    <w:bottom w:val="single" w:sz="8" w:space="0" w:color="000000"/>
                    <w:right w:val="single" w:sz="8" w:space="0" w:color="000000"/>
                  </w:tcBorders>
                  <w:shd w:val="clear" w:color="auto" w:fill="auto"/>
                  <w:vAlign w:val="bottom"/>
                  <w:hideMark/>
                </w:tcPr>
                <w:p w14:paraId="10F20998" w14:textId="77777777" w:rsidR="001D3CBE" w:rsidRPr="001D3CBE" w:rsidRDefault="001D3CBE" w:rsidP="001D3CBE">
                  <w:pPr>
                    <w:widowControl/>
                    <w:adjustRightInd/>
                    <w:jc w:val="center"/>
                    <w:rPr>
                      <w:sz w:val="18"/>
                      <w:szCs w:val="18"/>
                    </w:rPr>
                  </w:pPr>
                  <w:r w:rsidRPr="001D3CBE">
                    <w:rPr>
                      <w:sz w:val="18"/>
                      <w:szCs w:val="18"/>
                    </w:rPr>
                    <w:t xml:space="preserve">$1,330.40 </w:t>
                  </w:r>
                </w:p>
              </w:tc>
              <w:tc>
                <w:tcPr>
                  <w:tcW w:w="840" w:type="dxa"/>
                  <w:tcBorders>
                    <w:top w:val="nil"/>
                    <w:left w:val="nil"/>
                    <w:bottom w:val="single" w:sz="8" w:space="0" w:color="000000"/>
                    <w:right w:val="single" w:sz="8" w:space="0" w:color="000000"/>
                  </w:tcBorders>
                  <w:shd w:val="clear" w:color="auto" w:fill="auto"/>
                  <w:vAlign w:val="bottom"/>
                  <w:hideMark/>
                </w:tcPr>
                <w:p w14:paraId="3066D892" w14:textId="77777777" w:rsidR="001D3CBE" w:rsidRPr="001D3CBE" w:rsidRDefault="001D3CBE" w:rsidP="001D3CBE">
                  <w:pPr>
                    <w:widowControl/>
                    <w:adjustRightInd/>
                    <w:jc w:val="center"/>
                    <w:rPr>
                      <w:sz w:val="18"/>
                      <w:szCs w:val="18"/>
                    </w:rPr>
                  </w:pPr>
                  <w:r w:rsidRPr="001D3CBE">
                    <w:rPr>
                      <w:sz w:val="18"/>
                      <w:szCs w:val="18"/>
                    </w:rPr>
                    <w:t>NA</w:t>
                  </w:r>
                </w:p>
              </w:tc>
              <w:tc>
                <w:tcPr>
                  <w:tcW w:w="840" w:type="dxa"/>
                  <w:tcBorders>
                    <w:top w:val="nil"/>
                    <w:left w:val="nil"/>
                    <w:bottom w:val="single" w:sz="8" w:space="0" w:color="000000"/>
                    <w:right w:val="double" w:sz="6" w:space="0" w:color="000000"/>
                  </w:tcBorders>
                  <w:shd w:val="clear" w:color="auto" w:fill="auto"/>
                  <w:vAlign w:val="bottom"/>
                  <w:hideMark/>
                </w:tcPr>
                <w:p w14:paraId="748F3666" w14:textId="77777777" w:rsidR="001D3CBE" w:rsidRPr="001D3CBE" w:rsidRDefault="001D3CBE" w:rsidP="001D3CBE">
                  <w:pPr>
                    <w:widowControl/>
                    <w:adjustRightInd/>
                    <w:jc w:val="center"/>
                    <w:rPr>
                      <w:sz w:val="18"/>
                      <w:szCs w:val="18"/>
                    </w:rPr>
                  </w:pPr>
                  <w:r w:rsidRPr="001D3CBE">
                    <w:rPr>
                      <w:sz w:val="18"/>
                      <w:szCs w:val="18"/>
                    </w:rPr>
                    <w:t>NA</w:t>
                  </w:r>
                </w:p>
              </w:tc>
            </w:tr>
            <w:tr w:rsidR="001D3CBE" w:rsidRPr="001D3CBE" w14:paraId="1D00BA57" w14:textId="77777777" w:rsidTr="001D3CBE">
              <w:trPr>
                <w:trHeight w:val="525"/>
              </w:trPr>
              <w:tc>
                <w:tcPr>
                  <w:tcW w:w="1780" w:type="dxa"/>
                  <w:tcBorders>
                    <w:top w:val="nil"/>
                    <w:left w:val="double" w:sz="6" w:space="0" w:color="000000"/>
                    <w:bottom w:val="single" w:sz="8" w:space="0" w:color="000000"/>
                    <w:right w:val="single" w:sz="8" w:space="0" w:color="000000"/>
                  </w:tcBorders>
                  <w:shd w:val="clear" w:color="auto" w:fill="auto"/>
                  <w:vAlign w:val="bottom"/>
                  <w:hideMark/>
                </w:tcPr>
                <w:p w14:paraId="2CA00D79" w14:textId="77777777" w:rsidR="001D3CBE" w:rsidRPr="001D3CBE" w:rsidRDefault="001D3CBE" w:rsidP="001D3CBE">
                  <w:pPr>
                    <w:widowControl/>
                    <w:adjustRightInd/>
                    <w:rPr>
                      <w:sz w:val="20"/>
                      <w:szCs w:val="20"/>
                    </w:rPr>
                  </w:pPr>
                  <w:r w:rsidRPr="001D3CBE">
                    <w:rPr>
                      <w:sz w:val="20"/>
                      <w:szCs w:val="20"/>
                    </w:rPr>
                    <w:t>Preparing an Initial Written Report</w:t>
                  </w:r>
                </w:p>
              </w:tc>
              <w:tc>
                <w:tcPr>
                  <w:tcW w:w="860" w:type="dxa"/>
                  <w:tcBorders>
                    <w:top w:val="nil"/>
                    <w:left w:val="nil"/>
                    <w:bottom w:val="single" w:sz="8" w:space="0" w:color="000000"/>
                    <w:right w:val="single" w:sz="8" w:space="0" w:color="000000"/>
                  </w:tcBorders>
                  <w:shd w:val="clear" w:color="auto" w:fill="auto"/>
                  <w:vAlign w:val="bottom"/>
                  <w:hideMark/>
                </w:tcPr>
                <w:p w14:paraId="13319B66" w14:textId="77777777" w:rsidR="001D3CBE" w:rsidRPr="001D3CBE" w:rsidRDefault="001D3CBE" w:rsidP="001D3CBE">
                  <w:pPr>
                    <w:widowControl/>
                    <w:adjustRightInd/>
                    <w:jc w:val="center"/>
                    <w:rPr>
                      <w:sz w:val="18"/>
                      <w:szCs w:val="18"/>
                    </w:rPr>
                  </w:pPr>
                  <w:r w:rsidRPr="001D3CBE">
                    <w:rPr>
                      <w:sz w:val="18"/>
                      <w:szCs w:val="18"/>
                    </w:rPr>
                    <w:t xml:space="preserve">$3,382.88 </w:t>
                  </w:r>
                </w:p>
              </w:tc>
              <w:tc>
                <w:tcPr>
                  <w:tcW w:w="900" w:type="dxa"/>
                  <w:tcBorders>
                    <w:top w:val="nil"/>
                    <w:left w:val="nil"/>
                    <w:bottom w:val="single" w:sz="8" w:space="0" w:color="000000"/>
                    <w:right w:val="single" w:sz="8" w:space="0" w:color="000000"/>
                  </w:tcBorders>
                  <w:shd w:val="clear" w:color="auto" w:fill="auto"/>
                  <w:vAlign w:val="bottom"/>
                  <w:hideMark/>
                </w:tcPr>
                <w:p w14:paraId="7123539F" w14:textId="77777777" w:rsidR="001D3CBE" w:rsidRPr="001D3CBE" w:rsidRDefault="001D3CBE" w:rsidP="001D3CBE">
                  <w:pPr>
                    <w:widowControl/>
                    <w:adjustRightInd/>
                    <w:jc w:val="center"/>
                    <w:rPr>
                      <w:sz w:val="18"/>
                      <w:szCs w:val="18"/>
                    </w:rPr>
                  </w:pPr>
                  <w:r w:rsidRPr="001D3CBE">
                    <w:rPr>
                      <w:sz w:val="18"/>
                      <w:szCs w:val="18"/>
                    </w:rPr>
                    <w:t>NA</w:t>
                  </w:r>
                </w:p>
              </w:tc>
              <w:tc>
                <w:tcPr>
                  <w:tcW w:w="880" w:type="dxa"/>
                  <w:tcBorders>
                    <w:top w:val="nil"/>
                    <w:left w:val="nil"/>
                    <w:bottom w:val="single" w:sz="8" w:space="0" w:color="000000"/>
                    <w:right w:val="single" w:sz="8" w:space="0" w:color="000000"/>
                  </w:tcBorders>
                  <w:shd w:val="clear" w:color="auto" w:fill="auto"/>
                  <w:vAlign w:val="bottom"/>
                  <w:hideMark/>
                </w:tcPr>
                <w:p w14:paraId="734BE41C" w14:textId="77777777" w:rsidR="001D3CBE" w:rsidRPr="001D3CBE" w:rsidRDefault="001D3CBE" w:rsidP="001D3CBE">
                  <w:pPr>
                    <w:widowControl/>
                    <w:adjustRightInd/>
                    <w:jc w:val="center"/>
                    <w:rPr>
                      <w:sz w:val="18"/>
                      <w:szCs w:val="18"/>
                    </w:rPr>
                  </w:pPr>
                  <w:r w:rsidRPr="001D3CBE">
                    <w:rPr>
                      <w:sz w:val="18"/>
                      <w:szCs w:val="18"/>
                    </w:rPr>
                    <w:t>NA</w:t>
                  </w:r>
                </w:p>
              </w:tc>
              <w:tc>
                <w:tcPr>
                  <w:tcW w:w="740" w:type="dxa"/>
                  <w:tcBorders>
                    <w:top w:val="nil"/>
                    <w:left w:val="nil"/>
                    <w:bottom w:val="single" w:sz="8" w:space="0" w:color="000000"/>
                    <w:right w:val="single" w:sz="8" w:space="0" w:color="000000"/>
                  </w:tcBorders>
                  <w:shd w:val="clear" w:color="auto" w:fill="auto"/>
                  <w:vAlign w:val="bottom"/>
                  <w:hideMark/>
                </w:tcPr>
                <w:p w14:paraId="417AEEFF" w14:textId="77777777" w:rsidR="001D3CBE" w:rsidRPr="001D3CBE" w:rsidRDefault="001D3CBE" w:rsidP="001D3CBE">
                  <w:pPr>
                    <w:widowControl/>
                    <w:adjustRightInd/>
                    <w:jc w:val="center"/>
                    <w:rPr>
                      <w:sz w:val="18"/>
                      <w:szCs w:val="18"/>
                    </w:rPr>
                  </w:pPr>
                  <w:r w:rsidRPr="001D3CBE">
                    <w:rPr>
                      <w:sz w:val="18"/>
                      <w:szCs w:val="18"/>
                    </w:rPr>
                    <w:t xml:space="preserve">$67.68 </w:t>
                  </w:r>
                </w:p>
              </w:tc>
              <w:tc>
                <w:tcPr>
                  <w:tcW w:w="780" w:type="dxa"/>
                  <w:tcBorders>
                    <w:top w:val="nil"/>
                    <w:left w:val="nil"/>
                    <w:bottom w:val="single" w:sz="8" w:space="0" w:color="000000"/>
                    <w:right w:val="single" w:sz="8" w:space="0" w:color="000000"/>
                  </w:tcBorders>
                  <w:shd w:val="clear" w:color="auto" w:fill="auto"/>
                  <w:vAlign w:val="bottom"/>
                  <w:hideMark/>
                </w:tcPr>
                <w:p w14:paraId="242F8AF9" w14:textId="77777777" w:rsidR="001D3CBE" w:rsidRPr="001D3CBE" w:rsidRDefault="001D3CBE" w:rsidP="001D3CBE">
                  <w:pPr>
                    <w:widowControl/>
                    <w:adjustRightInd/>
                    <w:jc w:val="center"/>
                    <w:rPr>
                      <w:sz w:val="18"/>
                      <w:szCs w:val="18"/>
                    </w:rPr>
                  </w:pPr>
                  <w:r w:rsidRPr="001D3CBE">
                    <w:rPr>
                      <w:sz w:val="18"/>
                      <w:szCs w:val="18"/>
                    </w:rPr>
                    <w:t>NA</w:t>
                  </w:r>
                </w:p>
              </w:tc>
              <w:tc>
                <w:tcPr>
                  <w:tcW w:w="760" w:type="dxa"/>
                  <w:tcBorders>
                    <w:top w:val="nil"/>
                    <w:left w:val="nil"/>
                    <w:bottom w:val="single" w:sz="8" w:space="0" w:color="000000"/>
                    <w:right w:val="single" w:sz="8" w:space="0" w:color="000000"/>
                  </w:tcBorders>
                  <w:shd w:val="clear" w:color="auto" w:fill="auto"/>
                  <w:vAlign w:val="bottom"/>
                  <w:hideMark/>
                </w:tcPr>
                <w:p w14:paraId="4EF3403B" w14:textId="77777777" w:rsidR="001D3CBE" w:rsidRPr="001D3CBE" w:rsidRDefault="001D3CBE" w:rsidP="001D3CBE">
                  <w:pPr>
                    <w:widowControl/>
                    <w:adjustRightInd/>
                    <w:jc w:val="center"/>
                    <w:rPr>
                      <w:sz w:val="18"/>
                      <w:szCs w:val="18"/>
                    </w:rPr>
                  </w:pPr>
                  <w:r w:rsidRPr="001D3CBE">
                    <w:rPr>
                      <w:sz w:val="18"/>
                      <w:szCs w:val="18"/>
                    </w:rPr>
                    <w:t>NA</w:t>
                  </w:r>
                </w:p>
              </w:tc>
              <w:tc>
                <w:tcPr>
                  <w:tcW w:w="880" w:type="dxa"/>
                  <w:tcBorders>
                    <w:top w:val="nil"/>
                    <w:left w:val="nil"/>
                    <w:bottom w:val="single" w:sz="8" w:space="0" w:color="000000"/>
                    <w:right w:val="single" w:sz="8" w:space="0" w:color="000000"/>
                  </w:tcBorders>
                  <w:shd w:val="clear" w:color="auto" w:fill="auto"/>
                  <w:vAlign w:val="bottom"/>
                  <w:hideMark/>
                </w:tcPr>
                <w:p w14:paraId="64F4061A" w14:textId="77777777" w:rsidR="001D3CBE" w:rsidRPr="001D3CBE" w:rsidRDefault="001D3CBE" w:rsidP="001D3CBE">
                  <w:pPr>
                    <w:widowControl/>
                    <w:adjustRightInd/>
                    <w:jc w:val="center"/>
                    <w:rPr>
                      <w:sz w:val="18"/>
                      <w:szCs w:val="18"/>
                    </w:rPr>
                  </w:pPr>
                  <w:r w:rsidRPr="001D3CBE">
                    <w:rPr>
                      <w:sz w:val="18"/>
                      <w:szCs w:val="18"/>
                    </w:rPr>
                    <w:t xml:space="preserve">$3,450.56 </w:t>
                  </w:r>
                </w:p>
              </w:tc>
              <w:tc>
                <w:tcPr>
                  <w:tcW w:w="840" w:type="dxa"/>
                  <w:tcBorders>
                    <w:top w:val="nil"/>
                    <w:left w:val="nil"/>
                    <w:bottom w:val="single" w:sz="8" w:space="0" w:color="000000"/>
                    <w:right w:val="single" w:sz="8" w:space="0" w:color="000000"/>
                  </w:tcBorders>
                  <w:shd w:val="clear" w:color="auto" w:fill="auto"/>
                  <w:vAlign w:val="bottom"/>
                  <w:hideMark/>
                </w:tcPr>
                <w:p w14:paraId="009AF827" w14:textId="77777777" w:rsidR="001D3CBE" w:rsidRPr="001D3CBE" w:rsidRDefault="001D3CBE" w:rsidP="001D3CBE">
                  <w:pPr>
                    <w:widowControl/>
                    <w:adjustRightInd/>
                    <w:jc w:val="center"/>
                    <w:rPr>
                      <w:sz w:val="18"/>
                      <w:szCs w:val="18"/>
                    </w:rPr>
                  </w:pPr>
                  <w:r w:rsidRPr="001D3CBE">
                    <w:rPr>
                      <w:sz w:val="18"/>
                      <w:szCs w:val="18"/>
                    </w:rPr>
                    <w:t>NA</w:t>
                  </w:r>
                </w:p>
              </w:tc>
              <w:tc>
                <w:tcPr>
                  <w:tcW w:w="840" w:type="dxa"/>
                  <w:tcBorders>
                    <w:top w:val="nil"/>
                    <w:left w:val="nil"/>
                    <w:bottom w:val="single" w:sz="8" w:space="0" w:color="000000"/>
                    <w:right w:val="double" w:sz="6" w:space="0" w:color="000000"/>
                  </w:tcBorders>
                  <w:shd w:val="clear" w:color="auto" w:fill="auto"/>
                  <w:vAlign w:val="bottom"/>
                  <w:hideMark/>
                </w:tcPr>
                <w:p w14:paraId="542EA870" w14:textId="77777777" w:rsidR="001D3CBE" w:rsidRPr="001D3CBE" w:rsidRDefault="001D3CBE" w:rsidP="001D3CBE">
                  <w:pPr>
                    <w:widowControl/>
                    <w:adjustRightInd/>
                    <w:jc w:val="center"/>
                    <w:rPr>
                      <w:sz w:val="18"/>
                      <w:szCs w:val="18"/>
                    </w:rPr>
                  </w:pPr>
                  <w:r w:rsidRPr="001D3CBE">
                    <w:rPr>
                      <w:sz w:val="18"/>
                      <w:szCs w:val="18"/>
                    </w:rPr>
                    <w:t>NA</w:t>
                  </w:r>
                </w:p>
              </w:tc>
            </w:tr>
            <w:tr w:rsidR="001D3CBE" w:rsidRPr="001D3CBE" w14:paraId="0521161B" w14:textId="77777777" w:rsidTr="001D3CBE">
              <w:trPr>
                <w:trHeight w:val="525"/>
              </w:trPr>
              <w:tc>
                <w:tcPr>
                  <w:tcW w:w="1780" w:type="dxa"/>
                  <w:tcBorders>
                    <w:top w:val="nil"/>
                    <w:left w:val="double" w:sz="6" w:space="0" w:color="000000"/>
                    <w:bottom w:val="single" w:sz="8" w:space="0" w:color="000000"/>
                    <w:right w:val="single" w:sz="8" w:space="0" w:color="000000"/>
                  </w:tcBorders>
                  <w:shd w:val="clear" w:color="auto" w:fill="auto"/>
                  <w:vAlign w:val="bottom"/>
                  <w:hideMark/>
                </w:tcPr>
                <w:p w14:paraId="3FF95EE4" w14:textId="77777777" w:rsidR="001D3CBE" w:rsidRPr="001D3CBE" w:rsidRDefault="001D3CBE" w:rsidP="001D3CBE">
                  <w:pPr>
                    <w:widowControl/>
                    <w:adjustRightInd/>
                    <w:rPr>
                      <w:sz w:val="20"/>
                      <w:szCs w:val="20"/>
                    </w:rPr>
                  </w:pPr>
                  <w:r w:rsidRPr="001D3CBE">
                    <w:rPr>
                      <w:sz w:val="20"/>
                      <w:szCs w:val="20"/>
                    </w:rPr>
                    <w:t>Preparing a Follow-up Written Report</w:t>
                  </w:r>
                </w:p>
              </w:tc>
              <w:tc>
                <w:tcPr>
                  <w:tcW w:w="860" w:type="dxa"/>
                  <w:tcBorders>
                    <w:top w:val="nil"/>
                    <w:left w:val="nil"/>
                    <w:bottom w:val="single" w:sz="8" w:space="0" w:color="000000"/>
                    <w:right w:val="single" w:sz="8" w:space="0" w:color="000000"/>
                  </w:tcBorders>
                  <w:shd w:val="clear" w:color="auto" w:fill="auto"/>
                  <w:vAlign w:val="bottom"/>
                  <w:hideMark/>
                </w:tcPr>
                <w:p w14:paraId="5CBA2F03" w14:textId="77777777" w:rsidR="001D3CBE" w:rsidRPr="001D3CBE" w:rsidRDefault="001D3CBE" w:rsidP="001D3CBE">
                  <w:pPr>
                    <w:widowControl/>
                    <w:adjustRightInd/>
                    <w:jc w:val="center"/>
                    <w:rPr>
                      <w:sz w:val="18"/>
                      <w:szCs w:val="18"/>
                    </w:rPr>
                  </w:pPr>
                  <w:r w:rsidRPr="001D3CBE">
                    <w:rPr>
                      <w:sz w:val="18"/>
                      <w:szCs w:val="18"/>
                    </w:rPr>
                    <w:t>NA</w:t>
                  </w:r>
                </w:p>
              </w:tc>
              <w:tc>
                <w:tcPr>
                  <w:tcW w:w="900" w:type="dxa"/>
                  <w:tcBorders>
                    <w:top w:val="nil"/>
                    <w:left w:val="nil"/>
                    <w:bottom w:val="single" w:sz="8" w:space="0" w:color="000000"/>
                    <w:right w:val="single" w:sz="8" w:space="0" w:color="000000"/>
                  </w:tcBorders>
                  <w:shd w:val="clear" w:color="auto" w:fill="auto"/>
                  <w:vAlign w:val="bottom"/>
                  <w:hideMark/>
                </w:tcPr>
                <w:p w14:paraId="6DAA6C4A" w14:textId="77777777" w:rsidR="001D3CBE" w:rsidRPr="001D3CBE" w:rsidRDefault="001D3CBE" w:rsidP="001D3CBE">
                  <w:pPr>
                    <w:widowControl/>
                    <w:adjustRightInd/>
                    <w:jc w:val="center"/>
                    <w:rPr>
                      <w:sz w:val="18"/>
                      <w:szCs w:val="18"/>
                    </w:rPr>
                  </w:pPr>
                  <w:r w:rsidRPr="001D3CBE">
                    <w:rPr>
                      <w:sz w:val="18"/>
                      <w:szCs w:val="18"/>
                    </w:rPr>
                    <w:t xml:space="preserve">$2,173.28 </w:t>
                  </w:r>
                </w:p>
              </w:tc>
              <w:tc>
                <w:tcPr>
                  <w:tcW w:w="880" w:type="dxa"/>
                  <w:tcBorders>
                    <w:top w:val="nil"/>
                    <w:left w:val="nil"/>
                    <w:bottom w:val="single" w:sz="8" w:space="0" w:color="000000"/>
                    <w:right w:val="single" w:sz="8" w:space="0" w:color="000000"/>
                  </w:tcBorders>
                  <w:shd w:val="clear" w:color="auto" w:fill="auto"/>
                  <w:vAlign w:val="bottom"/>
                  <w:hideMark/>
                </w:tcPr>
                <w:p w14:paraId="3E0949CB" w14:textId="77777777" w:rsidR="001D3CBE" w:rsidRPr="001D3CBE" w:rsidRDefault="001D3CBE" w:rsidP="001D3CBE">
                  <w:pPr>
                    <w:widowControl/>
                    <w:adjustRightInd/>
                    <w:jc w:val="center"/>
                    <w:rPr>
                      <w:sz w:val="18"/>
                      <w:szCs w:val="18"/>
                    </w:rPr>
                  </w:pPr>
                  <w:r w:rsidRPr="001D3CBE">
                    <w:rPr>
                      <w:sz w:val="18"/>
                      <w:szCs w:val="18"/>
                    </w:rPr>
                    <w:t>NA</w:t>
                  </w:r>
                </w:p>
              </w:tc>
              <w:tc>
                <w:tcPr>
                  <w:tcW w:w="740" w:type="dxa"/>
                  <w:tcBorders>
                    <w:top w:val="nil"/>
                    <w:left w:val="nil"/>
                    <w:bottom w:val="single" w:sz="8" w:space="0" w:color="000000"/>
                    <w:right w:val="single" w:sz="8" w:space="0" w:color="000000"/>
                  </w:tcBorders>
                  <w:shd w:val="clear" w:color="auto" w:fill="auto"/>
                  <w:vAlign w:val="bottom"/>
                  <w:hideMark/>
                </w:tcPr>
                <w:p w14:paraId="0560D4C7" w14:textId="77777777" w:rsidR="001D3CBE" w:rsidRPr="001D3CBE" w:rsidRDefault="001D3CBE" w:rsidP="001D3CBE">
                  <w:pPr>
                    <w:widowControl/>
                    <w:adjustRightInd/>
                    <w:jc w:val="center"/>
                    <w:rPr>
                      <w:sz w:val="18"/>
                      <w:szCs w:val="18"/>
                    </w:rPr>
                  </w:pPr>
                  <w:r w:rsidRPr="001D3CBE">
                    <w:rPr>
                      <w:sz w:val="18"/>
                      <w:szCs w:val="18"/>
                    </w:rPr>
                    <w:t>NA</w:t>
                  </w:r>
                </w:p>
              </w:tc>
              <w:tc>
                <w:tcPr>
                  <w:tcW w:w="780" w:type="dxa"/>
                  <w:tcBorders>
                    <w:top w:val="nil"/>
                    <w:left w:val="nil"/>
                    <w:bottom w:val="single" w:sz="8" w:space="0" w:color="000000"/>
                    <w:right w:val="single" w:sz="8" w:space="0" w:color="000000"/>
                  </w:tcBorders>
                  <w:shd w:val="clear" w:color="auto" w:fill="auto"/>
                  <w:vAlign w:val="bottom"/>
                  <w:hideMark/>
                </w:tcPr>
                <w:p w14:paraId="6ECF9C93" w14:textId="77777777" w:rsidR="001D3CBE" w:rsidRPr="001D3CBE" w:rsidRDefault="001D3CBE" w:rsidP="001D3CBE">
                  <w:pPr>
                    <w:widowControl/>
                    <w:adjustRightInd/>
                    <w:jc w:val="center"/>
                    <w:rPr>
                      <w:sz w:val="18"/>
                      <w:szCs w:val="18"/>
                    </w:rPr>
                  </w:pPr>
                  <w:r w:rsidRPr="001D3CBE">
                    <w:rPr>
                      <w:sz w:val="18"/>
                      <w:szCs w:val="18"/>
                    </w:rPr>
                    <w:t xml:space="preserve">$67.68 </w:t>
                  </w:r>
                </w:p>
              </w:tc>
              <w:tc>
                <w:tcPr>
                  <w:tcW w:w="760" w:type="dxa"/>
                  <w:tcBorders>
                    <w:top w:val="nil"/>
                    <w:left w:val="nil"/>
                    <w:bottom w:val="single" w:sz="8" w:space="0" w:color="000000"/>
                    <w:right w:val="single" w:sz="8" w:space="0" w:color="000000"/>
                  </w:tcBorders>
                  <w:shd w:val="clear" w:color="auto" w:fill="auto"/>
                  <w:vAlign w:val="bottom"/>
                  <w:hideMark/>
                </w:tcPr>
                <w:p w14:paraId="2DB69BC7" w14:textId="77777777" w:rsidR="001D3CBE" w:rsidRPr="001D3CBE" w:rsidRDefault="001D3CBE" w:rsidP="001D3CBE">
                  <w:pPr>
                    <w:widowControl/>
                    <w:adjustRightInd/>
                    <w:jc w:val="center"/>
                    <w:rPr>
                      <w:sz w:val="18"/>
                      <w:szCs w:val="18"/>
                    </w:rPr>
                  </w:pPr>
                  <w:r w:rsidRPr="001D3CBE">
                    <w:rPr>
                      <w:sz w:val="18"/>
                      <w:szCs w:val="18"/>
                    </w:rPr>
                    <w:t>NA</w:t>
                  </w:r>
                </w:p>
              </w:tc>
              <w:tc>
                <w:tcPr>
                  <w:tcW w:w="880" w:type="dxa"/>
                  <w:tcBorders>
                    <w:top w:val="nil"/>
                    <w:left w:val="nil"/>
                    <w:bottom w:val="single" w:sz="8" w:space="0" w:color="000000"/>
                    <w:right w:val="single" w:sz="8" w:space="0" w:color="000000"/>
                  </w:tcBorders>
                  <w:shd w:val="clear" w:color="auto" w:fill="auto"/>
                  <w:vAlign w:val="bottom"/>
                  <w:hideMark/>
                </w:tcPr>
                <w:p w14:paraId="5182FC2E" w14:textId="77777777" w:rsidR="001D3CBE" w:rsidRPr="001D3CBE" w:rsidRDefault="001D3CBE" w:rsidP="001D3CBE">
                  <w:pPr>
                    <w:widowControl/>
                    <w:adjustRightInd/>
                    <w:jc w:val="center"/>
                    <w:rPr>
                      <w:sz w:val="18"/>
                      <w:szCs w:val="18"/>
                    </w:rPr>
                  </w:pPr>
                  <w:r w:rsidRPr="001D3CBE">
                    <w:rPr>
                      <w:sz w:val="18"/>
                      <w:szCs w:val="18"/>
                    </w:rPr>
                    <w:t>NA</w:t>
                  </w:r>
                </w:p>
              </w:tc>
              <w:tc>
                <w:tcPr>
                  <w:tcW w:w="840" w:type="dxa"/>
                  <w:tcBorders>
                    <w:top w:val="nil"/>
                    <w:left w:val="nil"/>
                    <w:bottom w:val="single" w:sz="8" w:space="0" w:color="000000"/>
                    <w:right w:val="single" w:sz="8" w:space="0" w:color="000000"/>
                  </w:tcBorders>
                  <w:shd w:val="clear" w:color="auto" w:fill="auto"/>
                  <w:vAlign w:val="bottom"/>
                  <w:hideMark/>
                </w:tcPr>
                <w:p w14:paraId="29115737" w14:textId="77777777" w:rsidR="001D3CBE" w:rsidRPr="001D3CBE" w:rsidRDefault="001D3CBE" w:rsidP="001D3CBE">
                  <w:pPr>
                    <w:widowControl/>
                    <w:adjustRightInd/>
                    <w:jc w:val="center"/>
                    <w:rPr>
                      <w:sz w:val="18"/>
                      <w:szCs w:val="18"/>
                    </w:rPr>
                  </w:pPr>
                  <w:r w:rsidRPr="001D3CBE">
                    <w:rPr>
                      <w:sz w:val="18"/>
                      <w:szCs w:val="18"/>
                    </w:rPr>
                    <w:t xml:space="preserve">$2,240.96 </w:t>
                  </w:r>
                </w:p>
              </w:tc>
              <w:tc>
                <w:tcPr>
                  <w:tcW w:w="840" w:type="dxa"/>
                  <w:tcBorders>
                    <w:top w:val="nil"/>
                    <w:left w:val="nil"/>
                    <w:bottom w:val="single" w:sz="8" w:space="0" w:color="000000"/>
                    <w:right w:val="double" w:sz="6" w:space="0" w:color="000000"/>
                  </w:tcBorders>
                  <w:shd w:val="clear" w:color="auto" w:fill="auto"/>
                  <w:vAlign w:val="bottom"/>
                  <w:hideMark/>
                </w:tcPr>
                <w:p w14:paraId="194B9F0B" w14:textId="77777777" w:rsidR="001D3CBE" w:rsidRPr="001D3CBE" w:rsidRDefault="001D3CBE" w:rsidP="001D3CBE">
                  <w:pPr>
                    <w:widowControl/>
                    <w:adjustRightInd/>
                    <w:jc w:val="center"/>
                    <w:rPr>
                      <w:sz w:val="18"/>
                      <w:szCs w:val="18"/>
                    </w:rPr>
                  </w:pPr>
                  <w:r w:rsidRPr="001D3CBE">
                    <w:rPr>
                      <w:sz w:val="18"/>
                      <w:szCs w:val="18"/>
                    </w:rPr>
                    <w:t>NA</w:t>
                  </w:r>
                </w:p>
              </w:tc>
            </w:tr>
            <w:tr w:rsidR="001D3CBE" w:rsidRPr="001D3CBE" w14:paraId="50766C26" w14:textId="77777777" w:rsidTr="001D3CBE">
              <w:trPr>
                <w:trHeight w:val="525"/>
              </w:trPr>
              <w:tc>
                <w:tcPr>
                  <w:tcW w:w="1780" w:type="dxa"/>
                  <w:tcBorders>
                    <w:top w:val="nil"/>
                    <w:left w:val="double" w:sz="6" w:space="0" w:color="000000"/>
                    <w:bottom w:val="single" w:sz="8" w:space="0" w:color="000000"/>
                    <w:right w:val="single" w:sz="8" w:space="0" w:color="000000"/>
                  </w:tcBorders>
                  <w:shd w:val="clear" w:color="auto" w:fill="auto"/>
                  <w:vAlign w:val="bottom"/>
                  <w:hideMark/>
                </w:tcPr>
                <w:p w14:paraId="6159CA9F" w14:textId="77777777" w:rsidR="001D3CBE" w:rsidRPr="001D3CBE" w:rsidRDefault="001D3CBE" w:rsidP="001D3CBE">
                  <w:pPr>
                    <w:widowControl/>
                    <w:adjustRightInd/>
                    <w:rPr>
                      <w:sz w:val="20"/>
                      <w:szCs w:val="20"/>
                    </w:rPr>
                  </w:pPr>
                  <w:r w:rsidRPr="001D3CBE">
                    <w:rPr>
                      <w:sz w:val="20"/>
                      <w:szCs w:val="20"/>
                    </w:rPr>
                    <w:t>Conducting Annual Evaluations</w:t>
                  </w:r>
                </w:p>
              </w:tc>
              <w:tc>
                <w:tcPr>
                  <w:tcW w:w="860" w:type="dxa"/>
                  <w:tcBorders>
                    <w:top w:val="nil"/>
                    <w:left w:val="nil"/>
                    <w:bottom w:val="single" w:sz="8" w:space="0" w:color="000000"/>
                    <w:right w:val="single" w:sz="8" w:space="0" w:color="000000"/>
                  </w:tcBorders>
                  <w:shd w:val="clear" w:color="auto" w:fill="auto"/>
                  <w:vAlign w:val="bottom"/>
                  <w:hideMark/>
                </w:tcPr>
                <w:p w14:paraId="4CBF142C" w14:textId="77777777" w:rsidR="001D3CBE" w:rsidRPr="001D3CBE" w:rsidRDefault="001D3CBE" w:rsidP="001D3CBE">
                  <w:pPr>
                    <w:widowControl/>
                    <w:adjustRightInd/>
                    <w:jc w:val="center"/>
                    <w:rPr>
                      <w:sz w:val="18"/>
                      <w:szCs w:val="18"/>
                    </w:rPr>
                  </w:pPr>
                  <w:r w:rsidRPr="001D3CBE">
                    <w:rPr>
                      <w:sz w:val="18"/>
                      <w:szCs w:val="18"/>
                    </w:rPr>
                    <w:t>NA</w:t>
                  </w:r>
                </w:p>
              </w:tc>
              <w:tc>
                <w:tcPr>
                  <w:tcW w:w="900" w:type="dxa"/>
                  <w:tcBorders>
                    <w:top w:val="nil"/>
                    <w:left w:val="nil"/>
                    <w:bottom w:val="single" w:sz="8" w:space="0" w:color="000000"/>
                    <w:right w:val="single" w:sz="8" w:space="0" w:color="000000"/>
                  </w:tcBorders>
                  <w:shd w:val="clear" w:color="auto" w:fill="auto"/>
                  <w:vAlign w:val="bottom"/>
                  <w:hideMark/>
                </w:tcPr>
                <w:p w14:paraId="5975B0BA" w14:textId="77777777" w:rsidR="001D3CBE" w:rsidRPr="001D3CBE" w:rsidRDefault="001D3CBE" w:rsidP="001D3CBE">
                  <w:pPr>
                    <w:widowControl/>
                    <w:adjustRightInd/>
                    <w:jc w:val="center"/>
                    <w:rPr>
                      <w:sz w:val="18"/>
                      <w:szCs w:val="18"/>
                    </w:rPr>
                  </w:pPr>
                  <w:r w:rsidRPr="001D3CBE">
                    <w:rPr>
                      <w:sz w:val="18"/>
                      <w:szCs w:val="18"/>
                    </w:rPr>
                    <w:t>NA</w:t>
                  </w:r>
                </w:p>
              </w:tc>
              <w:tc>
                <w:tcPr>
                  <w:tcW w:w="880" w:type="dxa"/>
                  <w:tcBorders>
                    <w:top w:val="nil"/>
                    <w:left w:val="nil"/>
                    <w:bottom w:val="single" w:sz="8" w:space="0" w:color="000000"/>
                    <w:right w:val="single" w:sz="8" w:space="0" w:color="000000"/>
                  </w:tcBorders>
                  <w:shd w:val="clear" w:color="auto" w:fill="auto"/>
                  <w:vAlign w:val="bottom"/>
                  <w:hideMark/>
                </w:tcPr>
                <w:p w14:paraId="1309BA1F" w14:textId="77777777" w:rsidR="001D3CBE" w:rsidRPr="001D3CBE" w:rsidRDefault="001D3CBE" w:rsidP="001D3CBE">
                  <w:pPr>
                    <w:widowControl/>
                    <w:adjustRightInd/>
                    <w:jc w:val="center"/>
                    <w:rPr>
                      <w:sz w:val="18"/>
                      <w:szCs w:val="18"/>
                    </w:rPr>
                  </w:pPr>
                  <w:r w:rsidRPr="001D3CBE">
                    <w:rPr>
                      <w:sz w:val="18"/>
                      <w:szCs w:val="18"/>
                    </w:rPr>
                    <w:t xml:space="preserve">$2,173.28 </w:t>
                  </w:r>
                </w:p>
              </w:tc>
              <w:tc>
                <w:tcPr>
                  <w:tcW w:w="740" w:type="dxa"/>
                  <w:tcBorders>
                    <w:top w:val="nil"/>
                    <w:left w:val="nil"/>
                    <w:bottom w:val="single" w:sz="8" w:space="0" w:color="000000"/>
                    <w:right w:val="single" w:sz="8" w:space="0" w:color="000000"/>
                  </w:tcBorders>
                  <w:shd w:val="clear" w:color="auto" w:fill="auto"/>
                  <w:vAlign w:val="bottom"/>
                  <w:hideMark/>
                </w:tcPr>
                <w:p w14:paraId="7735F5F9" w14:textId="77777777" w:rsidR="001D3CBE" w:rsidRPr="001D3CBE" w:rsidRDefault="001D3CBE" w:rsidP="001D3CBE">
                  <w:pPr>
                    <w:widowControl/>
                    <w:adjustRightInd/>
                    <w:jc w:val="center"/>
                    <w:rPr>
                      <w:sz w:val="18"/>
                      <w:szCs w:val="18"/>
                    </w:rPr>
                  </w:pPr>
                  <w:r w:rsidRPr="001D3CBE">
                    <w:rPr>
                      <w:sz w:val="18"/>
                      <w:szCs w:val="18"/>
                    </w:rPr>
                    <w:t>NA</w:t>
                  </w:r>
                </w:p>
              </w:tc>
              <w:tc>
                <w:tcPr>
                  <w:tcW w:w="780" w:type="dxa"/>
                  <w:tcBorders>
                    <w:top w:val="nil"/>
                    <w:left w:val="nil"/>
                    <w:bottom w:val="single" w:sz="8" w:space="0" w:color="000000"/>
                    <w:right w:val="single" w:sz="8" w:space="0" w:color="000000"/>
                  </w:tcBorders>
                  <w:shd w:val="clear" w:color="auto" w:fill="auto"/>
                  <w:vAlign w:val="bottom"/>
                  <w:hideMark/>
                </w:tcPr>
                <w:p w14:paraId="6C2A52EE" w14:textId="77777777" w:rsidR="001D3CBE" w:rsidRPr="001D3CBE" w:rsidRDefault="001D3CBE" w:rsidP="001D3CBE">
                  <w:pPr>
                    <w:widowControl/>
                    <w:adjustRightInd/>
                    <w:jc w:val="center"/>
                    <w:rPr>
                      <w:sz w:val="18"/>
                      <w:szCs w:val="18"/>
                    </w:rPr>
                  </w:pPr>
                  <w:r w:rsidRPr="001D3CBE">
                    <w:rPr>
                      <w:sz w:val="18"/>
                      <w:szCs w:val="18"/>
                    </w:rPr>
                    <w:t>NA</w:t>
                  </w:r>
                </w:p>
              </w:tc>
              <w:tc>
                <w:tcPr>
                  <w:tcW w:w="760" w:type="dxa"/>
                  <w:tcBorders>
                    <w:top w:val="nil"/>
                    <w:left w:val="nil"/>
                    <w:bottom w:val="single" w:sz="8" w:space="0" w:color="000000"/>
                    <w:right w:val="single" w:sz="8" w:space="0" w:color="000000"/>
                  </w:tcBorders>
                  <w:shd w:val="clear" w:color="auto" w:fill="auto"/>
                  <w:vAlign w:val="bottom"/>
                  <w:hideMark/>
                </w:tcPr>
                <w:p w14:paraId="2EBC6FDF" w14:textId="77777777" w:rsidR="001D3CBE" w:rsidRPr="001D3CBE" w:rsidRDefault="001D3CBE" w:rsidP="001D3CBE">
                  <w:pPr>
                    <w:widowControl/>
                    <w:adjustRightInd/>
                    <w:jc w:val="center"/>
                    <w:rPr>
                      <w:sz w:val="18"/>
                      <w:szCs w:val="18"/>
                    </w:rPr>
                  </w:pPr>
                  <w:r w:rsidRPr="001D3CBE">
                    <w:rPr>
                      <w:sz w:val="18"/>
                      <w:szCs w:val="18"/>
                    </w:rPr>
                    <w:t>NA</w:t>
                  </w:r>
                </w:p>
              </w:tc>
              <w:tc>
                <w:tcPr>
                  <w:tcW w:w="880" w:type="dxa"/>
                  <w:tcBorders>
                    <w:top w:val="nil"/>
                    <w:left w:val="nil"/>
                    <w:bottom w:val="single" w:sz="8" w:space="0" w:color="000000"/>
                    <w:right w:val="single" w:sz="8" w:space="0" w:color="000000"/>
                  </w:tcBorders>
                  <w:shd w:val="clear" w:color="auto" w:fill="auto"/>
                  <w:vAlign w:val="bottom"/>
                  <w:hideMark/>
                </w:tcPr>
                <w:p w14:paraId="0E1C77C9" w14:textId="77777777" w:rsidR="001D3CBE" w:rsidRPr="001D3CBE" w:rsidRDefault="001D3CBE" w:rsidP="001D3CBE">
                  <w:pPr>
                    <w:widowControl/>
                    <w:adjustRightInd/>
                    <w:jc w:val="center"/>
                    <w:rPr>
                      <w:sz w:val="18"/>
                      <w:szCs w:val="18"/>
                    </w:rPr>
                  </w:pPr>
                  <w:r w:rsidRPr="001D3CBE">
                    <w:rPr>
                      <w:sz w:val="18"/>
                      <w:szCs w:val="18"/>
                    </w:rPr>
                    <w:t>NA</w:t>
                  </w:r>
                </w:p>
              </w:tc>
              <w:tc>
                <w:tcPr>
                  <w:tcW w:w="840" w:type="dxa"/>
                  <w:tcBorders>
                    <w:top w:val="nil"/>
                    <w:left w:val="nil"/>
                    <w:bottom w:val="single" w:sz="8" w:space="0" w:color="000000"/>
                    <w:right w:val="single" w:sz="8" w:space="0" w:color="000000"/>
                  </w:tcBorders>
                  <w:shd w:val="clear" w:color="auto" w:fill="auto"/>
                  <w:vAlign w:val="bottom"/>
                  <w:hideMark/>
                </w:tcPr>
                <w:p w14:paraId="752C0F37" w14:textId="77777777" w:rsidR="001D3CBE" w:rsidRPr="001D3CBE" w:rsidRDefault="001D3CBE" w:rsidP="001D3CBE">
                  <w:pPr>
                    <w:widowControl/>
                    <w:adjustRightInd/>
                    <w:jc w:val="center"/>
                    <w:rPr>
                      <w:sz w:val="18"/>
                      <w:szCs w:val="18"/>
                    </w:rPr>
                  </w:pPr>
                  <w:r w:rsidRPr="001D3CBE">
                    <w:rPr>
                      <w:sz w:val="18"/>
                      <w:szCs w:val="18"/>
                    </w:rPr>
                    <w:t>NA</w:t>
                  </w:r>
                </w:p>
              </w:tc>
              <w:tc>
                <w:tcPr>
                  <w:tcW w:w="840" w:type="dxa"/>
                  <w:tcBorders>
                    <w:top w:val="nil"/>
                    <w:left w:val="nil"/>
                    <w:bottom w:val="single" w:sz="8" w:space="0" w:color="000000"/>
                    <w:right w:val="double" w:sz="6" w:space="0" w:color="000000"/>
                  </w:tcBorders>
                  <w:shd w:val="clear" w:color="auto" w:fill="auto"/>
                  <w:vAlign w:val="bottom"/>
                  <w:hideMark/>
                </w:tcPr>
                <w:p w14:paraId="3650AFD6" w14:textId="77777777" w:rsidR="001D3CBE" w:rsidRPr="001D3CBE" w:rsidRDefault="001D3CBE" w:rsidP="001D3CBE">
                  <w:pPr>
                    <w:widowControl/>
                    <w:adjustRightInd/>
                    <w:jc w:val="center"/>
                    <w:rPr>
                      <w:sz w:val="18"/>
                      <w:szCs w:val="18"/>
                    </w:rPr>
                  </w:pPr>
                  <w:r w:rsidRPr="001D3CBE">
                    <w:rPr>
                      <w:sz w:val="18"/>
                      <w:szCs w:val="18"/>
                    </w:rPr>
                    <w:t xml:space="preserve">$2,173.28 </w:t>
                  </w:r>
                </w:p>
              </w:tc>
            </w:tr>
            <w:tr w:rsidR="001D3CBE" w:rsidRPr="001D3CBE" w14:paraId="28C739EA" w14:textId="77777777" w:rsidTr="001D3CBE">
              <w:trPr>
                <w:trHeight w:val="780"/>
              </w:trPr>
              <w:tc>
                <w:tcPr>
                  <w:tcW w:w="1780" w:type="dxa"/>
                  <w:tcBorders>
                    <w:top w:val="nil"/>
                    <w:left w:val="double" w:sz="6" w:space="0" w:color="000000"/>
                    <w:bottom w:val="single" w:sz="8" w:space="0" w:color="000000"/>
                    <w:right w:val="single" w:sz="8" w:space="0" w:color="000000"/>
                  </w:tcBorders>
                  <w:shd w:val="clear" w:color="auto" w:fill="auto"/>
                  <w:vAlign w:val="bottom"/>
                  <w:hideMark/>
                </w:tcPr>
                <w:p w14:paraId="6A1FCB9D" w14:textId="77777777" w:rsidR="001D3CBE" w:rsidRPr="001D3CBE" w:rsidRDefault="001D3CBE" w:rsidP="001D3CBE">
                  <w:pPr>
                    <w:widowControl/>
                    <w:adjustRightInd/>
                    <w:rPr>
                      <w:sz w:val="20"/>
                      <w:szCs w:val="20"/>
                    </w:rPr>
                  </w:pPr>
                  <w:r w:rsidRPr="001D3CBE">
                    <w:rPr>
                      <w:sz w:val="20"/>
                      <w:szCs w:val="20"/>
                    </w:rPr>
                    <w:t>Reporting Other Changes in Information</w:t>
                  </w:r>
                </w:p>
              </w:tc>
              <w:tc>
                <w:tcPr>
                  <w:tcW w:w="860" w:type="dxa"/>
                  <w:tcBorders>
                    <w:top w:val="nil"/>
                    <w:left w:val="nil"/>
                    <w:bottom w:val="single" w:sz="8" w:space="0" w:color="000000"/>
                    <w:right w:val="single" w:sz="8" w:space="0" w:color="000000"/>
                  </w:tcBorders>
                  <w:shd w:val="clear" w:color="auto" w:fill="auto"/>
                  <w:vAlign w:val="bottom"/>
                  <w:hideMark/>
                </w:tcPr>
                <w:p w14:paraId="60D32FC2" w14:textId="77777777" w:rsidR="001D3CBE" w:rsidRPr="001D3CBE" w:rsidRDefault="001D3CBE" w:rsidP="001D3CBE">
                  <w:pPr>
                    <w:widowControl/>
                    <w:adjustRightInd/>
                    <w:jc w:val="center"/>
                    <w:rPr>
                      <w:sz w:val="18"/>
                      <w:szCs w:val="18"/>
                    </w:rPr>
                  </w:pPr>
                  <w:r w:rsidRPr="001D3CBE">
                    <w:rPr>
                      <w:sz w:val="18"/>
                      <w:szCs w:val="18"/>
                    </w:rPr>
                    <w:t>NA</w:t>
                  </w:r>
                </w:p>
              </w:tc>
              <w:tc>
                <w:tcPr>
                  <w:tcW w:w="900" w:type="dxa"/>
                  <w:tcBorders>
                    <w:top w:val="nil"/>
                    <w:left w:val="nil"/>
                    <w:bottom w:val="single" w:sz="8" w:space="0" w:color="000000"/>
                    <w:right w:val="single" w:sz="8" w:space="0" w:color="000000"/>
                  </w:tcBorders>
                  <w:shd w:val="clear" w:color="auto" w:fill="auto"/>
                  <w:vAlign w:val="bottom"/>
                  <w:hideMark/>
                </w:tcPr>
                <w:p w14:paraId="20DC0AA2" w14:textId="77777777" w:rsidR="001D3CBE" w:rsidRPr="001D3CBE" w:rsidRDefault="001D3CBE" w:rsidP="001D3CBE">
                  <w:pPr>
                    <w:widowControl/>
                    <w:adjustRightInd/>
                    <w:jc w:val="center"/>
                    <w:rPr>
                      <w:sz w:val="18"/>
                      <w:szCs w:val="18"/>
                    </w:rPr>
                  </w:pPr>
                  <w:r w:rsidRPr="001D3CBE">
                    <w:rPr>
                      <w:sz w:val="18"/>
                      <w:szCs w:val="18"/>
                    </w:rPr>
                    <w:t xml:space="preserve">$128.28 </w:t>
                  </w:r>
                </w:p>
              </w:tc>
              <w:tc>
                <w:tcPr>
                  <w:tcW w:w="880" w:type="dxa"/>
                  <w:tcBorders>
                    <w:top w:val="nil"/>
                    <w:left w:val="nil"/>
                    <w:bottom w:val="single" w:sz="8" w:space="0" w:color="000000"/>
                    <w:right w:val="single" w:sz="8" w:space="0" w:color="000000"/>
                  </w:tcBorders>
                  <w:shd w:val="clear" w:color="auto" w:fill="auto"/>
                  <w:vAlign w:val="bottom"/>
                  <w:hideMark/>
                </w:tcPr>
                <w:p w14:paraId="3490A492" w14:textId="77777777" w:rsidR="001D3CBE" w:rsidRPr="001D3CBE" w:rsidRDefault="001D3CBE" w:rsidP="001D3CBE">
                  <w:pPr>
                    <w:widowControl/>
                    <w:adjustRightInd/>
                    <w:jc w:val="center"/>
                    <w:rPr>
                      <w:sz w:val="18"/>
                      <w:szCs w:val="18"/>
                    </w:rPr>
                  </w:pPr>
                  <w:r w:rsidRPr="001D3CBE">
                    <w:rPr>
                      <w:sz w:val="18"/>
                      <w:szCs w:val="18"/>
                    </w:rPr>
                    <w:t xml:space="preserve">$128.28 </w:t>
                  </w:r>
                </w:p>
              </w:tc>
              <w:tc>
                <w:tcPr>
                  <w:tcW w:w="740" w:type="dxa"/>
                  <w:tcBorders>
                    <w:top w:val="nil"/>
                    <w:left w:val="nil"/>
                    <w:bottom w:val="single" w:sz="8" w:space="0" w:color="000000"/>
                    <w:right w:val="single" w:sz="8" w:space="0" w:color="000000"/>
                  </w:tcBorders>
                  <w:shd w:val="clear" w:color="auto" w:fill="auto"/>
                  <w:vAlign w:val="bottom"/>
                  <w:hideMark/>
                </w:tcPr>
                <w:p w14:paraId="2C0645F7" w14:textId="77777777" w:rsidR="001D3CBE" w:rsidRPr="001D3CBE" w:rsidRDefault="001D3CBE" w:rsidP="001D3CBE">
                  <w:pPr>
                    <w:widowControl/>
                    <w:adjustRightInd/>
                    <w:jc w:val="center"/>
                    <w:rPr>
                      <w:sz w:val="18"/>
                      <w:szCs w:val="18"/>
                    </w:rPr>
                  </w:pPr>
                  <w:r w:rsidRPr="001D3CBE">
                    <w:rPr>
                      <w:sz w:val="18"/>
                      <w:szCs w:val="18"/>
                    </w:rPr>
                    <w:t>NA</w:t>
                  </w:r>
                </w:p>
              </w:tc>
              <w:tc>
                <w:tcPr>
                  <w:tcW w:w="780" w:type="dxa"/>
                  <w:tcBorders>
                    <w:top w:val="nil"/>
                    <w:left w:val="nil"/>
                    <w:bottom w:val="single" w:sz="8" w:space="0" w:color="000000"/>
                    <w:right w:val="single" w:sz="8" w:space="0" w:color="000000"/>
                  </w:tcBorders>
                  <w:shd w:val="clear" w:color="auto" w:fill="auto"/>
                  <w:vAlign w:val="bottom"/>
                  <w:hideMark/>
                </w:tcPr>
                <w:p w14:paraId="07B6CECE" w14:textId="77777777" w:rsidR="001D3CBE" w:rsidRPr="001D3CBE" w:rsidRDefault="001D3CBE" w:rsidP="001D3CBE">
                  <w:pPr>
                    <w:widowControl/>
                    <w:adjustRightInd/>
                    <w:jc w:val="center"/>
                    <w:rPr>
                      <w:sz w:val="18"/>
                      <w:szCs w:val="18"/>
                    </w:rPr>
                  </w:pPr>
                  <w:r w:rsidRPr="001D3CBE">
                    <w:rPr>
                      <w:sz w:val="18"/>
                      <w:szCs w:val="18"/>
                    </w:rPr>
                    <w:t xml:space="preserve">$8.46 </w:t>
                  </w:r>
                </w:p>
              </w:tc>
              <w:tc>
                <w:tcPr>
                  <w:tcW w:w="760" w:type="dxa"/>
                  <w:tcBorders>
                    <w:top w:val="nil"/>
                    <w:left w:val="nil"/>
                    <w:bottom w:val="single" w:sz="8" w:space="0" w:color="000000"/>
                    <w:right w:val="single" w:sz="8" w:space="0" w:color="000000"/>
                  </w:tcBorders>
                  <w:shd w:val="clear" w:color="auto" w:fill="auto"/>
                  <w:vAlign w:val="bottom"/>
                  <w:hideMark/>
                </w:tcPr>
                <w:p w14:paraId="0B285F8C" w14:textId="77777777" w:rsidR="001D3CBE" w:rsidRPr="001D3CBE" w:rsidRDefault="001D3CBE" w:rsidP="001D3CBE">
                  <w:pPr>
                    <w:widowControl/>
                    <w:adjustRightInd/>
                    <w:jc w:val="center"/>
                    <w:rPr>
                      <w:sz w:val="18"/>
                      <w:szCs w:val="18"/>
                    </w:rPr>
                  </w:pPr>
                  <w:r w:rsidRPr="001D3CBE">
                    <w:rPr>
                      <w:sz w:val="18"/>
                      <w:szCs w:val="18"/>
                    </w:rPr>
                    <w:t xml:space="preserve">$8.46 </w:t>
                  </w:r>
                </w:p>
              </w:tc>
              <w:tc>
                <w:tcPr>
                  <w:tcW w:w="880" w:type="dxa"/>
                  <w:tcBorders>
                    <w:top w:val="nil"/>
                    <w:left w:val="nil"/>
                    <w:bottom w:val="single" w:sz="8" w:space="0" w:color="000000"/>
                    <w:right w:val="single" w:sz="8" w:space="0" w:color="000000"/>
                  </w:tcBorders>
                  <w:shd w:val="clear" w:color="auto" w:fill="auto"/>
                  <w:vAlign w:val="bottom"/>
                  <w:hideMark/>
                </w:tcPr>
                <w:p w14:paraId="26E645DE" w14:textId="77777777" w:rsidR="001D3CBE" w:rsidRPr="001D3CBE" w:rsidRDefault="001D3CBE" w:rsidP="001D3CBE">
                  <w:pPr>
                    <w:widowControl/>
                    <w:adjustRightInd/>
                    <w:jc w:val="center"/>
                    <w:rPr>
                      <w:sz w:val="18"/>
                      <w:szCs w:val="18"/>
                    </w:rPr>
                  </w:pPr>
                  <w:r w:rsidRPr="001D3CBE">
                    <w:rPr>
                      <w:sz w:val="18"/>
                      <w:szCs w:val="18"/>
                    </w:rPr>
                    <w:t>NA</w:t>
                  </w:r>
                </w:p>
              </w:tc>
              <w:tc>
                <w:tcPr>
                  <w:tcW w:w="840" w:type="dxa"/>
                  <w:tcBorders>
                    <w:top w:val="nil"/>
                    <w:left w:val="nil"/>
                    <w:bottom w:val="single" w:sz="8" w:space="0" w:color="000000"/>
                    <w:right w:val="single" w:sz="8" w:space="0" w:color="000000"/>
                  </w:tcBorders>
                  <w:shd w:val="clear" w:color="auto" w:fill="auto"/>
                  <w:vAlign w:val="bottom"/>
                  <w:hideMark/>
                </w:tcPr>
                <w:p w14:paraId="6B131E7A" w14:textId="77777777" w:rsidR="001D3CBE" w:rsidRPr="001D3CBE" w:rsidRDefault="001D3CBE" w:rsidP="001D3CBE">
                  <w:pPr>
                    <w:widowControl/>
                    <w:adjustRightInd/>
                    <w:jc w:val="center"/>
                    <w:rPr>
                      <w:sz w:val="18"/>
                      <w:szCs w:val="18"/>
                    </w:rPr>
                  </w:pPr>
                  <w:r w:rsidRPr="001D3CBE">
                    <w:rPr>
                      <w:sz w:val="18"/>
                      <w:szCs w:val="18"/>
                    </w:rPr>
                    <w:t xml:space="preserve">$136.74 </w:t>
                  </w:r>
                </w:p>
              </w:tc>
              <w:tc>
                <w:tcPr>
                  <w:tcW w:w="840" w:type="dxa"/>
                  <w:tcBorders>
                    <w:top w:val="nil"/>
                    <w:left w:val="nil"/>
                    <w:bottom w:val="single" w:sz="8" w:space="0" w:color="000000"/>
                    <w:right w:val="double" w:sz="6" w:space="0" w:color="000000"/>
                  </w:tcBorders>
                  <w:shd w:val="clear" w:color="auto" w:fill="auto"/>
                  <w:vAlign w:val="bottom"/>
                  <w:hideMark/>
                </w:tcPr>
                <w:p w14:paraId="57851D70" w14:textId="77777777" w:rsidR="001D3CBE" w:rsidRPr="001D3CBE" w:rsidRDefault="001D3CBE" w:rsidP="001D3CBE">
                  <w:pPr>
                    <w:widowControl/>
                    <w:adjustRightInd/>
                    <w:jc w:val="center"/>
                    <w:rPr>
                      <w:sz w:val="18"/>
                      <w:szCs w:val="18"/>
                    </w:rPr>
                  </w:pPr>
                  <w:r w:rsidRPr="001D3CBE">
                    <w:rPr>
                      <w:sz w:val="18"/>
                      <w:szCs w:val="18"/>
                    </w:rPr>
                    <w:t xml:space="preserve">$136.74 </w:t>
                  </w:r>
                </w:p>
              </w:tc>
            </w:tr>
            <w:tr w:rsidR="001D3CBE" w:rsidRPr="001D3CBE" w14:paraId="16BC9485" w14:textId="77777777" w:rsidTr="001D3CBE">
              <w:trPr>
                <w:trHeight w:val="270"/>
              </w:trPr>
              <w:tc>
                <w:tcPr>
                  <w:tcW w:w="1780" w:type="dxa"/>
                  <w:tcBorders>
                    <w:top w:val="nil"/>
                    <w:left w:val="double" w:sz="6" w:space="0" w:color="000000"/>
                    <w:bottom w:val="single" w:sz="8" w:space="0" w:color="000000"/>
                    <w:right w:val="single" w:sz="8" w:space="0" w:color="000000"/>
                  </w:tcBorders>
                  <w:shd w:val="clear" w:color="auto" w:fill="auto"/>
                  <w:vAlign w:val="bottom"/>
                  <w:hideMark/>
                </w:tcPr>
                <w:p w14:paraId="7E0592E1" w14:textId="77777777" w:rsidR="001D3CBE" w:rsidRPr="001D3CBE" w:rsidRDefault="001D3CBE" w:rsidP="001D3CBE">
                  <w:pPr>
                    <w:widowControl/>
                    <w:adjustRightInd/>
                    <w:rPr>
                      <w:sz w:val="20"/>
                      <w:szCs w:val="20"/>
                    </w:rPr>
                  </w:pPr>
                  <w:r w:rsidRPr="001D3CBE">
                    <w:rPr>
                      <w:sz w:val="20"/>
                      <w:szCs w:val="20"/>
                    </w:rPr>
                    <w:t>Record keeping</w:t>
                  </w:r>
                </w:p>
              </w:tc>
              <w:tc>
                <w:tcPr>
                  <w:tcW w:w="860" w:type="dxa"/>
                  <w:tcBorders>
                    <w:top w:val="nil"/>
                    <w:left w:val="nil"/>
                    <w:bottom w:val="single" w:sz="8" w:space="0" w:color="000000"/>
                    <w:right w:val="single" w:sz="8" w:space="0" w:color="000000"/>
                  </w:tcBorders>
                  <w:shd w:val="clear" w:color="auto" w:fill="auto"/>
                  <w:vAlign w:val="bottom"/>
                  <w:hideMark/>
                </w:tcPr>
                <w:p w14:paraId="36E0CFE1" w14:textId="77777777" w:rsidR="001D3CBE" w:rsidRPr="001D3CBE" w:rsidRDefault="001D3CBE" w:rsidP="001D3CBE">
                  <w:pPr>
                    <w:widowControl/>
                    <w:adjustRightInd/>
                    <w:jc w:val="center"/>
                    <w:rPr>
                      <w:sz w:val="18"/>
                      <w:szCs w:val="18"/>
                    </w:rPr>
                  </w:pPr>
                  <w:r w:rsidRPr="001D3CBE">
                    <w:rPr>
                      <w:sz w:val="18"/>
                      <w:szCs w:val="18"/>
                    </w:rPr>
                    <w:t xml:space="preserve">$1,612.80 </w:t>
                  </w:r>
                </w:p>
              </w:tc>
              <w:tc>
                <w:tcPr>
                  <w:tcW w:w="900" w:type="dxa"/>
                  <w:tcBorders>
                    <w:top w:val="nil"/>
                    <w:left w:val="nil"/>
                    <w:bottom w:val="single" w:sz="8" w:space="0" w:color="000000"/>
                    <w:right w:val="single" w:sz="8" w:space="0" w:color="000000"/>
                  </w:tcBorders>
                  <w:shd w:val="clear" w:color="auto" w:fill="auto"/>
                  <w:vAlign w:val="bottom"/>
                  <w:hideMark/>
                </w:tcPr>
                <w:p w14:paraId="6993B43E" w14:textId="77777777" w:rsidR="001D3CBE" w:rsidRPr="001D3CBE" w:rsidRDefault="001D3CBE" w:rsidP="001D3CBE">
                  <w:pPr>
                    <w:widowControl/>
                    <w:adjustRightInd/>
                    <w:jc w:val="center"/>
                    <w:rPr>
                      <w:sz w:val="18"/>
                      <w:szCs w:val="18"/>
                    </w:rPr>
                  </w:pPr>
                  <w:r w:rsidRPr="001D3CBE">
                    <w:rPr>
                      <w:sz w:val="18"/>
                      <w:szCs w:val="18"/>
                    </w:rPr>
                    <w:t xml:space="preserve">$1,612.80 </w:t>
                  </w:r>
                </w:p>
              </w:tc>
              <w:tc>
                <w:tcPr>
                  <w:tcW w:w="880" w:type="dxa"/>
                  <w:tcBorders>
                    <w:top w:val="nil"/>
                    <w:left w:val="nil"/>
                    <w:bottom w:val="single" w:sz="8" w:space="0" w:color="000000"/>
                    <w:right w:val="single" w:sz="8" w:space="0" w:color="000000"/>
                  </w:tcBorders>
                  <w:shd w:val="clear" w:color="auto" w:fill="auto"/>
                  <w:vAlign w:val="bottom"/>
                  <w:hideMark/>
                </w:tcPr>
                <w:p w14:paraId="62768FA1" w14:textId="77777777" w:rsidR="001D3CBE" w:rsidRPr="001D3CBE" w:rsidRDefault="001D3CBE" w:rsidP="001D3CBE">
                  <w:pPr>
                    <w:widowControl/>
                    <w:adjustRightInd/>
                    <w:jc w:val="center"/>
                    <w:rPr>
                      <w:sz w:val="18"/>
                      <w:szCs w:val="18"/>
                    </w:rPr>
                  </w:pPr>
                  <w:r w:rsidRPr="001D3CBE">
                    <w:rPr>
                      <w:sz w:val="18"/>
                      <w:szCs w:val="18"/>
                    </w:rPr>
                    <w:t xml:space="preserve">$1,612.80 </w:t>
                  </w:r>
                </w:p>
              </w:tc>
              <w:tc>
                <w:tcPr>
                  <w:tcW w:w="740" w:type="dxa"/>
                  <w:tcBorders>
                    <w:top w:val="nil"/>
                    <w:left w:val="nil"/>
                    <w:bottom w:val="single" w:sz="8" w:space="0" w:color="000000"/>
                    <w:right w:val="single" w:sz="8" w:space="0" w:color="000000"/>
                  </w:tcBorders>
                  <w:shd w:val="clear" w:color="auto" w:fill="auto"/>
                  <w:vAlign w:val="bottom"/>
                  <w:hideMark/>
                </w:tcPr>
                <w:p w14:paraId="7970FCE9" w14:textId="77777777" w:rsidR="001D3CBE" w:rsidRPr="001D3CBE" w:rsidRDefault="001D3CBE" w:rsidP="001D3CBE">
                  <w:pPr>
                    <w:widowControl/>
                    <w:adjustRightInd/>
                    <w:jc w:val="center"/>
                    <w:rPr>
                      <w:sz w:val="18"/>
                      <w:szCs w:val="18"/>
                    </w:rPr>
                  </w:pPr>
                  <w:r w:rsidRPr="001D3CBE">
                    <w:rPr>
                      <w:sz w:val="18"/>
                      <w:szCs w:val="18"/>
                    </w:rPr>
                    <w:t xml:space="preserve">$10.00 </w:t>
                  </w:r>
                </w:p>
              </w:tc>
              <w:tc>
                <w:tcPr>
                  <w:tcW w:w="780" w:type="dxa"/>
                  <w:tcBorders>
                    <w:top w:val="nil"/>
                    <w:left w:val="nil"/>
                    <w:bottom w:val="single" w:sz="8" w:space="0" w:color="000000"/>
                    <w:right w:val="single" w:sz="8" w:space="0" w:color="000000"/>
                  </w:tcBorders>
                  <w:shd w:val="clear" w:color="auto" w:fill="auto"/>
                  <w:vAlign w:val="bottom"/>
                  <w:hideMark/>
                </w:tcPr>
                <w:p w14:paraId="7EA36649" w14:textId="77777777" w:rsidR="001D3CBE" w:rsidRPr="001D3CBE" w:rsidRDefault="001D3CBE" w:rsidP="001D3CBE">
                  <w:pPr>
                    <w:widowControl/>
                    <w:adjustRightInd/>
                    <w:jc w:val="center"/>
                    <w:rPr>
                      <w:sz w:val="18"/>
                      <w:szCs w:val="18"/>
                    </w:rPr>
                  </w:pPr>
                  <w:r w:rsidRPr="001D3CBE">
                    <w:rPr>
                      <w:sz w:val="18"/>
                      <w:szCs w:val="18"/>
                    </w:rPr>
                    <w:t xml:space="preserve">$10.00 </w:t>
                  </w:r>
                </w:p>
              </w:tc>
              <w:tc>
                <w:tcPr>
                  <w:tcW w:w="760" w:type="dxa"/>
                  <w:tcBorders>
                    <w:top w:val="nil"/>
                    <w:left w:val="nil"/>
                    <w:bottom w:val="single" w:sz="8" w:space="0" w:color="000000"/>
                    <w:right w:val="single" w:sz="8" w:space="0" w:color="000000"/>
                  </w:tcBorders>
                  <w:shd w:val="clear" w:color="auto" w:fill="auto"/>
                  <w:vAlign w:val="bottom"/>
                  <w:hideMark/>
                </w:tcPr>
                <w:p w14:paraId="5D97F13C" w14:textId="77777777" w:rsidR="001D3CBE" w:rsidRPr="001D3CBE" w:rsidRDefault="001D3CBE" w:rsidP="001D3CBE">
                  <w:pPr>
                    <w:widowControl/>
                    <w:adjustRightInd/>
                    <w:jc w:val="center"/>
                    <w:rPr>
                      <w:sz w:val="18"/>
                      <w:szCs w:val="18"/>
                    </w:rPr>
                  </w:pPr>
                  <w:r w:rsidRPr="001D3CBE">
                    <w:rPr>
                      <w:sz w:val="18"/>
                      <w:szCs w:val="18"/>
                    </w:rPr>
                    <w:t xml:space="preserve">$10.00 </w:t>
                  </w:r>
                </w:p>
              </w:tc>
              <w:tc>
                <w:tcPr>
                  <w:tcW w:w="880" w:type="dxa"/>
                  <w:tcBorders>
                    <w:top w:val="nil"/>
                    <w:left w:val="nil"/>
                    <w:bottom w:val="single" w:sz="8" w:space="0" w:color="000000"/>
                    <w:right w:val="single" w:sz="8" w:space="0" w:color="000000"/>
                  </w:tcBorders>
                  <w:shd w:val="clear" w:color="auto" w:fill="auto"/>
                  <w:vAlign w:val="bottom"/>
                  <w:hideMark/>
                </w:tcPr>
                <w:p w14:paraId="290E683C" w14:textId="77777777" w:rsidR="001D3CBE" w:rsidRPr="001D3CBE" w:rsidRDefault="001D3CBE" w:rsidP="001D3CBE">
                  <w:pPr>
                    <w:widowControl/>
                    <w:adjustRightInd/>
                    <w:jc w:val="center"/>
                    <w:rPr>
                      <w:sz w:val="18"/>
                      <w:szCs w:val="18"/>
                    </w:rPr>
                  </w:pPr>
                  <w:r w:rsidRPr="001D3CBE">
                    <w:rPr>
                      <w:sz w:val="18"/>
                      <w:szCs w:val="18"/>
                    </w:rPr>
                    <w:t xml:space="preserve">$1,622.80 </w:t>
                  </w:r>
                </w:p>
              </w:tc>
              <w:tc>
                <w:tcPr>
                  <w:tcW w:w="840" w:type="dxa"/>
                  <w:tcBorders>
                    <w:top w:val="nil"/>
                    <w:left w:val="nil"/>
                    <w:bottom w:val="single" w:sz="8" w:space="0" w:color="000000"/>
                    <w:right w:val="single" w:sz="8" w:space="0" w:color="000000"/>
                  </w:tcBorders>
                  <w:shd w:val="clear" w:color="auto" w:fill="auto"/>
                  <w:vAlign w:val="bottom"/>
                  <w:hideMark/>
                </w:tcPr>
                <w:p w14:paraId="28C18CAE" w14:textId="77777777" w:rsidR="001D3CBE" w:rsidRPr="001D3CBE" w:rsidRDefault="001D3CBE" w:rsidP="001D3CBE">
                  <w:pPr>
                    <w:widowControl/>
                    <w:adjustRightInd/>
                    <w:jc w:val="center"/>
                    <w:rPr>
                      <w:sz w:val="18"/>
                      <w:szCs w:val="18"/>
                    </w:rPr>
                  </w:pPr>
                  <w:r w:rsidRPr="001D3CBE">
                    <w:rPr>
                      <w:sz w:val="18"/>
                      <w:szCs w:val="18"/>
                    </w:rPr>
                    <w:t xml:space="preserve">$1,622.80 </w:t>
                  </w:r>
                </w:p>
              </w:tc>
              <w:tc>
                <w:tcPr>
                  <w:tcW w:w="840" w:type="dxa"/>
                  <w:tcBorders>
                    <w:top w:val="nil"/>
                    <w:left w:val="nil"/>
                    <w:bottom w:val="single" w:sz="8" w:space="0" w:color="000000"/>
                    <w:right w:val="double" w:sz="6" w:space="0" w:color="000000"/>
                  </w:tcBorders>
                  <w:shd w:val="clear" w:color="auto" w:fill="auto"/>
                  <w:vAlign w:val="bottom"/>
                  <w:hideMark/>
                </w:tcPr>
                <w:p w14:paraId="243EC29C" w14:textId="77777777" w:rsidR="001D3CBE" w:rsidRPr="001D3CBE" w:rsidRDefault="001D3CBE" w:rsidP="001D3CBE">
                  <w:pPr>
                    <w:widowControl/>
                    <w:adjustRightInd/>
                    <w:jc w:val="center"/>
                    <w:rPr>
                      <w:sz w:val="18"/>
                      <w:szCs w:val="18"/>
                    </w:rPr>
                  </w:pPr>
                  <w:r w:rsidRPr="001D3CBE">
                    <w:rPr>
                      <w:sz w:val="18"/>
                      <w:szCs w:val="18"/>
                    </w:rPr>
                    <w:t xml:space="preserve">$1,622.80 </w:t>
                  </w:r>
                </w:p>
              </w:tc>
            </w:tr>
            <w:tr w:rsidR="001D3CBE" w:rsidRPr="001D3CBE" w14:paraId="4E65F0AE" w14:textId="77777777" w:rsidTr="001D3CBE">
              <w:trPr>
                <w:trHeight w:val="525"/>
              </w:trPr>
              <w:tc>
                <w:tcPr>
                  <w:tcW w:w="1780" w:type="dxa"/>
                  <w:tcBorders>
                    <w:top w:val="nil"/>
                    <w:left w:val="double" w:sz="6" w:space="0" w:color="000000"/>
                    <w:bottom w:val="double" w:sz="6" w:space="0" w:color="000000"/>
                    <w:right w:val="single" w:sz="8" w:space="0" w:color="000000"/>
                  </w:tcBorders>
                  <w:shd w:val="clear" w:color="auto" w:fill="auto"/>
                  <w:vAlign w:val="bottom"/>
                  <w:hideMark/>
                </w:tcPr>
                <w:p w14:paraId="5B9A6E7C" w14:textId="77777777" w:rsidR="001D3CBE" w:rsidRPr="001D3CBE" w:rsidRDefault="001D3CBE" w:rsidP="001D3CBE">
                  <w:pPr>
                    <w:widowControl/>
                    <w:adjustRightInd/>
                    <w:rPr>
                      <w:b/>
                      <w:bCs/>
                      <w:sz w:val="20"/>
                      <w:szCs w:val="20"/>
                    </w:rPr>
                  </w:pPr>
                  <w:r w:rsidRPr="001D3CBE">
                    <w:rPr>
                      <w:b/>
                      <w:bCs/>
                      <w:sz w:val="20"/>
                      <w:szCs w:val="20"/>
                    </w:rPr>
                    <w:t>Total Costs for a Typical Facility</w:t>
                  </w:r>
                </w:p>
              </w:tc>
              <w:tc>
                <w:tcPr>
                  <w:tcW w:w="860" w:type="dxa"/>
                  <w:tcBorders>
                    <w:top w:val="nil"/>
                    <w:left w:val="nil"/>
                    <w:bottom w:val="double" w:sz="6" w:space="0" w:color="000000"/>
                    <w:right w:val="single" w:sz="8" w:space="0" w:color="000000"/>
                  </w:tcBorders>
                  <w:shd w:val="clear" w:color="auto" w:fill="auto"/>
                  <w:vAlign w:val="bottom"/>
                  <w:hideMark/>
                </w:tcPr>
                <w:p w14:paraId="4E8D5F6A" w14:textId="77777777" w:rsidR="001D3CBE" w:rsidRPr="001D3CBE" w:rsidRDefault="001D3CBE" w:rsidP="001D3CBE">
                  <w:pPr>
                    <w:widowControl/>
                    <w:adjustRightInd/>
                    <w:jc w:val="center"/>
                    <w:rPr>
                      <w:b/>
                      <w:bCs/>
                      <w:sz w:val="18"/>
                      <w:szCs w:val="18"/>
                    </w:rPr>
                  </w:pPr>
                  <w:r w:rsidRPr="001D3CBE">
                    <w:rPr>
                      <w:b/>
                      <w:bCs/>
                      <w:sz w:val="18"/>
                      <w:szCs w:val="18"/>
                    </w:rPr>
                    <w:t xml:space="preserve">$6,326.08 </w:t>
                  </w:r>
                </w:p>
              </w:tc>
              <w:tc>
                <w:tcPr>
                  <w:tcW w:w="900" w:type="dxa"/>
                  <w:tcBorders>
                    <w:top w:val="nil"/>
                    <w:left w:val="nil"/>
                    <w:bottom w:val="double" w:sz="6" w:space="0" w:color="000000"/>
                    <w:right w:val="single" w:sz="8" w:space="0" w:color="000000"/>
                  </w:tcBorders>
                  <w:shd w:val="clear" w:color="auto" w:fill="auto"/>
                  <w:vAlign w:val="bottom"/>
                  <w:hideMark/>
                </w:tcPr>
                <w:p w14:paraId="20925394" w14:textId="77777777" w:rsidR="001D3CBE" w:rsidRPr="001D3CBE" w:rsidRDefault="001D3CBE" w:rsidP="001D3CBE">
                  <w:pPr>
                    <w:widowControl/>
                    <w:adjustRightInd/>
                    <w:jc w:val="center"/>
                    <w:rPr>
                      <w:b/>
                      <w:bCs/>
                      <w:sz w:val="18"/>
                      <w:szCs w:val="18"/>
                    </w:rPr>
                  </w:pPr>
                  <w:r w:rsidRPr="001D3CBE">
                    <w:rPr>
                      <w:b/>
                      <w:bCs/>
                      <w:sz w:val="18"/>
                      <w:szCs w:val="18"/>
                    </w:rPr>
                    <w:t xml:space="preserve">$3,914.36 </w:t>
                  </w:r>
                </w:p>
              </w:tc>
              <w:tc>
                <w:tcPr>
                  <w:tcW w:w="880" w:type="dxa"/>
                  <w:tcBorders>
                    <w:top w:val="nil"/>
                    <w:left w:val="nil"/>
                    <w:bottom w:val="double" w:sz="6" w:space="0" w:color="000000"/>
                    <w:right w:val="single" w:sz="8" w:space="0" w:color="000000"/>
                  </w:tcBorders>
                  <w:shd w:val="clear" w:color="auto" w:fill="auto"/>
                  <w:vAlign w:val="bottom"/>
                  <w:hideMark/>
                </w:tcPr>
                <w:p w14:paraId="289D2816" w14:textId="77777777" w:rsidR="001D3CBE" w:rsidRPr="001D3CBE" w:rsidRDefault="001D3CBE" w:rsidP="001D3CBE">
                  <w:pPr>
                    <w:widowControl/>
                    <w:adjustRightInd/>
                    <w:jc w:val="center"/>
                    <w:rPr>
                      <w:b/>
                      <w:bCs/>
                      <w:sz w:val="18"/>
                      <w:szCs w:val="18"/>
                    </w:rPr>
                  </w:pPr>
                  <w:r w:rsidRPr="001D3CBE">
                    <w:rPr>
                      <w:b/>
                      <w:bCs/>
                      <w:sz w:val="18"/>
                      <w:szCs w:val="18"/>
                    </w:rPr>
                    <w:t xml:space="preserve">$3,914.36 </w:t>
                  </w:r>
                </w:p>
              </w:tc>
              <w:tc>
                <w:tcPr>
                  <w:tcW w:w="740" w:type="dxa"/>
                  <w:tcBorders>
                    <w:top w:val="nil"/>
                    <w:left w:val="nil"/>
                    <w:bottom w:val="double" w:sz="6" w:space="0" w:color="000000"/>
                    <w:right w:val="single" w:sz="8" w:space="0" w:color="000000"/>
                  </w:tcBorders>
                  <w:shd w:val="clear" w:color="auto" w:fill="auto"/>
                  <w:vAlign w:val="bottom"/>
                  <w:hideMark/>
                </w:tcPr>
                <w:p w14:paraId="3017AD3C" w14:textId="77777777" w:rsidR="001D3CBE" w:rsidRPr="001D3CBE" w:rsidRDefault="001D3CBE" w:rsidP="001D3CBE">
                  <w:pPr>
                    <w:widowControl/>
                    <w:adjustRightInd/>
                    <w:jc w:val="center"/>
                    <w:rPr>
                      <w:b/>
                      <w:bCs/>
                      <w:sz w:val="18"/>
                      <w:szCs w:val="18"/>
                    </w:rPr>
                  </w:pPr>
                  <w:r w:rsidRPr="001D3CBE">
                    <w:rPr>
                      <w:b/>
                      <w:bCs/>
                      <w:sz w:val="18"/>
                      <w:szCs w:val="18"/>
                    </w:rPr>
                    <w:t xml:space="preserve">$77.68 </w:t>
                  </w:r>
                </w:p>
              </w:tc>
              <w:tc>
                <w:tcPr>
                  <w:tcW w:w="780" w:type="dxa"/>
                  <w:tcBorders>
                    <w:top w:val="nil"/>
                    <w:left w:val="nil"/>
                    <w:bottom w:val="double" w:sz="6" w:space="0" w:color="000000"/>
                    <w:right w:val="single" w:sz="8" w:space="0" w:color="000000"/>
                  </w:tcBorders>
                  <w:shd w:val="clear" w:color="auto" w:fill="auto"/>
                  <w:vAlign w:val="bottom"/>
                  <w:hideMark/>
                </w:tcPr>
                <w:p w14:paraId="175D9717" w14:textId="77777777" w:rsidR="001D3CBE" w:rsidRPr="001D3CBE" w:rsidRDefault="001D3CBE" w:rsidP="001D3CBE">
                  <w:pPr>
                    <w:widowControl/>
                    <w:adjustRightInd/>
                    <w:jc w:val="center"/>
                    <w:rPr>
                      <w:b/>
                      <w:bCs/>
                      <w:sz w:val="18"/>
                      <w:szCs w:val="18"/>
                    </w:rPr>
                  </w:pPr>
                  <w:r w:rsidRPr="001D3CBE">
                    <w:rPr>
                      <w:b/>
                      <w:bCs/>
                      <w:sz w:val="18"/>
                      <w:szCs w:val="18"/>
                    </w:rPr>
                    <w:t xml:space="preserve">$86.14 </w:t>
                  </w:r>
                </w:p>
              </w:tc>
              <w:tc>
                <w:tcPr>
                  <w:tcW w:w="760" w:type="dxa"/>
                  <w:tcBorders>
                    <w:top w:val="nil"/>
                    <w:left w:val="nil"/>
                    <w:bottom w:val="double" w:sz="6" w:space="0" w:color="000000"/>
                    <w:right w:val="single" w:sz="8" w:space="0" w:color="000000"/>
                  </w:tcBorders>
                  <w:shd w:val="clear" w:color="auto" w:fill="auto"/>
                  <w:vAlign w:val="bottom"/>
                  <w:hideMark/>
                </w:tcPr>
                <w:p w14:paraId="7C79FAFC" w14:textId="77777777" w:rsidR="001D3CBE" w:rsidRPr="001D3CBE" w:rsidRDefault="001D3CBE" w:rsidP="001D3CBE">
                  <w:pPr>
                    <w:widowControl/>
                    <w:adjustRightInd/>
                    <w:jc w:val="center"/>
                    <w:rPr>
                      <w:b/>
                      <w:bCs/>
                      <w:sz w:val="18"/>
                      <w:szCs w:val="18"/>
                    </w:rPr>
                  </w:pPr>
                  <w:r w:rsidRPr="001D3CBE">
                    <w:rPr>
                      <w:b/>
                      <w:bCs/>
                      <w:sz w:val="18"/>
                      <w:szCs w:val="18"/>
                    </w:rPr>
                    <w:t xml:space="preserve">$18.46 </w:t>
                  </w:r>
                </w:p>
              </w:tc>
              <w:tc>
                <w:tcPr>
                  <w:tcW w:w="880" w:type="dxa"/>
                  <w:tcBorders>
                    <w:top w:val="nil"/>
                    <w:left w:val="nil"/>
                    <w:bottom w:val="double" w:sz="6" w:space="0" w:color="000000"/>
                    <w:right w:val="single" w:sz="8" w:space="0" w:color="000000"/>
                  </w:tcBorders>
                  <w:shd w:val="clear" w:color="auto" w:fill="auto"/>
                  <w:vAlign w:val="bottom"/>
                  <w:hideMark/>
                </w:tcPr>
                <w:p w14:paraId="6E9E8723" w14:textId="77777777" w:rsidR="001D3CBE" w:rsidRPr="001D3CBE" w:rsidRDefault="001D3CBE" w:rsidP="001D3CBE">
                  <w:pPr>
                    <w:widowControl/>
                    <w:adjustRightInd/>
                    <w:jc w:val="center"/>
                    <w:rPr>
                      <w:b/>
                      <w:bCs/>
                      <w:sz w:val="18"/>
                      <w:szCs w:val="18"/>
                    </w:rPr>
                  </w:pPr>
                  <w:r w:rsidRPr="001D3CBE">
                    <w:rPr>
                      <w:b/>
                      <w:bCs/>
                      <w:sz w:val="18"/>
                      <w:szCs w:val="18"/>
                    </w:rPr>
                    <w:t xml:space="preserve">$6,403.76 </w:t>
                  </w:r>
                </w:p>
              </w:tc>
              <w:tc>
                <w:tcPr>
                  <w:tcW w:w="840" w:type="dxa"/>
                  <w:tcBorders>
                    <w:top w:val="nil"/>
                    <w:left w:val="nil"/>
                    <w:bottom w:val="double" w:sz="6" w:space="0" w:color="000000"/>
                    <w:right w:val="single" w:sz="8" w:space="0" w:color="000000"/>
                  </w:tcBorders>
                  <w:shd w:val="clear" w:color="auto" w:fill="auto"/>
                  <w:vAlign w:val="bottom"/>
                  <w:hideMark/>
                </w:tcPr>
                <w:p w14:paraId="52B331A4" w14:textId="77777777" w:rsidR="001D3CBE" w:rsidRPr="001D3CBE" w:rsidRDefault="001D3CBE" w:rsidP="001D3CBE">
                  <w:pPr>
                    <w:widowControl/>
                    <w:adjustRightInd/>
                    <w:jc w:val="center"/>
                    <w:rPr>
                      <w:b/>
                      <w:bCs/>
                      <w:sz w:val="18"/>
                      <w:szCs w:val="18"/>
                    </w:rPr>
                  </w:pPr>
                  <w:r w:rsidRPr="001D3CBE">
                    <w:rPr>
                      <w:b/>
                      <w:bCs/>
                      <w:sz w:val="18"/>
                      <w:szCs w:val="18"/>
                    </w:rPr>
                    <w:t xml:space="preserve">$4,000.50 </w:t>
                  </w:r>
                </w:p>
              </w:tc>
              <w:tc>
                <w:tcPr>
                  <w:tcW w:w="840" w:type="dxa"/>
                  <w:tcBorders>
                    <w:top w:val="nil"/>
                    <w:left w:val="nil"/>
                    <w:bottom w:val="double" w:sz="6" w:space="0" w:color="000000"/>
                    <w:right w:val="double" w:sz="6" w:space="0" w:color="000000"/>
                  </w:tcBorders>
                  <w:shd w:val="clear" w:color="auto" w:fill="auto"/>
                  <w:vAlign w:val="bottom"/>
                  <w:hideMark/>
                </w:tcPr>
                <w:p w14:paraId="3F843805" w14:textId="77777777" w:rsidR="001D3CBE" w:rsidRPr="001D3CBE" w:rsidRDefault="001D3CBE" w:rsidP="001D3CBE">
                  <w:pPr>
                    <w:widowControl/>
                    <w:adjustRightInd/>
                    <w:jc w:val="center"/>
                    <w:rPr>
                      <w:b/>
                      <w:bCs/>
                      <w:sz w:val="18"/>
                      <w:szCs w:val="18"/>
                    </w:rPr>
                  </w:pPr>
                  <w:r w:rsidRPr="001D3CBE">
                    <w:rPr>
                      <w:b/>
                      <w:bCs/>
                      <w:sz w:val="18"/>
                      <w:szCs w:val="18"/>
                    </w:rPr>
                    <w:t xml:space="preserve">$3,932.82 </w:t>
                  </w:r>
                </w:p>
              </w:tc>
            </w:tr>
          </w:tbl>
          <w:p w14:paraId="454CD8A1" w14:textId="77777777" w:rsidR="005371BE" w:rsidRPr="005371BE" w:rsidRDefault="005371BE" w:rsidP="005371BE">
            <w:pPr>
              <w:widowControl/>
              <w:adjustRightInd/>
              <w:rPr>
                <w:sz w:val="20"/>
                <w:szCs w:val="20"/>
              </w:rPr>
            </w:pPr>
            <w:r w:rsidRPr="005371BE">
              <w:rPr>
                <w:sz w:val="20"/>
                <w:szCs w:val="20"/>
              </w:rPr>
              <w:t xml:space="preserve"> A “typical” respondent is assumed to report </w:t>
            </w:r>
            <w:r w:rsidRPr="005371BE">
              <w:rPr>
                <w:b/>
                <w:bCs/>
                <w:sz w:val="20"/>
                <w:szCs w:val="20"/>
              </w:rPr>
              <w:t>eight</w:t>
            </w:r>
            <w:r w:rsidRPr="005371BE">
              <w:rPr>
                <w:sz w:val="20"/>
                <w:szCs w:val="20"/>
              </w:rPr>
              <w:t xml:space="preserve"> continuous hazardous substance releases in year one and to experience a change in </w:t>
            </w:r>
            <w:r w:rsidRPr="005371BE">
              <w:rPr>
                <w:b/>
                <w:bCs/>
                <w:sz w:val="20"/>
                <w:szCs w:val="20"/>
              </w:rPr>
              <w:t>one release in the second and third years</w:t>
            </w:r>
            <w:r w:rsidRPr="005371BE">
              <w:rPr>
                <w:sz w:val="20"/>
                <w:szCs w:val="20"/>
              </w:rPr>
              <w:t xml:space="preserve"> (e.g., the frequency of the release per week changes each year, causing a modification in the estimated annual release amount).  No other </w:t>
            </w:r>
            <w:r w:rsidRPr="005371BE">
              <w:rPr>
                <w:sz w:val="20"/>
                <w:szCs w:val="20"/>
                <w:u w:val="single"/>
              </w:rPr>
              <w:t>conditional</w:t>
            </w:r>
            <w:r w:rsidRPr="005371BE">
              <w:rPr>
                <w:sz w:val="20"/>
                <w:szCs w:val="20"/>
              </w:rPr>
              <w:t xml:space="preserve"> activities are assumed to be required of the typical respondent.</w:t>
            </w:r>
          </w:p>
        </w:tc>
      </w:tr>
    </w:tbl>
    <w:p w14:paraId="3FD9A48D" w14:textId="77777777" w:rsidR="001D26B6" w:rsidRDefault="001D26B6" w:rsidP="001D26B6">
      <w:pPr>
        <w:keepLines/>
        <w:rPr>
          <w:sz w:val="18"/>
          <w:szCs w:val="18"/>
        </w:rPr>
      </w:pPr>
      <w:r w:rsidRPr="001F3A52">
        <w:rPr>
          <w:sz w:val="18"/>
          <w:szCs w:val="18"/>
        </w:rPr>
        <w:t>NA = Not Applicable</w:t>
      </w:r>
    </w:p>
    <w:p w14:paraId="1B8A985B" w14:textId="77777777" w:rsidR="001D26B6" w:rsidRDefault="001D26B6" w:rsidP="001D26B6">
      <w:pPr>
        <w:jc w:val="center"/>
        <w:rPr>
          <w:highlight w:val="yellow"/>
        </w:rPr>
      </w:pPr>
    </w:p>
    <w:p w14:paraId="2F039A73" w14:textId="77777777" w:rsidR="001D26B6" w:rsidRPr="00B23DF0" w:rsidRDefault="001D26B6" w:rsidP="00BF767F">
      <w:pPr>
        <w:ind w:firstLine="720"/>
        <w:rPr>
          <w:color w:val="008000"/>
        </w:rPr>
      </w:pPr>
      <w:r w:rsidRPr="00B23DF0">
        <w:rPr>
          <w:color w:val="008000"/>
        </w:rPr>
        <w:t>In Exhibit 8 (With Forms)</w:t>
      </w:r>
      <w:r w:rsidRPr="00B23DF0">
        <w:rPr>
          <w:rStyle w:val="FootnoteReference"/>
          <w:color w:val="008000"/>
          <w:vertAlign w:val="superscript"/>
        </w:rPr>
        <w:footnoteReference w:id="7"/>
      </w:r>
      <w:r w:rsidRPr="00B23DF0">
        <w:rPr>
          <w:color w:val="008000"/>
        </w:rPr>
        <w:t>, annual labor and O&amp;M costs for a typical facility are presented.</w:t>
      </w:r>
    </w:p>
    <w:p w14:paraId="3848FAE1" w14:textId="77777777" w:rsidR="00624695" w:rsidRDefault="00624695" w:rsidP="00BF767F">
      <w:pPr>
        <w:ind w:firstLine="720"/>
        <w:rPr>
          <w:color w:val="99CC00"/>
        </w:rPr>
      </w:pPr>
    </w:p>
    <w:p w14:paraId="271230DB" w14:textId="77777777" w:rsidR="00C33A9E" w:rsidRDefault="00C33A9E" w:rsidP="00BF767F">
      <w:pPr>
        <w:ind w:firstLine="720"/>
        <w:rPr>
          <w:color w:val="99CC00"/>
        </w:rPr>
      </w:pPr>
    </w:p>
    <w:p w14:paraId="62CD600E" w14:textId="77777777" w:rsidR="005371BE" w:rsidRPr="00624695" w:rsidRDefault="00624695" w:rsidP="005371BE">
      <w:pPr>
        <w:keepNext/>
        <w:jc w:val="center"/>
        <w:outlineLvl w:val="4"/>
        <w:rPr>
          <w:b/>
          <w:color w:val="99CC00"/>
        </w:rPr>
      </w:pPr>
      <w:bookmarkStart w:id="68" w:name="_Toc302552514"/>
      <w:r w:rsidRPr="00B23DF0">
        <w:rPr>
          <w:b/>
          <w:color w:val="008000"/>
        </w:rPr>
        <w:lastRenderedPageBreak/>
        <w:t>Exhibit 8 (With Forms) – Labor and Operating and Maintenance Costs for a Typical Facility</w:t>
      </w:r>
      <w:bookmarkEnd w:id="68"/>
    </w:p>
    <w:tbl>
      <w:tblPr>
        <w:tblW w:w="9260" w:type="dxa"/>
        <w:tblInd w:w="85" w:type="dxa"/>
        <w:tblLook w:val="04A0" w:firstRow="1" w:lastRow="0" w:firstColumn="1" w:lastColumn="0" w:noHBand="0" w:noVBand="1"/>
      </w:tblPr>
      <w:tblGrid>
        <w:gridCol w:w="9522"/>
      </w:tblGrid>
      <w:tr w:rsidR="005371BE" w:rsidRPr="005371BE" w14:paraId="1CC9381D" w14:textId="77777777" w:rsidTr="005371BE">
        <w:trPr>
          <w:trHeight w:val="1035"/>
        </w:trPr>
        <w:tc>
          <w:tcPr>
            <w:tcW w:w="9260" w:type="dxa"/>
            <w:tcBorders>
              <w:top w:val="double" w:sz="6" w:space="0" w:color="000000"/>
              <w:left w:val="nil"/>
              <w:bottom w:val="nil"/>
              <w:right w:val="nil"/>
            </w:tcBorders>
            <w:shd w:val="clear" w:color="auto" w:fill="auto"/>
            <w:vAlign w:val="center"/>
            <w:hideMark/>
          </w:tcPr>
          <w:tbl>
            <w:tblPr>
              <w:tblW w:w="9260" w:type="dxa"/>
              <w:tblLook w:val="04A0" w:firstRow="1" w:lastRow="0" w:firstColumn="1" w:lastColumn="0" w:noHBand="0" w:noVBand="1"/>
            </w:tblPr>
            <w:tblGrid>
              <w:gridCol w:w="1366"/>
              <w:gridCol w:w="936"/>
              <w:gridCol w:w="936"/>
              <w:gridCol w:w="936"/>
              <w:gridCol w:w="720"/>
              <w:gridCol w:w="828"/>
              <w:gridCol w:w="730"/>
              <w:gridCol w:w="936"/>
              <w:gridCol w:w="936"/>
              <w:gridCol w:w="936"/>
            </w:tblGrid>
            <w:tr w:rsidR="00C33A9E" w:rsidRPr="00C33A9E" w14:paraId="40D7F961" w14:textId="77777777" w:rsidTr="00C33A9E">
              <w:trPr>
                <w:trHeight w:val="285"/>
              </w:trPr>
              <w:tc>
                <w:tcPr>
                  <w:tcW w:w="1780" w:type="dxa"/>
                  <w:vMerge w:val="restart"/>
                  <w:tcBorders>
                    <w:top w:val="double" w:sz="6" w:space="0" w:color="000000"/>
                    <w:left w:val="double" w:sz="6" w:space="0" w:color="000000"/>
                    <w:bottom w:val="single" w:sz="8" w:space="0" w:color="000000"/>
                    <w:right w:val="single" w:sz="8" w:space="0" w:color="000000"/>
                  </w:tcBorders>
                  <w:shd w:val="clear" w:color="auto" w:fill="auto"/>
                  <w:vAlign w:val="bottom"/>
                  <w:hideMark/>
                </w:tcPr>
                <w:p w14:paraId="44C75580" w14:textId="77777777" w:rsidR="00C33A9E" w:rsidRPr="00C33A9E" w:rsidRDefault="00C33A9E" w:rsidP="00C33A9E">
                  <w:pPr>
                    <w:widowControl/>
                    <w:adjustRightInd/>
                    <w:jc w:val="center"/>
                    <w:rPr>
                      <w:b/>
                      <w:bCs/>
                      <w:sz w:val="20"/>
                      <w:szCs w:val="20"/>
                    </w:rPr>
                  </w:pPr>
                  <w:r w:rsidRPr="00C33A9E">
                    <w:rPr>
                      <w:b/>
                      <w:bCs/>
                      <w:sz w:val="20"/>
                      <w:szCs w:val="20"/>
                    </w:rPr>
                    <w:t>Collection Activity</w:t>
                  </w:r>
                </w:p>
              </w:tc>
              <w:tc>
                <w:tcPr>
                  <w:tcW w:w="2640" w:type="dxa"/>
                  <w:gridSpan w:val="3"/>
                  <w:tcBorders>
                    <w:top w:val="double" w:sz="6" w:space="0" w:color="000000"/>
                    <w:left w:val="nil"/>
                    <w:bottom w:val="single" w:sz="8" w:space="0" w:color="000000"/>
                    <w:right w:val="single" w:sz="8" w:space="0" w:color="000000"/>
                  </w:tcBorders>
                  <w:shd w:val="clear" w:color="auto" w:fill="auto"/>
                  <w:vAlign w:val="bottom"/>
                  <w:hideMark/>
                </w:tcPr>
                <w:p w14:paraId="2E27E60B" w14:textId="77777777" w:rsidR="00C33A9E" w:rsidRPr="00C33A9E" w:rsidRDefault="00C33A9E" w:rsidP="00C33A9E">
                  <w:pPr>
                    <w:widowControl/>
                    <w:adjustRightInd/>
                    <w:jc w:val="center"/>
                    <w:rPr>
                      <w:b/>
                      <w:bCs/>
                      <w:sz w:val="20"/>
                      <w:szCs w:val="20"/>
                    </w:rPr>
                  </w:pPr>
                  <w:r w:rsidRPr="00C33A9E">
                    <w:rPr>
                      <w:b/>
                      <w:bCs/>
                      <w:sz w:val="20"/>
                      <w:szCs w:val="20"/>
                    </w:rPr>
                    <w:t>Total Labor Costs</w:t>
                  </w:r>
                </w:p>
              </w:tc>
              <w:tc>
                <w:tcPr>
                  <w:tcW w:w="2280" w:type="dxa"/>
                  <w:gridSpan w:val="3"/>
                  <w:tcBorders>
                    <w:top w:val="double" w:sz="6" w:space="0" w:color="000000"/>
                    <w:left w:val="nil"/>
                    <w:bottom w:val="single" w:sz="8" w:space="0" w:color="000000"/>
                    <w:right w:val="single" w:sz="8" w:space="0" w:color="000000"/>
                  </w:tcBorders>
                  <w:shd w:val="clear" w:color="auto" w:fill="auto"/>
                  <w:vAlign w:val="bottom"/>
                  <w:hideMark/>
                </w:tcPr>
                <w:p w14:paraId="4BB105F8" w14:textId="77777777" w:rsidR="00C33A9E" w:rsidRPr="00C33A9E" w:rsidRDefault="00C33A9E" w:rsidP="00C33A9E">
                  <w:pPr>
                    <w:widowControl/>
                    <w:adjustRightInd/>
                    <w:jc w:val="center"/>
                    <w:rPr>
                      <w:b/>
                      <w:bCs/>
                      <w:sz w:val="20"/>
                      <w:szCs w:val="20"/>
                    </w:rPr>
                  </w:pPr>
                  <w:r w:rsidRPr="00C33A9E">
                    <w:rPr>
                      <w:b/>
                      <w:bCs/>
                      <w:sz w:val="20"/>
                      <w:szCs w:val="20"/>
                    </w:rPr>
                    <w:t>Total O&amp;M Costs</w:t>
                  </w:r>
                </w:p>
              </w:tc>
              <w:tc>
                <w:tcPr>
                  <w:tcW w:w="2560" w:type="dxa"/>
                  <w:gridSpan w:val="3"/>
                  <w:tcBorders>
                    <w:top w:val="double" w:sz="6" w:space="0" w:color="000000"/>
                    <w:left w:val="nil"/>
                    <w:bottom w:val="single" w:sz="8" w:space="0" w:color="000000"/>
                    <w:right w:val="double" w:sz="6" w:space="0" w:color="000000"/>
                  </w:tcBorders>
                  <w:shd w:val="clear" w:color="auto" w:fill="auto"/>
                  <w:vAlign w:val="bottom"/>
                  <w:hideMark/>
                </w:tcPr>
                <w:p w14:paraId="613EC9FE" w14:textId="77777777" w:rsidR="00C33A9E" w:rsidRPr="00C33A9E" w:rsidRDefault="00C33A9E" w:rsidP="00C33A9E">
                  <w:pPr>
                    <w:widowControl/>
                    <w:adjustRightInd/>
                    <w:jc w:val="center"/>
                    <w:rPr>
                      <w:b/>
                      <w:bCs/>
                      <w:sz w:val="20"/>
                      <w:szCs w:val="20"/>
                    </w:rPr>
                  </w:pPr>
                  <w:r w:rsidRPr="00C33A9E">
                    <w:rPr>
                      <w:b/>
                      <w:bCs/>
                      <w:sz w:val="20"/>
                      <w:szCs w:val="20"/>
                    </w:rPr>
                    <w:t>Total Costs</w:t>
                  </w:r>
                </w:p>
              </w:tc>
            </w:tr>
            <w:tr w:rsidR="00C33A9E" w:rsidRPr="00C33A9E" w14:paraId="3BDCBA49" w14:textId="77777777" w:rsidTr="00C33A9E">
              <w:trPr>
                <w:trHeight w:val="525"/>
              </w:trPr>
              <w:tc>
                <w:tcPr>
                  <w:tcW w:w="1780" w:type="dxa"/>
                  <w:vMerge/>
                  <w:tcBorders>
                    <w:top w:val="double" w:sz="6" w:space="0" w:color="000000"/>
                    <w:left w:val="double" w:sz="6" w:space="0" w:color="000000"/>
                    <w:bottom w:val="single" w:sz="8" w:space="0" w:color="000000"/>
                    <w:right w:val="single" w:sz="8" w:space="0" w:color="000000"/>
                  </w:tcBorders>
                  <w:vAlign w:val="center"/>
                  <w:hideMark/>
                </w:tcPr>
                <w:p w14:paraId="3886CB7D" w14:textId="77777777" w:rsidR="00C33A9E" w:rsidRPr="00C33A9E" w:rsidRDefault="00C33A9E" w:rsidP="00C33A9E">
                  <w:pPr>
                    <w:widowControl/>
                    <w:adjustRightInd/>
                    <w:rPr>
                      <w:b/>
                      <w:bCs/>
                      <w:sz w:val="20"/>
                      <w:szCs w:val="20"/>
                    </w:rPr>
                  </w:pPr>
                </w:p>
              </w:tc>
              <w:tc>
                <w:tcPr>
                  <w:tcW w:w="860" w:type="dxa"/>
                  <w:tcBorders>
                    <w:top w:val="nil"/>
                    <w:left w:val="nil"/>
                    <w:bottom w:val="single" w:sz="8" w:space="0" w:color="000000"/>
                    <w:right w:val="single" w:sz="8" w:space="0" w:color="000000"/>
                  </w:tcBorders>
                  <w:shd w:val="clear" w:color="auto" w:fill="auto"/>
                  <w:vAlign w:val="bottom"/>
                  <w:hideMark/>
                </w:tcPr>
                <w:p w14:paraId="26395EAB" w14:textId="77777777" w:rsidR="00C33A9E" w:rsidRPr="00C33A9E" w:rsidRDefault="00C33A9E" w:rsidP="00C33A9E">
                  <w:pPr>
                    <w:widowControl/>
                    <w:adjustRightInd/>
                    <w:jc w:val="center"/>
                    <w:rPr>
                      <w:b/>
                      <w:bCs/>
                      <w:sz w:val="20"/>
                      <w:szCs w:val="20"/>
                    </w:rPr>
                  </w:pPr>
                  <w:r w:rsidRPr="00C33A9E">
                    <w:rPr>
                      <w:b/>
                      <w:bCs/>
                      <w:sz w:val="20"/>
                      <w:szCs w:val="20"/>
                    </w:rPr>
                    <w:t>First Year</w:t>
                  </w:r>
                </w:p>
              </w:tc>
              <w:tc>
                <w:tcPr>
                  <w:tcW w:w="900" w:type="dxa"/>
                  <w:tcBorders>
                    <w:top w:val="nil"/>
                    <w:left w:val="nil"/>
                    <w:bottom w:val="single" w:sz="8" w:space="0" w:color="000000"/>
                    <w:right w:val="single" w:sz="8" w:space="0" w:color="000000"/>
                  </w:tcBorders>
                  <w:shd w:val="clear" w:color="auto" w:fill="auto"/>
                  <w:vAlign w:val="bottom"/>
                  <w:hideMark/>
                </w:tcPr>
                <w:p w14:paraId="01F17AF3" w14:textId="77777777" w:rsidR="00C33A9E" w:rsidRPr="00C33A9E" w:rsidRDefault="00C33A9E" w:rsidP="00C33A9E">
                  <w:pPr>
                    <w:widowControl/>
                    <w:adjustRightInd/>
                    <w:jc w:val="center"/>
                    <w:rPr>
                      <w:b/>
                      <w:bCs/>
                      <w:sz w:val="20"/>
                      <w:szCs w:val="20"/>
                    </w:rPr>
                  </w:pPr>
                  <w:r w:rsidRPr="00C33A9E">
                    <w:rPr>
                      <w:b/>
                      <w:bCs/>
                      <w:sz w:val="20"/>
                      <w:szCs w:val="20"/>
                    </w:rPr>
                    <w:t>Second Year</w:t>
                  </w:r>
                </w:p>
              </w:tc>
              <w:tc>
                <w:tcPr>
                  <w:tcW w:w="880" w:type="dxa"/>
                  <w:tcBorders>
                    <w:top w:val="nil"/>
                    <w:left w:val="nil"/>
                    <w:bottom w:val="single" w:sz="8" w:space="0" w:color="000000"/>
                    <w:right w:val="single" w:sz="8" w:space="0" w:color="000000"/>
                  </w:tcBorders>
                  <w:shd w:val="clear" w:color="auto" w:fill="auto"/>
                  <w:vAlign w:val="bottom"/>
                  <w:hideMark/>
                </w:tcPr>
                <w:p w14:paraId="280671EE" w14:textId="77777777" w:rsidR="00C33A9E" w:rsidRPr="00C33A9E" w:rsidRDefault="00C33A9E" w:rsidP="00C33A9E">
                  <w:pPr>
                    <w:widowControl/>
                    <w:adjustRightInd/>
                    <w:jc w:val="center"/>
                    <w:rPr>
                      <w:b/>
                      <w:bCs/>
                      <w:sz w:val="20"/>
                      <w:szCs w:val="20"/>
                    </w:rPr>
                  </w:pPr>
                  <w:r w:rsidRPr="00C33A9E">
                    <w:rPr>
                      <w:b/>
                      <w:bCs/>
                      <w:sz w:val="20"/>
                      <w:szCs w:val="20"/>
                    </w:rPr>
                    <w:t>Third Year</w:t>
                  </w:r>
                </w:p>
              </w:tc>
              <w:tc>
                <w:tcPr>
                  <w:tcW w:w="740" w:type="dxa"/>
                  <w:tcBorders>
                    <w:top w:val="nil"/>
                    <w:left w:val="nil"/>
                    <w:bottom w:val="single" w:sz="8" w:space="0" w:color="000000"/>
                    <w:right w:val="single" w:sz="8" w:space="0" w:color="000000"/>
                  </w:tcBorders>
                  <w:shd w:val="clear" w:color="auto" w:fill="auto"/>
                  <w:vAlign w:val="bottom"/>
                  <w:hideMark/>
                </w:tcPr>
                <w:p w14:paraId="1A4D6D0A" w14:textId="77777777" w:rsidR="00C33A9E" w:rsidRPr="00C33A9E" w:rsidRDefault="00C33A9E" w:rsidP="00C33A9E">
                  <w:pPr>
                    <w:widowControl/>
                    <w:adjustRightInd/>
                    <w:jc w:val="center"/>
                    <w:rPr>
                      <w:b/>
                      <w:bCs/>
                      <w:sz w:val="20"/>
                      <w:szCs w:val="20"/>
                    </w:rPr>
                  </w:pPr>
                  <w:r w:rsidRPr="00C33A9E">
                    <w:rPr>
                      <w:b/>
                      <w:bCs/>
                      <w:sz w:val="20"/>
                      <w:szCs w:val="20"/>
                    </w:rPr>
                    <w:t>First Year</w:t>
                  </w:r>
                </w:p>
              </w:tc>
              <w:tc>
                <w:tcPr>
                  <w:tcW w:w="780" w:type="dxa"/>
                  <w:tcBorders>
                    <w:top w:val="nil"/>
                    <w:left w:val="nil"/>
                    <w:bottom w:val="single" w:sz="8" w:space="0" w:color="000000"/>
                    <w:right w:val="single" w:sz="8" w:space="0" w:color="000000"/>
                  </w:tcBorders>
                  <w:shd w:val="clear" w:color="auto" w:fill="auto"/>
                  <w:vAlign w:val="bottom"/>
                  <w:hideMark/>
                </w:tcPr>
                <w:p w14:paraId="275CDE3E" w14:textId="77777777" w:rsidR="00C33A9E" w:rsidRPr="00C33A9E" w:rsidRDefault="00C33A9E" w:rsidP="00C33A9E">
                  <w:pPr>
                    <w:widowControl/>
                    <w:adjustRightInd/>
                    <w:jc w:val="center"/>
                    <w:rPr>
                      <w:b/>
                      <w:bCs/>
                      <w:sz w:val="20"/>
                      <w:szCs w:val="20"/>
                    </w:rPr>
                  </w:pPr>
                  <w:r w:rsidRPr="00C33A9E">
                    <w:rPr>
                      <w:b/>
                      <w:bCs/>
                      <w:sz w:val="20"/>
                      <w:szCs w:val="20"/>
                    </w:rPr>
                    <w:t>Second Year</w:t>
                  </w:r>
                </w:p>
              </w:tc>
              <w:tc>
                <w:tcPr>
                  <w:tcW w:w="760" w:type="dxa"/>
                  <w:tcBorders>
                    <w:top w:val="nil"/>
                    <w:left w:val="nil"/>
                    <w:bottom w:val="single" w:sz="8" w:space="0" w:color="000000"/>
                    <w:right w:val="single" w:sz="8" w:space="0" w:color="000000"/>
                  </w:tcBorders>
                  <w:shd w:val="clear" w:color="auto" w:fill="auto"/>
                  <w:vAlign w:val="bottom"/>
                  <w:hideMark/>
                </w:tcPr>
                <w:p w14:paraId="30C6C08C" w14:textId="77777777" w:rsidR="00C33A9E" w:rsidRPr="00C33A9E" w:rsidRDefault="00C33A9E" w:rsidP="00C33A9E">
                  <w:pPr>
                    <w:widowControl/>
                    <w:adjustRightInd/>
                    <w:jc w:val="center"/>
                    <w:rPr>
                      <w:b/>
                      <w:bCs/>
                      <w:sz w:val="20"/>
                      <w:szCs w:val="20"/>
                    </w:rPr>
                  </w:pPr>
                  <w:r w:rsidRPr="00C33A9E">
                    <w:rPr>
                      <w:b/>
                      <w:bCs/>
                      <w:sz w:val="20"/>
                      <w:szCs w:val="20"/>
                    </w:rPr>
                    <w:t>Third Year</w:t>
                  </w:r>
                </w:p>
              </w:tc>
              <w:tc>
                <w:tcPr>
                  <w:tcW w:w="880" w:type="dxa"/>
                  <w:tcBorders>
                    <w:top w:val="nil"/>
                    <w:left w:val="nil"/>
                    <w:bottom w:val="single" w:sz="8" w:space="0" w:color="000000"/>
                    <w:right w:val="single" w:sz="8" w:space="0" w:color="000000"/>
                  </w:tcBorders>
                  <w:shd w:val="clear" w:color="auto" w:fill="auto"/>
                  <w:vAlign w:val="bottom"/>
                  <w:hideMark/>
                </w:tcPr>
                <w:p w14:paraId="53D59466" w14:textId="77777777" w:rsidR="00C33A9E" w:rsidRPr="00C33A9E" w:rsidRDefault="00C33A9E" w:rsidP="00C33A9E">
                  <w:pPr>
                    <w:widowControl/>
                    <w:adjustRightInd/>
                    <w:jc w:val="center"/>
                    <w:rPr>
                      <w:b/>
                      <w:bCs/>
                      <w:sz w:val="20"/>
                      <w:szCs w:val="20"/>
                    </w:rPr>
                  </w:pPr>
                  <w:r w:rsidRPr="00C33A9E">
                    <w:rPr>
                      <w:b/>
                      <w:bCs/>
                      <w:sz w:val="20"/>
                      <w:szCs w:val="20"/>
                    </w:rPr>
                    <w:t>First Year</w:t>
                  </w:r>
                </w:p>
              </w:tc>
              <w:tc>
                <w:tcPr>
                  <w:tcW w:w="840" w:type="dxa"/>
                  <w:tcBorders>
                    <w:top w:val="nil"/>
                    <w:left w:val="nil"/>
                    <w:bottom w:val="single" w:sz="8" w:space="0" w:color="000000"/>
                    <w:right w:val="single" w:sz="8" w:space="0" w:color="000000"/>
                  </w:tcBorders>
                  <w:shd w:val="clear" w:color="auto" w:fill="auto"/>
                  <w:vAlign w:val="bottom"/>
                  <w:hideMark/>
                </w:tcPr>
                <w:p w14:paraId="43AAE937" w14:textId="77777777" w:rsidR="00C33A9E" w:rsidRPr="00C33A9E" w:rsidRDefault="00C33A9E" w:rsidP="00C33A9E">
                  <w:pPr>
                    <w:widowControl/>
                    <w:adjustRightInd/>
                    <w:jc w:val="center"/>
                    <w:rPr>
                      <w:b/>
                      <w:bCs/>
                      <w:sz w:val="20"/>
                      <w:szCs w:val="20"/>
                    </w:rPr>
                  </w:pPr>
                  <w:r w:rsidRPr="00C33A9E">
                    <w:rPr>
                      <w:b/>
                      <w:bCs/>
                      <w:sz w:val="20"/>
                      <w:szCs w:val="20"/>
                    </w:rPr>
                    <w:t>Second Year</w:t>
                  </w:r>
                </w:p>
              </w:tc>
              <w:tc>
                <w:tcPr>
                  <w:tcW w:w="840" w:type="dxa"/>
                  <w:tcBorders>
                    <w:top w:val="nil"/>
                    <w:left w:val="nil"/>
                    <w:bottom w:val="single" w:sz="8" w:space="0" w:color="000000"/>
                    <w:right w:val="double" w:sz="6" w:space="0" w:color="000000"/>
                  </w:tcBorders>
                  <w:shd w:val="clear" w:color="auto" w:fill="auto"/>
                  <w:vAlign w:val="bottom"/>
                  <w:hideMark/>
                </w:tcPr>
                <w:p w14:paraId="0EC1CCDC" w14:textId="77777777" w:rsidR="00C33A9E" w:rsidRPr="00C33A9E" w:rsidRDefault="00C33A9E" w:rsidP="00C33A9E">
                  <w:pPr>
                    <w:widowControl/>
                    <w:adjustRightInd/>
                    <w:jc w:val="center"/>
                    <w:rPr>
                      <w:b/>
                      <w:bCs/>
                      <w:sz w:val="20"/>
                      <w:szCs w:val="20"/>
                    </w:rPr>
                  </w:pPr>
                  <w:r w:rsidRPr="00C33A9E">
                    <w:rPr>
                      <w:b/>
                      <w:bCs/>
                      <w:sz w:val="20"/>
                      <w:szCs w:val="20"/>
                    </w:rPr>
                    <w:t xml:space="preserve"> Third Year</w:t>
                  </w:r>
                </w:p>
              </w:tc>
            </w:tr>
            <w:tr w:rsidR="00C33A9E" w:rsidRPr="00C33A9E" w14:paraId="5295C37A" w14:textId="77777777" w:rsidTr="00C33A9E">
              <w:trPr>
                <w:trHeight w:val="780"/>
              </w:trPr>
              <w:tc>
                <w:tcPr>
                  <w:tcW w:w="1780" w:type="dxa"/>
                  <w:tcBorders>
                    <w:top w:val="nil"/>
                    <w:left w:val="double" w:sz="6" w:space="0" w:color="000000"/>
                    <w:bottom w:val="single" w:sz="8" w:space="0" w:color="000000"/>
                    <w:right w:val="single" w:sz="8" w:space="0" w:color="000000"/>
                  </w:tcBorders>
                  <w:shd w:val="clear" w:color="auto" w:fill="auto"/>
                  <w:vAlign w:val="bottom"/>
                  <w:hideMark/>
                </w:tcPr>
                <w:p w14:paraId="1DE35C5C" w14:textId="77777777" w:rsidR="00C33A9E" w:rsidRPr="00C33A9E" w:rsidRDefault="00C33A9E" w:rsidP="00C33A9E">
                  <w:pPr>
                    <w:widowControl/>
                    <w:adjustRightInd/>
                    <w:rPr>
                      <w:sz w:val="20"/>
                      <w:szCs w:val="20"/>
                    </w:rPr>
                  </w:pPr>
                  <w:r w:rsidRPr="00C33A9E">
                    <w:rPr>
                      <w:sz w:val="20"/>
                      <w:szCs w:val="20"/>
                    </w:rPr>
                    <w:t>Providing an Initial Telephone Notification</w:t>
                  </w:r>
                </w:p>
              </w:tc>
              <w:tc>
                <w:tcPr>
                  <w:tcW w:w="860" w:type="dxa"/>
                  <w:tcBorders>
                    <w:top w:val="nil"/>
                    <w:left w:val="nil"/>
                    <w:bottom w:val="single" w:sz="8" w:space="0" w:color="000000"/>
                    <w:right w:val="single" w:sz="8" w:space="0" w:color="000000"/>
                  </w:tcBorders>
                  <w:shd w:val="clear" w:color="auto" w:fill="auto"/>
                  <w:vAlign w:val="bottom"/>
                  <w:hideMark/>
                </w:tcPr>
                <w:p w14:paraId="365B0718" w14:textId="77777777" w:rsidR="00C33A9E" w:rsidRPr="00C33A9E" w:rsidRDefault="00C33A9E" w:rsidP="00C33A9E">
                  <w:pPr>
                    <w:widowControl/>
                    <w:adjustRightInd/>
                    <w:jc w:val="center"/>
                    <w:rPr>
                      <w:sz w:val="18"/>
                      <w:szCs w:val="18"/>
                    </w:rPr>
                  </w:pPr>
                  <w:r w:rsidRPr="00C33A9E">
                    <w:rPr>
                      <w:sz w:val="18"/>
                      <w:szCs w:val="18"/>
                    </w:rPr>
                    <w:t xml:space="preserve">$1,330.40 </w:t>
                  </w:r>
                </w:p>
              </w:tc>
              <w:tc>
                <w:tcPr>
                  <w:tcW w:w="900" w:type="dxa"/>
                  <w:tcBorders>
                    <w:top w:val="nil"/>
                    <w:left w:val="nil"/>
                    <w:bottom w:val="single" w:sz="8" w:space="0" w:color="000000"/>
                    <w:right w:val="single" w:sz="8" w:space="0" w:color="000000"/>
                  </w:tcBorders>
                  <w:shd w:val="clear" w:color="auto" w:fill="auto"/>
                  <w:vAlign w:val="bottom"/>
                  <w:hideMark/>
                </w:tcPr>
                <w:p w14:paraId="5D2BFD1B" w14:textId="77777777" w:rsidR="00C33A9E" w:rsidRPr="00C33A9E" w:rsidRDefault="00C33A9E" w:rsidP="00C33A9E">
                  <w:pPr>
                    <w:widowControl/>
                    <w:adjustRightInd/>
                    <w:jc w:val="center"/>
                    <w:rPr>
                      <w:sz w:val="18"/>
                      <w:szCs w:val="18"/>
                    </w:rPr>
                  </w:pPr>
                  <w:r w:rsidRPr="00C33A9E">
                    <w:rPr>
                      <w:sz w:val="18"/>
                      <w:szCs w:val="18"/>
                    </w:rPr>
                    <w:t>NA</w:t>
                  </w:r>
                </w:p>
              </w:tc>
              <w:tc>
                <w:tcPr>
                  <w:tcW w:w="880" w:type="dxa"/>
                  <w:tcBorders>
                    <w:top w:val="nil"/>
                    <w:left w:val="nil"/>
                    <w:bottom w:val="single" w:sz="8" w:space="0" w:color="000000"/>
                    <w:right w:val="single" w:sz="8" w:space="0" w:color="000000"/>
                  </w:tcBorders>
                  <w:shd w:val="clear" w:color="auto" w:fill="auto"/>
                  <w:vAlign w:val="bottom"/>
                  <w:hideMark/>
                </w:tcPr>
                <w:p w14:paraId="7B99E965" w14:textId="77777777" w:rsidR="00C33A9E" w:rsidRPr="00C33A9E" w:rsidRDefault="00C33A9E" w:rsidP="00C33A9E">
                  <w:pPr>
                    <w:widowControl/>
                    <w:adjustRightInd/>
                    <w:jc w:val="center"/>
                    <w:rPr>
                      <w:sz w:val="18"/>
                      <w:szCs w:val="18"/>
                    </w:rPr>
                  </w:pPr>
                  <w:r w:rsidRPr="00C33A9E">
                    <w:rPr>
                      <w:sz w:val="18"/>
                      <w:szCs w:val="18"/>
                    </w:rPr>
                    <w:t>NA</w:t>
                  </w:r>
                </w:p>
              </w:tc>
              <w:tc>
                <w:tcPr>
                  <w:tcW w:w="740" w:type="dxa"/>
                  <w:tcBorders>
                    <w:top w:val="nil"/>
                    <w:left w:val="nil"/>
                    <w:bottom w:val="single" w:sz="8" w:space="0" w:color="000000"/>
                    <w:right w:val="single" w:sz="8" w:space="0" w:color="000000"/>
                  </w:tcBorders>
                  <w:shd w:val="clear" w:color="auto" w:fill="auto"/>
                  <w:vAlign w:val="bottom"/>
                  <w:hideMark/>
                </w:tcPr>
                <w:p w14:paraId="5A9BB9CE" w14:textId="77777777" w:rsidR="00C33A9E" w:rsidRPr="00C33A9E" w:rsidRDefault="00C33A9E" w:rsidP="00C33A9E">
                  <w:pPr>
                    <w:widowControl/>
                    <w:adjustRightInd/>
                    <w:jc w:val="center"/>
                    <w:rPr>
                      <w:sz w:val="18"/>
                      <w:szCs w:val="18"/>
                    </w:rPr>
                  </w:pPr>
                  <w:r w:rsidRPr="00C33A9E">
                    <w:rPr>
                      <w:sz w:val="18"/>
                      <w:szCs w:val="18"/>
                    </w:rPr>
                    <w:t>NA</w:t>
                  </w:r>
                </w:p>
              </w:tc>
              <w:tc>
                <w:tcPr>
                  <w:tcW w:w="780" w:type="dxa"/>
                  <w:tcBorders>
                    <w:top w:val="nil"/>
                    <w:left w:val="nil"/>
                    <w:bottom w:val="single" w:sz="8" w:space="0" w:color="000000"/>
                    <w:right w:val="single" w:sz="8" w:space="0" w:color="000000"/>
                  </w:tcBorders>
                  <w:shd w:val="clear" w:color="auto" w:fill="auto"/>
                  <w:vAlign w:val="bottom"/>
                  <w:hideMark/>
                </w:tcPr>
                <w:p w14:paraId="23340641" w14:textId="77777777" w:rsidR="00C33A9E" w:rsidRPr="00C33A9E" w:rsidRDefault="00C33A9E" w:rsidP="00C33A9E">
                  <w:pPr>
                    <w:widowControl/>
                    <w:adjustRightInd/>
                    <w:jc w:val="center"/>
                    <w:rPr>
                      <w:sz w:val="18"/>
                      <w:szCs w:val="18"/>
                    </w:rPr>
                  </w:pPr>
                  <w:r w:rsidRPr="00C33A9E">
                    <w:rPr>
                      <w:sz w:val="18"/>
                      <w:szCs w:val="18"/>
                    </w:rPr>
                    <w:t>NA</w:t>
                  </w:r>
                </w:p>
              </w:tc>
              <w:tc>
                <w:tcPr>
                  <w:tcW w:w="760" w:type="dxa"/>
                  <w:tcBorders>
                    <w:top w:val="nil"/>
                    <w:left w:val="nil"/>
                    <w:bottom w:val="single" w:sz="8" w:space="0" w:color="000000"/>
                    <w:right w:val="single" w:sz="8" w:space="0" w:color="000000"/>
                  </w:tcBorders>
                  <w:shd w:val="clear" w:color="auto" w:fill="auto"/>
                  <w:vAlign w:val="bottom"/>
                  <w:hideMark/>
                </w:tcPr>
                <w:p w14:paraId="1DE0AD1A" w14:textId="77777777" w:rsidR="00C33A9E" w:rsidRPr="00C33A9E" w:rsidRDefault="00C33A9E" w:rsidP="00C33A9E">
                  <w:pPr>
                    <w:widowControl/>
                    <w:adjustRightInd/>
                    <w:jc w:val="center"/>
                    <w:rPr>
                      <w:sz w:val="18"/>
                      <w:szCs w:val="18"/>
                    </w:rPr>
                  </w:pPr>
                  <w:r w:rsidRPr="00C33A9E">
                    <w:rPr>
                      <w:sz w:val="18"/>
                      <w:szCs w:val="18"/>
                    </w:rPr>
                    <w:t>NA</w:t>
                  </w:r>
                </w:p>
              </w:tc>
              <w:tc>
                <w:tcPr>
                  <w:tcW w:w="880" w:type="dxa"/>
                  <w:tcBorders>
                    <w:top w:val="nil"/>
                    <w:left w:val="nil"/>
                    <w:bottom w:val="single" w:sz="8" w:space="0" w:color="000000"/>
                    <w:right w:val="single" w:sz="8" w:space="0" w:color="000000"/>
                  </w:tcBorders>
                  <w:shd w:val="clear" w:color="auto" w:fill="auto"/>
                  <w:vAlign w:val="bottom"/>
                  <w:hideMark/>
                </w:tcPr>
                <w:p w14:paraId="4F5D8ED8" w14:textId="77777777" w:rsidR="00C33A9E" w:rsidRPr="00C33A9E" w:rsidRDefault="00C33A9E" w:rsidP="00C33A9E">
                  <w:pPr>
                    <w:widowControl/>
                    <w:adjustRightInd/>
                    <w:jc w:val="center"/>
                    <w:rPr>
                      <w:sz w:val="18"/>
                      <w:szCs w:val="18"/>
                    </w:rPr>
                  </w:pPr>
                  <w:r w:rsidRPr="00C33A9E">
                    <w:rPr>
                      <w:sz w:val="18"/>
                      <w:szCs w:val="18"/>
                    </w:rPr>
                    <w:t xml:space="preserve">$1,330.40 </w:t>
                  </w:r>
                </w:p>
              </w:tc>
              <w:tc>
                <w:tcPr>
                  <w:tcW w:w="840" w:type="dxa"/>
                  <w:tcBorders>
                    <w:top w:val="nil"/>
                    <w:left w:val="nil"/>
                    <w:bottom w:val="single" w:sz="8" w:space="0" w:color="000000"/>
                    <w:right w:val="single" w:sz="8" w:space="0" w:color="000000"/>
                  </w:tcBorders>
                  <w:shd w:val="clear" w:color="auto" w:fill="auto"/>
                  <w:vAlign w:val="bottom"/>
                  <w:hideMark/>
                </w:tcPr>
                <w:p w14:paraId="533DCA7C" w14:textId="77777777" w:rsidR="00C33A9E" w:rsidRPr="00C33A9E" w:rsidRDefault="00C33A9E" w:rsidP="00C33A9E">
                  <w:pPr>
                    <w:widowControl/>
                    <w:adjustRightInd/>
                    <w:jc w:val="center"/>
                    <w:rPr>
                      <w:sz w:val="18"/>
                      <w:szCs w:val="18"/>
                    </w:rPr>
                  </w:pPr>
                  <w:r w:rsidRPr="00C33A9E">
                    <w:rPr>
                      <w:sz w:val="18"/>
                      <w:szCs w:val="18"/>
                    </w:rPr>
                    <w:t>NA</w:t>
                  </w:r>
                </w:p>
              </w:tc>
              <w:tc>
                <w:tcPr>
                  <w:tcW w:w="840" w:type="dxa"/>
                  <w:tcBorders>
                    <w:top w:val="nil"/>
                    <w:left w:val="nil"/>
                    <w:bottom w:val="single" w:sz="8" w:space="0" w:color="000000"/>
                    <w:right w:val="double" w:sz="6" w:space="0" w:color="000000"/>
                  </w:tcBorders>
                  <w:shd w:val="clear" w:color="auto" w:fill="auto"/>
                  <w:vAlign w:val="bottom"/>
                  <w:hideMark/>
                </w:tcPr>
                <w:p w14:paraId="048DE4F8" w14:textId="77777777" w:rsidR="00C33A9E" w:rsidRPr="00C33A9E" w:rsidRDefault="00C33A9E" w:rsidP="00C33A9E">
                  <w:pPr>
                    <w:widowControl/>
                    <w:adjustRightInd/>
                    <w:jc w:val="center"/>
                    <w:rPr>
                      <w:sz w:val="18"/>
                      <w:szCs w:val="18"/>
                    </w:rPr>
                  </w:pPr>
                  <w:r w:rsidRPr="00C33A9E">
                    <w:rPr>
                      <w:sz w:val="18"/>
                      <w:szCs w:val="18"/>
                    </w:rPr>
                    <w:t>NA</w:t>
                  </w:r>
                </w:p>
              </w:tc>
            </w:tr>
            <w:tr w:rsidR="00C33A9E" w:rsidRPr="00C33A9E" w14:paraId="51A08B47" w14:textId="77777777" w:rsidTr="00C33A9E">
              <w:trPr>
                <w:trHeight w:val="525"/>
              </w:trPr>
              <w:tc>
                <w:tcPr>
                  <w:tcW w:w="1780" w:type="dxa"/>
                  <w:tcBorders>
                    <w:top w:val="nil"/>
                    <w:left w:val="double" w:sz="6" w:space="0" w:color="000000"/>
                    <w:bottom w:val="single" w:sz="8" w:space="0" w:color="000000"/>
                    <w:right w:val="single" w:sz="8" w:space="0" w:color="000000"/>
                  </w:tcBorders>
                  <w:shd w:val="clear" w:color="auto" w:fill="auto"/>
                  <w:vAlign w:val="bottom"/>
                  <w:hideMark/>
                </w:tcPr>
                <w:p w14:paraId="567900CD" w14:textId="77777777" w:rsidR="00C33A9E" w:rsidRPr="00C33A9E" w:rsidRDefault="00C33A9E" w:rsidP="00C33A9E">
                  <w:pPr>
                    <w:widowControl/>
                    <w:adjustRightInd/>
                    <w:rPr>
                      <w:color w:val="99CC00"/>
                      <w:sz w:val="20"/>
                      <w:szCs w:val="20"/>
                    </w:rPr>
                  </w:pPr>
                  <w:r w:rsidRPr="00B23DF0">
                    <w:rPr>
                      <w:color w:val="008000"/>
                      <w:sz w:val="20"/>
                      <w:szCs w:val="20"/>
                    </w:rPr>
                    <w:t>Preparing an Initial Written Report</w:t>
                  </w:r>
                </w:p>
              </w:tc>
              <w:tc>
                <w:tcPr>
                  <w:tcW w:w="860" w:type="dxa"/>
                  <w:tcBorders>
                    <w:top w:val="nil"/>
                    <w:left w:val="nil"/>
                    <w:bottom w:val="single" w:sz="8" w:space="0" w:color="000000"/>
                    <w:right w:val="single" w:sz="8" w:space="0" w:color="000000"/>
                  </w:tcBorders>
                  <w:shd w:val="clear" w:color="auto" w:fill="auto"/>
                  <w:vAlign w:val="bottom"/>
                  <w:hideMark/>
                </w:tcPr>
                <w:p w14:paraId="7B209E5F" w14:textId="77777777" w:rsidR="00C33A9E" w:rsidRPr="00C33A9E" w:rsidRDefault="00C33A9E" w:rsidP="00C33A9E">
                  <w:pPr>
                    <w:widowControl/>
                    <w:adjustRightInd/>
                    <w:jc w:val="center"/>
                    <w:rPr>
                      <w:color w:val="99CC00"/>
                      <w:sz w:val="18"/>
                      <w:szCs w:val="18"/>
                    </w:rPr>
                  </w:pPr>
                  <w:r w:rsidRPr="00B23DF0">
                    <w:rPr>
                      <w:color w:val="008000"/>
                      <w:sz w:val="18"/>
                      <w:szCs w:val="18"/>
                    </w:rPr>
                    <w:t xml:space="preserve">$2,979.68 </w:t>
                  </w:r>
                </w:p>
              </w:tc>
              <w:tc>
                <w:tcPr>
                  <w:tcW w:w="900" w:type="dxa"/>
                  <w:tcBorders>
                    <w:top w:val="nil"/>
                    <w:left w:val="nil"/>
                    <w:bottom w:val="single" w:sz="8" w:space="0" w:color="000000"/>
                    <w:right w:val="single" w:sz="8" w:space="0" w:color="000000"/>
                  </w:tcBorders>
                  <w:shd w:val="clear" w:color="auto" w:fill="auto"/>
                  <w:vAlign w:val="bottom"/>
                  <w:hideMark/>
                </w:tcPr>
                <w:p w14:paraId="2D68A3EA" w14:textId="77777777" w:rsidR="00C33A9E" w:rsidRPr="00C33A9E" w:rsidRDefault="00C33A9E" w:rsidP="00C33A9E">
                  <w:pPr>
                    <w:widowControl/>
                    <w:adjustRightInd/>
                    <w:jc w:val="center"/>
                    <w:rPr>
                      <w:sz w:val="18"/>
                      <w:szCs w:val="18"/>
                    </w:rPr>
                  </w:pPr>
                  <w:r w:rsidRPr="00C33A9E">
                    <w:rPr>
                      <w:sz w:val="18"/>
                      <w:szCs w:val="18"/>
                    </w:rPr>
                    <w:t>NA</w:t>
                  </w:r>
                </w:p>
              </w:tc>
              <w:tc>
                <w:tcPr>
                  <w:tcW w:w="880" w:type="dxa"/>
                  <w:tcBorders>
                    <w:top w:val="nil"/>
                    <w:left w:val="nil"/>
                    <w:bottom w:val="single" w:sz="8" w:space="0" w:color="000000"/>
                    <w:right w:val="single" w:sz="8" w:space="0" w:color="000000"/>
                  </w:tcBorders>
                  <w:shd w:val="clear" w:color="auto" w:fill="auto"/>
                  <w:vAlign w:val="bottom"/>
                  <w:hideMark/>
                </w:tcPr>
                <w:p w14:paraId="22651629" w14:textId="77777777" w:rsidR="00C33A9E" w:rsidRPr="00C33A9E" w:rsidRDefault="00C33A9E" w:rsidP="00C33A9E">
                  <w:pPr>
                    <w:widowControl/>
                    <w:adjustRightInd/>
                    <w:jc w:val="center"/>
                    <w:rPr>
                      <w:sz w:val="18"/>
                      <w:szCs w:val="18"/>
                    </w:rPr>
                  </w:pPr>
                  <w:r w:rsidRPr="00C33A9E">
                    <w:rPr>
                      <w:sz w:val="18"/>
                      <w:szCs w:val="18"/>
                    </w:rPr>
                    <w:t>NA</w:t>
                  </w:r>
                </w:p>
              </w:tc>
              <w:tc>
                <w:tcPr>
                  <w:tcW w:w="740" w:type="dxa"/>
                  <w:tcBorders>
                    <w:top w:val="nil"/>
                    <w:left w:val="nil"/>
                    <w:bottom w:val="single" w:sz="8" w:space="0" w:color="000000"/>
                    <w:right w:val="single" w:sz="8" w:space="0" w:color="000000"/>
                  </w:tcBorders>
                  <w:shd w:val="clear" w:color="auto" w:fill="auto"/>
                  <w:vAlign w:val="bottom"/>
                  <w:hideMark/>
                </w:tcPr>
                <w:p w14:paraId="1B0FE7AE" w14:textId="77777777" w:rsidR="00C33A9E" w:rsidRPr="00C33A9E" w:rsidRDefault="00C33A9E" w:rsidP="00C33A9E">
                  <w:pPr>
                    <w:widowControl/>
                    <w:adjustRightInd/>
                    <w:jc w:val="center"/>
                    <w:rPr>
                      <w:sz w:val="18"/>
                      <w:szCs w:val="18"/>
                    </w:rPr>
                  </w:pPr>
                  <w:r w:rsidRPr="00C33A9E">
                    <w:rPr>
                      <w:sz w:val="18"/>
                      <w:szCs w:val="18"/>
                    </w:rPr>
                    <w:t xml:space="preserve">$67.68 </w:t>
                  </w:r>
                </w:p>
              </w:tc>
              <w:tc>
                <w:tcPr>
                  <w:tcW w:w="780" w:type="dxa"/>
                  <w:tcBorders>
                    <w:top w:val="nil"/>
                    <w:left w:val="nil"/>
                    <w:bottom w:val="single" w:sz="8" w:space="0" w:color="000000"/>
                    <w:right w:val="single" w:sz="8" w:space="0" w:color="000000"/>
                  </w:tcBorders>
                  <w:shd w:val="clear" w:color="auto" w:fill="auto"/>
                  <w:vAlign w:val="bottom"/>
                  <w:hideMark/>
                </w:tcPr>
                <w:p w14:paraId="4C37CE4F" w14:textId="77777777" w:rsidR="00C33A9E" w:rsidRPr="00C33A9E" w:rsidRDefault="00C33A9E" w:rsidP="00C33A9E">
                  <w:pPr>
                    <w:widowControl/>
                    <w:adjustRightInd/>
                    <w:jc w:val="center"/>
                    <w:rPr>
                      <w:sz w:val="18"/>
                      <w:szCs w:val="18"/>
                    </w:rPr>
                  </w:pPr>
                  <w:r w:rsidRPr="00C33A9E">
                    <w:rPr>
                      <w:sz w:val="18"/>
                      <w:szCs w:val="18"/>
                    </w:rPr>
                    <w:t>NA</w:t>
                  </w:r>
                </w:p>
              </w:tc>
              <w:tc>
                <w:tcPr>
                  <w:tcW w:w="760" w:type="dxa"/>
                  <w:tcBorders>
                    <w:top w:val="nil"/>
                    <w:left w:val="nil"/>
                    <w:bottom w:val="single" w:sz="8" w:space="0" w:color="000000"/>
                    <w:right w:val="single" w:sz="8" w:space="0" w:color="000000"/>
                  </w:tcBorders>
                  <w:shd w:val="clear" w:color="auto" w:fill="auto"/>
                  <w:vAlign w:val="bottom"/>
                  <w:hideMark/>
                </w:tcPr>
                <w:p w14:paraId="13F28D36" w14:textId="77777777" w:rsidR="00C33A9E" w:rsidRPr="00C33A9E" w:rsidRDefault="00C33A9E" w:rsidP="00C33A9E">
                  <w:pPr>
                    <w:widowControl/>
                    <w:adjustRightInd/>
                    <w:jc w:val="center"/>
                    <w:rPr>
                      <w:sz w:val="18"/>
                      <w:szCs w:val="18"/>
                    </w:rPr>
                  </w:pPr>
                  <w:r w:rsidRPr="00C33A9E">
                    <w:rPr>
                      <w:sz w:val="18"/>
                      <w:szCs w:val="18"/>
                    </w:rPr>
                    <w:t>NA</w:t>
                  </w:r>
                </w:p>
              </w:tc>
              <w:tc>
                <w:tcPr>
                  <w:tcW w:w="880" w:type="dxa"/>
                  <w:tcBorders>
                    <w:top w:val="nil"/>
                    <w:left w:val="nil"/>
                    <w:bottom w:val="single" w:sz="8" w:space="0" w:color="000000"/>
                    <w:right w:val="single" w:sz="8" w:space="0" w:color="000000"/>
                  </w:tcBorders>
                  <w:shd w:val="clear" w:color="auto" w:fill="auto"/>
                  <w:vAlign w:val="bottom"/>
                  <w:hideMark/>
                </w:tcPr>
                <w:p w14:paraId="5B20024B" w14:textId="77777777" w:rsidR="00C33A9E" w:rsidRPr="00B23DF0" w:rsidRDefault="00C33A9E" w:rsidP="00C33A9E">
                  <w:pPr>
                    <w:widowControl/>
                    <w:adjustRightInd/>
                    <w:jc w:val="center"/>
                    <w:rPr>
                      <w:color w:val="008000"/>
                      <w:sz w:val="18"/>
                      <w:szCs w:val="18"/>
                    </w:rPr>
                  </w:pPr>
                  <w:r w:rsidRPr="00B23DF0">
                    <w:rPr>
                      <w:color w:val="008000"/>
                      <w:sz w:val="18"/>
                      <w:szCs w:val="18"/>
                    </w:rPr>
                    <w:t xml:space="preserve">$3,047.36 </w:t>
                  </w:r>
                </w:p>
              </w:tc>
              <w:tc>
                <w:tcPr>
                  <w:tcW w:w="840" w:type="dxa"/>
                  <w:tcBorders>
                    <w:top w:val="nil"/>
                    <w:left w:val="nil"/>
                    <w:bottom w:val="single" w:sz="8" w:space="0" w:color="000000"/>
                    <w:right w:val="single" w:sz="8" w:space="0" w:color="000000"/>
                  </w:tcBorders>
                  <w:shd w:val="clear" w:color="auto" w:fill="auto"/>
                  <w:vAlign w:val="bottom"/>
                  <w:hideMark/>
                </w:tcPr>
                <w:p w14:paraId="7604E17E" w14:textId="77777777" w:rsidR="00C33A9E" w:rsidRPr="00C33A9E" w:rsidRDefault="00C33A9E" w:rsidP="00C33A9E">
                  <w:pPr>
                    <w:widowControl/>
                    <w:adjustRightInd/>
                    <w:jc w:val="center"/>
                    <w:rPr>
                      <w:sz w:val="18"/>
                      <w:szCs w:val="18"/>
                    </w:rPr>
                  </w:pPr>
                  <w:r w:rsidRPr="00C33A9E">
                    <w:rPr>
                      <w:sz w:val="18"/>
                      <w:szCs w:val="18"/>
                    </w:rPr>
                    <w:t>NA</w:t>
                  </w:r>
                </w:p>
              </w:tc>
              <w:tc>
                <w:tcPr>
                  <w:tcW w:w="840" w:type="dxa"/>
                  <w:tcBorders>
                    <w:top w:val="nil"/>
                    <w:left w:val="nil"/>
                    <w:bottom w:val="single" w:sz="8" w:space="0" w:color="000000"/>
                    <w:right w:val="double" w:sz="6" w:space="0" w:color="000000"/>
                  </w:tcBorders>
                  <w:shd w:val="clear" w:color="auto" w:fill="auto"/>
                  <w:vAlign w:val="bottom"/>
                  <w:hideMark/>
                </w:tcPr>
                <w:p w14:paraId="344B8E58" w14:textId="77777777" w:rsidR="00C33A9E" w:rsidRPr="00C33A9E" w:rsidRDefault="00C33A9E" w:rsidP="00C33A9E">
                  <w:pPr>
                    <w:widowControl/>
                    <w:adjustRightInd/>
                    <w:jc w:val="center"/>
                    <w:rPr>
                      <w:sz w:val="18"/>
                      <w:szCs w:val="18"/>
                    </w:rPr>
                  </w:pPr>
                  <w:r w:rsidRPr="00C33A9E">
                    <w:rPr>
                      <w:sz w:val="18"/>
                      <w:szCs w:val="18"/>
                    </w:rPr>
                    <w:t>NA</w:t>
                  </w:r>
                </w:p>
              </w:tc>
            </w:tr>
            <w:tr w:rsidR="00C33A9E" w:rsidRPr="00C33A9E" w14:paraId="6059D056" w14:textId="77777777" w:rsidTr="00C33A9E">
              <w:trPr>
                <w:trHeight w:val="525"/>
              </w:trPr>
              <w:tc>
                <w:tcPr>
                  <w:tcW w:w="1780" w:type="dxa"/>
                  <w:tcBorders>
                    <w:top w:val="nil"/>
                    <w:left w:val="double" w:sz="6" w:space="0" w:color="000000"/>
                    <w:bottom w:val="single" w:sz="8" w:space="0" w:color="000000"/>
                    <w:right w:val="single" w:sz="8" w:space="0" w:color="000000"/>
                  </w:tcBorders>
                  <w:shd w:val="clear" w:color="auto" w:fill="auto"/>
                  <w:vAlign w:val="bottom"/>
                  <w:hideMark/>
                </w:tcPr>
                <w:p w14:paraId="170BFD4F" w14:textId="77777777" w:rsidR="00C33A9E" w:rsidRPr="00C33A9E" w:rsidRDefault="00C33A9E" w:rsidP="00C33A9E">
                  <w:pPr>
                    <w:widowControl/>
                    <w:adjustRightInd/>
                    <w:rPr>
                      <w:sz w:val="20"/>
                      <w:szCs w:val="20"/>
                    </w:rPr>
                  </w:pPr>
                  <w:r w:rsidRPr="00C33A9E">
                    <w:rPr>
                      <w:sz w:val="20"/>
                      <w:szCs w:val="20"/>
                    </w:rPr>
                    <w:t>Preparing a Follow-up Written Report</w:t>
                  </w:r>
                </w:p>
              </w:tc>
              <w:tc>
                <w:tcPr>
                  <w:tcW w:w="860" w:type="dxa"/>
                  <w:tcBorders>
                    <w:top w:val="nil"/>
                    <w:left w:val="nil"/>
                    <w:bottom w:val="single" w:sz="8" w:space="0" w:color="000000"/>
                    <w:right w:val="single" w:sz="8" w:space="0" w:color="000000"/>
                  </w:tcBorders>
                  <w:shd w:val="clear" w:color="auto" w:fill="auto"/>
                  <w:vAlign w:val="bottom"/>
                  <w:hideMark/>
                </w:tcPr>
                <w:p w14:paraId="4201835C" w14:textId="77777777" w:rsidR="00C33A9E" w:rsidRPr="00C33A9E" w:rsidRDefault="00C33A9E" w:rsidP="00C33A9E">
                  <w:pPr>
                    <w:widowControl/>
                    <w:adjustRightInd/>
                    <w:jc w:val="center"/>
                    <w:rPr>
                      <w:sz w:val="18"/>
                      <w:szCs w:val="18"/>
                    </w:rPr>
                  </w:pPr>
                  <w:r w:rsidRPr="00C33A9E">
                    <w:rPr>
                      <w:sz w:val="18"/>
                      <w:szCs w:val="18"/>
                    </w:rPr>
                    <w:t>NA</w:t>
                  </w:r>
                </w:p>
              </w:tc>
              <w:tc>
                <w:tcPr>
                  <w:tcW w:w="900" w:type="dxa"/>
                  <w:tcBorders>
                    <w:top w:val="nil"/>
                    <w:left w:val="nil"/>
                    <w:bottom w:val="single" w:sz="8" w:space="0" w:color="000000"/>
                    <w:right w:val="single" w:sz="8" w:space="0" w:color="000000"/>
                  </w:tcBorders>
                  <w:shd w:val="clear" w:color="auto" w:fill="auto"/>
                  <w:vAlign w:val="bottom"/>
                  <w:hideMark/>
                </w:tcPr>
                <w:p w14:paraId="4F193B16" w14:textId="77777777" w:rsidR="00C33A9E" w:rsidRPr="00C33A9E" w:rsidRDefault="00C33A9E" w:rsidP="00C33A9E">
                  <w:pPr>
                    <w:widowControl/>
                    <w:adjustRightInd/>
                    <w:jc w:val="center"/>
                    <w:rPr>
                      <w:sz w:val="18"/>
                      <w:szCs w:val="18"/>
                    </w:rPr>
                  </w:pPr>
                  <w:r w:rsidRPr="00C33A9E">
                    <w:rPr>
                      <w:sz w:val="18"/>
                      <w:szCs w:val="18"/>
                    </w:rPr>
                    <w:t xml:space="preserve">$2,173.28 </w:t>
                  </w:r>
                </w:p>
              </w:tc>
              <w:tc>
                <w:tcPr>
                  <w:tcW w:w="880" w:type="dxa"/>
                  <w:tcBorders>
                    <w:top w:val="nil"/>
                    <w:left w:val="nil"/>
                    <w:bottom w:val="single" w:sz="8" w:space="0" w:color="000000"/>
                    <w:right w:val="single" w:sz="8" w:space="0" w:color="000000"/>
                  </w:tcBorders>
                  <w:shd w:val="clear" w:color="auto" w:fill="auto"/>
                  <w:vAlign w:val="bottom"/>
                  <w:hideMark/>
                </w:tcPr>
                <w:p w14:paraId="15FC8C98" w14:textId="77777777" w:rsidR="00C33A9E" w:rsidRPr="00C33A9E" w:rsidRDefault="00C33A9E" w:rsidP="00C33A9E">
                  <w:pPr>
                    <w:widowControl/>
                    <w:adjustRightInd/>
                    <w:jc w:val="center"/>
                    <w:rPr>
                      <w:sz w:val="18"/>
                      <w:szCs w:val="18"/>
                    </w:rPr>
                  </w:pPr>
                  <w:r w:rsidRPr="00C33A9E">
                    <w:rPr>
                      <w:sz w:val="18"/>
                      <w:szCs w:val="18"/>
                    </w:rPr>
                    <w:t>NA</w:t>
                  </w:r>
                </w:p>
              </w:tc>
              <w:tc>
                <w:tcPr>
                  <w:tcW w:w="740" w:type="dxa"/>
                  <w:tcBorders>
                    <w:top w:val="nil"/>
                    <w:left w:val="nil"/>
                    <w:bottom w:val="single" w:sz="8" w:space="0" w:color="000000"/>
                    <w:right w:val="single" w:sz="8" w:space="0" w:color="000000"/>
                  </w:tcBorders>
                  <w:shd w:val="clear" w:color="auto" w:fill="auto"/>
                  <w:vAlign w:val="bottom"/>
                  <w:hideMark/>
                </w:tcPr>
                <w:p w14:paraId="14AA4F48" w14:textId="77777777" w:rsidR="00C33A9E" w:rsidRPr="00C33A9E" w:rsidRDefault="00C33A9E" w:rsidP="00C33A9E">
                  <w:pPr>
                    <w:widowControl/>
                    <w:adjustRightInd/>
                    <w:jc w:val="center"/>
                    <w:rPr>
                      <w:sz w:val="18"/>
                      <w:szCs w:val="18"/>
                    </w:rPr>
                  </w:pPr>
                  <w:r w:rsidRPr="00C33A9E">
                    <w:rPr>
                      <w:sz w:val="18"/>
                      <w:szCs w:val="18"/>
                    </w:rPr>
                    <w:t>NA</w:t>
                  </w:r>
                </w:p>
              </w:tc>
              <w:tc>
                <w:tcPr>
                  <w:tcW w:w="780" w:type="dxa"/>
                  <w:tcBorders>
                    <w:top w:val="nil"/>
                    <w:left w:val="nil"/>
                    <w:bottom w:val="single" w:sz="8" w:space="0" w:color="000000"/>
                    <w:right w:val="single" w:sz="8" w:space="0" w:color="000000"/>
                  </w:tcBorders>
                  <w:shd w:val="clear" w:color="auto" w:fill="auto"/>
                  <w:vAlign w:val="bottom"/>
                  <w:hideMark/>
                </w:tcPr>
                <w:p w14:paraId="64B02923" w14:textId="77777777" w:rsidR="00C33A9E" w:rsidRPr="00C33A9E" w:rsidRDefault="00C33A9E" w:rsidP="00C33A9E">
                  <w:pPr>
                    <w:widowControl/>
                    <w:adjustRightInd/>
                    <w:jc w:val="center"/>
                    <w:rPr>
                      <w:sz w:val="18"/>
                      <w:szCs w:val="18"/>
                    </w:rPr>
                  </w:pPr>
                  <w:r w:rsidRPr="00C33A9E">
                    <w:rPr>
                      <w:sz w:val="18"/>
                      <w:szCs w:val="18"/>
                    </w:rPr>
                    <w:t xml:space="preserve">$67.68 </w:t>
                  </w:r>
                </w:p>
              </w:tc>
              <w:tc>
                <w:tcPr>
                  <w:tcW w:w="760" w:type="dxa"/>
                  <w:tcBorders>
                    <w:top w:val="nil"/>
                    <w:left w:val="nil"/>
                    <w:bottom w:val="single" w:sz="8" w:space="0" w:color="000000"/>
                    <w:right w:val="single" w:sz="8" w:space="0" w:color="000000"/>
                  </w:tcBorders>
                  <w:shd w:val="clear" w:color="auto" w:fill="auto"/>
                  <w:vAlign w:val="bottom"/>
                  <w:hideMark/>
                </w:tcPr>
                <w:p w14:paraId="55271574" w14:textId="77777777" w:rsidR="00C33A9E" w:rsidRPr="00C33A9E" w:rsidRDefault="00C33A9E" w:rsidP="00C33A9E">
                  <w:pPr>
                    <w:widowControl/>
                    <w:adjustRightInd/>
                    <w:jc w:val="center"/>
                    <w:rPr>
                      <w:sz w:val="18"/>
                      <w:szCs w:val="18"/>
                    </w:rPr>
                  </w:pPr>
                  <w:r w:rsidRPr="00C33A9E">
                    <w:rPr>
                      <w:sz w:val="18"/>
                      <w:szCs w:val="18"/>
                    </w:rPr>
                    <w:t>NA</w:t>
                  </w:r>
                </w:p>
              </w:tc>
              <w:tc>
                <w:tcPr>
                  <w:tcW w:w="880" w:type="dxa"/>
                  <w:tcBorders>
                    <w:top w:val="nil"/>
                    <w:left w:val="nil"/>
                    <w:bottom w:val="single" w:sz="8" w:space="0" w:color="000000"/>
                    <w:right w:val="single" w:sz="8" w:space="0" w:color="000000"/>
                  </w:tcBorders>
                  <w:shd w:val="clear" w:color="auto" w:fill="auto"/>
                  <w:vAlign w:val="bottom"/>
                  <w:hideMark/>
                </w:tcPr>
                <w:p w14:paraId="576EF900" w14:textId="77777777" w:rsidR="00C33A9E" w:rsidRPr="00C33A9E" w:rsidRDefault="00C33A9E" w:rsidP="00C33A9E">
                  <w:pPr>
                    <w:widowControl/>
                    <w:adjustRightInd/>
                    <w:jc w:val="center"/>
                    <w:rPr>
                      <w:sz w:val="18"/>
                      <w:szCs w:val="18"/>
                    </w:rPr>
                  </w:pPr>
                  <w:r w:rsidRPr="00C33A9E">
                    <w:rPr>
                      <w:sz w:val="18"/>
                      <w:szCs w:val="18"/>
                    </w:rPr>
                    <w:t>NA</w:t>
                  </w:r>
                </w:p>
              </w:tc>
              <w:tc>
                <w:tcPr>
                  <w:tcW w:w="840" w:type="dxa"/>
                  <w:tcBorders>
                    <w:top w:val="nil"/>
                    <w:left w:val="nil"/>
                    <w:bottom w:val="single" w:sz="8" w:space="0" w:color="000000"/>
                    <w:right w:val="single" w:sz="8" w:space="0" w:color="000000"/>
                  </w:tcBorders>
                  <w:shd w:val="clear" w:color="auto" w:fill="auto"/>
                  <w:vAlign w:val="bottom"/>
                  <w:hideMark/>
                </w:tcPr>
                <w:p w14:paraId="57536A7D" w14:textId="77777777" w:rsidR="00C33A9E" w:rsidRPr="00C33A9E" w:rsidRDefault="00C33A9E" w:rsidP="00C33A9E">
                  <w:pPr>
                    <w:widowControl/>
                    <w:adjustRightInd/>
                    <w:jc w:val="center"/>
                    <w:rPr>
                      <w:sz w:val="18"/>
                      <w:szCs w:val="18"/>
                    </w:rPr>
                  </w:pPr>
                  <w:r w:rsidRPr="00C33A9E">
                    <w:rPr>
                      <w:sz w:val="18"/>
                      <w:szCs w:val="18"/>
                    </w:rPr>
                    <w:t xml:space="preserve">$2,240.96 </w:t>
                  </w:r>
                </w:p>
              </w:tc>
              <w:tc>
                <w:tcPr>
                  <w:tcW w:w="840" w:type="dxa"/>
                  <w:tcBorders>
                    <w:top w:val="nil"/>
                    <w:left w:val="nil"/>
                    <w:bottom w:val="single" w:sz="8" w:space="0" w:color="000000"/>
                    <w:right w:val="double" w:sz="6" w:space="0" w:color="000000"/>
                  </w:tcBorders>
                  <w:shd w:val="clear" w:color="auto" w:fill="auto"/>
                  <w:vAlign w:val="bottom"/>
                  <w:hideMark/>
                </w:tcPr>
                <w:p w14:paraId="3629100F" w14:textId="77777777" w:rsidR="00C33A9E" w:rsidRPr="00C33A9E" w:rsidRDefault="00C33A9E" w:rsidP="00C33A9E">
                  <w:pPr>
                    <w:widowControl/>
                    <w:adjustRightInd/>
                    <w:jc w:val="center"/>
                    <w:rPr>
                      <w:sz w:val="18"/>
                      <w:szCs w:val="18"/>
                    </w:rPr>
                  </w:pPr>
                  <w:r w:rsidRPr="00C33A9E">
                    <w:rPr>
                      <w:sz w:val="18"/>
                      <w:szCs w:val="18"/>
                    </w:rPr>
                    <w:t>NA</w:t>
                  </w:r>
                </w:p>
              </w:tc>
            </w:tr>
            <w:tr w:rsidR="00C33A9E" w:rsidRPr="00C33A9E" w14:paraId="2597CF7A" w14:textId="77777777" w:rsidTr="00C33A9E">
              <w:trPr>
                <w:trHeight w:val="525"/>
              </w:trPr>
              <w:tc>
                <w:tcPr>
                  <w:tcW w:w="1780" w:type="dxa"/>
                  <w:tcBorders>
                    <w:top w:val="nil"/>
                    <w:left w:val="double" w:sz="6" w:space="0" w:color="000000"/>
                    <w:bottom w:val="single" w:sz="8" w:space="0" w:color="000000"/>
                    <w:right w:val="single" w:sz="8" w:space="0" w:color="000000"/>
                  </w:tcBorders>
                  <w:shd w:val="clear" w:color="auto" w:fill="auto"/>
                  <w:vAlign w:val="bottom"/>
                  <w:hideMark/>
                </w:tcPr>
                <w:p w14:paraId="709A589E" w14:textId="77777777" w:rsidR="00C33A9E" w:rsidRPr="00C33A9E" w:rsidRDefault="00C33A9E" w:rsidP="00C33A9E">
                  <w:pPr>
                    <w:widowControl/>
                    <w:adjustRightInd/>
                    <w:rPr>
                      <w:sz w:val="20"/>
                      <w:szCs w:val="20"/>
                    </w:rPr>
                  </w:pPr>
                  <w:r w:rsidRPr="00C33A9E">
                    <w:rPr>
                      <w:sz w:val="20"/>
                      <w:szCs w:val="20"/>
                    </w:rPr>
                    <w:t>Conducting Annual Evaluations</w:t>
                  </w:r>
                </w:p>
              </w:tc>
              <w:tc>
                <w:tcPr>
                  <w:tcW w:w="860" w:type="dxa"/>
                  <w:tcBorders>
                    <w:top w:val="nil"/>
                    <w:left w:val="nil"/>
                    <w:bottom w:val="single" w:sz="8" w:space="0" w:color="000000"/>
                    <w:right w:val="single" w:sz="8" w:space="0" w:color="000000"/>
                  </w:tcBorders>
                  <w:shd w:val="clear" w:color="auto" w:fill="auto"/>
                  <w:vAlign w:val="bottom"/>
                  <w:hideMark/>
                </w:tcPr>
                <w:p w14:paraId="6C469C62" w14:textId="77777777" w:rsidR="00C33A9E" w:rsidRPr="00C33A9E" w:rsidRDefault="00C33A9E" w:rsidP="00C33A9E">
                  <w:pPr>
                    <w:widowControl/>
                    <w:adjustRightInd/>
                    <w:jc w:val="center"/>
                    <w:rPr>
                      <w:sz w:val="18"/>
                      <w:szCs w:val="18"/>
                    </w:rPr>
                  </w:pPr>
                  <w:r w:rsidRPr="00C33A9E">
                    <w:rPr>
                      <w:sz w:val="18"/>
                      <w:szCs w:val="18"/>
                    </w:rPr>
                    <w:t>NA</w:t>
                  </w:r>
                </w:p>
              </w:tc>
              <w:tc>
                <w:tcPr>
                  <w:tcW w:w="900" w:type="dxa"/>
                  <w:tcBorders>
                    <w:top w:val="nil"/>
                    <w:left w:val="nil"/>
                    <w:bottom w:val="single" w:sz="8" w:space="0" w:color="000000"/>
                    <w:right w:val="single" w:sz="8" w:space="0" w:color="000000"/>
                  </w:tcBorders>
                  <w:shd w:val="clear" w:color="auto" w:fill="auto"/>
                  <w:vAlign w:val="bottom"/>
                  <w:hideMark/>
                </w:tcPr>
                <w:p w14:paraId="6BEA4686" w14:textId="77777777" w:rsidR="00C33A9E" w:rsidRPr="00C33A9E" w:rsidRDefault="00C33A9E" w:rsidP="00C33A9E">
                  <w:pPr>
                    <w:widowControl/>
                    <w:adjustRightInd/>
                    <w:jc w:val="center"/>
                    <w:rPr>
                      <w:sz w:val="18"/>
                      <w:szCs w:val="18"/>
                    </w:rPr>
                  </w:pPr>
                  <w:r w:rsidRPr="00C33A9E">
                    <w:rPr>
                      <w:sz w:val="18"/>
                      <w:szCs w:val="18"/>
                    </w:rPr>
                    <w:t>NA</w:t>
                  </w:r>
                </w:p>
              </w:tc>
              <w:tc>
                <w:tcPr>
                  <w:tcW w:w="880" w:type="dxa"/>
                  <w:tcBorders>
                    <w:top w:val="nil"/>
                    <w:left w:val="nil"/>
                    <w:bottom w:val="single" w:sz="8" w:space="0" w:color="000000"/>
                    <w:right w:val="single" w:sz="8" w:space="0" w:color="000000"/>
                  </w:tcBorders>
                  <w:shd w:val="clear" w:color="auto" w:fill="auto"/>
                  <w:vAlign w:val="bottom"/>
                  <w:hideMark/>
                </w:tcPr>
                <w:p w14:paraId="15A06450" w14:textId="77777777" w:rsidR="00C33A9E" w:rsidRPr="00C33A9E" w:rsidRDefault="00C33A9E" w:rsidP="00C33A9E">
                  <w:pPr>
                    <w:widowControl/>
                    <w:adjustRightInd/>
                    <w:jc w:val="center"/>
                    <w:rPr>
                      <w:sz w:val="18"/>
                      <w:szCs w:val="18"/>
                    </w:rPr>
                  </w:pPr>
                  <w:r w:rsidRPr="00C33A9E">
                    <w:rPr>
                      <w:sz w:val="18"/>
                      <w:szCs w:val="18"/>
                    </w:rPr>
                    <w:t xml:space="preserve">$2,173.28 </w:t>
                  </w:r>
                </w:p>
              </w:tc>
              <w:tc>
                <w:tcPr>
                  <w:tcW w:w="740" w:type="dxa"/>
                  <w:tcBorders>
                    <w:top w:val="nil"/>
                    <w:left w:val="nil"/>
                    <w:bottom w:val="single" w:sz="8" w:space="0" w:color="000000"/>
                    <w:right w:val="single" w:sz="8" w:space="0" w:color="000000"/>
                  </w:tcBorders>
                  <w:shd w:val="clear" w:color="auto" w:fill="auto"/>
                  <w:vAlign w:val="bottom"/>
                  <w:hideMark/>
                </w:tcPr>
                <w:p w14:paraId="45351E9D" w14:textId="77777777" w:rsidR="00C33A9E" w:rsidRPr="00C33A9E" w:rsidRDefault="00C33A9E" w:rsidP="00C33A9E">
                  <w:pPr>
                    <w:widowControl/>
                    <w:adjustRightInd/>
                    <w:jc w:val="center"/>
                    <w:rPr>
                      <w:sz w:val="18"/>
                      <w:szCs w:val="18"/>
                    </w:rPr>
                  </w:pPr>
                  <w:r w:rsidRPr="00C33A9E">
                    <w:rPr>
                      <w:sz w:val="18"/>
                      <w:szCs w:val="18"/>
                    </w:rPr>
                    <w:t>NA</w:t>
                  </w:r>
                </w:p>
              </w:tc>
              <w:tc>
                <w:tcPr>
                  <w:tcW w:w="780" w:type="dxa"/>
                  <w:tcBorders>
                    <w:top w:val="nil"/>
                    <w:left w:val="nil"/>
                    <w:bottom w:val="single" w:sz="8" w:space="0" w:color="000000"/>
                    <w:right w:val="single" w:sz="8" w:space="0" w:color="000000"/>
                  </w:tcBorders>
                  <w:shd w:val="clear" w:color="auto" w:fill="auto"/>
                  <w:vAlign w:val="bottom"/>
                  <w:hideMark/>
                </w:tcPr>
                <w:p w14:paraId="21E446CD" w14:textId="77777777" w:rsidR="00C33A9E" w:rsidRPr="00C33A9E" w:rsidRDefault="00C33A9E" w:rsidP="00C33A9E">
                  <w:pPr>
                    <w:widowControl/>
                    <w:adjustRightInd/>
                    <w:jc w:val="center"/>
                    <w:rPr>
                      <w:sz w:val="18"/>
                      <w:szCs w:val="18"/>
                    </w:rPr>
                  </w:pPr>
                  <w:r w:rsidRPr="00C33A9E">
                    <w:rPr>
                      <w:sz w:val="18"/>
                      <w:szCs w:val="18"/>
                    </w:rPr>
                    <w:t>NA</w:t>
                  </w:r>
                </w:p>
              </w:tc>
              <w:tc>
                <w:tcPr>
                  <w:tcW w:w="760" w:type="dxa"/>
                  <w:tcBorders>
                    <w:top w:val="nil"/>
                    <w:left w:val="nil"/>
                    <w:bottom w:val="single" w:sz="8" w:space="0" w:color="000000"/>
                    <w:right w:val="single" w:sz="8" w:space="0" w:color="000000"/>
                  </w:tcBorders>
                  <w:shd w:val="clear" w:color="auto" w:fill="auto"/>
                  <w:vAlign w:val="bottom"/>
                  <w:hideMark/>
                </w:tcPr>
                <w:p w14:paraId="4D7CF12D" w14:textId="77777777" w:rsidR="00C33A9E" w:rsidRPr="00C33A9E" w:rsidRDefault="00C33A9E" w:rsidP="00C33A9E">
                  <w:pPr>
                    <w:widowControl/>
                    <w:adjustRightInd/>
                    <w:jc w:val="center"/>
                    <w:rPr>
                      <w:sz w:val="18"/>
                      <w:szCs w:val="18"/>
                    </w:rPr>
                  </w:pPr>
                  <w:r w:rsidRPr="00C33A9E">
                    <w:rPr>
                      <w:sz w:val="18"/>
                      <w:szCs w:val="18"/>
                    </w:rPr>
                    <w:t>NA</w:t>
                  </w:r>
                </w:p>
              </w:tc>
              <w:tc>
                <w:tcPr>
                  <w:tcW w:w="880" w:type="dxa"/>
                  <w:tcBorders>
                    <w:top w:val="nil"/>
                    <w:left w:val="nil"/>
                    <w:bottom w:val="single" w:sz="8" w:space="0" w:color="000000"/>
                    <w:right w:val="single" w:sz="8" w:space="0" w:color="000000"/>
                  </w:tcBorders>
                  <w:shd w:val="clear" w:color="auto" w:fill="auto"/>
                  <w:vAlign w:val="bottom"/>
                  <w:hideMark/>
                </w:tcPr>
                <w:p w14:paraId="4D3D28DC" w14:textId="77777777" w:rsidR="00C33A9E" w:rsidRPr="00C33A9E" w:rsidRDefault="00C33A9E" w:rsidP="00C33A9E">
                  <w:pPr>
                    <w:widowControl/>
                    <w:adjustRightInd/>
                    <w:jc w:val="center"/>
                    <w:rPr>
                      <w:sz w:val="18"/>
                      <w:szCs w:val="18"/>
                    </w:rPr>
                  </w:pPr>
                  <w:r w:rsidRPr="00C33A9E">
                    <w:rPr>
                      <w:sz w:val="18"/>
                      <w:szCs w:val="18"/>
                    </w:rPr>
                    <w:t>NA</w:t>
                  </w:r>
                </w:p>
              </w:tc>
              <w:tc>
                <w:tcPr>
                  <w:tcW w:w="840" w:type="dxa"/>
                  <w:tcBorders>
                    <w:top w:val="nil"/>
                    <w:left w:val="nil"/>
                    <w:bottom w:val="single" w:sz="8" w:space="0" w:color="000000"/>
                    <w:right w:val="single" w:sz="8" w:space="0" w:color="000000"/>
                  </w:tcBorders>
                  <w:shd w:val="clear" w:color="auto" w:fill="auto"/>
                  <w:vAlign w:val="bottom"/>
                  <w:hideMark/>
                </w:tcPr>
                <w:p w14:paraId="3E554DC6" w14:textId="77777777" w:rsidR="00C33A9E" w:rsidRPr="00C33A9E" w:rsidRDefault="00C33A9E" w:rsidP="00C33A9E">
                  <w:pPr>
                    <w:widowControl/>
                    <w:adjustRightInd/>
                    <w:jc w:val="center"/>
                    <w:rPr>
                      <w:sz w:val="18"/>
                      <w:szCs w:val="18"/>
                    </w:rPr>
                  </w:pPr>
                  <w:r w:rsidRPr="00C33A9E">
                    <w:rPr>
                      <w:sz w:val="18"/>
                      <w:szCs w:val="18"/>
                    </w:rPr>
                    <w:t>NA</w:t>
                  </w:r>
                </w:p>
              </w:tc>
              <w:tc>
                <w:tcPr>
                  <w:tcW w:w="840" w:type="dxa"/>
                  <w:tcBorders>
                    <w:top w:val="nil"/>
                    <w:left w:val="nil"/>
                    <w:bottom w:val="single" w:sz="8" w:space="0" w:color="000000"/>
                    <w:right w:val="double" w:sz="6" w:space="0" w:color="000000"/>
                  </w:tcBorders>
                  <w:shd w:val="clear" w:color="auto" w:fill="auto"/>
                  <w:vAlign w:val="bottom"/>
                  <w:hideMark/>
                </w:tcPr>
                <w:p w14:paraId="69957434" w14:textId="77777777" w:rsidR="00C33A9E" w:rsidRPr="00C33A9E" w:rsidRDefault="00C33A9E" w:rsidP="00C33A9E">
                  <w:pPr>
                    <w:widowControl/>
                    <w:adjustRightInd/>
                    <w:jc w:val="center"/>
                    <w:rPr>
                      <w:sz w:val="18"/>
                      <w:szCs w:val="18"/>
                    </w:rPr>
                  </w:pPr>
                  <w:r w:rsidRPr="00C33A9E">
                    <w:rPr>
                      <w:sz w:val="18"/>
                      <w:szCs w:val="18"/>
                    </w:rPr>
                    <w:t xml:space="preserve">$2,173.28 </w:t>
                  </w:r>
                </w:p>
              </w:tc>
            </w:tr>
            <w:tr w:rsidR="00C33A9E" w:rsidRPr="00C33A9E" w14:paraId="5732AEC1" w14:textId="77777777" w:rsidTr="00C33A9E">
              <w:trPr>
                <w:trHeight w:val="780"/>
              </w:trPr>
              <w:tc>
                <w:tcPr>
                  <w:tcW w:w="1780" w:type="dxa"/>
                  <w:tcBorders>
                    <w:top w:val="nil"/>
                    <w:left w:val="double" w:sz="6" w:space="0" w:color="000000"/>
                    <w:bottom w:val="single" w:sz="8" w:space="0" w:color="000000"/>
                    <w:right w:val="single" w:sz="8" w:space="0" w:color="000000"/>
                  </w:tcBorders>
                  <w:shd w:val="clear" w:color="auto" w:fill="auto"/>
                  <w:vAlign w:val="bottom"/>
                  <w:hideMark/>
                </w:tcPr>
                <w:p w14:paraId="4BFF33F7" w14:textId="77777777" w:rsidR="00C33A9E" w:rsidRPr="00C33A9E" w:rsidRDefault="00C33A9E" w:rsidP="00C33A9E">
                  <w:pPr>
                    <w:widowControl/>
                    <w:adjustRightInd/>
                    <w:rPr>
                      <w:sz w:val="20"/>
                      <w:szCs w:val="20"/>
                    </w:rPr>
                  </w:pPr>
                  <w:r w:rsidRPr="00C33A9E">
                    <w:rPr>
                      <w:sz w:val="20"/>
                      <w:szCs w:val="20"/>
                    </w:rPr>
                    <w:t>Reporting Other Changes in Information</w:t>
                  </w:r>
                </w:p>
              </w:tc>
              <w:tc>
                <w:tcPr>
                  <w:tcW w:w="860" w:type="dxa"/>
                  <w:tcBorders>
                    <w:top w:val="nil"/>
                    <w:left w:val="nil"/>
                    <w:bottom w:val="single" w:sz="8" w:space="0" w:color="000000"/>
                    <w:right w:val="single" w:sz="8" w:space="0" w:color="000000"/>
                  </w:tcBorders>
                  <w:shd w:val="clear" w:color="auto" w:fill="auto"/>
                  <w:vAlign w:val="bottom"/>
                  <w:hideMark/>
                </w:tcPr>
                <w:p w14:paraId="187970DC" w14:textId="77777777" w:rsidR="00C33A9E" w:rsidRPr="00C33A9E" w:rsidRDefault="00C33A9E" w:rsidP="00C33A9E">
                  <w:pPr>
                    <w:widowControl/>
                    <w:adjustRightInd/>
                    <w:jc w:val="center"/>
                    <w:rPr>
                      <w:sz w:val="18"/>
                      <w:szCs w:val="18"/>
                    </w:rPr>
                  </w:pPr>
                  <w:r w:rsidRPr="00C33A9E">
                    <w:rPr>
                      <w:sz w:val="18"/>
                      <w:szCs w:val="18"/>
                    </w:rPr>
                    <w:t>NA</w:t>
                  </w:r>
                </w:p>
              </w:tc>
              <w:tc>
                <w:tcPr>
                  <w:tcW w:w="900" w:type="dxa"/>
                  <w:tcBorders>
                    <w:top w:val="nil"/>
                    <w:left w:val="nil"/>
                    <w:bottom w:val="single" w:sz="8" w:space="0" w:color="000000"/>
                    <w:right w:val="single" w:sz="8" w:space="0" w:color="000000"/>
                  </w:tcBorders>
                  <w:shd w:val="clear" w:color="auto" w:fill="auto"/>
                  <w:vAlign w:val="bottom"/>
                  <w:hideMark/>
                </w:tcPr>
                <w:p w14:paraId="05EB7181" w14:textId="77777777" w:rsidR="00C33A9E" w:rsidRPr="00C33A9E" w:rsidRDefault="00C33A9E" w:rsidP="00C33A9E">
                  <w:pPr>
                    <w:widowControl/>
                    <w:adjustRightInd/>
                    <w:jc w:val="center"/>
                    <w:rPr>
                      <w:sz w:val="18"/>
                      <w:szCs w:val="18"/>
                    </w:rPr>
                  </w:pPr>
                  <w:r w:rsidRPr="00C33A9E">
                    <w:rPr>
                      <w:sz w:val="18"/>
                      <w:szCs w:val="18"/>
                    </w:rPr>
                    <w:t xml:space="preserve">$128.28 </w:t>
                  </w:r>
                </w:p>
              </w:tc>
              <w:tc>
                <w:tcPr>
                  <w:tcW w:w="880" w:type="dxa"/>
                  <w:tcBorders>
                    <w:top w:val="nil"/>
                    <w:left w:val="nil"/>
                    <w:bottom w:val="single" w:sz="8" w:space="0" w:color="000000"/>
                    <w:right w:val="single" w:sz="8" w:space="0" w:color="000000"/>
                  </w:tcBorders>
                  <w:shd w:val="clear" w:color="auto" w:fill="auto"/>
                  <w:vAlign w:val="bottom"/>
                  <w:hideMark/>
                </w:tcPr>
                <w:p w14:paraId="346E2394" w14:textId="77777777" w:rsidR="00C33A9E" w:rsidRPr="00C33A9E" w:rsidRDefault="00C33A9E" w:rsidP="00C33A9E">
                  <w:pPr>
                    <w:widowControl/>
                    <w:adjustRightInd/>
                    <w:jc w:val="center"/>
                    <w:rPr>
                      <w:sz w:val="18"/>
                      <w:szCs w:val="18"/>
                    </w:rPr>
                  </w:pPr>
                  <w:r w:rsidRPr="00C33A9E">
                    <w:rPr>
                      <w:sz w:val="18"/>
                      <w:szCs w:val="18"/>
                    </w:rPr>
                    <w:t xml:space="preserve">$128.28 </w:t>
                  </w:r>
                </w:p>
              </w:tc>
              <w:tc>
                <w:tcPr>
                  <w:tcW w:w="740" w:type="dxa"/>
                  <w:tcBorders>
                    <w:top w:val="nil"/>
                    <w:left w:val="nil"/>
                    <w:bottom w:val="single" w:sz="8" w:space="0" w:color="000000"/>
                    <w:right w:val="single" w:sz="8" w:space="0" w:color="000000"/>
                  </w:tcBorders>
                  <w:shd w:val="clear" w:color="auto" w:fill="auto"/>
                  <w:vAlign w:val="bottom"/>
                  <w:hideMark/>
                </w:tcPr>
                <w:p w14:paraId="0057A3B6" w14:textId="77777777" w:rsidR="00C33A9E" w:rsidRPr="00C33A9E" w:rsidRDefault="00C33A9E" w:rsidP="00C33A9E">
                  <w:pPr>
                    <w:widowControl/>
                    <w:adjustRightInd/>
                    <w:jc w:val="center"/>
                    <w:rPr>
                      <w:sz w:val="18"/>
                      <w:szCs w:val="18"/>
                    </w:rPr>
                  </w:pPr>
                  <w:r w:rsidRPr="00C33A9E">
                    <w:rPr>
                      <w:sz w:val="18"/>
                      <w:szCs w:val="18"/>
                    </w:rPr>
                    <w:t>NA</w:t>
                  </w:r>
                </w:p>
              </w:tc>
              <w:tc>
                <w:tcPr>
                  <w:tcW w:w="780" w:type="dxa"/>
                  <w:tcBorders>
                    <w:top w:val="nil"/>
                    <w:left w:val="nil"/>
                    <w:bottom w:val="single" w:sz="8" w:space="0" w:color="000000"/>
                    <w:right w:val="single" w:sz="8" w:space="0" w:color="000000"/>
                  </w:tcBorders>
                  <w:shd w:val="clear" w:color="auto" w:fill="auto"/>
                  <w:vAlign w:val="bottom"/>
                  <w:hideMark/>
                </w:tcPr>
                <w:p w14:paraId="3D302069" w14:textId="77777777" w:rsidR="00C33A9E" w:rsidRPr="00C33A9E" w:rsidRDefault="00C33A9E" w:rsidP="00C33A9E">
                  <w:pPr>
                    <w:widowControl/>
                    <w:adjustRightInd/>
                    <w:jc w:val="center"/>
                    <w:rPr>
                      <w:sz w:val="18"/>
                      <w:szCs w:val="18"/>
                    </w:rPr>
                  </w:pPr>
                  <w:r w:rsidRPr="00C33A9E">
                    <w:rPr>
                      <w:sz w:val="18"/>
                      <w:szCs w:val="18"/>
                    </w:rPr>
                    <w:t xml:space="preserve">$8.46 </w:t>
                  </w:r>
                </w:p>
              </w:tc>
              <w:tc>
                <w:tcPr>
                  <w:tcW w:w="760" w:type="dxa"/>
                  <w:tcBorders>
                    <w:top w:val="nil"/>
                    <w:left w:val="nil"/>
                    <w:bottom w:val="single" w:sz="8" w:space="0" w:color="000000"/>
                    <w:right w:val="single" w:sz="8" w:space="0" w:color="000000"/>
                  </w:tcBorders>
                  <w:shd w:val="clear" w:color="auto" w:fill="auto"/>
                  <w:vAlign w:val="bottom"/>
                  <w:hideMark/>
                </w:tcPr>
                <w:p w14:paraId="7A5824D3" w14:textId="77777777" w:rsidR="00C33A9E" w:rsidRPr="00C33A9E" w:rsidRDefault="00C33A9E" w:rsidP="00C33A9E">
                  <w:pPr>
                    <w:widowControl/>
                    <w:adjustRightInd/>
                    <w:jc w:val="center"/>
                    <w:rPr>
                      <w:sz w:val="18"/>
                      <w:szCs w:val="18"/>
                    </w:rPr>
                  </w:pPr>
                  <w:r w:rsidRPr="00C33A9E">
                    <w:rPr>
                      <w:sz w:val="18"/>
                      <w:szCs w:val="18"/>
                    </w:rPr>
                    <w:t xml:space="preserve">$8.46 </w:t>
                  </w:r>
                </w:p>
              </w:tc>
              <w:tc>
                <w:tcPr>
                  <w:tcW w:w="880" w:type="dxa"/>
                  <w:tcBorders>
                    <w:top w:val="nil"/>
                    <w:left w:val="nil"/>
                    <w:bottom w:val="single" w:sz="8" w:space="0" w:color="000000"/>
                    <w:right w:val="single" w:sz="8" w:space="0" w:color="000000"/>
                  </w:tcBorders>
                  <w:shd w:val="clear" w:color="auto" w:fill="auto"/>
                  <w:vAlign w:val="bottom"/>
                  <w:hideMark/>
                </w:tcPr>
                <w:p w14:paraId="2289A239" w14:textId="77777777" w:rsidR="00C33A9E" w:rsidRPr="00C33A9E" w:rsidRDefault="00C33A9E" w:rsidP="00C33A9E">
                  <w:pPr>
                    <w:widowControl/>
                    <w:adjustRightInd/>
                    <w:jc w:val="center"/>
                    <w:rPr>
                      <w:sz w:val="18"/>
                      <w:szCs w:val="18"/>
                    </w:rPr>
                  </w:pPr>
                  <w:r w:rsidRPr="00C33A9E">
                    <w:rPr>
                      <w:sz w:val="18"/>
                      <w:szCs w:val="18"/>
                    </w:rPr>
                    <w:t>NA</w:t>
                  </w:r>
                </w:p>
              </w:tc>
              <w:tc>
                <w:tcPr>
                  <w:tcW w:w="840" w:type="dxa"/>
                  <w:tcBorders>
                    <w:top w:val="nil"/>
                    <w:left w:val="nil"/>
                    <w:bottom w:val="single" w:sz="8" w:space="0" w:color="000000"/>
                    <w:right w:val="single" w:sz="8" w:space="0" w:color="000000"/>
                  </w:tcBorders>
                  <w:shd w:val="clear" w:color="auto" w:fill="auto"/>
                  <w:vAlign w:val="bottom"/>
                  <w:hideMark/>
                </w:tcPr>
                <w:p w14:paraId="15212A05" w14:textId="77777777" w:rsidR="00C33A9E" w:rsidRPr="00C33A9E" w:rsidRDefault="00C33A9E" w:rsidP="00C33A9E">
                  <w:pPr>
                    <w:widowControl/>
                    <w:adjustRightInd/>
                    <w:jc w:val="center"/>
                    <w:rPr>
                      <w:sz w:val="18"/>
                      <w:szCs w:val="18"/>
                    </w:rPr>
                  </w:pPr>
                  <w:r w:rsidRPr="00C33A9E">
                    <w:rPr>
                      <w:sz w:val="18"/>
                      <w:szCs w:val="18"/>
                    </w:rPr>
                    <w:t xml:space="preserve">$136.74 </w:t>
                  </w:r>
                </w:p>
              </w:tc>
              <w:tc>
                <w:tcPr>
                  <w:tcW w:w="840" w:type="dxa"/>
                  <w:tcBorders>
                    <w:top w:val="nil"/>
                    <w:left w:val="nil"/>
                    <w:bottom w:val="single" w:sz="8" w:space="0" w:color="000000"/>
                    <w:right w:val="double" w:sz="6" w:space="0" w:color="000000"/>
                  </w:tcBorders>
                  <w:shd w:val="clear" w:color="auto" w:fill="auto"/>
                  <w:vAlign w:val="bottom"/>
                  <w:hideMark/>
                </w:tcPr>
                <w:p w14:paraId="3455B5F8" w14:textId="77777777" w:rsidR="00C33A9E" w:rsidRPr="00C33A9E" w:rsidRDefault="00C33A9E" w:rsidP="00C33A9E">
                  <w:pPr>
                    <w:widowControl/>
                    <w:adjustRightInd/>
                    <w:jc w:val="center"/>
                    <w:rPr>
                      <w:sz w:val="18"/>
                      <w:szCs w:val="18"/>
                    </w:rPr>
                  </w:pPr>
                  <w:r w:rsidRPr="00C33A9E">
                    <w:rPr>
                      <w:sz w:val="18"/>
                      <w:szCs w:val="18"/>
                    </w:rPr>
                    <w:t xml:space="preserve">$136.74 </w:t>
                  </w:r>
                </w:p>
              </w:tc>
            </w:tr>
            <w:tr w:rsidR="00C33A9E" w:rsidRPr="00C33A9E" w14:paraId="7A1E10FB" w14:textId="77777777" w:rsidTr="00C33A9E">
              <w:trPr>
                <w:trHeight w:val="270"/>
              </w:trPr>
              <w:tc>
                <w:tcPr>
                  <w:tcW w:w="1780" w:type="dxa"/>
                  <w:tcBorders>
                    <w:top w:val="nil"/>
                    <w:left w:val="double" w:sz="6" w:space="0" w:color="000000"/>
                    <w:bottom w:val="single" w:sz="8" w:space="0" w:color="000000"/>
                    <w:right w:val="single" w:sz="8" w:space="0" w:color="000000"/>
                  </w:tcBorders>
                  <w:shd w:val="clear" w:color="auto" w:fill="auto"/>
                  <w:vAlign w:val="bottom"/>
                  <w:hideMark/>
                </w:tcPr>
                <w:p w14:paraId="4E66FCC7" w14:textId="77777777" w:rsidR="00C33A9E" w:rsidRPr="00C33A9E" w:rsidRDefault="00C33A9E" w:rsidP="00C33A9E">
                  <w:pPr>
                    <w:widowControl/>
                    <w:adjustRightInd/>
                    <w:rPr>
                      <w:sz w:val="20"/>
                      <w:szCs w:val="20"/>
                    </w:rPr>
                  </w:pPr>
                  <w:r w:rsidRPr="00C33A9E">
                    <w:rPr>
                      <w:sz w:val="20"/>
                      <w:szCs w:val="20"/>
                    </w:rPr>
                    <w:t>Record keeping</w:t>
                  </w:r>
                </w:p>
              </w:tc>
              <w:tc>
                <w:tcPr>
                  <w:tcW w:w="860" w:type="dxa"/>
                  <w:tcBorders>
                    <w:top w:val="nil"/>
                    <w:left w:val="nil"/>
                    <w:bottom w:val="single" w:sz="8" w:space="0" w:color="000000"/>
                    <w:right w:val="single" w:sz="8" w:space="0" w:color="000000"/>
                  </w:tcBorders>
                  <w:shd w:val="clear" w:color="auto" w:fill="auto"/>
                  <w:vAlign w:val="bottom"/>
                  <w:hideMark/>
                </w:tcPr>
                <w:p w14:paraId="5FFC2FE3" w14:textId="77777777" w:rsidR="00C33A9E" w:rsidRPr="00C33A9E" w:rsidRDefault="00C33A9E" w:rsidP="00C33A9E">
                  <w:pPr>
                    <w:widowControl/>
                    <w:adjustRightInd/>
                    <w:jc w:val="center"/>
                    <w:rPr>
                      <w:sz w:val="18"/>
                      <w:szCs w:val="18"/>
                    </w:rPr>
                  </w:pPr>
                  <w:r w:rsidRPr="00C33A9E">
                    <w:rPr>
                      <w:sz w:val="18"/>
                      <w:szCs w:val="18"/>
                    </w:rPr>
                    <w:t xml:space="preserve">$1,612.80 </w:t>
                  </w:r>
                </w:p>
              </w:tc>
              <w:tc>
                <w:tcPr>
                  <w:tcW w:w="900" w:type="dxa"/>
                  <w:tcBorders>
                    <w:top w:val="nil"/>
                    <w:left w:val="nil"/>
                    <w:bottom w:val="single" w:sz="8" w:space="0" w:color="000000"/>
                    <w:right w:val="single" w:sz="8" w:space="0" w:color="000000"/>
                  </w:tcBorders>
                  <w:shd w:val="clear" w:color="auto" w:fill="auto"/>
                  <w:vAlign w:val="bottom"/>
                  <w:hideMark/>
                </w:tcPr>
                <w:p w14:paraId="68C6103F" w14:textId="77777777" w:rsidR="00C33A9E" w:rsidRPr="00C33A9E" w:rsidRDefault="00C33A9E" w:rsidP="00C33A9E">
                  <w:pPr>
                    <w:widowControl/>
                    <w:adjustRightInd/>
                    <w:jc w:val="center"/>
                    <w:rPr>
                      <w:sz w:val="18"/>
                      <w:szCs w:val="18"/>
                    </w:rPr>
                  </w:pPr>
                  <w:r w:rsidRPr="00C33A9E">
                    <w:rPr>
                      <w:sz w:val="18"/>
                      <w:szCs w:val="18"/>
                    </w:rPr>
                    <w:t xml:space="preserve">$1,612.80 </w:t>
                  </w:r>
                </w:p>
              </w:tc>
              <w:tc>
                <w:tcPr>
                  <w:tcW w:w="880" w:type="dxa"/>
                  <w:tcBorders>
                    <w:top w:val="nil"/>
                    <w:left w:val="nil"/>
                    <w:bottom w:val="single" w:sz="8" w:space="0" w:color="000000"/>
                    <w:right w:val="single" w:sz="8" w:space="0" w:color="000000"/>
                  </w:tcBorders>
                  <w:shd w:val="clear" w:color="auto" w:fill="auto"/>
                  <w:vAlign w:val="bottom"/>
                  <w:hideMark/>
                </w:tcPr>
                <w:p w14:paraId="116A3999" w14:textId="77777777" w:rsidR="00C33A9E" w:rsidRPr="00C33A9E" w:rsidRDefault="00C33A9E" w:rsidP="00C33A9E">
                  <w:pPr>
                    <w:widowControl/>
                    <w:adjustRightInd/>
                    <w:jc w:val="center"/>
                    <w:rPr>
                      <w:sz w:val="18"/>
                      <w:szCs w:val="18"/>
                    </w:rPr>
                  </w:pPr>
                  <w:r w:rsidRPr="00C33A9E">
                    <w:rPr>
                      <w:sz w:val="18"/>
                      <w:szCs w:val="18"/>
                    </w:rPr>
                    <w:t xml:space="preserve">$1,612.80 </w:t>
                  </w:r>
                </w:p>
              </w:tc>
              <w:tc>
                <w:tcPr>
                  <w:tcW w:w="740" w:type="dxa"/>
                  <w:tcBorders>
                    <w:top w:val="nil"/>
                    <w:left w:val="nil"/>
                    <w:bottom w:val="single" w:sz="8" w:space="0" w:color="000000"/>
                    <w:right w:val="single" w:sz="8" w:space="0" w:color="000000"/>
                  </w:tcBorders>
                  <w:shd w:val="clear" w:color="auto" w:fill="auto"/>
                  <w:vAlign w:val="bottom"/>
                  <w:hideMark/>
                </w:tcPr>
                <w:p w14:paraId="33306DF6" w14:textId="77777777" w:rsidR="00C33A9E" w:rsidRPr="00C33A9E" w:rsidRDefault="00C33A9E" w:rsidP="00C33A9E">
                  <w:pPr>
                    <w:widowControl/>
                    <w:adjustRightInd/>
                    <w:jc w:val="center"/>
                    <w:rPr>
                      <w:sz w:val="18"/>
                      <w:szCs w:val="18"/>
                    </w:rPr>
                  </w:pPr>
                  <w:r w:rsidRPr="00C33A9E">
                    <w:rPr>
                      <w:sz w:val="18"/>
                      <w:szCs w:val="18"/>
                    </w:rPr>
                    <w:t xml:space="preserve">$10.00 </w:t>
                  </w:r>
                </w:p>
              </w:tc>
              <w:tc>
                <w:tcPr>
                  <w:tcW w:w="780" w:type="dxa"/>
                  <w:tcBorders>
                    <w:top w:val="nil"/>
                    <w:left w:val="nil"/>
                    <w:bottom w:val="single" w:sz="8" w:space="0" w:color="000000"/>
                    <w:right w:val="single" w:sz="8" w:space="0" w:color="000000"/>
                  </w:tcBorders>
                  <w:shd w:val="clear" w:color="auto" w:fill="auto"/>
                  <w:vAlign w:val="bottom"/>
                  <w:hideMark/>
                </w:tcPr>
                <w:p w14:paraId="63F745DD" w14:textId="77777777" w:rsidR="00C33A9E" w:rsidRPr="00C33A9E" w:rsidRDefault="00C33A9E" w:rsidP="00C33A9E">
                  <w:pPr>
                    <w:widowControl/>
                    <w:adjustRightInd/>
                    <w:jc w:val="center"/>
                    <w:rPr>
                      <w:sz w:val="18"/>
                      <w:szCs w:val="18"/>
                    </w:rPr>
                  </w:pPr>
                  <w:r w:rsidRPr="00C33A9E">
                    <w:rPr>
                      <w:sz w:val="18"/>
                      <w:szCs w:val="18"/>
                    </w:rPr>
                    <w:t xml:space="preserve">$10.00 </w:t>
                  </w:r>
                </w:p>
              </w:tc>
              <w:tc>
                <w:tcPr>
                  <w:tcW w:w="760" w:type="dxa"/>
                  <w:tcBorders>
                    <w:top w:val="nil"/>
                    <w:left w:val="nil"/>
                    <w:bottom w:val="single" w:sz="8" w:space="0" w:color="000000"/>
                    <w:right w:val="single" w:sz="8" w:space="0" w:color="000000"/>
                  </w:tcBorders>
                  <w:shd w:val="clear" w:color="auto" w:fill="auto"/>
                  <w:vAlign w:val="bottom"/>
                  <w:hideMark/>
                </w:tcPr>
                <w:p w14:paraId="204024C6" w14:textId="77777777" w:rsidR="00C33A9E" w:rsidRPr="00C33A9E" w:rsidRDefault="00C33A9E" w:rsidP="00C33A9E">
                  <w:pPr>
                    <w:widowControl/>
                    <w:adjustRightInd/>
                    <w:jc w:val="center"/>
                    <w:rPr>
                      <w:sz w:val="18"/>
                      <w:szCs w:val="18"/>
                    </w:rPr>
                  </w:pPr>
                  <w:r w:rsidRPr="00C33A9E">
                    <w:rPr>
                      <w:sz w:val="18"/>
                      <w:szCs w:val="18"/>
                    </w:rPr>
                    <w:t xml:space="preserve">$10.00 </w:t>
                  </w:r>
                </w:p>
              </w:tc>
              <w:tc>
                <w:tcPr>
                  <w:tcW w:w="880" w:type="dxa"/>
                  <w:tcBorders>
                    <w:top w:val="nil"/>
                    <w:left w:val="nil"/>
                    <w:bottom w:val="single" w:sz="8" w:space="0" w:color="000000"/>
                    <w:right w:val="single" w:sz="8" w:space="0" w:color="000000"/>
                  </w:tcBorders>
                  <w:shd w:val="clear" w:color="auto" w:fill="auto"/>
                  <w:vAlign w:val="bottom"/>
                  <w:hideMark/>
                </w:tcPr>
                <w:p w14:paraId="57CF9293" w14:textId="77777777" w:rsidR="00C33A9E" w:rsidRPr="00C33A9E" w:rsidRDefault="00C33A9E" w:rsidP="00C33A9E">
                  <w:pPr>
                    <w:widowControl/>
                    <w:adjustRightInd/>
                    <w:jc w:val="center"/>
                    <w:rPr>
                      <w:sz w:val="18"/>
                      <w:szCs w:val="18"/>
                    </w:rPr>
                  </w:pPr>
                  <w:r w:rsidRPr="00C33A9E">
                    <w:rPr>
                      <w:sz w:val="18"/>
                      <w:szCs w:val="18"/>
                    </w:rPr>
                    <w:t xml:space="preserve">$1,622.80 </w:t>
                  </w:r>
                </w:p>
              </w:tc>
              <w:tc>
                <w:tcPr>
                  <w:tcW w:w="840" w:type="dxa"/>
                  <w:tcBorders>
                    <w:top w:val="nil"/>
                    <w:left w:val="nil"/>
                    <w:bottom w:val="single" w:sz="8" w:space="0" w:color="000000"/>
                    <w:right w:val="single" w:sz="8" w:space="0" w:color="000000"/>
                  </w:tcBorders>
                  <w:shd w:val="clear" w:color="auto" w:fill="auto"/>
                  <w:vAlign w:val="bottom"/>
                  <w:hideMark/>
                </w:tcPr>
                <w:p w14:paraId="5136F8A7" w14:textId="77777777" w:rsidR="00C33A9E" w:rsidRPr="00C33A9E" w:rsidRDefault="00C33A9E" w:rsidP="00C33A9E">
                  <w:pPr>
                    <w:widowControl/>
                    <w:adjustRightInd/>
                    <w:jc w:val="center"/>
                    <w:rPr>
                      <w:sz w:val="18"/>
                      <w:szCs w:val="18"/>
                    </w:rPr>
                  </w:pPr>
                  <w:r w:rsidRPr="00C33A9E">
                    <w:rPr>
                      <w:sz w:val="18"/>
                      <w:szCs w:val="18"/>
                    </w:rPr>
                    <w:t xml:space="preserve">$1,622.80 </w:t>
                  </w:r>
                </w:p>
              </w:tc>
              <w:tc>
                <w:tcPr>
                  <w:tcW w:w="840" w:type="dxa"/>
                  <w:tcBorders>
                    <w:top w:val="nil"/>
                    <w:left w:val="nil"/>
                    <w:bottom w:val="single" w:sz="8" w:space="0" w:color="000000"/>
                    <w:right w:val="double" w:sz="6" w:space="0" w:color="000000"/>
                  </w:tcBorders>
                  <w:shd w:val="clear" w:color="auto" w:fill="auto"/>
                  <w:vAlign w:val="bottom"/>
                  <w:hideMark/>
                </w:tcPr>
                <w:p w14:paraId="44EE040C" w14:textId="77777777" w:rsidR="00C33A9E" w:rsidRPr="00C33A9E" w:rsidRDefault="00C33A9E" w:rsidP="00C33A9E">
                  <w:pPr>
                    <w:widowControl/>
                    <w:adjustRightInd/>
                    <w:jc w:val="center"/>
                    <w:rPr>
                      <w:sz w:val="18"/>
                      <w:szCs w:val="18"/>
                    </w:rPr>
                  </w:pPr>
                  <w:r w:rsidRPr="00C33A9E">
                    <w:rPr>
                      <w:sz w:val="18"/>
                      <w:szCs w:val="18"/>
                    </w:rPr>
                    <w:t xml:space="preserve">$1,622.80 </w:t>
                  </w:r>
                </w:p>
              </w:tc>
            </w:tr>
            <w:tr w:rsidR="00C33A9E" w:rsidRPr="00C33A9E" w14:paraId="355F60D2" w14:textId="77777777" w:rsidTr="00C33A9E">
              <w:trPr>
                <w:trHeight w:val="525"/>
              </w:trPr>
              <w:tc>
                <w:tcPr>
                  <w:tcW w:w="1780" w:type="dxa"/>
                  <w:tcBorders>
                    <w:top w:val="nil"/>
                    <w:left w:val="double" w:sz="6" w:space="0" w:color="000000"/>
                    <w:bottom w:val="double" w:sz="6" w:space="0" w:color="000000"/>
                    <w:right w:val="single" w:sz="8" w:space="0" w:color="000000"/>
                  </w:tcBorders>
                  <w:shd w:val="clear" w:color="auto" w:fill="auto"/>
                  <w:vAlign w:val="bottom"/>
                  <w:hideMark/>
                </w:tcPr>
                <w:p w14:paraId="6E7E581B" w14:textId="77777777" w:rsidR="00C33A9E" w:rsidRPr="00C33A9E" w:rsidRDefault="00C33A9E" w:rsidP="00C33A9E">
                  <w:pPr>
                    <w:widowControl/>
                    <w:adjustRightInd/>
                    <w:rPr>
                      <w:b/>
                      <w:bCs/>
                      <w:sz w:val="20"/>
                      <w:szCs w:val="20"/>
                    </w:rPr>
                  </w:pPr>
                  <w:r w:rsidRPr="00C33A9E">
                    <w:rPr>
                      <w:b/>
                      <w:bCs/>
                      <w:sz w:val="20"/>
                      <w:szCs w:val="20"/>
                    </w:rPr>
                    <w:t>Total Costs for a Typical Facility</w:t>
                  </w:r>
                </w:p>
              </w:tc>
              <w:tc>
                <w:tcPr>
                  <w:tcW w:w="860" w:type="dxa"/>
                  <w:tcBorders>
                    <w:top w:val="nil"/>
                    <w:left w:val="nil"/>
                    <w:bottom w:val="double" w:sz="6" w:space="0" w:color="000000"/>
                    <w:right w:val="single" w:sz="8" w:space="0" w:color="000000"/>
                  </w:tcBorders>
                  <w:shd w:val="clear" w:color="auto" w:fill="auto"/>
                  <w:vAlign w:val="bottom"/>
                  <w:hideMark/>
                </w:tcPr>
                <w:p w14:paraId="0006E572" w14:textId="77777777" w:rsidR="00C33A9E" w:rsidRPr="00B23DF0" w:rsidRDefault="00C33A9E" w:rsidP="00C33A9E">
                  <w:pPr>
                    <w:widowControl/>
                    <w:adjustRightInd/>
                    <w:jc w:val="center"/>
                    <w:rPr>
                      <w:b/>
                      <w:bCs/>
                      <w:color w:val="008000"/>
                      <w:sz w:val="18"/>
                      <w:szCs w:val="18"/>
                    </w:rPr>
                  </w:pPr>
                  <w:r w:rsidRPr="00B23DF0">
                    <w:rPr>
                      <w:b/>
                      <w:bCs/>
                      <w:color w:val="008000"/>
                      <w:sz w:val="18"/>
                      <w:szCs w:val="18"/>
                    </w:rPr>
                    <w:t xml:space="preserve">$5,922.88 </w:t>
                  </w:r>
                </w:p>
              </w:tc>
              <w:tc>
                <w:tcPr>
                  <w:tcW w:w="900" w:type="dxa"/>
                  <w:tcBorders>
                    <w:top w:val="nil"/>
                    <w:left w:val="nil"/>
                    <w:bottom w:val="double" w:sz="6" w:space="0" w:color="000000"/>
                    <w:right w:val="single" w:sz="8" w:space="0" w:color="000000"/>
                  </w:tcBorders>
                  <w:shd w:val="clear" w:color="auto" w:fill="auto"/>
                  <w:vAlign w:val="bottom"/>
                  <w:hideMark/>
                </w:tcPr>
                <w:p w14:paraId="239CED9B" w14:textId="77777777" w:rsidR="00C33A9E" w:rsidRPr="00C33A9E" w:rsidRDefault="00C33A9E" w:rsidP="00C33A9E">
                  <w:pPr>
                    <w:widowControl/>
                    <w:adjustRightInd/>
                    <w:jc w:val="center"/>
                    <w:rPr>
                      <w:b/>
                      <w:bCs/>
                      <w:sz w:val="18"/>
                      <w:szCs w:val="18"/>
                    </w:rPr>
                  </w:pPr>
                  <w:r w:rsidRPr="00C33A9E">
                    <w:rPr>
                      <w:b/>
                      <w:bCs/>
                      <w:sz w:val="18"/>
                      <w:szCs w:val="18"/>
                    </w:rPr>
                    <w:t xml:space="preserve">$3,914.36 </w:t>
                  </w:r>
                </w:p>
              </w:tc>
              <w:tc>
                <w:tcPr>
                  <w:tcW w:w="880" w:type="dxa"/>
                  <w:tcBorders>
                    <w:top w:val="nil"/>
                    <w:left w:val="nil"/>
                    <w:bottom w:val="double" w:sz="6" w:space="0" w:color="000000"/>
                    <w:right w:val="single" w:sz="8" w:space="0" w:color="000000"/>
                  </w:tcBorders>
                  <w:shd w:val="clear" w:color="auto" w:fill="auto"/>
                  <w:vAlign w:val="bottom"/>
                  <w:hideMark/>
                </w:tcPr>
                <w:p w14:paraId="565406B6" w14:textId="77777777" w:rsidR="00C33A9E" w:rsidRPr="00C33A9E" w:rsidRDefault="00C33A9E" w:rsidP="00C33A9E">
                  <w:pPr>
                    <w:widowControl/>
                    <w:adjustRightInd/>
                    <w:jc w:val="center"/>
                    <w:rPr>
                      <w:b/>
                      <w:bCs/>
                      <w:sz w:val="18"/>
                      <w:szCs w:val="18"/>
                    </w:rPr>
                  </w:pPr>
                  <w:r w:rsidRPr="00C33A9E">
                    <w:rPr>
                      <w:b/>
                      <w:bCs/>
                      <w:sz w:val="18"/>
                      <w:szCs w:val="18"/>
                    </w:rPr>
                    <w:t xml:space="preserve">$3,914.36 </w:t>
                  </w:r>
                </w:p>
              </w:tc>
              <w:tc>
                <w:tcPr>
                  <w:tcW w:w="740" w:type="dxa"/>
                  <w:tcBorders>
                    <w:top w:val="nil"/>
                    <w:left w:val="nil"/>
                    <w:bottom w:val="double" w:sz="6" w:space="0" w:color="000000"/>
                    <w:right w:val="single" w:sz="8" w:space="0" w:color="000000"/>
                  </w:tcBorders>
                  <w:shd w:val="clear" w:color="auto" w:fill="auto"/>
                  <w:vAlign w:val="bottom"/>
                  <w:hideMark/>
                </w:tcPr>
                <w:p w14:paraId="70924C74" w14:textId="77777777" w:rsidR="00C33A9E" w:rsidRPr="00C33A9E" w:rsidRDefault="00C33A9E" w:rsidP="00C33A9E">
                  <w:pPr>
                    <w:widowControl/>
                    <w:adjustRightInd/>
                    <w:jc w:val="center"/>
                    <w:rPr>
                      <w:b/>
                      <w:bCs/>
                      <w:sz w:val="18"/>
                      <w:szCs w:val="18"/>
                    </w:rPr>
                  </w:pPr>
                  <w:r w:rsidRPr="00C33A9E">
                    <w:rPr>
                      <w:b/>
                      <w:bCs/>
                      <w:sz w:val="18"/>
                      <w:szCs w:val="18"/>
                    </w:rPr>
                    <w:t xml:space="preserve">$77.68 </w:t>
                  </w:r>
                </w:p>
              </w:tc>
              <w:tc>
                <w:tcPr>
                  <w:tcW w:w="780" w:type="dxa"/>
                  <w:tcBorders>
                    <w:top w:val="nil"/>
                    <w:left w:val="nil"/>
                    <w:bottom w:val="double" w:sz="6" w:space="0" w:color="000000"/>
                    <w:right w:val="single" w:sz="8" w:space="0" w:color="000000"/>
                  </w:tcBorders>
                  <w:shd w:val="clear" w:color="auto" w:fill="auto"/>
                  <w:vAlign w:val="bottom"/>
                  <w:hideMark/>
                </w:tcPr>
                <w:p w14:paraId="378C0443" w14:textId="77777777" w:rsidR="00C33A9E" w:rsidRPr="00C33A9E" w:rsidRDefault="00C33A9E" w:rsidP="00C33A9E">
                  <w:pPr>
                    <w:widowControl/>
                    <w:adjustRightInd/>
                    <w:jc w:val="center"/>
                    <w:rPr>
                      <w:b/>
                      <w:bCs/>
                      <w:sz w:val="18"/>
                      <w:szCs w:val="18"/>
                    </w:rPr>
                  </w:pPr>
                  <w:r w:rsidRPr="00C33A9E">
                    <w:rPr>
                      <w:b/>
                      <w:bCs/>
                      <w:sz w:val="18"/>
                      <w:szCs w:val="18"/>
                    </w:rPr>
                    <w:t xml:space="preserve">$86.14 </w:t>
                  </w:r>
                </w:p>
              </w:tc>
              <w:tc>
                <w:tcPr>
                  <w:tcW w:w="760" w:type="dxa"/>
                  <w:tcBorders>
                    <w:top w:val="nil"/>
                    <w:left w:val="nil"/>
                    <w:bottom w:val="double" w:sz="6" w:space="0" w:color="000000"/>
                    <w:right w:val="single" w:sz="8" w:space="0" w:color="000000"/>
                  </w:tcBorders>
                  <w:shd w:val="clear" w:color="auto" w:fill="auto"/>
                  <w:vAlign w:val="bottom"/>
                  <w:hideMark/>
                </w:tcPr>
                <w:p w14:paraId="118C5D94" w14:textId="77777777" w:rsidR="00C33A9E" w:rsidRPr="00C33A9E" w:rsidRDefault="00C33A9E" w:rsidP="00C33A9E">
                  <w:pPr>
                    <w:widowControl/>
                    <w:adjustRightInd/>
                    <w:jc w:val="center"/>
                    <w:rPr>
                      <w:b/>
                      <w:bCs/>
                      <w:sz w:val="18"/>
                      <w:szCs w:val="18"/>
                    </w:rPr>
                  </w:pPr>
                  <w:r w:rsidRPr="00C33A9E">
                    <w:rPr>
                      <w:b/>
                      <w:bCs/>
                      <w:sz w:val="18"/>
                      <w:szCs w:val="18"/>
                    </w:rPr>
                    <w:t xml:space="preserve">$18.46 </w:t>
                  </w:r>
                </w:p>
              </w:tc>
              <w:tc>
                <w:tcPr>
                  <w:tcW w:w="880" w:type="dxa"/>
                  <w:tcBorders>
                    <w:top w:val="nil"/>
                    <w:left w:val="nil"/>
                    <w:bottom w:val="double" w:sz="6" w:space="0" w:color="000000"/>
                    <w:right w:val="single" w:sz="8" w:space="0" w:color="000000"/>
                  </w:tcBorders>
                  <w:shd w:val="clear" w:color="auto" w:fill="auto"/>
                  <w:vAlign w:val="bottom"/>
                  <w:hideMark/>
                </w:tcPr>
                <w:p w14:paraId="50EEA512" w14:textId="77777777" w:rsidR="00C33A9E" w:rsidRPr="00B23DF0" w:rsidRDefault="00C33A9E" w:rsidP="00C33A9E">
                  <w:pPr>
                    <w:widowControl/>
                    <w:adjustRightInd/>
                    <w:jc w:val="center"/>
                    <w:rPr>
                      <w:b/>
                      <w:bCs/>
                      <w:color w:val="008000"/>
                      <w:sz w:val="18"/>
                      <w:szCs w:val="18"/>
                    </w:rPr>
                  </w:pPr>
                  <w:r w:rsidRPr="00B23DF0">
                    <w:rPr>
                      <w:b/>
                      <w:bCs/>
                      <w:color w:val="008000"/>
                      <w:sz w:val="18"/>
                      <w:szCs w:val="18"/>
                    </w:rPr>
                    <w:t xml:space="preserve">$6,000.56 </w:t>
                  </w:r>
                </w:p>
              </w:tc>
              <w:tc>
                <w:tcPr>
                  <w:tcW w:w="840" w:type="dxa"/>
                  <w:tcBorders>
                    <w:top w:val="nil"/>
                    <w:left w:val="nil"/>
                    <w:bottom w:val="double" w:sz="6" w:space="0" w:color="000000"/>
                    <w:right w:val="single" w:sz="8" w:space="0" w:color="000000"/>
                  </w:tcBorders>
                  <w:shd w:val="clear" w:color="auto" w:fill="auto"/>
                  <w:vAlign w:val="bottom"/>
                  <w:hideMark/>
                </w:tcPr>
                <w:p w14:paraId="6E3F871E" w14:textId="77777777" w:rsidR="00C33A9E" w:rsidRPr="00C33A9E" w:rsidRDefault="00C33A9E" w:rsidP="00C33A9E">
                  <w:pPr>
                    <w:widowControl/>
                    <w:adjustRightInd/>
                    <w:jc w:val="center"/>
                    <w:rPr>
                      <w:b/>
                      <w:bCs/>
                      <w:sz w:val="18"/>
                      <w:szCs w:val="18"/>
                    </w:rPr>
                  </w:pPr>
                  <w:r w:rsidRPr="00C33A9E">
                    <w:rPr>
                      <w:b/>
                      <w:bCs/>
                      <w:sz w:val="18"/>
                      <w:szCs w:val="18"/>
                    </w:rPr>
                    <w:t xml:space="preserve">$4,000.50 </w:t>
                  </w:r>
                </w:p>
              </w:tc>
              <w:tc>
                <w:tcPr>
                  <w:tcW w:w="840" w:type="dxa"/>
                  <w:tcBorders>
                    <w:top w:val="nil"/>
                    <w:left w:val="nil"/>
                    <w:bottom w:val="double" w:sz="6" w:space="0" w:color="000000"/>
                    <w:right w:val="double" w:sz="6" w:space="0" w:color="000000"/>
                  </w:tcBorders>
                  <w:shd w:val="clear" w:color="auto" w:fill="auto"/>
                  <w:vAlign w:val="bottom"/>
                  <w:hideMark/>
                </w:tcPr>
                <w:p w14:paraId="162F731A" w14:textId="77777777" w:rsidR="00C33A9E" w:rsidRPr="00C33A9E" w:rsidRDefault="00C33A9E" w:rsidP="00C33A9E">
                  <w:pPr>
                    <w:widowControl/>
                    <w:adjustRightInd/>
                    <w:jc w:val="center"/>
                    <w:rPr>
                      <w:b/>
                      <w:bCs/>
                      <w:sz w:val="18"/>
                      <w:szCs w:val="18"/>
                    </w:rPr>
                  </w:pPr>
                  <w:r w:rsidRPr="00C33A9E">
                    <w:rPr>
                      <w:b/>
                      <w:bCs/>
                      <w:sz w:val="18"/>
                      <w:szCs w:val="18"/>
                    </w:rPr>
                    <w:t xml:space="preserve">$3,932.82 </w:t>
                  </w:r>
                </w:p>
              </w:tc>
            </w:tr>
          </w:tbl>
          <w:p w14:paraId="5E091075" w14:textId="77777777" w:rsidR="005371BE" w:rsidRPr="005371BE" w:rsidRDefault="005371BE" w:rsidP="005371BE">
            <w:pPr>
              <w:widowControl/>
              <w:adjustRightInd/>
              <w:rPr>
                <w:sz w:val="20"/>
                <w:szCs w:val="20"/>
              </w:rPr>
            </w:pPr>
            <w:r w:rsidRPr="005371BE">
              <w:rPr>
                <w:sz w:val="20"/>
                <w:szCs w:val="20"/>
              </w:rPr>
              <w:t xml:space="preserve">A “typical” respondent is assumed to report </w:t>
            </w:r>
            <w:r w:rsidRPr="005371BE">
              <w:rPr>
                <w:b/>
                <w:bCs/>
                <w:sz w:val="20"/>
                <w:szCs w:val="20"/>
              </w:rPr>
              <w:t>eight</w:t>
            </w:r>
            <w:r w:rsidRPr="005371BE">
              <w:rPr>
                <w:sz w:val="20"/>
                <w:szCs w:val="20"/>
              </w:rPr>
              <w:t xml:space="preserve"> continuous hazardous substance releases in year one and to experience a change in </w:t>
            </w:r>
            <w:r w:rsidRPr="005371BE">
              <w:rPr>
                <w:b/>
                <w:bCs/>
                <w:sz w:val="20"/>
                <w:szCs w:val="20"/>
              </w:rPr>
              <w:t>one release in the second and third years</w:t>
            </w:r>
            <w:r w:rsidRPr="005371BE">
              <w:rPr>
                <w:sz w:val="20"/>
                <w:szCs w:val="20"/>
              </w:rPr>
              <w:t xml:space="preserve"> (e.g., the frequency of the release per week changes each year, causing a modification in the estimated annual release amount).  No other </w:t>
            </w:r>
            <w:r w:rsidRPr="005371BE">
              <w:rPr>
                <w:sz w:val="20"/>
                <w:szCs w:val="20"/>
                <w:u w:val="single"/>
              </w:rPr>
              <w:t>conditional</w:t>
            </w:r>
            <w:r w:rsidRPr="005371BE">
              <w:rPr>
                <w:sz w:val="20"/>
                <w:szCs w:val="20"/>
              </w:rPr>
              <w:t xml:space="preserve"> activities are assumed to be required of the typical respondent.</w:t>
            </w:r>
          </w:p>
        </w:tc>
      </w:tr>
    </w:tbl>
    <w:p w14:paraId="6E7A81AE" w14:textId="77777777" w:rsidR="00046522" w:rsidRPr="001D26B6" w:rsidRDefault="001D26B6" w:rsidP="001D26B6">
      <w:pPr>
        <w:rPr>
          <w:color w:val="99CC00"/>
          <w:sz w:val="20"/>
          <w:szCs w:val="20"/>
        </w:rPr>
      </w:pPr>
      <w:r w:rsidRPr="008813A3">
        <w:rPr>
          <w:sz w:val="20"/>
          <w:szCs w:val="20"/>
        </w:rPr>
        <w:t>N/A = Not Applicable</w:t>
      </w:r>
    </w:p>
    <w:p w14:paraId="6CCDE58C" w14:textId="77777777" w:rsidR="00727BA0" w:rsidRDefault="00727BA0" w:rsidP="00727BA0">
      <w:pPr>
        <w:pStyle w:val="Heading2"/>
      </w:pPr>
      <w:bookmarkStart w:id="69" w:name="Exhibit_8"/>
      <w:bookmarkStart w:id="70" w:name="_Toc302552515"/>
      <w:bookmarkEnd w:id="69"/>
      <w:r>
        <w:t>Estimating Agency Burden and Cost</w:t>
      </w:r>
      <w:bookmarkEnd w:id="70"/>
    </w:p>
    <w:p w14:paraId="31EC1715" w14:textId="77777777" w:rsidR="00727BA0" w:rsidRDefault="00727BA0" w:rsidP="00727BA0"/>
    <w:p w14:paraId="493E57C5" w14:textId="77777777" w:rsidR="00727BA0" w:rsidRPr="001F3A52" w:rsidRDefault="00727BA0" w:rsidP="00727BA0">
      <w:pPr>
        <w:ind w:firstLine="720"/>
      </w:pPr>
      <w:r w:rsidRPr="001F3A52">
        <w:t xml:space="preserve">To comply with the provisions of the CRRR, Federal government authorities perform the following activities (see also Section 5(a) of this ICR):  (1) process initial telephone notification; (2) process initial written report; (3) process follow-up written report; (4) process change in the sources, composition or frequency of release reports; (5) process other changes in information; (6) process SSI  reports; and (7) conduct other necessary activities (obtain additional information, conduct site inspection).  The estimated burden to the Federal government for completing each of these CRRR-mandated activities is based on the CRRR economic impact analysis.  The CRRR Economic Impact is available in rule making </w:t>
      </w:r>
      <w:r w:rsidR="00591DAF">
        <w:t xml:space="preserve">Superfund </w:t>
      </w:r>
      <w:r w:rsidRPr="00591DAF">
        <w:t>Docket Number 103(f)CR - 4-8.</w:t>
      </w:r>
    </w:p>
    <w:p w14:paraId="77BA03EB" w14:textId="77777777" w:rsidR="00727BA0" w:rsidRPr="001F3A52" w:rsidRDefault="00727BA0" w:rsidP="00727BA0"/>
    <w:p w14:paraId="36354908" w14:textId="78F83740" w:rsidR="00727BA0" w:rsidRDefault="00727BA0" w:rsidP="00305A08">
      <w:r w:rsidRPr="001F3A52">
        <w:t xml:space="preserve">Exhibit 9 presents the estimated burden-hours and unit cost associated with the Federal </w:t>
      </w:r>
      <w:r w:rsidRPr="001F3A52">
        <w:lastRenderedPageBreak/>
        <w:t>government</w:t>
      </w:r>
      <w:r>
        <w:t>’</w:t>
      </w:r>
      <w:r w:rsidRPr="001F3A52">
        <w:t xml:space="preserve">s processing and evaluation of the various continuous release reports, as well as the burden and cost associated with any other government initiated activities that may involve the collection of information.  The unit cost estimates presented in Exhibit 9 are derived by multiplying the applicable burden estimates by the average hourly wage rate for government employees.  </w:t>
      </w:r>
      <w:r w:rsidR="00557C81" w:rsidRPr="00557C81">
        <w:t xml:space="preserve">Based on the </w:t>
      </w:r>
      <w:r w:rsidR="00557C81" w:rsidRPr="00E27E17">
        <w:t>20</w:t>
      </w:r>
      <w:r w:rsidR="00AE0F63" w:rsidRPr="00E27E17">
        <w:t>15</w:t>
      </w:r>
      <w:r w:rsidRPr="00E27E17">
        <w:t xml:space="preserve"> GS pay schedule, EPA estimates an average hourly labor cost of </w:t>
      </w:r>
      <w:r w:rsidR="00AE0F63" w:rsidRPr="00E27E17">
        <w:t>$47.14</w:t>
      </w:r>
      <w:r w:rsidRPr="00E27E17">
        <w:t xml:space="preserve"> </w:t>
      </w:r>
      <w:r w:rsidRPr="00557C81">
        <w:t>for the average Federal government employee.</w:t>
      </w:r>
      <w:r w:rsidRPr="00557C81">
        <w:rPr>
          <w:rStyle w:val="FootnoteReference"/>
          <w:vertAlign w:val="superscript"/>
        </w:rPr>
        <w:footnoteReference w:id="8"/>
      </w:r>
      <w:r w:rsidRPr="00557C81">
        <w:t xml:space="preserve">  A full description of the basis for each government burden</w:t>
      </w:r>
      <w:r w:rsidRPr="001F3A52">
        <w:t xml:space="preserve"> estimate is provided in the remainder of this section.</w:t>
      </w:r>
    </w:p>
    <w:p w14:paraId="353F78B8" w14:textId="77777777" w:rsidR="00624695" w:rsidRDefault="00624695" w:rsidP="00727BA0">
      <w:pPr>
        <w:ind w:firstLine="720"/>
      </w:pPr>
    </w:p>
    <w:p w14:paraId="5F070940" w14:textId="77777777" w:rsidR="00802272" w:rsidRDefault="00624695" w:rsidP="00624695">
      <w:pPr>
        <w:keepNext/>
        <w:jc w:val="center"/>
        <w:outlineLvl w:val="4"/>
      </w:pPr>
      <w:bookmarkStart w:id="71" w:name="_Toc302552516"/>
      <w:r>
        <w:rPr>
          <w:b/>
        </w:rPr>
        <w:t>Exhibit 9 – Unit Burden Hours and Costs Incurred by the Government per Information Collection Activity</w:t>
      </w:r>
      <w:bookmarkEnd w:id="71"/>
    </w:p>
    <w:p w14:paraId="2BFAD75C" w14:textId="09ED27D2" w:rsidR="002E0F3E" w:rsidRDefault="00AE0F63" w:rsidP="002E0F3E">
      <w:pPr>
        <w:ind w:firstLine="720"/>
        <w:jc w:val="center"/>
      </w:pPr>
      <w:r w:rsidRPr="002F6FEE">
        <w:rPr>
          <w:noProof/>
        </w:rPr>
        <w:drawing>
          <wp:inline distT="0" distB="0" distL="0" distR="0" wp14:anchorId="6A1D605A" wp14:editId="04065E53">
            <wp:extent cx="3886200" cy="25336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6200" cy="2533650"/>
                    </a:xfrm>
                    <a:prstGeom prst="rect">
                      <a:avLst/>
                    </a:prstGeom>
                    <a:noFill/>
                    <a:ln>
                      <a:noFill/>
                    </a:ln>
                  </pic:spPr>
                </pic:pic>
              </a:graphicData>
            </a:graphic>
          </wp:inline>
        </w:drawing>
      </w:r>
    </w:p>
    <w:p w14:paraId="5124A89B" w14:textId="77777777" w:rsidR="00C57958" w:rsidRDefault="00C57958" w:rsidP="002E0F3E">
      <w:pPr>
        <w:ind w:firstLine="720"/>
        <w:jc w:val="center"/>
      </w:pPr>
    </w:p>
    <w:p w14:paraId="06652764" w14:textId="77777777" w:rsidR="00802272" w:rsidRPr="00B23DF0" w:rsidRDefault="00802272" w:rsidP="00727BA0">
      <w:pPr>
        <w:ind w:firstLine="720"/>
        <w:rPr>
          <w:color w:val="008000"/>
        </w:rPr>
      </w:pPr>
      <w:r w:rsidRPr="00B23DF0">
        <w:rPr>
          <w:color w:val="008000"/>
        </w:rPr>
        <w:t xml:space="preserve">We believe that submission of continuous release reporting forms will increase efficiencies in processing reports by the Federal government.  For the purposes of this analysis, we are assuming that processing forms will save </w:t>
      </w:r>
      <w:r w:rsidR="005D16AB" w:rsidRPr="00B23DF0">
        <w:rPr>
          <w:color w:val="008000"/>
        </w:rPr>
        <w:t>approximately</w:t>
      </w:r>
      <w:r w:rsidRPr="00B23DF0">
        <w:rPr>
          <w:color w:val="008000"/>
        </w:rPr>
        <w:t xml:space="preserve"> 1/3</w:t>
      </w:r>
      <w:r w:rsidRPr="00B23DF0">
        <w:rPr>
          <w:color w:val="008000"/>
          <w:vertAlign w:val="superscript"/>
        </w:rPr>
        <w:t>rd</w:t>
      </w:r>
      <w:r w:rsidRPr="00B23DF0">
        <w:rPr>
          <w:color w:val="008000"/>
        </w:rPr>
        <w:t xml:space="preserve"> of estimated average times</w:t>
      </w:r>
      <w:r w:rsidR="0017595A" w:rsidRPr="00B23DF0">
        <w:rPr>
          <w:color w:val="008000"/>
        </w:rPr>
        <w:t xml:space="preserve"> for each activity that requires processing a report</w:t>
      </w:r>
      <w:r w:rsidRPr="00B23DF0">
        <w:rPr>
          <w:color w:val="008000"/>
        </w:rPr>
        <w:t xml:space="preserve">.  This assumption </w:t>
      </w:r>
      <w:r w:rsidR="005D16AB" w:rsidRPr="00B23DF0">
        <w:rPr>
          <w:color w:val="008000"/>
        </w:rPr>
        <w:t xml:space="preserve">will be reviewed during </w:t>
      </w:r>
      <w:r w:rsidRPr="00B23DF0">
        <w:rPr>
          <w:color w:val="008000"/>
        </w:rPr>
        <w:t>the next renewal.</w:t>
      </w:r>
      <w:r w:rsidR="002E0F3E" w:rsidRPr="00B23DF0">
        <w:rPr>
          <w:color w:val="008000"/>
        </w:rPr>
        <w:t xml:space="preserve">  Exhibit 9 (With Forms) presents the estimated burden-hours and unit cost associated with the Federal government’s processing and evaluation of the various continuous release reports, as well as the burden and cost associated with any other government initiated activities that may involve the collection of information when continuous release reporting forms are submitted by industries.</w:t>
      </w:r>
    </w:p>
    <w:p w14:paraId="71A4DC13" w14:textId="77777777" w:rsidR="00624695" w:rsidRDefault="00624695" w:rsidP="00727BA0">
      <w:pPr>
        <w:ind w:firstLine="720"/>
        <w:rPr>
          <w:color w:val="33CC33"/>
        </w:rPr>
      </w:pPr>
    </w:p>
    <w:p w14:paraId="40A41EA0" w14:textId="77777777" w:rsidR="003E5B1A" w:rsidRDefault="003E5B1A" w:rsidP="00727BA0">
      <w:pPr>
        <w:ind w:firstLine="720"/>
        <w:rPr>
          <w:color w:val="33CC33"/>
        </w:rPr>
      </w:pPr>
    </w:p>
    <w:p w14:paraId="7337C8CC" w14:textId="77777777" w:rsidR="003E5B1A" w:rsidRDefault="003E5B1A" w:rsidP="00727BA0">
      <w:pPr>
        <w:ind w:firstLine="720"/>
        <w:rPr>
          <w:color w:val="33CC33"/>
        </w:rPr>
      </w:pPr>
    </w:p>
    <w:p w14:paraId="3E1F30CC" w14:textId="77777777" w:rsidR="003E5B1A" w:rsidRDefault="003E5B1A" w:rsidP="00727BA0">
      <w:pPr>
        <w:ind w:firstLine="720"/>
        <w:rPr>
          <w:color w:val="33CC33"/>
        </w:rPr>
      </w:pPr>
    </w:p>
    <w:p w14:paraId="5C9BC04F" w14:textId="77777777" w:rsidR="00624695" w:rsidRPr="00B23DF0" w:rsidRDefault="000003F0" w:rsidP="000003F0">
      <w:pPr>
        <w:keepNext/>
        <w:jc w:val="center"/>
        <w:outlineLvl w:val="4"/>
        <w:rPr>
          <w:b/>
          <w:color w:val="008000"/>
        </w:rPr>
      </w:pPr>
      <w:bookmarkStart w:id="72" w:name="_Toc302552517"/>
      <w:r w:rsidRPr="00B23DF0">
        <w:rPr>
          <w:b/>
          <w:color w:val="008000"/>
        </w:rPr>
        <w:lastRenderedPageBreak/>
        <w:t>Exhibit 9 (With Forms) – Unit Burden Hours and Costs Incurred by the Government per Information Collection Activity</w:t>
      </w:r>
      <w:bookmarkEnd w:id="72"/>
    </w:p>
    <w:p w14:paraId="5E2D76D5" w14:textId="643633C5" w:rsidR="002E0F3E" w:rsidRPr="00802272" w:rsidRDefault="006F6CBB" w:rsidP="000003F0">
      <w:pPr>
        <w:jc w:val="center"/>
        <w:rPr>
          <w:color w:val="33CC33"/>
        </w:rPr>
      </w:pPr>
      <w:r w:rsidRPr="00B02621">
        <w:rPr>
          <w:noProof/>
        </w:rPr>
        <w:drawing>
          <wp:inline distT="0" distB="0" distL="0" distR="0" wp14:anchorId="0E6CFCE3" wp14:editId="062E4EA9">
            <wp:extent cx="3886200" cy="25336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0" cy="2533650"/>
                    </a:xfrm>
                    <a:prstGeom prst="rect">
                      <a:avLst/>
                    </a:prstGeom>
                    <a:noFill/>
                    <a:ln>
                      <a:noFill/>
                    </a:ln>
                  </pic:spPr>
                </pic:pic>
              </a:graphicData>
            </a:graphic>
          </wp:inline>
        </w:drawing>
      </w:r>
    </w:p>
    <w:p w14:paraId="1134A4F2" w14:textId="77777777" w:rsidR="00727BA0" w:rsidRPr="001F3A52" w:rsidRDefault="00727BA0" w:rsidP="00727BA0"/>
    <w:p w14:paraId="2BA88A0B" w14:textId="591CECE3" w:rsidR="00727BA0" w:rsidRPr="00E27E17" w:rsidRDefault="00727BA0" w:rsidP="00D075DF">
      <w:r w:rsidRPr="001F3A52">
        <w:rPr>
          <w:b/>
          <w:bCs/>
        </w:rPr>
        <w:t xml:space="preserve"> Process Initial Telephone Notification</w:t>
      </w:r>
      <w:r w:rsidRPr="001F3A52">
        <w:t xml:space="preserve"> </w:t>
      </w:r>
      <w:r>
        <w:t>–</w:t>
      </w:r>
      <w:r w:rsidRPr="001F3A52">
        <w:t xml:space="preserve"> EPA estimates that the NRC requires </w:t>
      </w:r>
      <w:r w:rsidRPr="001F3A52">
        <w:rPr>
          <w:i/>
          <w:iCs/>
        </w:rPr>
        <w:t>30 minutes (0.5 hours)</w:t>
      </w:r>
      <w:r w:rsidRPr="001F3A52">
        <w:t xml:space="preserve"> to process the information provided in the initial telephone call.  The first year unit cost associated with </w:t>
      </w:r>
      <w:r w:rsidRPr="001F3A52">
        <w:rPr>
          <w:i/>
          <w:iCs/>
        </w:rPr>
        <w:t xml:space="preserve">processing the initial telephone call is </w:t>
      </w:r>
      <w:r w:rsidR="004667F6" w:rsidRPr="00E27E17">
        <w:t>$23.57</w:t>
      </w:r>
      <w:r w:rsidRPr="00E27E17">
        <w:t>.</w:t>
      </w:r>
    </w:p>
    <w:p w14:paraId="7BC48F53" w14:textId="77777777" w:rsidR="00727BA0" w:rsidRDefault="00727BA0" w:rsidP="00727BA0"/>
    <w:p w14:paraId="3EBB605C" w14:textId="77777777" w:rsidR="0017595A" w:rsidRDefault="0017595A" w:rsidP="00727BA0">
      <w:pPr>
        <w:rPr>
          <w:color w:val="33CC33"/>
        </w:rPr>
      </w:pPr>
      <w:r>
        <w:tab/>
      </w:r>
      <w:r w:rsidRPr="00B23DF0">
        <w:rPr>
          <w:color w:val="008000"/>
        </w:rPr>
        <w:t>We do not expect that the use of the continuous release reporting forms will reduce the burden associated with processing the initial telephone call.</w:t>
      </w:r>
    </w:p>
    <w:p w14:paraId="356C70FB" w14:textId="77777777" w:rsidR="0017595A" w:rsidRPr="0017595A" w:rsidRDefault="0017595A" w:rsidP="00727BA0">
      <w:pPr>
        <w:rPr>
          <w:color w:val="33CC33"/>
        </w:rPr>
      </w:pPr>
    </w:p>
    <w:p w14:paraId="1C371292" w14:textId="415A258D" w:rsidR="00727BA0" w:rsidRDefault="00727BA0" w:rsidP="00D075DF">
      <w:r w:rsidRPr="001F3A52">
        <w:rPr>
          <w:b/>
          <w:bCs/>
        </w:rPr>
        <w:t xml:space="preserve">Process Initial Written Report </w:t>
      </w:r>
      <w:r>
        <w:t>–</w:t>
      </w:r>
      <w:r w:rsidRPr="001F3A52">
        <w:t xml:space="preserve"> Government authorities review initial written and follow-up reports to become familiar with the nature and extent of the release, to determine if the release qualifies for reduced reporting under CERCLA section 103(f)(2), and to assess the hazards to public health and welfare and the environment.  EPA estimates that the preliminary evaluation of the release requires on average, </w:t>
      </w:r>
      <w:r w:rsidRPr="001F3A52">
        <w:rPr>
          <w:i/>
          <w:iCs/>
        </w:rPr>
        <w:t>one and one half hour</w:t>
      </w:r>
      <w:r w:rsidRPr="001F3A52">
        <w:t xml:space="preserve"> of government time.  The costs of processing and evaluating the initial written report are incurred in the first year of reporting.  Therefore, the </w:t>
      </w:r>
      <w:r w:rsidRPr="001F3A52">
        <w:rPr>
          <w:i/>
          <w:iCs/>
        </w:rPr>
        <w:t xml:space="preserve">unit cost for processing and evaluating the initial written report is </w:t>
      </w:r>
      <w:r w:rsidR="00467676" w:rsidRPr="00E27E17">
        <w:t>$70.70</w:t>
      </w:r>
      <w:r w:rsidRPr="001F3A52">
        <w:t>.</w:t>
      </w:r>
    </w:p>
    <w:p w14:paraId="07D02629" w14:textId="77777777" w:rsidR="00802272" w:rsidRDefault="00802272" w:rsidP="00727BA0">
      <w:pPr>
        <w:ind w:firstLine="720"/>
      </w:pPr>
    </w:p>
    <w:p w14:paraId="5754B26F" w14:textId="022DFA2A" w:rsidR="00802272" w:rsidRPr="00B23DF0" w:rsidRDefault="00BC018C" w:rsidP="00D075DF">
      <w:pPr>
        <w:rPr>
          <w:color w:val="008000"/>
        </w:rPr>
      </w:pPr>
      <w:r w:rsidRPr="00B23DF0">
        <w:rPr>
          <w:color w:val="008000"/>
        </w:rPr>
        <w:t xml:space="preserve">We estimate that the preliminary evaluation of the release will require on average, </w:t>
      </w:r>
      <w:r w:rsidRPr="00B23DF0">
        <w:rPr>
          <w:i/>
          <w:color w:val="008000"/>
        </w:rPr>
        <w:t>one hour</w:t>
      </w:r>
      <w:r w:rsidRPr="00B23DF0">
        <w:rPr>
          <w:color w:val="008000"/>
        </w:rPr>
        <w:t xml:space="preserve"> of government time to process continuous release forms.  Thus the</w:t>
      </w:r>
      <w:r w:rsidRPr="00B23DF0">
        <w:rPr>
          <w:i/>
          <w:color w:val="008000"/>
        </w:rPr>
        <w:t xml:space="preserve"> unit cost for processing and evaluating the initial written report forms is </w:t>
      </w:r>
      <w:r w:rsidR="00467676" w:rsidRPr="00B23DF0">
        <w:rPr>
          <w:color w:val="008000"/>
        </w:rPr>
        <w:t>$47.14</w:t>
      </w:r>
      <w:r w:rsidRPr="00B23DF0">
        <w:rPr>
          <w:i/>
          <w:color w:val="008000"/>
        </w:rPr>
        <w:t>.</w:t>
      </w:r>
    </w:p>
    <w:p w14:paraId="674E275C" w14:textId="77777777" w:rsidR="00727BA0" w:rsidRPr="001F3A52" w:rsidRDefault="00727BA0" w:rsidP="00727BA0"/>
    <w:p w14:paraId="3C48E8DC" w14:textId="70299112" w:rsidR="00727BA0" w:rsidRDefault="00727BA0" w:rsidP="00D075DF">
      <w:r w:rsidRPr="001F3A52">
        <w:rPr>
          <w:b/>
          <w:bCs/>
        </w:rPr>
        <w:t>Process Follow-up Written Report</w:t>
      </w:r>
      <w:r w:rsidRPr="001F3A52">
        <w:t xml:space="preserve"> -- Within one year of submitting the initial written report, facilities must submit a written follow-up report to update and confirm previously submitted information.  The follow-up report provides EPA with a more accurate baseline against which to evaluate both the threat posed by the release and the impact that SSIs in the</w:t>
      </w:r>
      <w:r w:rsidR="00FC39C8">
        <w:t xml:space="preserve"> </w:t>
      </w:r>
      <w:r w:rsidRPr="001F3A52">
        <w:t>release may have on public health and welfare and the environment.  The activities necessary to re</w:t>
      </w:r>
      <w:r w:rsidRPr="001F3A52">
        <w:softHyphen/>
        <w:t xml:space="preserve">evaluate the continuous </w:t>
      </w:r>
      <w:r w:rsidRPr="001F3A52">
        <w:lastRenderedPageBreak/>
        <w:t xml:space="preserve">release with the newly submitted follow-up report are assumed to be identical to those required to process and evaluate the initial written report, </w:t>
      </w:r>
      <w:r w:rsidRPr="001F3A52">
        <w:rPr>
          <w:i/>
          <w:iCs/>
        </w:rPr>
        <w:t>one and a half hour</w:t>
      </w:r>
      <w:r w:rsidRPr="001F3A52">
        <w:t xml:space="preserve">.  The costs associated with the follow-up written report, however, are incurred in the second year of reporting.  Therefore, the </w:t>
      </w:r>
      <w:r w:rsidRPr="001F3A52">
        <w:rPr>
          <w:i/>
          <w:iCs/>
        </w:rPr>
        <w:t xml:space="preserve">unit cost for processing and evaluating the follow-up written report is </w:t>
      </w:r>
      <w:r w:rsidR="00467676" w:rsidRPr="00E27E17">
        <w:t>$70.70</w:t>
      </w:r>
      <w:r w:rsidRPr="00E27E17">
        <w:t>.</w:t>
      </w:r>
    </w:p>
    <w:p w14:paraId="541A241A" w14:textId="77777777" w:rsidR="00783FAF" w:rsidRPr="001F3A52" w:rsidRDefault="00783FAF" w:rsidP="00FC39C8">
      <w:pPr>
        <w:ind w:firstLine="720"/>
      </w:pPr>
    </w:p>
    <w:p w14:paraId="09E7CDAB" w14:textId="085927C3" w:rsidR="00783FAF" w:rsidRPr="00B23DF0" w:rsidRDefault="00783FAF" w:rsidP="00D075DF">
      <w:pPr>
        <w:rPr>
          <w:color w:val="008000"/>
        </w:rPr>
      </w:pPr>
      <w:r w:rsidRPr="00B23DF0">
        <w:rPr>
          <w:color w:val="008000"/>
        </w:rPr>
        <w:t xml:space="preserve">We estimate that the activities necessary to reevaluate the continuous release with the newly submitted follow-up report of the release will require on average, </w:t>
      </w:r>
      <w:r w:rsidRPr="00B23DF0">
        <w:rPr>
          <w:i/>
          <w:color w:val="008000"/>
        </w:rPr>
        <w:t>one hour</w:t>
      </w:r>
      <w:r w:rsidRPr="00B23DF0">
        <w:rPr>
          <w:color w:val="008000"/>
        </w:rPr>
        <w:t xml:space="preserve"> of government time to process continuous release forms.  Thus the</w:t>
      </w:r>
      <w:r w:rsidRPr="00B23DF0">
        <w:rPr>
          <w:i/>
          <w:color w:val="008000"/>
        </w:rPr>
        <w:t xml:space="preserve"> unit cost for processing and evaluating the follow-up written report forms is </w:t>
      </w:r>
      <w:r w:rsidR="00467676" w:rsidRPr="00B23DF0">
        <w:rPr>
          <w:color w:val="008000"/>
        </w:rPr>
        <w:t>$47.14</w:t>
      </w:r>
      <w:r w:rsidRPr="00B23DF0">
        <w:rPr>
          <w:i/>
          <w:color w:val="008000"/>
        </w:rPr>
        <w:t>.</w:t>
      </w:r>
    </w:p>
    <w:p w14:paraId="1CC9D2E5" w14:textId="77777777" w:rsidR="00727BA0" w:rsidRPr="001F3A52" w:rsidRDefault="00727BA0" w:rsidP="00727BA0"/>
    <w:p w14:paraId="05AC5065" w14:textId="2E2E6D2E" w:rsidR="00727BA0" w:rsidRPr="001F3A52" w:rsidRDefault="00727BA0" w:rsidP="00D075DF">
      <w:r w:rsidRPr="001F3A52">
        <w:rPr>
          <w:b/>
          <w:bCs/>
        </w:rPr>
        <w:t>Process a Change in the Sources, Composition, or Frequency of a Release Report</w:t>
      </w:r>
      <w:r w:rsidRPr="001F3A52">
        <w:t xml:space="preserve"> </w:t>
      </w:r>
      <w:r>
        <w:t>–</w:t>
      </w:r>
      <w:r w:rsidRPr="001F3A52">
        <w:t xml:space="preserve"> After initial notification reports have been submitted for a release and reporting under section 103(f)(2) has commenced, EPA must be notified of any changes in release information previously submitted.  Any change in the sources, composition, or frequency of a hazardous substance release constitutes a new release.  Thus, any facility experiencing a change in the sources, composition, or frequency of a continuous release must complete the initial notification process for the new release.  Government activities associated with new release reports consist of the processing and evaluation of the initial telephone and initial written reports, </w:t>
      </w:r>
      <w:r w:rsidRPr="001F3A52">
        <w:rPr>
          <w:i/>
          <w:iCs/>
        </w:rPr>
        <w:t>2 hours</w:t>
      </w:r>
      <w:r w:rsidRPr="001F3A52">
        <w:t xml:space="preserve">.  The applicable unit cost is </w:t>
      </w:r>
      <w:r w:rsidR="00467676" w:rsidRPr="00E27E17">
        <w:t>$97.27</w:t>
      </w:r>
      <w:r w:rsidRPr="00E27E17">
        <w:rPr>
          <w:i/>
          <w:iCs/>
        </w:rPr>
        <w:t xml:space="preserve"> </w:t>
      </w:r>
      <w:r w:rsidRPr="001F3A52">
        <w:rPr>
          <w:i/>
          <w:iCs/>
        </w:rPr>
        <w:t>per new continuous release report</w:t>
      </w:r>
      <w:r w:rsidRPr="001F3A52">
        <w:t>.</w:t>
      </w:r>
    </w:p>
    <w:p w14:paraId="3E94E4D2" w14:textId="77777777" w:rsidR="00727BA0" w:rsidRDefault="00727BA0" w:rsidP="00727BA0"/>
    <w:p w14:paraId="711B139E" w14:textId="3DD5868D" w:rsidR="00783FAF" w:rsidRPr="00D075DF" w:rsidRDefault="00783FAF" w:rsidP="00727BA0">
      <w:pPr>
        <w:rPr>
          <w:color w:val="92D050"/>
        </w:rPr>
      </w:pPr>
      <w:r>
        <w:tab/>
      </w:r>
      <w:r w:rsidRPr="00B23DF0">
        <w:rPr>
          <w:color w:val="008000"/>
        </w:rPr>
        <w:t xml:space="preserve">We estimate that the government activities associated with new release reports to process a change in the sources, composition, or frequency of a release report will be reduced to </w:t>
      </w:r>
      <w:r w:rsidRPr="00B23DF0">
        <w:rPr>
          <w:i/>
          <w:color w:val="008000"/>
        </w:rPr>
        <w:t>one and one-half hours</w:t>
      </w:r>
      <w:r w:rsidRPr="00B23DF0">
        <w:rPr>
          <w:color w:val="008000"/>
        </w:rPr>
        <w:t xml:space="preserve">.  The applicable unit cost is </w:t>
      </w:r>
      <w:r w:rsidR="00F9146A" w:rsidRPr="00B23DF0">
        <w:rPr>
          <w:color w:val="008000"/>
        </w:rPr>
        <w:t>$70.70</w:t>
      </w:r>
      <w:r w:rsidRPr="00B23DF0">
        <w:rPr>
          <w:i/>
          <w:color w:val="008000"/>
        </w:rPr>
        <w:t xml:space="preserve"> per new continuous release report</w:t>
      </w:r>
      <w:r w:rsidRPr="00B23DF0">
        <w:rPr>
          <w:color w:val="008000"/>
        </w:rPr>
        <w:t xml:space="preserve"> using the continuous release reporting forms.</w:t>
      </w:r>
    </w:p>
    <w:p w14:paraId="36CC919B" w14:textId="77777777" w:rsidR="00783FAF" w:rsidRPr="00783FAF" w:rsidRDefault="00783FAF" w:rsidP="00727BA0">
      <w:pPr>
        <w:rPr>
          <w:color w:val="33CC33"/>
        </w:rPr>
      </w:pPr>
    </w:p>
    <w:p w14:paraId="60FAAEDD" w14:textId="7B5FA3B7" w:rsidR="00727BA0" w:rsidRDefault="00727BA0" w:rsidP="00D075DF">
      <w:r w:rsidRPr="001F3A52">
        <w:rPr>
          <w:b/>
          <w:bCs/>
        </w:rPr>
        <w:t xml:space="preserve">Process Other Changes in Information </w:t>
      </w:r>
      <w:r>
        <w:t>–</w:t>
      </w:r>
      <w:r w:rsidRPr="001F3A52">
        <w:t xml:space="preserve"> For changes in a release other than a change in the sources, composition, or frequency, the person in charge must notify the EPA Region by submitting a letter presenting the updated information and explaining the reasons for the change.  EPA estimates that processing a letter of changed information requires approximately </w:t>
      </w:r>
      <w:r w:rsidRPr="001F3A52">
        <w:rPr>
          <w:i/>
          <w:iCs/>
        </w:rPr>
        <w:t>30 minutes (i.e., 0.50 hours)</w:t>
      </w:r>
      <w:r w:rsidRPr="001F3A52">
        <w:t xml:space="preserve"> of government time.  This estimate consists of the time necessary evaluate the release in light of the changed information.  The shorter evaluation time is assumed because it is necessary to evaluate only the incremental change in the risk using previous assessments of the release (assumed to be on file) as a baseline.  The applicable unit cost is </w:t>
      </w:r>
      <w:r w:rsidR="00AD52AD" w:rsidRPr="00E27E17">
        <w:t>$23.57</w:t>
      </w:r>
      <w:r w:rsidRPr="00E27E17">
        <w:rPr>
          <w:i/>
          <w:iCs/>
        </w:rPr>
        <w:t xml:space="preserve"> </w:t>
      </w:r>
      <w:r w:rsidRPr="001F3A52">
        <w:rPr>
          <w:i/>
          <w:iCs/>
        </w:rPr>
        <w:t>per changes</w:t>
      </w:r>
      <w:r w:rsidRPr="001F3A52">
        <w:t xml:space="preserve"> in a release report.</w:t>
      </w:r>
    </w:p>
    <w:p w14:paraId="0C134009" w14:textId="77777777" w:rsidR="00E76491" w:rsidRDefault="00E76491" w:rsidP="00727BA0">
      <w:pPr>
        <w:ind w:firstLine="720"/>
      </w:pPr>
    </w:p>
    <w:p w14:paraId="598C5463" w14:textId="2E81AB17" w:rsidR="00E76491" w:rsidRPr="00B23DF0" w:rsidRDefault="00E76491" w:rsidP="00D075DF">
      <w:pPr>
        <w:rPr>
          <w:color w:val="008000"/>
        </w:rPr>
      </w:pPr>
      <w:r w:rsidRPr="00B23DF0">
        <w:rPr>
          <w:color w:val="008000"/>
        </w:rPr>
        <w:t>We estimate</w:t>
      </w:r>
      <w:r w:rsidR="00A621EA" w:rsidRPr="00B23DF0">
        <w:rPr>
          <w:color w:val="008000"/>
        </w:rPr>
        <w:t xml:space="preserve"> that the government activities associated with processing other changes in information will be reduced to </w:t>
      </w:r>
      <w:r w:rsidR="00A621EA" w:rsidRPr="00B23DF0">
        <w:rPr>
          <w:i/>
          <w:color w:val="008000"/>
        </w:rPr>
        <w:t>fifteen minutes</w:t>
      </w:r>
      <w:r w:rsidR="00A621EA" w:rsidRPr="00B23DF0">
        <w:rPr>
          <w:color w:val="008000"/>
        </w:rPr>
        <w:t xml:space="preserve">.  The applicable unit cost is </w:t>
      </w:r>
      <w:r w:rsidR="00AD52AD" w:rsidRPr="00B23DF0">
        <w:rPr>
          <w:color w:val="008000"/>
        </w:rPr>
        <w:t>$11.78</w:t>
      </w:r>
      <w:r w:rsidR="00A621EA" w:rsidRPr="00B23DF0">
        <w:rPr>
          <w:i/>
          <w:color w:val="008000"/>
        </w:rPr>
        <w:t xml:space="preserve"> per report </w:t>
      </w:r>
      <w:r w:rsidR="00A621EA" w:rsidRPr="00B23DF0">
        <w:rPr>
          <w:color w:val="008000"/>
        </w:rPr>
        <w:t>of changed information.</w:t>
      </w:r>
    </w:p>
    <w:p w14:paraId="778E3FDD" w14:textId="77777777" w:rsidR="00727BA0" w:rsidRPr="001F3A52" w:rsidRDefault="00727BA0" w:rsidP="00727BA0"/>
    <w:p w14:paraId="273502B0" w14:textId="34D7CCE2" w:rsidR="00727BA0" w:rsidRDefault="00727BA0" w:rsidP="00D075DF">
      <w:r w:rsidRPr="001F3A52">
        <w:rPr>
          <w:b/>
          <w:bCs/>
        </w:rPr>
        <w:t>Process an SSI (Statistically Significant Increase) Report</w:t>
      </w:r>
      <w:r w:rsidRPr="001F3A52">
        <w:t xml:space="preserve"> </w:t>
      </w:r>
      <w:r>
        <w:t>–</w:t>
      </w:r>
      <w:r w:rsidRPr="001F3A52">
        <w:rPr>
          <w:b/>
          <w:bCs/>
        </w:rPr>
        <w:t xml:space="preserve"> </w:t>
      </w:r>
      <w:r w:rsidRPr="001F3A52">
        <w:t xml:space="preserve">SSIs are episodic releases and must be reported immediately to the NRC.  Release quantities in excess of the normal range have not been previously reported and evaluated and, thus, warrant immediate reporting.  Upon receiving notification of an SSI, the NRC will record the SSI information in the NRC data base (15 minutes) </w:t>
      </w:r>
      <w:r w:rsidRPr="001F3A52">
        <w:lastRenderedPageBreak/>
        <w:t xml:space="preserve">and notify the appropriate EPA Region of the SSI report (15 minutes).  Upon notification from the NRC (15 minutes), EPA will evaluate the potential hazard posed by the release in light of the SSI (30 minutes).  Thus, the Federal government is estimated to require </w:t>
      </w:r>
      <w:r w:rsidRPr="001F3A52">
        <w:rPr>
          <w:i/>
          <w:iCs/>
        </w:rPr>
        <w:t>one hour and fifteen minutes (1.25 hours)</w:t>
      </w:r>
      <w:r w:rsidRPr="001F3A52">
        <w:t xml:space="preserve"> of government time to process and evaluate each SSI reported under the CRRR.  The applicable cost is </w:t>
      </w:r>
      <w:r w:rsidR="00123FC7" w:rsidRPr="00E27E17">
        <w:t>$58.92</w:t>
      </w:r>
      <w:r w:rsidRPr="00E27E17">
        <w:rPr>
          <w:i/>
          <w:iCs/>
        </w:rPr>
        <w:t xml:space="preserve"> </w:t>
      </w:r>
      <w:r w:rsidRPr="001F3A52">
        <w:rPr>
          <w:i/>
          <w:iCs/>
        </w:rPr>
        <w:t>per SSI Report</w:t>
      </w:r>
      <w:r w:rsidRPr="001F3A52">
        <w:t>.</w:t>
      </w:r>
    </w:p>
    <w:p w14:paraId="37B4E817" w14:textId="77777777" w:rsidR="00A621EA" w:rsidRDefault="00A621EA" w:rsidP="00727BA0">
      <w:pPr>
        <w:ind w:firstLine="720"/>
      </w:pPr>
    </w:p>
    <w:p w14:paraId="32387F24" w14:textId="5ECEFE08" w:rsidR="00A621EA" w:rsidRPr="00B23DF0" w:rsidRDefault="00A621EA" w:rsidP="00D075DF">
      <w:pPr>
        <w:rPr>
          <w:color w:val="008000"/>
        </w:rPr>
      </w:pPr>
      <w:r w:rsidRPr="00B23DF0">
        <w:rPr>
          <w:color w:val="008000"/>
        </w:rPr>
        <w:t xml:space="preserve">We estimate that EPA’s activities associated with processing an SSI report will be reduced to </w:t>
      </w:r>
      <w:r w:rsidRPr="00B23DF0">
        <w:rPr>
          <w:i/>
          <w:color w:val="008000"/>
        </w:rPr>
        <w:t>fifteen minutes</w:t>
      </w:r>
      <w:r w:rsidRPr="00B23DF0">
        <w:rPr>
          <w:color w:val="008000"/>
        </w:rPr>
        <w:t xml:space="preserve">.  This will reduce the overall Federal government’s time to process and evaluate each SSI reported under the CRRR to </w:t>
      </w:r>
      <w:r w:rsidRPr="00B23DF0">
        <w:rPr>
          <w:i/>
          <w:color w:val="008000"/>
        </w:rPr>
        <w:t>one hour</w:t>
      </w:r>
      <w:r w:rsidRPr="00B23DF0">
        <w:rPr>
          <w:color w:val="008000"/>
        </w:rPr>
        <w:t xml:space="preserve">.  The applicable unit cost is </w:t>
      </w:r>
      <w:r w:rsidR="00123FC7" w:rsidRPr="00B23DF0">
        <w:rPr>
          <w:color w:val="008000"/>
        </w:rPr>
        <w:t>$47.14</w:t>
      </w:r>
      <w:r w:rsidRPr="00B23DF0">
        <w:rPr>
          <w:i/>
          <w:color w:val="008000"/>
        </w:rPr>
        <w:t xml:space="preserve"> per SSI Report</w:t>
      </w:r>
      <w:r w:rsidRPr="00B23DF0">
        <w:rPr>
          <w:color w:val="008000"/>
        </w:rPr>
        <w:t>.</w:t>
      </w:r>
    </w:p>
    <w:p w14:paraId="3C72582D" w14:textId="77777777" w:rsidR="00727BA0" w:rsidRPr="001F3A52" w:rsidRDefault="00727BA0" w:rsidP="00727BA0"/>
    <w:p w14:paraId="09AD96DC" w14:textId="4B16E40A" w:rsidR="00727BA0" w:rsidRPr="001F3A52" w:rsidRDefault="00727BA0" w:rsidP="00D075DF">
      <w:r w:rsidRPr="001F3A52">
        <w:rPr>
          <w:b/>
          <w:bCs/>
        </w:rPr>
        <w:t>Other Activities</w:t>
      </w:r>
      <w:r w:rsidRPr="001F3A52">
        <w:t xml:space="preserve"> </w:t>
      </w:r>
      <w:r>
        <w:t>–</w:t>
      </w:r>
      <w:r w:rsidRPr="001F3A52">
        <w:t xml:space="preserve"> For some percentage of continuous releases, the information provided in the initial and/or follow-up reports will be incomplete, incorrect, or worrisome, prompting EPA to request </w:t>
      </w:r>
      <w:r w:rsidRPr="001F3A52">
        <w:rPr>
          <w:i/>
          <w:iCs/>
        </w:rPr>
        <w:t>additional information</w:t>
      </w:r>
      <w:r w:rsidRPr="001F3A52">
        <w:t xml:space="preserve"> concerning the release and its associated hazard.  For example, additional information may be necessary to confirm the continuity and stability of the release or to better assess the risk posed by the release.  EPA estimates that the process of requesting and reviewing additional information concerning a continuous release requires</w:t>
      </w:r>
      <w:r w:rsidRPr="001F3A52">
        <w:rPr>
          <w:i/>
          <w:iCs/>
        </w:rPr>
        <w:t xml:space="preserve"> 2.0 hours</w:t>
      </w:r>
      <w:r w:rsidRPr="001F3A52">
        <w:t xml:space="preserve"> of government time.  The applicable unit cost is </w:t>
      </w:r>
      <w:r w:rsidR="00123FC7" w:rsidRPr="00E27E17">
        <w:t>$94.27</w:t>
      </w:r>
      <w:r w:rsidRPr="00E27E17">
        <w:rPr>
          <w:i/>
          <w:iCs/>
        </w:rPr>
        <w:t xml:space="preserve"> </w:t>
      </w:r>
      <w:r w:rsidRPr="00557C81">
        <w:rPr>
          <w:i/>
          <w:iCs/>
        </w:rPr>
        <w:t>per request and review</w:t>
      </w:r>
      <w:r w:rsidRPr="00557C81">
        <w:t xml:space="preserve"> o</w:t>
      </w:r>
      <w:r w:rsidRPr="001F3A52">
        <w:t>f additional information.</w:t>
      </w:r>
    </w:p>
    <w:p w14:paraId="63812799" w14:textId="77777777" w:rsidR="00727BA0" w:rsidRDefault="00727BA0" w:rsidP="00727BA0"/>
    <w:p w14:paraId="6CD902D4" w14:textId="454C7550" w:rsidR="003F572F" w:rsidRPr="00D075DF" w:rsidRDefault="003F572F" w:rsidP="00727BA0">
      <w:pPr>
        <w:rPr>
          <w:color w:val="92D050"/>
        </w:rPr>
      </w:pPr>
      <w:r>
        <w:tab/>
      </w:r>
      <w:r w:rsidRPr="00B23DF0">
        <w:rPr>
          <w:color w:val="008000"/>
        </w:rPr>
        <w:t xml:space="preserve">We estimate that the government activities associated with reviewing additional information concerning a continuous release will be reduced to </w:t>
      </w:r>
      <w:r w:rsidRPr="00B23DF0">
        <w:rPr>
          <w:i/>
          <w:color w:val="008000"/>
        </w:rPr>
        <w:t>one and one half hours</w:t>
      </w:r>
      <w:r w:rsidRPr="00B23DF0">
        <w:rPr>
          <w:color w:val="008000"/>
        </w:rPr>
        <w:t xml:space="preserve"> of government time.  The applicable unit cost is </w:t>
      </w:r>
      <w:r w:rsidR="00123FC7" w:rsidRPr="00B23DF0">
        <w:rPr>
          <w:color w:val="008000"/>
        </w:rPr>
        <w:t>$70.70</w:t>
      </w:r>
      <w:r w:rsidRPr="00B23DF0">
        <w:rPr>
          <w:i/>
          <w:color w:val="008000"/>
        </w:rPr>
        <w:t xml:space="preserve"> per request and review</w:t>
      </w:r>
      <w:r w:rsidRPr="00B23DF0">
        <w:rPr>
          <w:color w:val="008000"/>
        </w:rPr>
        <w:t xml:space="preserve"> of additional information.</w:t>
      </w:r>
    </w:p>
    <w:p w14:paraId="5C4E6E95" w14:textId="77777777" w:rsidR="003F572F" w:rsidRPr="003F572F" w:rsidRDefault="003F572F" w:rsidP="00727BA0">
      <w:pPr>
        <w:rPr>
          <w:color w:val="33CC33"/>
        </w:rPr>
      </w:pPr>
    </w:p>
    <w:p w14:paraId="47F535CD" w14:textId="4992E864" w:rsidR="00727BA0" w:rsidRDefault="00727BA0" w:rsidP="00844DC3">
      <w:r w:rsidRPr="001F3A52">
        <w:t xml:space="preserve">In extreme cases, the preliminary risk assessment of a release will suggest the need for a </w:t>
      </w:r>
      <w:r w:rsidRPr="001F3A52">
        <w:rPr>
          <w:i/>
          <w:iCs/>
        </w:rPr>
        <w:t>site inspection</w:t>
      </w:r>
      <w:r w:rsidRPr="001F3A52">
        <w:t xml:space="preserve">, allowing EPA to directly </w:t>
      </w:r>
      <w:r w:rsidR="00D075DF" w:rsidRPr="001F3A52">
        <w:t>a</w:t>
      </w:r>
      <w:r w:rsidR="00D075DF">
        <w:t>ss</w:t>
      </w:r>
      <w:r w:rsidR="00D075DF" w:rsidRPr="001F3A52">
        <w:t>e</w:t>
      </w:r>
      <w:r w:rsidR="00D075DF">
        <w:t>s</w:t>
      </w:r>
      <w:r w:rsidR="00D075DF" w:rsidRPr="001F3A52">
        <w:t>s</w:t>
      </w:r>
      <w:r w:rsidRPr="001F3A52">
        <w:t xml:space="preserve"> and evaluate the circumstances of a release and the population and environment potentially affected by the release.  In addition, site inspections are conducted periodically as a compliance and enforcement measure.  EPA estimates that site inspections will require </w:t>
      </w:r>
      <w:r w:rsidRPr="001F3A52">
        <w:rPr>
          <w:i/>
          <w:iCs/>
        </w:rPr>
        <w:t>eight hours</w:t>
      </w:r>
      <w:r w:rsidRPr="001F3A52">
        <w:t xml:space="preserve"> of government time, including one hour allocated for the EPA Region to communicate its concerns and findings to the appropriate SERC and LEPC, and will </w:t>
      </w:r>
      <w:r w:rsidRPr="001F3A52">
        <w:rPr>
          <w:i/>
          <w:iCs/>
        </w:rPr>
        <w:t>cost</w:t>
      </w:r>
      <w:r w:rsidR="00844DC3">
        <w:rPr>
          <w:i/>
          <w:iCs/>
        </w:rPr>
        <w:t xml:space="preserve"> </w:t>
      </w:r>
      <w:r w:rsidR="00123FC7" w:rsidRPr="00E27E17">
        <w:t>$377.09</w:t>
      </w:r>
      <w:r w:rsidRPr="001F3A52">
        <w:t>.</w:t>
      </w:r>
    </w:p>
    <w:p w14:paraId="251DD3FD" w14:textId="77777777" w:rsidR="003F572F" w:rsidRDefault="003F572F" w:rsidP="00727BA0">
      <w:pPr>
        <w:ind w:firstLine="720"/>
      </w:pPr>
    </w:p>
    <w:p w14:paraId="045A5493" w14:textId="77777777" w:rsidR="003F572F" w:rsidRPr="00B23DF0" w:rsidRDefault="00083AD6" w:rsidP="00727BA0">
      <w:pPr>
        <w:ind w:firstLine="720"/>
        <w:rPr>
          <w:color w:val="008000"/>
        </w:rPr>
      </w:pPr>
      <w:r w:rsidRPr="00B23DF0">
        <w:rPr>
          <w:color w:val="008000"/>
        </w:rPr>
        <w:t>We do not believe that submission of continuous release reporting forms will change the estimate for government time for site inspections.</w:t>
      </w:r>
    </w:p>
    <w:p w14:paraId="186B3FB4" w14:textId="77777777" w:rsidR="00C874E7" w:rsidRDefault="00C874E7" w:rsidP="00C874E7">
      <w:pPr>
        <w:pStyle w:val="Heading2"/>
      </w:pPr>
      <w:bookmarkStart w:id="73" w:name="_Toc302552518"/>
      <w:r>
        <w:t>Estimating the Respondent Universe and Total Burden and Cost</w:t>
      </w:r>
      <w:bookmarkEnd w:id="73"/>
    </w:p>
    <w:p w14:paraId="6577ADFC" w14:textId="77777777" w:rsidR="00C874E7" w:rsidRDefault="00C874E7" w:rsidP="00C874E7"/>
    <w:p w14:paraId="3B5A9555" w14:textId="3E73E1B1" w:rsidR="00C874E7" w:rsidRDefault="00C874E7" w:rsidP="00C874E7">
      <w:pPr>
        <w:ind w:firstLine="720"/>
      </w:pPr>
      <w:r w:rsidRPr="001F3A52">
        <w:t xml:space="preserve">The estimates presented in this ICR regarding the number of facilities and hazardous substance releases affected by the CRRR were computed using the number of CR-ERNS notifications made by the NRC to each respective region </w:t>
      </w:r>
      <w:r w:rsidRPr="00557C81">
        <w:t xml:space="preserve">over the </w:t>
      </w:r>
      <w:r w:rsidRPr="00E27E17">
        <w:t xml:space="preserve">years </w:t>
      </w:r>
      <w:r w:rsidR="00654CEC" w:rsidRPr="00E27E17">
        <w:t>2012, 2013, and 2014</w:t>
      </w:r>
      <w:r w:rsidRPr="00E27E17">
        <w:t xml:space="preserve"> </w:t>
      </w:r>
      <w:r w:rsidRPr="00557C81">
        <w:t>as reported by the NRC.  The number of reports to be filed i</w:t>
      </w:r>
      <w:r w:rsidRPr="001F3A52">
        <w:t>n the next three years is computed from the total number of reports already filed and reflects the number of annual reports in recent years.  EPA has estimated that each affected facility has 8 continuous releases above the releases</w:t>
      </w:r>
      <w:r>
        <w:t>’</w:t>
      </w:r>
      <w:r w:rsidRPr="001F3A52">
        <w:t xml:space="preserve"> RQs.  Exhibit </w:t>
      </w:r>
      <w:r w:rsidRPr="001F3A52">
        <w:lastRenderedPageBreak/>
        <w:t xml:space="preserve">10 summarizes the estimated number of facilities and hazardous substance releases already affected by the CRRR.  The change report adjustment reflects 10% of the total number of facilities and reports for all regions.  </w:t>
      </w:r>
      <w:r w:rsidR="008813A3">
        <w:t>The same number of facilities is assumed for use of continuous release reporting forms.</w:t>
      </w:r>
    </w:p>
    <w:p w14:paraId="1D1FB03A" w14:textId="77777777" w:rsidR="00C874E7" w:rsidRDefault="00C874E7" w:rsidP="00C874E7">
      <w:pPr>
        <w:ind w:firstLine="720"/>
      </w:pPr>
    </w:p>
    <w:p w14:paraId="63B86C72" w14:textId="77777777" w:rsidR="000003F0" w:rsidRPr="000003F0" w:rsidRDefault="000003F0" w:rsidP="000003F0">
      <w:pPr>
        <w:jc w:val="center"/>
        <w:outlineLvl w:val="4"/>
        <w:rPr>
          <w:b/>
        </w:rPr>
      </w:pPr>
      <w:bookmarkStart w:id="74" w:name="_Toc302552519"/>
      <w:r>
        <w:rPr>
          <w:b/>
        </w:rPr>
        <w:t>Exhibit 10 – Number of Facilities and Hazardous Substance Releases Already Affected by the CRRR</w:t>
      </w:r>
      <w:bookmarkEnd w:id="74"/>
    </w:p>
    <w:p w14:paraId="35254747" w14:textId="49224A2D" w:rsidR="00C874E7" w:rsidRDefault="00920D5E" w:rsidP="00BF767F">
      <w:pPr>
        <w:jc w:val="center"/>
      </w:pPr>
      <w:bookmarkStart w:id="75" w:name="Exhibit_10"/>
      <w:bookmarkEnd w:id="75"/>
      <w:r w:rsidRPr="00296B65">
        <w:rPr>
          <w:noProof/>
        </w:rPr>
        <w:drawing>
          <wp:inline distT="0" distB="0" distL="0" distR="0" wp14:anchorId="43848D12" wp14:editId="4F24B485">
            <wp:extent cx="5810250" cy="26003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0250" cy="2600325"/>
                    </a:xfrm>
                    <a:prstGeom prst="rect">
                      <a:avLst/>
                    </a:prstGeom>
                    <a:noFill/>
                    <a:ln>
                      <a:noFill/>
                    </a:ln>
                  </pic:spPr>
                </pic:pic>
              </a:graphicData>
            </a:graphic>
          </wp:inline>
        </w:drawing>
      </w:r>
    </w:p>
    <w:p w14:paraId="722C3DEA" w14:textId="77777777" w:rsidR="00BF767F" w:rsidRDefault="00BF767F" w:rsidP="00BF767F">
      <w:pPr>
        <w:jc w:val="center"/>
      </w:pPr>
    </w:p>
    <w:p w14:paraId="26503305" w14:textId="70F960DF" w:rsidR="00C874E7" w:rsidRDefault="00C874E7" w:rsidP="00C874E7">
      <w:pPr>
        <w:keepNext/>
        <w:keepLines/>
        <w:ind w:firstLine="720"/>
      </w:pPr>
      <w:r w:rsidRPr="001F3A52">
        <w:t xml:space="preserve">Exhibit 11 presents the estimate for the number of facilities and hazardous substance releases that will be affected by the CRRR in the next three years.  The estimate is based on an expected 7.5% average annual percent increase in facilities (see 6(f)) adjusted from the number of continuous release notifications reported by the NRC </w:t>
      </w:r>
      <w:r w:rsidR="00920D5E">
        <w:t xml:space="preserve">for </w:t>
      </w:r>
      <w:r w:rsidR="00920D5E" w:rsidRPr="00E27E17">
        <w:t>2012</w:t>
      </w:r>
      <w:r w:rsidRPr="00557C81">
        <w:t>.</w:t>
      </w:r>
      <w:r w:rsidR="008813A3">
        <w:t xml:space="preserve">  The same estimate is assumed for the use of continuous release reporting forms.</w:t>
      </w:r>
    </w:p>
    <w:p w14:paraId="6DC207C7" w14:textId="77777777" w:rsidR="000003F0" w:rsidRDefault="000003F0" w:rsidP="00C874E7">
      <w:pPr>
        <w:keepNext/>
        <w:keepLines/>
        <w:ind w:firstLine="720"/>
      </w:pPr>
    </w:p>
    <w:p w14:paraId="47B149A4" w14:textId="77777777" w:rsidR="00C874E7" w:rsidRPr="001F3A52" w:rsidRDefault="000003F0" w:rsidP="000E75CD">
      <w:pPr>
        <w:keepNext/>
        <w:keepLines/>
        <w:jc w:val="center"/>
        <w:outlineLvl w:val="4"/>
      </w:pPr>
      <w:bookmarkStart w:id="76" w:name="_Toc302552520"/>
      <w:r>
        <w:rPr>
          <w:b/>
        </w:rPr>
        <w:t>Exhibit 11 – Number of Facilities and Hazardous Substance Releases That Will Be Affected by the CRRR in the Next Three Years</w:t>
      </w:r>
      <w:bookmarkEnd w:id="76"/>
    </w:p>
    <w:p w14:paraId="7762E53A" w14:textId="141FC274" w:rsidR="00C874E7" w:rsidRDefault="00512502" w:rsidP="00BF767F">
      <w:pPr>
        <w:jc w:val="center"/>
      </w:pPr>
      <w:r w:rsidRPr="00672E76">
        <w:rPr>
          <w:noProof/>
        </w:rPr>
        <w:drawing>
          <wp:inline distT="0" distB="0" distL="0" distR="0" wp14:anchorId="217389B3" wp14:editId="68765C49">
            <wp:extent cx="5848350" cy="1638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8350" cy="1638300"/>
                    </a:xfrm>
                    <a:prstGeom prst="rect">
                      <a:avLst/>
                    </a:prstGeom>
                    <a:noFill/>
                    <a:ln>
                      <a:noFill/>
                    </a:ln>
                  </pic:spPr>
                </pic:pic>
              </a:graphicData>
            </a:graphic>
          </wp:inline>
        </w:drawing>
      </w:r>
    </w:p>
    <w:p w14:paraId="2800DB4E" w14:textId="77777777" w:rsidR="00BA669C" w:rsidRDefault="00BA669C" w:rsidP="00C874E7"/>
    <w:p w14:paraId="43EA1547" w14:textId="77777777" w:rsidR="006E2CC6" w:rsidRDefault="0015157D" w:rsidP="0015157D">
      <w:pPr>
        <w:pStyle w:val="Heading2"/>
      </w:pPr>
      <w:bookmarkStart w:id="77" w:name="_Toc302552521"/>
      <w:r>
        <w:lastRenderedPageBreak/>
        <w:t>Bottom Line Burden Hours and Cost Tables</w:t>
      </w:r>
      <w:bookmarkEnd w:id="77"/>
    </w:p>
    <w:p w14:paraId="063F2BC0" w14:textId="77777777" w:rsidR="0015157D" w:rsidRDefault="0015157D" w:rsidP="0015157D">
      <w:pPr>
        <w:pStyle w:val="Heading3"/>
        <w:tabs>
          <w:tab w:val="clear" w:pos="1800"/>
          <w:tab w:val="num" w:pos="1080"/>
        </w:tabs>
      </w:pPr>
      <w:bookmarkStart w:id="78" w:name="_Toc302552522"/>
      <w:r>
        <w:t>Respondent Tally</w:t>
      </w:r>
      <w:bookmarkEnd w:id="78"/>
    </w:p>
    <w:p w14:paraId="407E07E4" w14:textId="77777777" w:rsidR="0015157D" w:rsidRDefault="0015157D" w:rsidP="0015157D"/>
    <w:p w14:paraId="3E0196F0" w14:textId="77777777" w:rsidR="0082631E" w:rsidRDefault="0015157D" w:rsidP="000B42CD">
      <w:pPr>
        <w:ind w:firstLine="720"/>
        <w:sectPr w:rsidR="0082631E" w:rsidSect="0082631E">
          <w:pgSz w:w="12240" w:h="15840"/>
          <w:pgMar w:top="1397" w:right="1440" w:bottom="1339" w:left="1080" w:header="835" w:footer="1195" w:gutter="0"/>
          <w:cols w:space="720"/>
          <w:noEndnote/>
          <w:docGrid w:linePitch="326"/>
        </w:sectPr>
      </w:pPr>
      <w:r w:rsidRPr="001F3A52">
        <w:t xml:space="preserve">The total estimated and annual burden hours and costs incurred by industry affected by the CRRR are presented in Exhibit 12.  The total and annual hours and costs incurred by industry are calculated over a three year period.  </w:t>
      </w:r>
    </w:p>
    <w:p w14:paraId="5E08383F" w14:textId="77777777" w:rsidR="0015157D" w:rsidRDefault="0015157D" w:rsidP="000B42CD">
      <w:pPr>
        <w:ind w:firstLine="720"/>
      </w:pPr>
    </w:p>
    <w:p w14:paraId="7C62B887" w14:textId="77777777" w:rsidR="00BF767F" w:rsidRDefault="00BF767F" w:rsidP="000B42CD">
      <w:pPr>
        <w:ind w:firstLine="720"/>
      </w:pPr>
    </w:p>
    <w:p w14:paraId="724E059B" w14:textId="77777777" w:rsidR="00BF767F" w:rsidRDefault="00BF767F" w:rsidP="000B42CD">
      <w:pPr>
        <w:ind w:firstLine="720"/>
      </w:pPr>
    </w:p>
    <w:p w14:paraId="363A012C" w14:textId="77777777" w:rsidR="00BF767F" w:rsidRDefault="000E75CD" w:rsidP="000E75CD">
      <w:pPr>
        <w:keepNext/>
        <w:jc w:val="center"/>
        <w:outlineLvl w:val="4"/>
      </w:pPr>
      <w:bookmarkStart w:id="79" w:name="_Toc302552523"/>
      <w:r>
        <w:rPr>
          <w:b/>
        </w:rPr>
        <w:t>Exhibit 12 – Annual Burden Hours and Costs Incurred by Industry</w:t>
      </w:r>
      <w:bookmarkEnd w:id="79"/>
    </w:p>
    <w:p w14:paraId="6A4BC42E" w14:textId="58A37B98" w:rsidR="00946B7B" w:rsidRDefault="004024D6" w:rsidP="00C579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sidRPr="004024D6">
        <w:rPr>
          <w:noProof/>
        </w:rPr>
        <w:drawing>
          <wp:inline distT="0" distB="0" distL="0" distR="0" wp14:anchorId="02D97F67" wp14:editId="5241D500">
            <wp:extent cx="8321040" cy="3792408"/>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21040" cy="3792408"/>
                    </a:xfrm>
                    <a:prstGeom prst="rect">
                      <a:avLst/>
                    </a:prstGeom>
                    <a:noFill/>
                    <a:ln>
                      <a:noFill/>
                    </a:ln>
                  </pic:spPr>
                </pic:pic>
              </a:graphicData>
            </a:graphic>
          </wp:inline>
        </w:drawing>
      </w:r>
    </w:p>
    <w:p w14:paraId="77B218AF" w14:textId="77777777" w:rsidR="0015157D" w:rsidRPr="00B23DF0" w:rsidRDefault="00946B7B" w:rsidP="000E75CD">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4"/>
        <w:rPr>
          <w:b/>
          <w:color w:val="008000"/>
        </w:rPr>
      </w:pPr>
      <w:r>
        <w:br w:type="page"/>
      </w:r>
      <w:bookmarkStart w:id="80" w:name="_Toc302552524"/>
      <w:r w:rsidR="000E75CD" w:rsidRPr="00B23DF0">
        <w:rPr>
          <w:b/>
          <w:color w:val="008000"/>
        </w:rPr>
        <w:lastRenderedPageBreak/>
        <w:t>Exhibit 12 (With Forms) – Annual Burden Hours and Costs Incurred by Industry</w:t>
      </w:r>
      <w:bookmarkEnd w:id="80"/>
    </w:p>
    <w:p w14:paraId="0669FB12" w14:textId="77777777" w:rsidR="00946B7B" w:rsidRDefault="00946B7B" w:rsidP="000E75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2AD1A101" w14:textId="77777777" w:rsidR="00C57958" w:rsidRDefault="00C57958" w:rsidP="000E75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471A776F" w14:textId="1B1393D2" w:rsidR="00C57958" w:rsidRDefault="006A4C09" w:rsidP="000E75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sectPr w:rsidR="00C57958" w:rsidSect="0082631E">
          <w:pgSz w:w="15840" w:h="12240" w:orient="landscape"/>
          <w:pgMar w:top="1080" w:right="1397" w:bottom="1440" w:left="1339" w:header="835" w:footer="1195" w:gutter="0"/>
          <w:cols w:space="720"/>
          <w:noEndnote/>
          <w:docGrid w:linePitch="326"/>
        </w:sectPr>
      </w:pPr>
      <w:r w:rsidRPr="006A4C09">
        <w:rPr>
          <w:noProof/>
        </w:rPr>
        <w:drawing>
          <wp:inline distT="0" distB="0" distL="0" distR="0" wp14:anchorId="32AB9B6C" wp14:editId="3BF0F573">
            <wp:extent cx="8321040" cy="3775287"/>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21040" cy="3775287"/>
                    </a:xfrm>
                    <a:prstGeom prst="rect">
                      <a:avLst/>
                    </a:prstGeom>
                    <a:noFill/>
                    <a:ln>
                      <a:noFill/>
                    </a:ln>
                  </pic:spPr>
                </pic:pic>
              </a:graphicData>
            </a:graphic>
          </wp:inline>
        </w:drawing>
      </w:r>
    </w:p>
    <w:p w14:paraId="5D64AF85" w14:textId="77777777" w:rsidR="000B42CD" w:rsidRDefault="000A7982" w:rsidP="00AF0691">
      <w:pPr>
        <w:pStyle w:val="Heading3"/>
        <w:tabs>
          <w:tab w:val="clear" w:pos="1800"/>
          <w:tab w:val="num" w:pos="1080"/>
        </w:tabs>
      </w:pPr>
      <w:r>
        <w:lastRenderedPageBreak/>
        <w:tab/>
      </w:r>
      <w:bookmarkStart w:id="81" w:name="_Toc302552525"/>
      <w:r w:rsidR="000B42CD">
        <w:t>The Agency Tally</w:t>
      </w:r>
      <w:bookmarkEnd w:id="81"/>
    </w:p>
    <w:p w14:paraId="7AAE651E" w14:textId="77777777" w:rsidR="000B42CD" w:rsidRPr="000B42CD" w:rsidRDefault="000B42CD" w:rsidP="000B42CD"/>
    <w:p w14:paraId="0F6A2E02" w14:textId="77777777" w:rsidR="0015157D" w:rsidRDefault="000B42CD" w:rsidP="001515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r w:rsidR="0015157D" w:rsidRPr="001F3A52">
        <w:t>Exhibit 13 presents the total and annual estimated burden hours and costs incurred by government authorities as a result of the CRRR over a three year period.</w:t>
      </w:r>
    </w:p>
    <w:p w14:paraId="7773AACF" w14:textId="77777777" w:rsidR="0015157D" w:rsidRDefault="0015157D" w:rsidP="001515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ectPr w:rsidR="0015157D" w:rsidSect="0015157D">
          <w:pgSz w:w="12240" w:h="15840"/>
          <w:pgMar w:top="1397" w:right="1440" w:bottom="1339" w:left="1080" w:header="835" w:footer="1195" w:gutter="0"/>
          <w:cols w:space="720"/>
          <w:noEndnote/>
          <w:docGrid w:linePitch="326"/>
        </w:sectPr>
      </w:pPr>
    </w:p>
    <w:p w14:paraId="2B6CCE39" w14:textId="77777777" w:rsidR="0015157D" w:rsidRPr="00084E48" w:rsidRDefault="00084E48" w:rsidP="00084E4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4"/>
        <w:rPr>
          <w:b/>
        </w:rPr>
      </w:pPr>
      <w:bookmarkStart w:id="82" w:name="_Toc302552526"/>
      <w:r>
        <w:rPr>
          <w:b/>
        </w:rPr>
        <w:lastRenderedPageBreak/>
        <w:t>Exhibit 13 – Annual Burden Hours and Costs Incurred by Government</w:t>
      </w:r>
      <w:bookmarkEnd w:id="82"/>
    </w:p>
    <w:p w14:paraId="0830207A" w14:textId="77777777" w:rsidR="00946B7B" w:rsidRDefault="00946B7B" w:rsidP="00946B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395A8B8A" w14:textId="73304527" w:rsidR="00C57958" w:rsidRDefault="006A0412" w:rsidP="00946B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sidRPr="00FE2997">
        <w:rPr>
          <w:noProof/>
        </w:rPr>
        <w:drawing>
          <wp:inline distT="0" distB="0" distL="0" distR="0" wp14:anchorId="1DD9EB3F" wp14:editId="4C228FF3">
            <wp:extent cx="7686675" cy="44958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86675" cy="4495800"/>
                    </a:xfrm>
                    <a:prstGeom prst="rect">
                      <a:avLst/>
                    </a:prstGeom>
                    <a:noFill/>
                    <a:ln>
                      <a:noFill/>
                    </a:ln>
                  </pic:spPr>
                </pic:pic>
              </a:graphicData>
            </a:graphic>
          </wp:inline>
        </w:drawing>
      </w:r>
    </w:p>
    <w:p w14:paraId="61A7EED8" w14:textId="77777777" w:rsidR="00946B7B" w:rsidRPr="00B23DF0" w:rsidRDefault="00946B7B" w:rsidP="00084E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4"/>
        <w:rPr>
          <w:b/>
          <w:color w:val="008000"/>
        </w:rPr>
      </w:pPr>
      <w:r>
        <w:br w:type="page"/>
      </w:r>
      <w:bookmarkStart w:id="83" w:name="_Toc302552527"/>
      <w:r w:rsidR="00084E48" w:rsidRPr="00B23DF0">
        <w:rPr>
          <w:b/>
          <w:color w:val="008000"/>
        </w:rPr>
        <w:lastRenderedPageBreak/>
        <w:t>Exhibit 13 (With Forms) – Annual Burden Hours and Costs Incurred by Government</w:t>
      </w:r>
      <w:bookmarkEnd w:id="83"/>
    </w:p>
    <w:p w14:paraId="0282B9C7" w14:textId="77777777" w:rsidR="00946B7B" w:rsidRDefault="00946B7B" w:rsidP="00084E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6C1DAA95" w14:textId="46DC8647" w:rsidR="00C57958" w:rsidRDefault="006A0412" w:rsidP="00084E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sidRPr="00FE2997">
        <w:rPr>
          <w:noProof/>
        </w:rPr>
        <w:drawing>
          <wp:inline distT="0" distB="0" distL="0" distR="0" wp14:anchorId="1518221E" wp14:editId="59E1A7F2">
            <wp:extent cx="7686675" cy="44862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86675" cy="4486275"/>
                    </a:xfrm>
                    <a:prstGeom prst="rect">
                      <a:avLst/>
                    </a:prstGeom>
                    <a:noFill/>
                    <a:ln>
                      <a:noFill/>
                    </a:ln>
                  </pic:spPr>
                </pic:pic>
              </a:graphicData>
            </a:graphic>
          </wp:inline>
        </w:drawing>
      </w:r>
    </w:p>
    <w:p w14:paraId="4926052D" w14:textId="77777777" w:rsidR="00084E48" w:rsidRDefault="00084E48" w:rsidP="00084E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sectPr w:rsidR="00084E48" w:rsidSect="007815A1">
          <w:pgSz w:w="15840" w:h="12240" w:orient="landscape"/>
          <w:pgMar w:top="1080" w:right="1394" w:bottom="1440" w:left="1341" w:header="840" w:footer="1200" w:gutter="0"/>
          <w:cols w:space="720"/>
          <w:noEndnote/>
          <w:docGrid w:linePitch="326"/>
        </w:sectPr>
      </w:pPr>
    </w:p>
    <w:p w14:paraId="52A1613E" w14:textId="77777777" w:rsidR="000B42CD" w:rsidRDefault="000B42CD" w:rsidP="00AF0691">
      <w:pPr>
        <w:pStyle w:val="Heading3"/>
        <w:tabs>
          <w:tab w:val="clear" w:pos="1800"/>
          <w:tab w:val="num" w:pos="1080"/>
        </w:tabs>
      </w:pPr>
      <w:bookmarkStart w:id="84" w:name="_Toc302552528"/>
      <w:r>
        <w:lastRenderedPageBreak/>
        <w:t>Variations in the Annual Bottom Line</w:t>
      </w:r>
      <w:bookmarkEnd w:id="84"/>
      <w:r w:rsidR="0015157D">
        <w:tab/>
      </w:r>
    </w:p>
    <w:p w14:paraId="141C75D2" w14:textId="77777777" w:rsidR="000B42CD" w:rsidRDefault="000B42CD" w:rsidP="001515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2E0BB27" w14:textId="29160874" w:rsidR="0015157D" w:rsidRPr="00DF520F" w:rsidRDefault="000B42CD" w:rsidP="00AC43A9">
      <w:r>
        <w:tab/>
      </w:r>
      <w:r w:rsidR="00BF4DD4" w:rsidRPr="00DF520F">
        <w:t>Exhibit 14 summarizes the estimated burden hours and costs incurred by industry</w:t>
      </w:r>
      <w:r w:rsidR="004C28F4">
        <w:t xml:space="preserve"> if the respondents do not use the forms provided by EPA</w:t>
      </w:r>
      <w:r w:rsidR="00BF4DD4" w:rsidRPr="00DF520F">
        <w:t>.</w:t>
      </w:r>
      <w:r w:rsidR="004C28F4">
        <w:t xml:space="preserve"> This is the higher range estimate that will be posted in the public notice.</w:t>
      </w:r>
      <w:r w:rsidR="00BF4DD4" w:rsidRPr="00DF520F">
        <w:t xml:space="preserve">  The bottom line burden to industry is approximately 324,928 hours for the first year and 325,566, and 326,251 hours for the second and third years, respectively.  The bottom line industry labor costs are approximately $17,</w:t>
      </w:r>
      <w:r w:rsidR="005B6F74" w:rsidRPr="00DF520F">
        <w:t>574</w:t>
      </w:r>
      <w:r w:rsidR="00BF4DD4" w:rsidRPr="00DF520F">
        <w:t>,</w:t>
      </w:r>
      <w:r w:rsidR="005B6F74" w:rsidRPr="00DF520F">
        <w:t>012</w:t>
      </w:r>
      <w:r w:rsidR="00BF4DD4" w:rsidRPr="00DF520F">
        <w:t>, $17,</w:t>
      </w:r>
      <w:r w:rsidR="005B6F74" w:rsidRPr="00DF520F">
        <w:t>608</w:t>
      </w:r>
      <w:r w:rsidR="00BF4DD4" w:rsidRPr="00DF520F">
        <w:t>,</w:t>
      </w:r>
      <w:r w:rsidR="005B6F74" w:rsidRPr="00DF520F">
        <w:t>497</w:t>
      </w:r>
      <w:r w:rsidR="00BF4DD4" w:rsidRPr="00DF520F">
        <w:t xml:space="preserve"> and $17,</w:t>
      </w:r>
      <w:r w:rsidR="005B6F74" w:rsidRPr="00DF520F">
        <w:t>645,569</w:t>
      </w:r>
      <w:r w:rsidR="00BF4DD4" w:rsidRPr="00DF520F">
        <w:t xml:space="preserve"> for the first, second, and third years, respectively.  The bottom line industry O&amp;M costs are approximately$164,894, $165,035, and $165,405 for the first, second, and third years, respectively.   The average burden for industry over a three year period is 325,582 hours at an average labor cost of $17,</w:t>
      </w:r>
      <w:r w:rsidR="005B6F74" w:rsidRPr="00DF520F">
        <w:t>609,360</w:t>
      </w:r>
      <w:r w:rsidR="00BF4DD4" w:rsidRPr="00DF520F">
        <w:t xml:space="preserve"> and O&amp;M cost of $165,111.</w:t>
      </w:r>
    </w:p>
    <w:p w14:paraId="2278940C" w14:textId="77777777" w:rsidR="0015157D" w:rsidRDefault="0015157D" w:rsidP="001515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6D451C7" w14:textId="6DDCA01B" w:rsidR="00084E48" w:rsidRPr="00084E48" w:rsidRDefault="00084E48" w:rsidP="00084E4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4"/>
        <w:rPr>
          <w:b/>
        </w:rPr>
      </w:pPr>
      <w:bookmarkStart w:id="85" w:name="_Toc302552529"/>
      <w:r>
        <w:rPr>
          <w:b/>
        </w:rPr>
        <w:t>Exhibit 14 – Summary of Burden Hours and Costs Incurred by Industry</w:t>
      </w:r>
      <w:bookmarkEnd w:id="85"/>
      <w:r w:rsidR="004C28F4">
        <w:rPr>
          <w:b/>
        </w:rPr>
        <w:t xml:space="preserve"> (High Range)</w:t>
      </w:r>
    </w:p>
    <w:p w14:paraId="1A51E25D" w14:textId="3A6D8DF5" w:rsidR="00EE3E44" w:rsidRDefault="005B6F74" w:rsidP="00EE3E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sidRPr="005B6F74">
        <w:rPr>
          <w:noProof/>
        </w:rPr>
        <w:drawing>
          <wp:inline distT="0" distB="0" distL="0" distR="0" wp14:anchorId="775A8C26" wp14:editId="279FB002">
            <wp:extent cx="5486400" cy="219102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2191026"/>
                    </a:xfrm>
                    <a:prstGeom prst="rect">
                      <a:avLst/>
                    </a:prstGeom>
                    <a:noFill/>
                    <a:ln>
                      <a:noFill/>
                    </a:ln>
                  </pic:spPr>
                </pic:pic>
              </a:graphicData>
            </a:graphic>
          </wp:inline>
        </w:drawing>
      </w:r>
    </w:p>
    <w:p w14:paraId="6100E7FD" w14:textId="77777777" w:rsidR="0002444F" w:rsidRDefault="00B11073" w:rsidP="0002444F">
      <w:r>
        <w:tab/>
      </w:r>
    </w:p>
    <w:p w14:paraId="196C0B79" w14:textId="1BA9054E" w:rsidR="0002444F" w:rsidRPr="00B23DF0" w:rsidRDefault="0002444F" w:rsidP="0002444F">
      <w:pPr>
        <w:ind w:firstLine="720"/>
        <w:rPr>
          <w:color w:val="008000"/>
        </w:rPr>
      </w:pPr>
      <w:r w:rsidRPr="00B23DF0">
        <w:rPr>
          <w:color w:val="008000"/>
        </w:rPr>
        <w:t xml:space="preserve">Exhibit 14 (With Forms) summarizes the </w:t>
      </w:r>
      <w:r w:rsidR="004C28F4">
        <w:rPr>
          <w:color w:val="008000"/>
        </w:rPr>
        <w:t xml:space="preserve">low </w:t>
      </w:r>
      <w:r w:rsidRPr="00B23DF0">
        <w:rPr>
          <w:color w:val="008000"/>
        </w:rPr>
        <w:t>estimate burden hours and costs incurred by industry</w:t>
      </w:r>
      <w:r w:rsidR="004C28F4">
        <w:rPr>
          <w:color w:val="008000"/>
        </w:rPr>
        <w:t xml:space="preserve"> if the respondents used the forms provided by EPA</w:t>
      </w:r>
      <w:r w:rsidRPr="00B23DF0">
        <w:rPr>
          <w:color w:val="008000"/>
        </w:rPr>
        <w:t>.  The revised bottom line burden to industry is approximately 324,876 hours for the first year and 325,510, and 326,192 hours for the second and third years, respectively.  The revised bottom line industry labor costs are approximately $17,</w:t>
      </w:r>
      <w:r w:rsidR="004E486E" w:rsidRPr="00B23DF0">
        <w:rPr>
          <w:color w:val="008000"/>
        </w:rPr>
        <w:t>571</w:t>
      </w:r>
      <w:r w:rsidRPr="00B23DF0">
        <w:rPr>
          <w:color w:val="008000"/>
        </w:rPr>
        <w:t>,</w:t>
      </w:r>
      <w:r w:rsidR="004E486E" w:rsidRPr="00B23DF0">
        <w:rPr>
          <w:color w:val="008000"/>
        </w:rPr>
        <w:t>412,</w:t>
      </w:r>
      <w:r w:rsidRPr="00B23DF0">
        <w:rPr>
          <w:color w:val="008000"/>
        </w:rPr>
        <w:t xml:space="preserve"> $17,</w:t>
      </w:r>
      <w:r w:rsidR="004E486E" w:rsidRPr="00B23DF0">
        <w:rPr>
          <w:color w:val="008000"/>
        </w:rPr>
        <w:t>605,702</w:t>
      </w:r>
      <w:r w:rsidRPr="00B23DF0">
        <w:rPr>
          <w:color w:val="008000"/>
        </w:rPr>
        <w:t>, and $17,</w:t>
      </w:r>
      <w:r w:rsidR="004E486E" w:rsidRPr="00B23DF0">
        <w:rPr>
          <w:color w:val="008000"/>
        </w:rPr>
        <w:t>642,563</w:t>
      </w:r>
      <w:r w:rsidRPr="00B23DF0">
        <w:rPr>
          <w:color w:val="008000"/>
        </w:rPr>
        <w:t xml:space="preserve"> for the first, second, and third years, respectively.  The bottom line industry O&amp;M costs remain the same.   The revised average burden hour for industry over a three year period is $164,894, a revised average labor cost of $165,035.  The O&amp;M average cost of $165,405 remains unchanged.  The average burden hour for industry over a three year period is 325,526, an average labor cost of $17,</w:t>
      </w:r>
      <w:r w:rsidR="004E486E" w:rsidRPr="00B23DF0">
        <w:rPr>
          <w:color w:val="008000"/>
        </w:rPr>
        <w:t>606,559</w:t>
      </w:r>
      <w:r w:rsidRPr="00B23DF0">
        <w:rPr>
          <w:color w:val="008000"/>
        </w:rPr>
        <w:t xml:space="preserve"> and O&amp;M cost of $165,111.</w:t>
      </w:r>
    </w:p>
    <w:p w14:paraId="2426047F" w14:textId="4311B57B" w:rsidR="00671A54" w:rsidRPr="00AC43A9" w:rsidRDefault="00671A54" w:rsidP="00AC43A9">
      <w:pPr>
        <w:rPr>
          <w:color w:val="99CC00"/>
        </w:rPr>
      </w:pPr>
    </w:p>
    <w:p w14:paraId="6187450A" w14:textId="77777777" w:rsidR="00084E48" w:rsidRDefault="00084E48" w:rsidP="00671A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33CC33"/>
        </w:rPr>
      </w:pPr>
    </w:p>
    <w:p w14:paraId="3DE1621A" w14:textId="77777777" w:rsidR="004E486E" w:rsidRDefault="004E486E" w:rsidP="00671A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33CC33"/>
        </w:rPr>
      </w:pPr>
    </w:p>
    <w:p w14:paraId="0A7D58FD" w14:textId="77777777" w:rsidR="004E486E" w:rsidRDefault="004E486E" w:rsidP="00671A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33CC33"/>
        </w:rPr>
      </w:pPr>
    </w:p>
    <w:p w14:paraId="05CB97B6" w14:textId="77777777" w:rsidR="004E486E" w:rsidRDefault="004E486E" w:rsidP="00671A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33CC33"/>
        </w:rPr>
      </w:pPr>
    </w:p>
    <w:p w14:paraId="6E87E4A0" w14:textId="77777777" w:rsidR="004E486E" w:rsidRDefault="004E486E" w:rsidP="00671A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33CC33"/>
        </w:rPr>
      </w:pPr>
    </w:p>
    <w:p w14:paraId="1D7086B9" w14:textId="4D4F14C5" w:rsidR="00084E48" w:rsidRPr="00B23DF0" w:rsidRDefault="00084E48" w:rsidP="00084E4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4"/>
        <w:rPr>
          <w:b/>
          <w:color w:val="008000"/>
        </w:rPr>
      </w:pPr>
      <w:bookmarkStart w:id="86" w:name="_Toc302552530"/>
      <w:r w:rsidRPr="00B23DF0">
        <w:rPr>
          <w:b/>
          <w:color w:val="008000"/>
        </w:rPr>
        <w:t>Exhibit 14 (With Forms) – Summary of Burden Hours and Costs Incurred by Industry</w:t>
      </w:r>
      <w:bookmarkEnd w:id="86"/>
      <w:r w:rsidR="004C28F4">
        <w:rPr>
          <w:b/>
          <w:color w:val="008000"/>
        </w:rPr>
        <w:t xml:space="preserve"> (Low Range)</w:t>
      </w:r>
    </w:p>
    <w:p w14:paraId="00ED24E1" w14:textId="637C298E" w:rsidR="000163AA" w:rsidRPr="00B11073" w:rsidRDefault="005B6F74" w:rsidP="000163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33CC33"/>
        </w:rPr>
      </w:pPr>
      <w:r w:rsidRPr="005B6F74">
        <w:rPr>
          <w:noProof/>
        </w:rPr>
        <w:drawing>
          <wp:inline distT="0" distB="0" distL="0" distR="0" wp14:anchorId="0E945716" wp14:editId="13C80BEB">
            <wp:extent cx="5486400" cy="21998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2199861"/>
                    </a:xfrm>
                    <a:prstGeom prst="rect">
                      <a:avLst/>
                    </a:prstGeom>
                    <a:noFill/>
                    <a:ln>
                      <a:noFill/>
                    </a:ln>
                  </pic:spPr>
                </pic:pic>
              </a:graphicData>
            </a:graphic>
          </wp:inline>
        </w:drawing>
      </w:r>
    </w:p>
    <w:p w14:paraId="24AC6BA9" w14:textId="77777777" w:rsidR="0015157D" w:rsidRDefault="0015157D" w:rsidP="005F5FA9">
      <w:pPr>
        <w:tabs>
          <w:tab w:val="left" w:pos="720"/>
          <w:tab w:val="left" w:pos="1440"/>
          <w:tab w:val="left" w:pos="2160"/>
          <w:tab w:val="left" w:pos="2880"/>
          <w:tab w:val="left" w:pos="3600"/>
          <w:tab w:val="left" w:pos="4320"/>
          <w:tab w:val="left" w:pos="5040"/>
          <w:tab w:val="left" w:pos="5760"/>
          <w:tab w:val="left" w:pos="6480"/>
          <w:tab w:val="left" w:pos="7202"/>
        </w:tabs>
        <w:jc w:val="center"/>
      </w:pPr>
    </w:p>
    <w:p w14:paraId="05AAF469" w14:textId="5F2E0EFD" w:rsidR="0015157D" w:rsidRPr="00DF520F" w:rsidRDefault="000A7982" w:rsidP="00AC43A9">
      <w:r>
        <w:tab/>
      </w:r>
      <w:r w:rsidR="00A7558B" w:rsidRPr="00DF520F">
        <w:t>Exhibit 15 summarizes the estimated burden hours and costs incurred by government.</w:t>
      </w:r>
      <w:r w:rsidR="00C4311B">
        <w:t xml:space="preserve"> This is the high range estimate.</w:t>
      </w:r>
      <w:r w:rsidR="00A7558B" w:rsidRPr="00DF520F">
        <w:t xml:space="preserve"> The bottom line burden to the government is approximately 29,046 hours for the first year, 29,072 for the second, and 29,140 for the third year.  The bottom line cost to the government is approximately $1,369,100, $1,370,356, and $1,373,530, respectively.  The average burden hour for the government over a three year period is 29,086 hours, at an average annual cost of $1,370,995.</w:t>
      </w:r>
    </w:p>
    <w:p w14:paraId="0A6F2019" w14:textId="77777777" w:rsidR="00084E48" w:rsidRDefault="00084E48" w:rsidP="0015157D">
      <w:pPr>
        <w:tabs>
          <w:tab w:val="left" w:pos="720"/>
          <w:tab w:val="left" w:pos="1440"/>
          <w:tab w:val="left" w:pos="2160"/>
          <w:tab w:val="left" w:pos="2880"/>
          <w:tab w:val="left" w:pos="3600"/>
          <w:tab w:val="left" w:pos="4320"/>
          <w:tab w:val="left" w:pos="5040"/>
          <w:tab w:val="left" w:pos="5760"/>
          <w:tab w:val="left" w:pos="6480"/>
          <w:tab w:val="left" w:pos="7202"/>
        </w:tabs>
      </w:pPr>
    </w:p>
    <w:p w14:paraId="642F26E6" w14:textId="77777777" w:rsidR="00084E48" w:rsidRDefault="00084E48" w:rsidP="0015157D">
      <w:pPr>
        <w:tabs>
          <w:tab w:val="left" w:pos="720"/>
          <w:tab w:val="left" w:pos="1440"/>
          <w:tab w:val="left" w:pos="2160"/>
          <w:tab w:val="left" w:pos="2880"/>
          <w:tab w:val="left" w:pos="3600"/>
          <w:tab w:val="left" w:pos="4320"/>
          <w:tab w:val="left" w:pos="5040"/>
          <w:tab w:val="left" w:pos="5760"/>
          <w:tab w:val="left" w:pos="6480"/>
          <w:tab w:val="left" w:pos="7202"/>
        </w:tabs>
      </w:pPr>
    </w:p>
    <w:p w14:paraId="7FF43681" w14:textId="002A1A8B" w:rsidR="006549BA" w:rsidRPr="00084E48" w:rsidRDefault="00084E48" w:rsidP="00084E48">
      <w:pPr>
        <w:keepNext/>
        <w:tabs>
          <w:tab w:val="left" w:pos="720"/>
          <w:tab w:val="left" w:pos="1440"/>
          <w:tab w:val="left" w:pos="2160"/>
          <w:tab w:val="left" w:pos="2880"/>
          <w:tab w:val="left" w:pos="3600"/>
          <w:tab w:val="left" w:pos="4320"/>
          <w:tab w:val="left" w:pos="5040"/>
          <w:tab w:val="left" w:pos="5760"/>
          <w:tab w:val="left" w:pos="6480"/>
          <w:tab w:val="left" w:pos="7202"/>
        </w:tabs>
        <w:jc w:val="center"/>
        <w:outlineLvl w:val="4"/>
        <w:rPr>
          <w:b/>
        </w:rPr>
      </w:pPr>
      <w:bookmarkStart w:id="87" w:name="_Toc302552531"/>
      <w:r>
        <w:rPr>
          <w:b/>
        </w:rPr>
        <w:t>Exhibit 15 – Summary of Burden Hours and Costs Incurred by Government</w:t>
      </w:r>
      <w:bookmarkEnd w:id="87"/>
      <w:r w:rsidR="00C4311B">
        <w:rPr>
          <w:b/>
        </w:rPr>
        <w:t xml:space="preserve"> (High Range)</w:t>
      </w:r>
    </w:p>
    <w:p w14:paraId="56DBFF6D" w14:textId="45AF3E40" w:rsidR="0095573E" w:rsidRDefault="00AE106B" w:rsidP="0095573E">
      <w:pPr>
        <w:tabs>
          <w:tab w:val="left" w:pos="720"/>
          <w:tab w:val="left" w:pos="1440"/>
          <w:tab w:val="left" w:pos="2160"/>
          <w:tab w:val="left" w:pos="2880"/>
          <w:tab w:val="left" w:pos="3600"/>
          <w:tab w:val="left" w:pos="4320"/>
          <w:tab w:val="left" w:pos="5040"/>
          <w:tab w:val="left" w:pos="5760"/>
          <w:tab w:val="left" w:pos="6480"/>
          <w:tab w:val="left" w:pos="7202"/>
        </w:tabs>
        <w:jc w:val="center"/>
      </w:pPr>
      <w:r w:rsidRPr="007F14E8">
        <w:rPr>
          <w:noProof/>
        </w:rPr>
        <w:drawing>
          <wp:inline distT="0" distB="0" distL="0" distR="0" wp14:anchorId="6EF3FE21" wp14:editId="635A5E29">
            <wp:extent cx="5486400" cy="6356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635635"/>
                    </a:xfrm>
                    <a:prstGeom prst="rect">
                      <a:avLst/>
                    </a:prstGeom>
                    <a:noFill/>
                    <a:ln>
                      <a:noFill/>
                    </a:ln>
                  </pic:spPr>
                </pic:pic>
              </a:graphicData>
            </a:graphic>
          </wp:inline>
        </w:drawing>
      </w:r>
    </w:p>
    <w:p w14:paraId="1CDB2A81" w14:textId="77777777" w:rsidR="00AE106B" w:rsidRDefault="00AE106B" w:rsidP="0095573E">
      <w:pPr>
        <w:tabs>
          <w:tab w:val="left" w:pos="720"/>
          <w:tab w:val="left" w:pos="1440"/>
          <w:tab w:val="left" w:pos="2160"/>
          <w:tab w:val="left" w:pos="2880"/>
          <w:tab w:val="left" w:pos="3600"/>
          <w:tab w:val="left" w:pos="4320"/>
          <w:tab w:val="left" w:pos="5040"/>
          <w:tab w:val="left" w:pos="5760"/>
          <w:tab w:val="left" w:pos="6480"/>
          <w:tab w:val="left" w:pos="7202"/>
        </w:tabs>
        <w:jc w:val="center"/>
      </w:pPr>
    </w:p>
    <w:p w14:paraId="6EE5B798" w14:textId="285A7C8D" w:rsidR="00AE106B" w:rsidRPr="00B23DF0" w:rsidRDefault="006549BA" w:rsidP="00AE106B">
      <w:pPr>
        <w:rPr>
          <w:color w:val="008000"/>
        </w:rPr>
      </w:pPr>
      <w:r>
        <w:tab/>
      </w:r>
      <w:r w:rsidR="00AE106B" w:rsidRPr="00B23DF0">
        <w:rPr>
          <w:color w:val="008000"/>
        </w:rPr>
        <w:t>Exhibit 15 (With Forms) summarizes the estimated burden hours and costs incurred by government.</w:t>
      </w:r>
      <w:r w:rsidR="00C4311B">
        <w:rPr>
          <w:color w:val="008000"/>
        </w:rPr>
        <w:t xml:space="preserve"> This is the low range estimate.</w:t>
      </w:r>
      <w:r w:rsidR="00AE106B" w:rsidRPr="00B23DF0">
        <w:rPr>
          <w:color w:val="008000"/>
        </w:rPr>
        <w:t xml:space="preserve">  The revised bottom line burden to the government is approximately 22,119 hours for the first year, 22,142 for second, and 22,192 for the third year.  The revised bottom line cost to the government is approximately $1,042,581, $1,043,671, and $1,046,059, respectively.  The revised average burden hour for the government over a three year period is 22,151 hours, at an average annual cost of $1,044,103.</w:t>
      </w:r>
    </w:p>
    <w:p w14:paraId="2D0B322F" w14:textId="300FF2E3" w:rsidR="00084E48" w:rsidRPr="00B23DF0" w:rsidRDefault="00084E48" w:rsidP="00AE106B">
      <w:pPr>
        <w:rPr>
          <w:color w:val="008000"/>
        </w:rPr>
      </w:pPr>
    </w:p>
    <w:p w14:paraId="2190F464" w14:textId="3268F920" w:rsidR="00084E48" w:rsidRPr="00B23DF0" w:rsidRDefault="00084E48" w:rsidP="00084E48">
      <w:pPr>
        <w:keepNext/>
        <w:tabs>
          <w:tab w:val="left" w:pos="720"/>
          <w:tab w:val="left" w:pos="1440"/>
          <w:tab w:val="left" w:pos="2160"/>
          <w:tab w:val="left" w:pos="2880"/>
          <w:tab w:val="left" w:pos="3600"/>
          <w:tab w:val="left" w:pos="4320"/>
          <w:tab w:val="left" w:pos="5040"/>
          <w:tab w:val="left" w:pos="5760"/>
          <w:tab w:val="left" w:pos="6480"/>
          <w:tab w:val="left" w:pos="7202"/>
        </w:tabs>
        <w:jc w:val="center"/>
        <w:outlineLvl w:val="4"/>
        <w:rPr>
          <w:b/>
          <w:color w:val="008000"/>
        </w:rPr>
      </w:pPr>
      <w:bookmarkStart w:id="88" w:name="_Toc302552532"/>
      <w:r w:rsidRPr="00B23DF0">
        <w:rPr>
          <w:b/>
          <w:color w:val="008000"/>
        </w:rPr>
        <w:t xml:space="preserve">Exhibit 15 (With Forms) – Summary of Burden Hours and Costs Incurred by </w:t>
      </w:r>
      <w:r w:rsidRPr="00B23DF0">
        <w:rPr>
          <w:b/>
          <w:color w:val="008000"/>
        </w:rPr>
        <w:lastRenderedPageBreak/>
        <w:t>Government</w:t>
      </w:r>
      <w:bookmarkEnd w:id="88"/>
      <w:r w:rsidR="00C4311B">
        <w:rPr>
          <w:b/>
          <w:color w:val="008000"/>
        </w:rPr>
        <w:t xml:space="preserve"> (Low Range)</w:t>
      </w:r>
    </w:p>
    <w:p w14:paraId="50FC6676" w14:textId="79BE39A0" w:rsidR="0015157D" w:rsidRDefault="00B7357F" w:rsidP="0095573E">
      <w:pPr>
        <w:tabs>
          <w:tab w:val="left" w:pos="720"/>
          <w:tab w:val="left" w:pos="1440"/>
          <w:tab w:val="left" w:pos="2160"/>
          <w:tab w:val="left" w:pos="2880"/>
          <w:tab w:val="left" w:pos="3600"/>
          <w:tab w:val="left" w:pos="4320"/>
          <w:tab w:val="left" w:pos="5040"/>
          <w:tab w:val="left" w:pos="5760"/>
          <w:tab w:val="left" w:pos="6480"/>
          <w:tab w:val="left" w:pos="7202"/>
        </w:tabs>
        <w:jc w:val="center"/>
      </w:pPr>
      <w:r w:rsidRPr="00887850">
        <w:rPr>
          <w:noProof/>
        </w:rPr>
        <w:drawing>
          <wp:inline distT="0" distB="0" distL="0" distR="0" wp14:anchorId="11B5A91D" wp14:editId="76C99D14">
            <wp:extent cx="5486400" cy="52959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529590"/>
                    </a:xfrm>
                    <a:prstGeom prst="rect">
                      <a:avLst/>
                    </a:prstGeom>
                    <a:noFill/>
                    <a:ln>
                      <a:noFill/>
                    </a:ln>
                  </pic:spPr>
                </pic:pic>
              </a:graphicData>
            </a:graphic>
          </wp:inline>
        </w:drawing>
      </w:r>
    </w:p>
    <w:p w14:paraId="7DF3974D" w14:textId="77777777" w:rsidR="000B42CD" w:rsidRDefault="000B42CD" w:rsidP="000B42CD">
      <w:pPr>
        <w:pStyle w:val="Heading2"/>
      </w:pPr>
      <w:bookmarkStart w:id="89" w:name="_Toc302552533"/>
      <w:r>
        <w:t>Reasons for Change in Burden</w:t>
      </w:r>
      <w:bookmarkEnd w:id="89"/>
    </w:p>
    <w:p w14:paraId="05006E65" w14:textId="77777777" w:rsidR="000B42CD" w:rsidRDefault="000B42CD" w:rsidP="000B42CD"/>
    <w:p w14:paraId="74C75CF0" w14:textId="77777777" w:rsidR="00FF393E" w:rsidRPr="008B56B7" w:rsidRDefault="00FF393E" w:rsidP="00FF393E">
      <w:r w:rsidRPr="001C7658">
        <w:t xml:space="preserve">This ICR </w:t>
      </w:r>
      <w:r w:rsidRPr="001C7658">
        <w:rPr>
          <w:b/>
          <w:bCs/>
        </w:rPr>
        <w:t>increases</w:t>
      </w:r>
      <w:r w:rsidRPr="001C7658">
        <w:t xml:space="preserve"> the burden incurred by industry, as a result of compliance with the CRRR, from </w:t>
      </w:r>
      <w:r w:rsidRPr="00DF520F">
        <w:t xml:space="preserve">315,966 to 325,582 estimated </w:t>
      </w:r>
      <w:r w:rsidRPr="001C7658">
        <w:t xml:space="preserve">average burden hours.  This </w:t>
      </w:r>
      <w:r w:rsidRPr="001C7658">
        <w:rPr>
          <w:b/>
          <w:bCs/>
        </w:rPr>
        <w:t>increase</w:t>
      </w:r>
      <w:r w:rsidRPr="001C7658">
        <w:t xml:space="preserve"> in burden results primarily from use of data on the actual number of continuous release reports from several regions and applying a growth rate consistent with prior years </w:t>
      </w:r>
      <w:r w:rsidRPr="008B56B7">
        <w:t xml:space="preserve">reporting.  The average annual percent increase in facilities in the previous ICR was approximately 7.5%.  The same percent increase was assumed for this ICR.  The unit burden hours per respondent information collection activity (Exhibit 1) remains the same as the previous ICR.  </w:t>
      </w:r>
    </w:p>
    <w:p w14:paraId="6743D67F" w14:textId="77777777" w:rsidR="000B42CD" w:rsidRDefault="000B42CD" w:rsidP="000B42CD">
      <w:pPr>
        <w:ind w:firstLine="720"/>
      </w:pPr>
    </w:p>
    <w:p w14:paraId="3088BA5A" w14:textId="65565841" w:rsidR="00083AD6" w:rsidRPr="00B23DF0" w:rsidRDefault="0057323B" w:rsidP="00465B2B">
      <w:pPr>
        <w:rPr>
          <w:color w:val="008000"/>
        </w:rPr>
      </w:pPr>
      <w:r>
        <w:rPr>
          <w:color w:val="008000"/>
        </w:rPr>
        <w:t>For the low range estimate, EPA</w:t>
      </w:r>
      <w:r w:rsidR="00FF393E" w:rsidRPr="00B23DF0">
        <w:rPr>
          <w:color w:val="008000"/>
        </w:rPr>
        <w:t xml:space="preserve"> estimate</w:t>
      </w:r>
      <w:r>
        <w:rPr>
          <w:color w:val="008000"/>
        </w:rPr>
        <w:t>s</w:t>
      </w:r>
      <w:r w:rsidR="00FF393E" w:rsidRPr="00B23DF0">
        <w:rPr>
          <w:color w:val="008000"/>
        </w:rPr>
        <w:t xml:space="preserve"> that the use of the continuous release reporting forms will </w:t>
      </w:r>
      <w:r w:rsidR="00FF393E" w:rsidRPr="00B23DF0">
        <w:rPr>
          <w:b/>
          <w:color w:val="008000"/>
        </w:rPr>
        <w:t>reduce</w:t>
      </w:r>
      <w:r w:rsidR="00FF393E" w:rsidRPr="00B23DF0">
        <w:rPr>
          <w:color w:val="008000"/>
        </w:rPr>
        <w:t xml:space="preserve"> the estimated average burden hours for industry from 325,582 to 325,526, an overall estimated savings of 56 hours.</w:t>
      </w:r>
    </w:p>
    <w:p w14:paraId="0861DDF9" w14:textId="77777777" w:rsidR="000B42CD" w:rsidRDefault="000B42CD" w:rsidP="00AF0691">
      <w:pPr>
        <w:pStyle w:val="Heading2"/>
      </w:pPr>
      <w:bookmarkStart w:id="90" w:name="_Toc302552534"/>
      <w:r>
        <w:t>Burden Statement</w:t>
      </w:r>
      <w:bookmarkEnd w:id="90"/>
    </w:p>
    <w:p w14:paraId="2D8D53AE" w14:textId="77777777" w:rsidR="000B42CD" w:rsidRDefault="000B42CD" w:rsidP="000B42CD"/>
    <w:p w14:paraId="58AB0744" w14:textId="12B1BC8B" w:rsidR="00BA60AF" w:rsidRDefault="000B42CD" w:rsidP="006D44BD">
      <w:r w:rsidRPr="00DF520F">
        <w:t>The</w:t>
      </w:r>
      <w:r w:rsidR="00BA60AF">
        <w:t xml:space="preserve"> annual</w:t>
      </w:r>
      <w:r w:rsidRPr="00DF520F">
        <w:t xml:space="preserve"> reporting and record keeping burden for this collection of information is estim</w:t>
      </w:r>
      <w:r w:rsidR="00225E34" w:rsidRPr="00DF520F">
        <w:t xml:space="preserve">ated to average </w:t>
      </w:r>
      <w:r w:rsidR="000D6E81">
        <w:t xml:space="preserve">10 hours per response. EPA estimates </w:t>
      </w:r>
      <w:r w:rsidR="00035728" w:rsidRPr="00DF520F">
        <w:t>8</w:t>
      </w:r>
      <w:r w:rsidR="00D21DF4" w:rsidRPr="00DF520F">
        <w:t>0</w:t>
      </w:r>
      <w:r w:rsidR="00021317" w:rsidRPr="00DF520F">
        <w:rPr>
          <w:rStyle w:val="FootnoteReference"/>
          <w:sz w:val="20"/>
          <w:vertAlign w:val="superscript"/>
        </w:rPr>
        <w:footnoteReference w:id="9"/>
      </w:r>
      <w:r w:rsidRPr="00DF520F">
        <w:t xml:space="preserve"> hours per affected facility (</w:t>
      </w:r>
      <w:r w:rsidR="00D21DF4" w:rsidRPr="00DF520F">
        <w:t>325,582</w:t>
      </w:r>
      <w:r w:rsidR="00035728" w:rsidRPr="00DF520F">
        <w:t xml:space="preserve"> </w:t>
      </w:r>
      <w:r w:rsidRPr="00DF520F">
        <w:t>total burden hours/</w:t>
      </w:r>
      <w:r w:rsidR="00D21DF4" w:rsidRPr="00DF520F">
        <w:t>4,046</w:t>
      </w:r>
      <w:r w:rsidR="006D44BD" w:rsidRPr="00DF520F">
        <w:t xml:space="preserve"> </w:t>
      </w:r>
      <w:r w:rsidRPr="00DF520F">
        <w:t xml:space="preserve"> affected facilities), or</w:t>
      </w:r>
      <w:r w:rsidR="00D21DF4" w:rsidRPr="00DF520F">
        <w:t xml:space="preserve"> 10.1</w:t>
      </w:r>
      <w:r w:rsidR="00021317" w:rsidRPr="00DF520F">
        <w:rPr>
          <w:rStyle w:val="FootnoteReference"/>
          <w:vertAlign w:val="superscript"/>
        </w:rPr>
        <w:footnoteReference w:id="10"/>
      </w:r>
      <w:r w:rsidRPr="00DF520F">
        <w:rPr>
          <w:vertAlign w:val="superscript"/>
        </w:rPr>
        <w:t xml:space="preserve"> </w:t>
      </w:r>
      <w:r w:rsidRPr="00DF520F">
        <w:t xml:space="preserve">hours per response (where we estimate 8 responses/facility </w:t>
      </w:r>
      <w:r w:rsidRPr="00225E34">
        <w:t>- see note to Exhibit 6), including determining if the hazardous substance release qualifies for reporting under the CRRR, gathering and maintaining the req</w:t>
      </w:r>
      <w:r w:rsidRPr="001F3A52">
        <w:t xml:space="preserve">uired information, and completing and reviewing the written reports.  </w:t>
      </w:r>
    </w:p>
    <w:p w14:paraId="7A333E5F" w14:textId="77777777" w:rsidR="00BA60AF" w:rsidRDefault="00BA60AF" w:rsidP="006D44BD"/>
    <w:p w14:paraId="17CCA09F" w14:textId="77777777" w:rsidR="00BA60AF" w:rsidRPr="00DF520F" w:rsidRDefault="00BA60AF" w:rsidP="00BA60AF">
      <w:pPr>
        <w:rPr>
          <w:color w:val="00B050"/>
        </w:rPr>
      </w:pPr>
      <w:r w:rsidRPr="00185CE0">
        <w:rPr>
          <w:color w:val="008000"/>
        </w:rPr>
        <w:t>We estimate that the revised reporting and record keeping burden for this collection of information is estimated to average approximately  80</w:t>
      </w:r>
      <w:r w:rsidRPr="00185CE0">
        <w:rPr>
          <w:rStyle w:val="FootnoteReference"/>
          <w:color w:val="008000"/>
          <w:sz w:val="20"/>
          <w:vertAlign w:val="superscript"/>
        </w:rPr>
        <w:footnoteReference w:id="11"/>
      </w:r>
      <w:r w:rsidRPr="00185CE0">
        <w:rPr>
          <w:color w:val="008000"/>
        </w:rPr>
        <w:t>per affected facility (325,526 revised total burden hours/4,046 affected facilities), or 10.1</w:t>
      </w:r>
      <w:r w:rsidRPr="00185CE0">
        <w:rPr>
          <w:rStyle w:val="FootnoteReference"/>
          <w:color w:val="008000"/>
          <w:sz w:val="20"/>
          <w:vertAlign w:val="superscript"/>
        </w:rPr>
        <w:footnoteReference w:id="12"/>
      </w:r>
      <w:r w:rsidRPr="00185CE0">
        <w:rPr>
          <w:color w:val="008000"/>
          <w:sz w:val="20"/>
          <w:vertAlign w:val="superscript"/>
        </w:rPr>
        <w:t xml:space="preserve"> </w:t>
      </w:r>
      <w:r w:rsidRPr="00185CE0">
        <w:rPr>
          <w:color w:val="008000"/>
        </w:rPr>
        <w:t xml:space="preserve">hours per response (where we estimate 8 response/facility – see note to Exhibit 6), including determining if the hazardous substance release qualifies for reporting under the CRRR, gathering and </w:t>
      </w:r>
      <w:r w:rsidRPr="00185CE0">
        <w:rPr>
          <w:color w:val="008000"/>
        </w:rPr>
        <w:lastRenderedPageBreak/>
        <w:t>maintaining the required information, and completing and reviewing the written reports.</w:t>
      </w:r>
    </w:p>
    <w:p w14:paraId="46B48E87" w14:textId="77777777" w:rsidR="00BA60AF" w:rsidRDefault="00BA60AF" w:rsidP="006D44BD"/>
    <w:p w14:paraId="41A4A1B0" w14:textId="479AE01C" w:rsidR="000B42CD" w:rsidRDefault="000B42CD" w:rsidP="00B23DF0">
      <w:r w:rsidRPr="001F3A52">
        <w:t>Burden means the total time, effort, or financial resources expended by persons to generate, maintain, retain, or disclose or provide information to or for a Federal agency.  This includes the time needed to review instructions; develop, acquire, install, and utilize technology and systems for the purposes of collecting, validating, and verifying information, processing and maintaining information, and disclosing and providing information; adjust the existing ways to comply with any previously applicable instructions and requirements; train personnel to be able to respond to a collection of information; search data sources; complete and review the collection of information; and transmit or otherwise disclose the information.  An agency may not conduct or sponsor, and a person is not required to respond to, a collection of information unless it displays a currently valid OMB control number.  The OMB control numbers for EPA</w:t>
      </w:r>
      <w:r>
        <w:t>’</w:t>
      </w:r>
      <w:r w:rsidRPr="001F3A52">
        <w:t xml:space="preserve">s regulations are listed in 40 CFR part 9 and 48 CFR chapter 15.     </w:t>
      </w:r>
    </w:p>
    <w:p w14:paraId="7C8FFE06" w14:textId="77777777" w:rsidR="006549BA" w:rsidRPr="008802F1" w:rsidRDefault="006549BA" w:rsidP="00B23DF0">
      <w:pPr>
        <w:rPr>
          <w:color w:val="33CC33"/>
        </w:rPr>
      </w:pPr>
    </w:p>
    <w:p w14:paraId="3B1137D9" w14:textId="6A22A19F" w:rsidR="00D206EE" w:rsidRDefault="0045783B" w:rsidP="0045783B">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9"/>
      </w:pPr>
      <w:r w:rsidRPr="001C7658">
        <w:t xml:space="preserve">To comment on the Agency’s need for this information, the accuracy of the provided burden estimates, and any suggested methods for minimizing respondent burden, including the use of automated collection techniques, EPA has established a public docket for this ICR under Docket ID No. </w:t>
      </w:r>
      <w:r w:rsidRPr="008B56B7">
        <w:t>EPA-HQ-SFUND-20</w:t>
      </w:r>
      <w:r>
        <w:t>15-0100</w:t>
      </w:r>
      <w:r w:rsidRPr="008B56B7">
        <w:t xml:space="preserve">, which is </w:t>
      </w:r>
      <w:r>
        <w:rPr>
          <w:color w:val="0F0F0F"/>
        </w:rPr>
        <w:t xml:space="preserve">available for online viewing at </w:t>
      </w:r>
      <w:hyperlink r:id="rId33" w:history="1">
        <w:r w:rsidRPr="00C968CF">
          <w:rPr>
            <w:rStyle w:val="Hyperlink"/>
          </w:rPr>
          <w:t>www.regulations.gov</w:t>
        </w:r>
      </w:hyperlink>
      <w:r>
        <w:rPr>
          <w:color w:val="0F0F0F"/>
        </w:rPr>
        <w:t xml:space="preserve">, or in person viewing at the </w:t>
      </w:r>
      <w:r w:rsidRPr="005F1213">
        <w:t xml:space="preserve">Superfund (SFUND) docket </w:t>
      </w:r>
      <w:r>
        <w:rPr>
          <w:color w:val="0F0F0F"/>
        </w:rPr>
        <w:t xml:space="preserve">in the EPA Docket Center (EPA/DC), EPA West, Room </w:t>
      </w:r>
      <w:r w:rsidR="00BA60AF">
        <w:rPr>
          <w:color w:val="0F0F0F"/>
        </w:rPr>
        <w:t>3334</w:t>
      </w:r>
      <w:r>
        <w:rPr>
          <w:color w:val="0F0F0F"/>
        </w:rPr>
        <w:t xml:space="preserve">, 1301 Constitution Avenue, NW, Washington, D.C.  The EPA Docket Center Public Reading Room is open from 8:30 a.m. to 4:30 p.m., Monday through Friday, excluding legal holidays.  The telephone number for the Reading Room is (202) 566-1744, and the telephone number for the superfund docket is (202) 566-0276.  An electronic version of the public docket is available at www.regulations.gov.  This site can be used to submit or view public comments, access the index listing of the contents of the public docket, and to access those documents in the public docket that are available electronically.  When in the system, select “search,” then key in the Docket ID Number identified above.  Also, you can send comments to the Office of Information and Regulatory Affairs, Office of Management and Budget, </w:t>
      </w:r>
      <w:smartTag w:uri="urn:schemas-microsoft-com:office:smarttags" w:element="address">
        <w:smartTag w:uri="urn:schemas-microsoft-com:office:smarttags" w:element="Street">
          <w:r>
            <w:rPr>
              <w:color w:val="0F0F0F"/>
            </w:rPr>
            <w:t>725 17th Street, NW</w:t>
          </w:r>
        </w:smartTag>
        <w:r>
          <w:rPr>
            <w:color w:val="0F0F0F"/>
          </w:rPr>
          <w:t xml:space="preserve">, </w:t>
        </w:r>
        <w:smartTag w:uri="urn:schemas-microsoft-com:office:smarttags" w:element="City">
          <w:r>
            <w:rPr>
              <w:color w:val="0F0F0F"/>
            </w:rPr>
            <w:t>Washington</w:t>
          </w:r>
        </w:smartTag>
        <w:r>
          <w:rPr>
            <w:color w:val="0F0F0F"/>
          </w:rPr>
          <w:t xml:space="preserve">, </w:t>
        </w:r>
        <w:smartTag w:uri="urn:schemas-microsoft-com:office:smarttags" w:element="State">
          <w:r>
            <w:rPr>
              <w:color w:val="0F0F0F"/>
            </w:rPr>
            <w:t>D.C.</w:t>
          </w:r>
        </w:smartTag>
        <w:r>
          <w:rPr>
            <w:color w:val="0F0F0F"/>
          </w:rPr>
          <w:t xml:space="preserve"> </w:t>
        </w:r>
        <w:smartTag w:uri="urn:schemas-microsoft-com:office:smarttags" w:element="PostalCode">
          <w:r>
            <w:rPr>
              <w:color w:val="0F0F0F"/>
            </w:rPr>
            <w:t>20503</w:t>
          </w:r>
        </w:smartTag>
      </w:smartTag>
      <w:r>
        <w:rPr>
          <w:color w:val="0F0F0F"/>
        </w:rPr>
        <w:t>, Attention: Desk Officer for EPA.  Please include the EPA Docket ID</w:t>
      </w:r>
      <w:r>
        <w:rPr>
          <w:rFonts w:ascii="Courier New" w:hAnsi="Courier New" w:cs="Courier New"/>
          <w:color w:val="0F0F0F"/>
        </w:rPr>
        <w:t xml:space="preserve"> </w:t>
      </w:r>
      <w:r w:rsidRPr="005F1213">
        <w:t>Number EPA-HQ-SFUND-2015-0100 and OMB Control Number 2050-0086 in any correspondence.</w:t>
      </w:r>
      <w:r w:rsidR="00237139">
        <w:t xml:space="preserve">  </w:t>
      </w:r>
    </w:p>
    <w:p w14:paraId="1E98497D" w14:textId="77777777" w:rsidR="001D1D4B" w:rsidRDefault="00D206EE">
      <w:pPr>
        <w:widowControl/>
        <w:adjustRightInd/>
        <w:sectPr w:rsidR="001D1D4B" w:rsidSect="00C32344">
          <w:footerReference w:type="default" r:id="rId34"/>
          <w:pgSz w:w="12240" w:h="15840" w:code="1"/>
          <w:pgMar w:top="1440" w:right="1800" w:bottom="1440" w:left="1800" w:header="720" w:footer="720" w:gutter="0"/>
          <w:cols w:space="720"/>
          <w:docGrid w:linePitch="360"/>
        </w:sectPr>
      </w:pPr>
      <w:r>
        <w:br w:type="page"/>
      </w:r>
    </w:p>
    <w:p w14:paraId="53480917" w14:textId="77777777" w:rsidR="001D1D4B" w:rsidRPr="00764B1D" w:rsidRDefault="001D1D4B" w:rsidP="001D1D4B">
      <w:pPr>
        <w:pStyle w:val="Heading1"/>
        <w:numPr>
          <w:ilvl w:val="0"/>
          <w:numId w:val="0"/>
        </w:numPr>
        <w:ind w:left="360" w:hanging="360"/>
        <w:rPr>
          <w:color w:val="000000" w:themeColor="text1"/>
        </w:rPr>
      </w:pPr>
      <w:bookmarkStart w:id="91" w:name="_Toc162862821"/>
      <w:bookmarkStart w:id="92" w:name="_Toc302552535"/>
      <w:r w:rsidRPr="00764B1D">
        <w:rPr>
          <w:b/>
          <w:color w:val="000000" w:themeColor="text1"/>
          <w:u w:val="single"/>
        </w:rPr>
        <w:lastRenderedPageBreak/>
        <w:t>APPENDIX A</w:t>
      </w:r>
      <w:bookmarkEnd w:id="91"/>
      <w:bookmarkEnd w:id="92"/>
    </w:p>
    <w:p w14:paraId="0D91988A" w14:textId="77777777" w:rsidR="001D1D4B" w:rsidRPr="00764B1D" w:rsidRDefault="001D1D4B" w:rsidP="001D1D4B">
      <w:pPr>
        <w:widowControl/>
        <w:adjustRightInd/>
        <w:rPr>
          <w:color w:val="000000" w:themeColor="text1"/>
        </w:rPr>
      </w:pPr>
      <w:r w:rsidRPr="00764B1D">
        <w:rPr>
          <w:color w:val="000000" w:themeColor="text1"/>
        </w:rPr>
        <w:t>Phone-Log Summaries</w:t>
      </w:r>
    </w:p>
    <w:p w14:paraId="2595B02A" w14:textId="77777777" w:rsidR="001D1D4B" w:rsidRPr="00764B1D" w:rsidRDefault="001D1D4B" w:rsidP="001D1D4B">
      <w:pPr>
        <w:widowControl/>
        <w:adjustRightInd/>
        <w:rPr>
          <w:color w:val="000000" w:themeColor="text1"/>
        </w:rPr>
      </w:pPr>
    </w:p>
    <w:p w14:paraId="7A94006A" w14:textId="67E6A8DB" w:rsidR="001D1D4B" w:rsidRPr="00764B1D" w:rsidRDefault="001D1D4B" w:rsidP="001D1D4B">
      <w:pPr>
        <w:widowControl/>
        <w:adjustRightInd/>
        <w:rPr>
          <w:color w:val="000000" w:themeColor="text1"/>
        </w:rPr>
      </w:pPr>
      <w:r w:rsidRPr="00764B1D">
        <w:rPr>
          <w:color w:val="000000" w:themeColor="text1"/>
        </w:rPr>
        <w:t>The following c</w:t>
      </w:r>
      <w:r w:rsidR="00764B1D" w:rsidRPr="00764B1D">
        <w:rPr>
          <w:color w:val="000000" w:themeColor="text1"/>
        </w:rPr>
        <w:t xml:space="preserve">alls were made between March 9, 2015 and </w:t>
      </w:r>
      <w:r w:rsidR="00764B1D" w:rsidRPr="00820DD7">
        <w:rPr>
          <w:color w:val="000000" w:themeColor="text1"/>
        </w:rPr>
        <w:t>March</w:t>
      </w:r>
      <w:r w:rsidR="00820DD7" w:rsidRPr="00820DD7">
        <w:rPr>
          <w:color w:val="000000" w:themeColor="text1"/>
        </w:rPr>
        <w:t xml:space="preserve"> 11</w:t>
      </w:r>
      <w:r w:rsidR="00764B1D" w:rsidRPr="00820DD7">
        <w:rPr>
          <w:color w:val="000000" w:themeColor="text1"/>
        </w:rPr>
        <w:t xml:space="preserve">, </w:t>
      </w:r>
      <w:r w:rsidR="00764B1D" w:rsidRPr="00764B1D">
        <w:rPr>
          <w:color w:val="000000" w:themeColor="text1"/>
        </w:rPr>
        <w:t>2015</w:t>
      </w:r>
      <w:r w:rsidRPr="00764B1D">
        <w:rPr>
          <w:color w:val="000000" w:themeColor="text1"/>
        </w:rPr>
        <w:t xml:space="preserve">.  The companies were selected from the universe of facilities for which a continuous release notification was made.  Persons responsible for making notifications were queried about the internal process and procedures taken at the facility between the time a release is observed and a call is made to the NRC and through the 30 day follow-up report, one year anniversary report and any additional reports required that resulted from changes to the continuous release. </w:t>
      </w:r>
    </w:p>
    <w:p w14:paraId="1AE0D573" w14:textId="77777777" w:rsidR="002D03ED" w:rsidRPr="0045783B" w:rsidRDefault="002D03ED" w:rsidP="001D1D4B">
      <w:pPr>
        <w:widowControl/>
        <w:adjustRightInd/>
        <w:rPr>
          <w:color w:val="000000" w:themeColor="text1"/>
          <w:highlight w:val="yellow"/>
        </w:rPr>
      </w:pPr>
    </w:p>
    <w:p w14:paraId="3E6968D4" w14:textId="77777777" w:rsidR="001D1D4B" w:rsidRPr="0045783B" w:rsidRDefault="00D239A7" w:rsidP="001D1D4B">
      <w:pPr>
        <w:widowControl/>
        <w:adjustRightInd/>
        <w:rPr>
          <w:color w:val="000000" w:themeColor="text1"/>
          <w:highlight w:val="yellow"/>
        </w:rPr>
      </w:pPr>
      <w:r w:rsidRPr="0045783B">
        <w:rPr>
          <w:noProof/>
          <w:color w:val="000000" w:themeColor="text1"/>
          <w:highlight w:val="yellow"/>
        </w:rPr>
        <mc:AlternateContent>
          <mc:Choice Requires="wps">
            <w:drawing>
              <wp:anchor distT="0" distB="0" distL="114300" distR="114300" simplePos="0" relativeHeight="251655680" behindDoc="1" locked="1" layoutInCell="0" allowOverlap="1" wp14:anchorId="579E3553" wp14:editId="6B70854B">
                <wp:simplePos x="0" y="0"/>
                <wp:positionH relativeFrom="page">
                  <wp:posOffset>851535</wp:posOffset>
                </wp:positionH>
                <wp:positionV relativeFrom="paragraph">
                  <wp:posOffset>0</wp:posOffset>
                </wp:positionV>
                <wp:extent cx="6035675" cy="12065"/>
                <wp:effectExtent l="3810" t="0" r="0" b="127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675"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1060B" id="Rectangle 38" o:spid="_x0000_s1026" style="position:absolute;margin-left:67.05pt;margin-top:0;width:475.25pt;height:.9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7ydQIAAPkEAAAOAAAAZHJzL2Uyb0RvYy54bWysVNuO0zAQfUfiHyy/t0m66SVR09VuSxHS&#10;AisWPsC1ncbCsY3tNi2If2fstKULLytEH1KPZzw+c+aM57eHVqI9t05oVeFsmGLEFdVMqG2Fv3xe&#10;D2YYOU8UI1IrXuEjd/h28frVvDMlH+lGS8YtgiTKlZ2pcOO9KZPE0Ya3xA214QqctbYt8WDabcIs&#10;6SB7K5NRmk6STltmrKbcOdhd9U68iPnrmlP/sa4d90hWGLD5+LXxuwnfZDEn5dYS0wh6gkH+AUVL&#10;hIJLL6lWxBO0s+KvVK2gVjtd+yHVbaLrWlAea4BqsvSPap4aYnisBchx5kKT+39p6Yf9o0WCVfgG&#10;OqVICz36BKwRtZUcwR4Q1BlXQtyTebShRGceNP3qkNLLBsL4nbW6azhhACsL8cmzA8FwcBRtuvea&#10;QXqy8zpydahtGxICC+gQW3K8tIQfPKKwOUlvxpPpGCMKvmyUTsbxBlKeDxvr/FuuWxQWFbaAPSYn&#10;+wfnAxhSnkMieC0FWwspo2G3m6W0aE+COuLvlN1dh0kVgpUOx/qM/Q5ghDuCL6CN3f5RZKM8vR8V&#10;g/VkNh3k63w8KKbpbJBmxX0xSfMiX61/BoBZXjaCMa4ehOJn5WX5yzp7moFeM1F7qAvUxaKuobuX&#10;VdgKD1MoRVvh2YUGUoamvlEMaialJ0L26+Q59kgxEHD+j5RECYSu9+rZaHYEBVgNHYIphPcCFo22&#10;3zHqYPYq7L7tiOUYyXcKVFRkeR6GNRr5eDoCw157NtceoiikqrDHqF8ufT/gO2PFtoGbskiM0neg&#10;vFpEVQRV9qhOeoX5ihWc3oIwwNd2jPr9Yi1+AQAA//8DAFBLAwQUAAYACAAAACEA6gsjitkAAAAH&#10;AQAADwAAAGRycy9kb3ducmV2LnhtbEyPwU7DMBBE70j8g7VI3KhdEqIQ4lSAxBWpgQs3J16SiHht&#10;YrcNf8/2BLcdzWjmbb1b3SyOuMTJk4btRoFA6r2daNDw/vZyU4KIyZA1syfU8IMRds3lRW0q60+0&#10;x2ObBsElFCujYUwpVFLGfkRn4sYHJPY+/eJMYrkM0i7mxOVulrdKFdKZiXhhNAGfR+y/2oPj3Y+s&#10;VaH8fhrIveb7rghZV9xpfX21Pj6ASLimvzCc8RkdGmbq/IFsFDPrLN9yVAN/dLZVmRcgOr7uQTa1&#10;/M/f/AIAAP//AwBQSwECLQAUAAYACAAAACEAtoM4kv4AAADhAQAAEwAAAAAAAAAAAAAAAAAAAAAA&#10;W0NvbnRlbnRfVHlwZXNdLnhtbFBLAQItABQABgAIAAAAIQA4/SH/1gAAAJQBAAALAAAAAAAAAAAA&#10;AAAAAC8BAABfcmVscy8ucmVsc1BLAQItABQABgAIAAAAIQCUMk7ydQIAAPkEAAAOAAAAAAAAAAAA&#10;AAAAAC4CAABkcnMvZTJvRG9jLnhtbFBLAQItABQABgAIAAAAIQDqCyOK2QAAAAcBAAAPAAAAAAAA&#10;AAAAAAAAAM8EAABkcnMvZG93bnJldi54bWxQSwUGAAAAAAQABADzAAAA1QUAAAAA&#10;" o:allowincell="f" fillcolor="black" stroked="f" strokeweight="0">
                <w10:wrap anchorx="page"/>
                <w10:anchorlock/>
              </v:rect>
            </w:pict>
          </mc:Fallback>
        </mc:AlternateContent>
      </w:r>
      <w:r w:rsidRPr="0045783B">
        <w:rPr>
          <w:noProof/>
          <w:color w:val="000000" w:themeColor="text1"/>
          <w:highlight w:val="yellow"/>
        </w:rPr>
        <mc:AlternateContent>
          <mc:Choice Requires="wps">
            <w:drawing>
              <wp:anchor distT="0" distB="0" distL="114300" distR="114300" simplePos="0" relativeHeight="251656704" behindDoc="1" locked="1" layoutInCell="0" allowOverlap="1" wp14:anchorId="56B68DC6" wp14:editId="3469C4C4">
                <wp:simplePos x="0" y="0"/>
                <wp:positionH relativeFrom="page">
                  <wp:posOffset>851535</wp:posOffset>
                </wp:positionH>
                <wp:positionV relativeFrom="paragraph">
                  <wp:posOffset>0</wp:posOffset>
                </wp:positionV>
                <wp:extent cx="6035675" cy="12065"/>
                <wp:effectExtent l="3810" t="0" r="0" b="1270"/>
                <wp:wrapNone/>
                <wp:docPr id="3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675"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FAB66" id="Rectangle 39" o:spid="_x0000_s1026" style="position:absolute;margin-left:67.05pt;margin-top:0;width:475.25pt;height:.9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GdgIAAPkEAAAOAAAAZHJzL2Uyb0RvYy54bWysVNuO0zAQfUfiHyy/t0m66SVR09XuliKk&#10;BVYsfIBrO4mFYxvbbbog/p2x05YuvKwQfXA9mfH4zJkzXl4fOon23DqhVYWzcYoRV1QzoZoKf/m8&#10;GS0wcp4oRqRWvMJP3OHr1etXy96UfKJbLRm3CJIoV/amwq33pkwSR1veETfWhitw1tp2xINpm4RZ&#10;0kP2TiaTNJ0lvbbMWE25c/B1PTjxKuava079x7p23CNZYcDm42rjug1rslqSsrHEtIIeYZB/QNER&#10;oeDSc6o18QTtrPgrVSeo1U7Xfkx1l+i6FpTHGqCaLP2jmseWGB5rAXKcOdPk/l9a+mH/YJFgFb6a&#10;Y6RIBz36BKwR1UiOropAUG9cCXGP5sGGEp251/SrQ0rftRDGb6zVfcsJA1hZiE+eHQiGg6No27/X&#10;DNKTndeRq0Ntu5AQWECH2JKnc0v4wSMKH2fp1XQ2n2JEwZdN0tk03kDK02FjnX/LdYfCpsIWsMfk&#10;ZH/vfABDylNIBK+lYBshZTRss72TFu1JUEf8HbO7yzCpQrDS4diQcfgCGOGO4AtoY7d/FNkkT28n&#10;xWgzW8xH+Safjop5uhilWXFbzNK8yNebnwFglpetYIyre6H4SXlZ/rLOHmdg0EzUHuoDdbGoS+ju&#10;ZRV2wsMUStFVeHGmgZShqW8Ug5pJ6YmQwz55jj1SDASc/iMlUQKh64N6tpo9gQKshg7BFMJ7AZtW&#10;2+8Y9TB7FXbfdsRyjOQ7BSoqsjwPwxqNfDqfgGEvPdtLD1EUUlXYYzRs7/ww4DtjRdPCTVkkRukb&#10;UF4toiqCKgdUR73CfMUKjm9BGOBLO0b9frFWvwAAAP//AwBQSwMEFAAGAAgAAAAhAOoLI4rZAAAA&#10;BwEAAA8AAABkcnMvZG93bnJldi54bWxMj8FOwzAQRO9I/IO1SNyoXRKiEOJUgMQVqYELNydekoh4&#10;bWK3DX/P9gS3Hc1o5m29W90sjrjEyZOG7UaBQOq9nWjQ8P72clOCiMmQNbMn1PCDEXbN5UVtKutP&#10;tMdjmwbBJRQro2FMKVRSxn5EZ+LGByT2Pv3iTGK5DNIu5sTlbpa3ShXSmYl4YTQBn0fsv9qD492P&#10;rFWh/H4ayL3m+64IWVfcaX19tT4+gEi4pr8wnPEZHRpm6vyBbBQz6yzfclQDf3S2VZkXIDq+7kE2&#10;tfzP3/wCAAD//wMAUEsBAi0AFAAGAAgAAAAhALaDOJL+AAAA4QEAABMAAAAAAAAAAAAAAAAAAAAA&#10;AFtDb250ZW50X1R5cGVzXS54bWxQSwECLQAUAAYACAAAACEAOP0h/9YAAACUAQAACwAAAAAAAAAA&#10;AAAAAAAvAQAAX3JlbHMvLnJlbHNQSwECLQAUAAYACAAAACEAKnvrhnYCAAD5BAAADgAAAAAAAAAA&#10;AAAAAAAuAgAAZHJzL2Uyb0RvYy54bWxQSwECLQAUAAYACAAAACEA6gsjitkAAAAHAQAADwAAAAAA&#10;AAAAAAAAAADQBAAAZHJzL2Rvd25yZXYueG1sUEsFBgAAAAAEAAQA8wAAANYFAAAAAA==&#10;" o:allowincell="f" fillcolor="black" stroked="f" strokeweight="0">
                <w10:wrap anchorx="page"/>
                <w10:anchorlock/>
              </v:rect>
            </w:pict>
          </mc:Fallback>
        </mc:AlternateContent>
      </w:r>
    </w:p>
    <w:p w14:paraId="6CE774DD" w14:textId="77777777" w:rsidR="001D1D4B" w:rsidRPr="0045783B" w:rsidRDefault="001D1D4B" w:rsidP="001D1D4B">
      <w:pPr>
        <w:widowControl/>
        <w:adjustRightInd/>
        <w:rPr>
          <w:color w:val="000000" w:themeColor="text1"/>
          <w:highlight w:val="yellow"/>
        </w:rPr>
      </w:pPr>
    </w:p>
    <w:p w14:paraId="067B390D" w14:textId="269846A9" w:rsidR="001D1D4B" w:rsidRPr="00FA7CE7" w:rsidRDefault="00FA7CE7" w:rsidP="001D1D4B">
      <w:pPr>
        <w:widowControl/>
        <w:adjustRightInd/>
        <w:rPr>
          <w:color w:val="000000" w:themeColor="text1"/>
        </w:rPr>
      </w:pPr>
      <w:r w:rsidRPr="00FA7CE7">
        <w:rPr>
          <w:color w:val="000000" w:themeColor="text1"/>
        </w:rPr>
        <w:t>Dominion</w:t>
      </w:r>
    </w:p>
    <w:p w14:paraId="40485774" w14:textId="21B060EC" w:rsidR="001D1D4B" w:rsidRPr="00FA7CE7" w:rsidRDefault="00D50EDA" w:rsidP="001D1D4B">
      <w:pPr>
        <w:widowControl/>
        <w:adjustRightInd/>
        <w:rPr>
          <w:color w:val="000000" w:themeColor="text1"/>
        </w:rPr>
      </w:pPr>
      <w:r>
        <w:rPr>
          <w:color w:val="000000" w:themeColor="text1"/>
        </w:rPr>
        <w:t>Public Utility</w:t>
      </w:r>
    </w:p>
    <w:p w14:paraId="324FCBAB" w14:textId="68B732ED" w:rsidR="001D1D4B" w:rsidRPr="00FA7CE7" w:rsidRDefault="00D50EDA" w:rsidP="001D1D4B">
      <w:pPr>
        <w:widowControl/>
        <w:adjustRightInd/>
        <w:rPr>
          <w:color w:val="000000" w:themeColor="text1"/>
        </w:rPr>
      </w:pPr>
      <w:r>
        <w:rPr>
          <w:color w:val="000000" w:themeColor="text1"/>
        </w:rPr>
        <w:t>Glen Allen, VA</w:t>
      </w:r>
    </w:p>
    <w:p w14:paraId="3A452062" w14:textId="53A110D3" w:rsidR="001D1D4B" w:rsidRPr="00FA7CE7" w:rsidRDefault="00FA7CE7" w:rsidP="001D1D4B">
      <w:pPr>
        <w:widowControl/>
        <w:adjustRightInd/>
        <w:rPr>
          <w:color w:val="000000" w:themeColor="text1"/>
        </w:rPr>
      </w:pPr>
      <w:r w:rsidRPr="00FA7CE7">
        <w:rPr>
          <w:color w:val="000000" w:themeColor="text1"/>
        </w:rPr>
        <w:t>Incident Report #1098812</w:t>
      </w:r>
    </w:p>
    <w:p w14:paraId="08F83176" w14:textId="77777777" w:rsidR="001D1D4B" w:rsidRPr="0045783B" w:rsidRDefault="001D1D4B" w:rsidP="001D1D4B">
      <w:pPr>
        <w:widowControl/>
        <w:adjustRightInd/>
        <w:rPr>
          <w:color w:val="000000" w:themeColor="text1"/>
          <w:highlight w:val="yellow"/>
        </w:rPr>
      </w:pPr>
    </w:p>
    <w:p w14:paraId="348E37E3" w14:textId="6F1DDE3E" w:rsidR="001D1D4B" w:rsidRPr="00E95306" w:rsidRDefault="001D1D4B" w:rsidP="001D1D4B">
      <w:pPr>
        <w:widowControl/>
        <w:adjustRightInd/>
        <w:rPr>
          <w:color w:val="000000" w:themeColor="text1"/>
        </w:rPr>
      </w:pPr>
      <w:r w:rsidRPr="00433EAD">
        <w:rPr>
          <w:color w:val="000000" w:themeColor="text1"/>
        </w:rPr>
        <w:t xml:space="preserve">On </w:t>
      </w:r>
      <w:r w:rsidR="00433EAD" w:rsidRPr="00433EAD">
        <w:rPr>
          <w:color w:val="000000" w:themeColor="text1"/>
        </w:rPr>
        <w:t>October 20</w:t>
      </w:r>
      <w:r w:rsidRPr="00433EAD">
        <w:rPr>
          <w:color w:val="000000" w:themeColor="text1"/>
        </w:rPr>
        <w:t>,</w:t>
      </w:r>
      <w:r w:rsidR="00433EAD" w:rsidRPr="00433EAD">
        <w:rPr>
          <w:color w:val="000000" w:themeColor="text1"/>
        </w:rPr>
        <w:t xml:space="preserve"> 2014</w:t>
      </w:r>
      <w:r w:rsidR="00433EAD">
        <w:rPr>
          <w:color w:val="000000" w:themeColor="text1"/>
        </w:rPr>
        <w:t xml:space="preserve">, Dominion </w:t>
      </w:r>
      <w:r w:rsidRPr="00E10A08">
        <w:rPr>
          <w:color w:val="000000" w:themeColor="text1"/>
        </w:rPr>
        <w:t xml:space="preserve">called the NRC to report a continuous release of </w:t>
      </w:r>
      <w:r w:rsidR="00E10A08" w:rsidRPr="00E10A08">
        <w:rPr>
          <w:color w:val="000000" w:themeColor="text1"/>
        </w:rPr>
        <w:t>acrolein into the atmosphere.</w:t>
      </w:r>
      <w:r w:rsidR="00170F2C">
        <w:rPr>
          <w:color w:val="000000" w:themeColor="text1"/>
        </w:rPr>
        <w:t xml:space="preserve"> </w:t>
      </w:r>
      <w:r w:rsidRPr="00E10A08">
        <w:rPr>
          <w:color w:val="000000" w:themeColor="text1"/>
        </w:rPr>
        <w:t xml:space="preserve">On </w:t>
      </w:r>
      <w:r w:rsidR="00E10A08" w:rsidRPr="00E10A08">
        <w:rPr>
          <w:color w:val="000000" w:themeColor="text1"/>
        </w:rPr>
        <w:t>March 9, 2015</w:t>
      </w:r>
      <w:r w:rsidRPr="00E10A08">
        <w:rPr>
          <w:color w:val="000000" w:themeColor="text1"/>
        </w:rPr>
        <w:t>, the HQ EPA CR-ERNS analyst spoke with the person responsible f</w:t>
      </w:r>
      <w:r w:rsidR="00B12BFB">
        <w:rPr>
          <w:color w:val="000000" w:themeColor="text1"/>
        </w:rPr>
        <w:t xml:space="preserve">or reporting releases. </w:t>
      </w:r>
      <w:r w:rsidRPr="00B418C2">
        <w:rPr>
          <w:color w:val="000000" w:themeColor="text1"/>
        </w:rPr>
        <w:t xml:space="preserve">The company representative indicated that </w:t>
      </w:r>
      <w:r w:rsidR="004230CD" w:rsidRPr="00B418C2">
        <w:rPr>
          <w:color w:val="000000" w:themeColor="text1"/>
        </w:rPr>
        <w:t xml:space="preserve">they </w:t>
      </w:r>
      <w:r w:rsidR="00B418C2" w:rsidRPr="00B418C2">
        <w:rPr>
          <w:color w:val="000000" w:themeColor="text1"/>
        </w:rPr>
        <w:t xml:space="preserve">called back to retract that report, but that they have reported other continuous releases, so would be happy to speak with the HQ EPA CR-ERNS </w:t>
      </w:r>
      <w:r w:rsidR="00B418C2" w:rsidRPr="00E95306">
        <w:rPr>
          <w:color w:val="000000" w:themeColor="text1"/>
        </w:rPr>
        <w:t xml:space="preserve">analyst. </w:t>
      </w:r>
      <w:r w:rsidR="00E95306">
        <w:rPr>
          <w:color w:val="000000" w:themeColor="text1"/>
        </w:rPr>
        <w:t xml:space="preserve">The company </w:t>
      </w:r>
      <w:r w:rsidRPr="00E95306">
        <w:rPr>
          <w:color w:val="000000" w:themeColor="text1"/>
        </w:rPr>
        <w:t xml:space="preserve">representative </w:t>
      </w:r>
      <w:r w:rsidR="00E95306" w:rsidRPr="00E95306">
        <w:rPr>
          <w:color w:val="000000" w:themeColor="text1"/>
        </w:rPr>
        <w:t>indicated that they don’t have</w:t>
      </w:r>
      <w:r w:rsidR="004230CD" w:rsidRPr="00E95306">
        <w:rPr>
          <w:color w:val="000000" w:themeColor="text1"/>
        </w:rPr>
        <w:t xml:space="preserve"> internal procedures in place for determining and reporting a continuous release,</w:t>
      </w:r>
      <w:r w:rsidR="00E95306" w:rsidRPr="00E95306">
        <w:rPr>
          <w:color w:val="000000" w:themeColor="text1"/>
        </w:rPr>
        <w:t xml:space="preserve"> but that they are currently putting them in place. T</w:t>
      </w:r>
      <w:r w:rsidR="004230CD" w:rsidRPr="00E95306">
        <w:rPr>
          <w:color w:val="000000" w:themeColor="text1"/>
        </w:rPr>
        <w:t xml:space="preserve">hey are aware and have submitted copies of the continuous release reports to the appropriate SERCs and LEPCs, and they do not have any questions regarding </w:t>
      </w:r>
      <w:r w:rsidR="00170F2C">
        <w:rPr>
          <w:color w:val="000000" w:themeColor="text1"/>
        </w:rPr>
        <w:t xml:space="preserve">reporting continuous releases. </w:t>
      </w:r>
      <w:r w:rsidR="004230CD" w:rsidRPr="00E95306">
        <w:rPr>
          <w:color w:val="000000" w:themeColor="text1"/>
        </w:rPr>
        <w:t xml:space="preserve">The HQ EPA CR-ERNS analyst </w:t>
      </w:r>
      <w:r w:rsidR="00B82481" w:rsidRPr="00E95306">
        <w:rPr>
          <w:color w:val="000000" w:themeColor="text1"/>
        </w:rPr>
        <w:t>let the company representative know that EPA now has the continuous re</w:t>
      </w:r>
      <w:r w:rsidR="00E95306" w:rsidRPr="00E95306">
        <w:rPr>
          <w:color w:val="000000" w:themeColor="text1"/>
        </w:rPr>
        <w:t>lease forms on its web site at: www.epa.gov/superfund/policy/release/faciliti.htm</w:t>
      </w:r>
      <w:r w:rsidR="00B82481" w:rsidRPr="00E95306">
        <w:rPr>
          <w:color w:val="000000" w:themeColor="text1"/>
        </w:rPr>
        <w:t xml:space="preserve"> and that there is also a file that provides the contact information for submitting the continuous release reports to the Agency.</w:t>
      </w:r>
    </w:p>
    <w:p w14:paraId="4F02C5E6" w14:textId="77777777" w:rsidR="001D1D4B" w:rsidRPr="0045783B" w:rsidRDefault="001D1D4B" w:rsidP="001D1D4B">
      <w:pPr>
        <w:widowControl/>
        <w:adjustRightInd/>
        <w:rPr>
          <w:color w:val="000000" w:themeColor="text1"/>
          <w:highlight w:val="yellow"/>
        </w:rPr>
      </w:pPr>
    </w:p>
    <w:p w14:paraId="386ED881" w14:textId="77777777" w:rsidR="001D1D4B" w:rsidRPr="0045783B" w:rsidRDefault="00D239A7" w:rsidP="001D1D4B">
      <w:pPr>
        <w:widowControl/>
        <w:adjustRightInd/>
        <w:rPr>
          <w:color w:val="000000" w:themeColor="text1"/>
          <w:highlight w:val="yellow"/>
        </w:rPr>
      </w:pPr>
      <w:r w:rsidRPr="0045783B">
        <w:rPr>
          <w:noProof/>
          <w:color w:val="000000" w:themeColor="text1"/>
          <w:highlight w:val="yellow"/>
        </w:rPr>
        <mc:AlternateContent>
          <mc:Choice Requires="wps">
            <w:drawing>
              <wp:anchor distT="0" distB="0" distL="114300" distR="114300" simplePos="0" relativeHeight="251657728" behindDoc="1" locked="1" layoutInCell="0" allowOverlap="1" wp14:anchorId="58AE52E4" wp14:editId="32AEDDCE">
                <wp:simplePos x="0" y="0"/>
                <wp:positionH relativeFrom="page">
                  <wp:posOffset>851535</wp:posOffset>
                </wp:positionH>
                <wp:positionV relativeFrom="paragraph">
                  <wp:posOffset>0</wp:posOffset>
                </wp:positionV>
                <wp:extent cx="6035675" cy="12065"/>
                <wp:effectExtent l="3810" t="0" r="0" b="0"/>
                <wp:wrapNone/>
                <wp:docPr id="3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675"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4DAFD" id="Rectangle 40" o:spid="_x0000_s1026" style="position:absolute;margin-left:67.05pt;margin-top:0;width:475.25pt;height:.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6G/dAIAAPkEAAAOAAAAZHJzL2Uyb0RvYy54bWysVFFv2yAQfp+0/4B4T2ynjhNbdaq2WaZJ&#10;3Vat2w8ggGM0DAxInHbaf9+BkzTdXqppeSCc7/j47rs7Lq/2nUQ7bp3QqsbZOMWIK6qZUJsaf/u6&#10;Gs0xcp4oRqRWvMaP3OGrxds3l72p+ES3WjJuEYAoV/Wmxq33pkoSR1veETfWhitwNtp2xINpNwmz&#10;pAf0TiaTNC2SXltmrKbcOfi6HJx4EfGbhlP/uWkc90jWGLj5uNq4rsOaLC5JtbHEtIIeaJB/YNER&#10;oeDSE9SSeIK2VvwF1QlqtdONH1PdJbppBOUxB8gmS//I5qElhsdcQBxnTjK5/wdLP+3uLRKsxhcF&#10;Rop0UKMvoBpRG8lRHgXqjasg7sHc25CiM3eafndI6dsWwvi1tbpvOWFAKwuCJi8OBMPBUbTuP2oG&#10;8GTrddRq39guAIIKaB9L8ngqCd97ROFjkV5Mi9kUIwq+bJIW03gDqY6HjXX+PdcdCpsaW+Aewcnu&#10;zvlAhlTHkEheS8FWQspo2M36Vlq0I6E74u+A7s7DpArBSodjA+LwBTjCHcEX2MZq/yyzSZ7eTMrR&#10;qpjPRvkqn47KWTofpVl5UxZpXubL1a9AMMurVjDG1Z1Q/Nh5Wf66yh5mYOiZ2HuoD9LFpM6pu9dl&#10;2AkPUyhFV+P5SQZShaK+UyzOiCdCDvvkJfcoMQhw/I+SxBYIVQ+D6Kq1Zo/QAVZDhWAK4b2ATavt&#10;E0Y9zF6N3Y8tsRwj+UFBF5VZDp2HfDTy6WwChj33rM89RFGAqrHHaNje+mHAt8aKTQs3ZVEYpa+h&#10;8xoRu+KZ1aFfYb5iBoe3IAzwuR2jnl+sxW8AAAD//wMAUEsDBBQABgAIAAAAIQDqCyOK2QAAAAcB&#10;AAAPAAAAZHJzL2Rvd25yZXYueG1sTI/BTsMwEETvSPyDtUjcqF0SohDiVIDEFamBCzcnXpKIeG1i&#10;tw1/z/YEtx3NaOZtvVvdLI64xMmThu1GgUDqvZ1o0PD+9nJTgojJkDWzJ9TwgxF2zeVFbSrrT7TH&#10;Y5sGwSUUK6NhTClUUsZ+RGfixgck9j794kxiuQzSLubE5W6Wt0oV0pmJeGE0AZ9H7L/ag+Pdj6xV&#10;ofx+Gsi95vuuCFlX3Gl9fbU+PoBIuKa/MJzxGR0aZur8gWwUM+ss33JUA390tlWZFyA6vu5BNrX8&#10;z9/8AgAA//8DAFBLAQItABQABgAIAAAAIQC2gziS/gAAAOEBAAATAAAAAAAAAAAAAAAAAAAAAABb&#10;Q29udGVudF9UeXBlc10ueG1sUEsBAi0AFAAGAAgAAAAhADj9If/WAAAAlAEAAAsAAAAAAAAAAAAA&#10;AAAALwEAAF9yZWxzLy5yZWxzUEsBAi0AFAAGAAgAAAAhAFDfob90AgAA+QQAAA4AAAAAAAAAAAAA&#10;AAAALgIAAGRycy9lMm9Eb2MueG1sUEsBAi0AFAAGAAgAAAAhAOoLI4rZAAAABwEAAA8AAAAAAAAA&#10;AAAAAAAAzgQAAGRycy9kb3ducmV2LnhtbFBLBQYAAAAABAAEAPMAAADUBQAAAAA=&#10;" o:allowincell="f" fillcolor="black" stroked="f" strokeweight="0">
                <w10:wrap anchorx="page"/>
                <w10:anchorlock/>
              </v:rect>
            </w:pict>
          </mc:Fallback>
        </mc:AlternateContent>
      </w:r>
    </w:p>
    <w:p w14:paraId="0F749F70" w14:textId="77777777" w:rsidR="001D1D4B" w:rsidRPr="0045783B" w:rsidRDefault="001D1D4B" w:rsidP="001D1D4B">
      <w:pPr>
        <w:widowControl/>
        <w:adjustRightInd/>
        <w:rPr>
          <w:color w:val="000000" w:themeColor="text1"/>
          <w:highlight w:val="yellow"/>
        </w:rPr>
      </w:pPr>
    </w:p>
    <w:p w14:paraId="0815459C" w14:textId="46DF5581" w:rsidR="001D1D4B" w:rsidRPr="00787E66" w:rsidRDefault="00787E66" w:rsidP="001D1D4B">
      <w:pPr>
        <w:widowControl/>
        <w:adjustRightInd/>
        <w:rPr>
          <w:color w:val="000000" w:themeColor="text1"/>
        </w:rPr>
      </w:pPr>
      <w:r w:rsidRPr="00787E66">
        <w:rPr>
          <w:color w:val="000000" w:themeColor="text1"/>
        </w:rPr>
        <w:t>Weyerhaeuser</w:t>
      </w:r>
    </w:p>
    <w:p w14:paraId="331C34CF" w14:textId="77777777" w:rsidR="001D1D4B" w:rsidRPr="00787E66" w:rsidRDefault="001D1D4B" w:rsidP="001D1D4B">
      <w:pPr>
        <w:widowControl/>
        <w:adjustRightInd/>
        <w:rPr>
          <w:color w:val="000000" w:themeColor="text1"/>
        </w:rPr>
      </w:pPr>
      <w:r w:rsidRPr="00787E66">
        <w:rPr>
          <w:color w:val="000000" w:themeColor="text1"/>
        </w:rPr>
        <w:t>Private Enterprise</w:t>
      </w:r>
    </w:p>
    <w:p w14:paraId="5C22B972" w14:textId="3125C2C7" w:rsidR="001D1D4B" w:rsidRPr="00787E66" w:rsidRDefault="00787E66" w:rsidP="001D1D4B">
      <w:pPr>
        <w:widowControl/>
        <w:adjustRightInd/>
        <w:rPr>
          <w:color w:val="000000" w:themeColor="text1"/>
        </w:rPr>
      </w:pPr>
      <w:r w:rsidRPr="00787E66">
        <w:rPr>
          <w:color w:val="000000" w:themeColor="text1"/>
        </w:rPr>
        <w:t>Oglethrope, GA</w:t>
      </w:r>
    </w:p>
    <w:p w14:paraId="3B3138DC" w14:textId="00145068" w:rsidR="001D1D4B" w:rsidRPr="00787E66" w:rsidRDefault="00787E66" w:rsidP="001D1D4B">
      <w:pPr>
        <w:widowControl/>
        <w:adjustRightInd/>
        <w:rPr>
          <w:color w:val="000000" w:themeColor="text1"/>
        </w:rPr>
      </w:pPr>
      <w:r w:rsidRPr="00787E66">
        <w:rPr>
          <w:color w:val="000000" w:themeColor="text1"/>
        </w:rPr>
        <w:t>Incident Report #1087715</w:t>
      </w:r>
    </w:p>
    <w:p w14:paraId="6A5F1FB8" w14:textId="77777777" w:rsidR="001D1D4B" w:rsidRPr="0045783B" w:rsidRDefault="001D1D4B" w:rsidP="001D1D4B">
      <w:pPr>
        <w:widowControl/>
        <w:adjustRightInd/>
        <w:rPr>
          <w:color w:val="000000" w:themeColor="text1"/>
          <w:highlight w:val="yellow"/>
        </w:rPr>
      </w:pPr>
    </w:p>
    <w:p w14:paraId="465161EF" w14:textId="77777777" w:rsidR="007A7D4B" w:rsidRPr="00387CF1" w:rsidRDefault="001D1D4B" w:rsidP="007A7D4B">
      <w:pPr>
        <w:widowControl/>
        <w:adjustRightInd/>
        <w:rPr>
          <w:color w:val="000000" w:themeColor="text1"/>
        </w:rPr>
      </w:pPr>
      <w:r w:rsidRPr="007A7D4B">
        <w:rPr>
          <w:color w:val="000000" w:themeColor="text1"/>
        </w:rPr>
        <w:t xml:space="preserve">On </w:t>
      </w:r>
      <w:r w:rsidR="00787E66" w:rsidRPr="007A7D4B">
        <w:rPr>
          <w:color w:val="000000" w:themeColor="text1"/>
        </w:rPr>
        <w:t>July 1, 2014</w:t>
      </w:r>
      <w:r w:rsidRPr="007A7D4B">
        <w:rPr>
          <w:color w:val="000000" w:themeColor="text1"/>
        </w:rPr>
        <w:t xml:space="preserve">, </w:t>
      </w:r>
      <w:r w:rsidR="00787E66" w:rsidRPr="007A7D4B">
        <w:rPr>
          <w:color w:val="000000" w:themeColor="text1"/>
        </w:rPr>
        <w:t xml:space="preserve">Weyerhaeuser </w:t>
      </w:r>
      <w:r w:rsidRPr="007A7D4B">
        <w:rPr>
          <w:color w:val="000000" w:themeColor="text1"/>
        </w:rPr>
        <w:t xml:space="preserve">called the NRC to </w:t>
      </w:r>
      <w:r w:rsidR="00787E66" w:rsidRPr="007A7D4B">
        <w:rPr>
          <w:color w:val="000000" w:themeColor="text1"/>
        </w:rPr>
        <w:t xml:space="preserve">report an initial continuous release of hydrogen sulfide from a waste water treatment facility and an air emission stack. </w:t>
      </w:r>
      <w:r w:rsidRPr="007A7D4B">
        <w:rPr>
          <w:color w:val="000000" w:themeColor="text1"/>
        </w:rPr>
        <w:t xml:space="preserve">On </w:t>
      </w:r>
      <w:r w:rsidR="00787E66" w:rsidRPr="007A7D4B">
        <w:rPr>
          <w:color w:val="000000" w:themeColor="text1"/>
        </w:rPr>
        <w:lastRenderedPageBreak/>
        <w:t>March 11</w:t>
      </w:r>
      <w:r w:rsidRPr="007A7D4B">
        <w:rPr>
          <w:color w:val="000000" w:themeColor="text1"/>
        </w:rPr>
        <w:t>,</w:t>
      </w:r>
      <w:r w:rsidR="00787E66" w:rsidRPr="007A7D4B">
        <w:rPr>
          <w:color w:val="000000" w:themeColor="text1"/>
        </w:rPr>
        <w:t xml:space="preserve"> 2015,</w:t>
      </w:r>
      <w:r w:rsidRPr="007A7D4B">
        <w:rPr>
          <w:color w:val="000000" w:themeColor="text1"/>
        </w:rPr>
        <w:t xml:space="preserve"> the HQ EPA CR-ERNS analyst spoke with the person responsible for reporting releases. </w:t>
      </w:r>
      <w:r w:rsidR="007A7D4B">
        <w:rPr>
          <w:color w:val="000000" w:themeColor="text1"/>
        </w:rPr>
        <w:t xml:space="preserve"> </w:t>
      </w:r>
      <w:r w:rsidR="007A7D4B" w:rsidRPr="00387CF1">
        <w:rPr>
          <w:color w:val="000000" w:themeColor="text1"/>
        </w:rPr>
        <w:t>The individual indicated that the company does have procedures in place for continuous release reporting</w:t>
      </w:r>
      <w:r w:rsidR="007A7D4B">
        <w:rPr>
          <w:color w:val="000000" w:themeColor="text1"/>
        </w:rPr>
        <w:t>, but she said that they are not currently written down</w:t>
      </w:r>
      <w:r w:rsidR="007A7D4B" w:rsidRPr="007A7D4B">
        <w:rPr>
          <w:color w:val="000000" w:themeColor="text1"/>
        </w:rPr>
        <w:t>.</w:t>
      </w:r>
      <w:r w:rsidR="00EB23A4" w:rsidRPr="007A7D4B">
        <w:rPr>
          <w:color w:val="000000" w:themeColor="text1"/>
        </w:rPr>
        <w:t xml:space="preserve"> They also </w:t>
      </w:r>
      <w:r w:rsidR="007A7D4B">
        <w:rPr>
          <w:color w:val="000000" w:themeColor="text1"/>
        </w:rPr>
        <w:t xml:space="preserve">know to make </w:t>
      </w:r>
      <w:r w:rsidR="00EB23A4" w:rsidRPr="007A7D4B">
        <w:rPr>
          <w:color w:val="000000" w:themeColor="text1"/>
        </w:rPr>
        <w:t>their reports to the SERCs and LEPCs</w:t>
      </w:r>
      <w:r w:rsidR="007A7D4B">
        <w:rPr>
          <w:color w:val="000000" w:themeColor="text1"/>
        </w:rPr>
        <w:t>. The individual asked questions about where to find more information on continuous release reporting.</w:t>
      </w:r>
      <w:r w:rsidR="00EB23A4" w:rsidRPr="0045783B">
        <w:rPr>
          <w:color w:val="000000" w:themeColor="text1"/>
          <w:highlight w:val="yellow"/>
        </w:rPr>
        <w:t xml:space="preserve"> </w:t>
      </w:r>
      <w:r w:rsidR="007A7D4B" w:rsidRPr="00387CF1">
        <w:rPr>
          <w:color w:val="000000" w:themeColor="text1"/>
        </w:rPr>
        <w:t xml:space="preserve">The HQ EPA CR-ERNS analyst let the company representative know that EPA now has the continuous release forms on its web site at: www.epa.gov/superfund/policy/release/faciliti.htm and that there is also a file that provides the contact information for submitting the continuous release reports to the Agency. This was well received. </w:t>
      </w:r>
    </w:p>
    <w:p w14:paraId="5B02E0A1" w14:textId="49C9305E" w:rsidR="001D1D4B" w:rsidRPr="0045783B" w:rsidRDefault="001D1D4B" w:rsidP="001D1D4B">
      <w:pPr>
        <w:widowControl/>
        <w:adjustRightInd/>
        <w:rPr>
          <w:color w:val="000000" w:themeColor="text1"/>
          <w:highlight w:val="yellow"/>
        </w:rPr>
      </w:pPr>
    </w:p>
    <w:p w14:paraId="1870693E" w14:textId="77777777" w:rsidR="001D1D4B" w:rsidRPr="0045783B" w:rsidRDefault="00D239A7" w:rsidP="001D1D4B">
      <w:pPr>
        <w:widowControl/>
        <w:adjustRightInd/>
        <w:rPr>
          <w:color w:val="000000" w:themeColor="text1"/>
          <w:highlight w:val="yellow"/>
        </w:rPr>
      </w:pPr>
      <w:r w:rsidRPr="0045783B">
        <w:rPr>
          <w:noProof/>
          <w:color w:val="000000" w:themeColor="text1"/>
          <w:highlight w:val="yellow"/>
        </w:rPr>
        <mc:AlternateContent>
          <mc:Choice Requires="wps">
            <w:drawing>
              <wp:anchor distT="0" distB="0" distL="114300" distR="114300" simplePos="0" relativeHeight="251658752" behindDoc="1" locked="1" layoutInCell="0" allowOverlap="1" wp14:anchorId="797FEDAA" wp14:editId="3BCD9E0D">
                <wp:simplePos x="0" y="0"/>
                <wp:positionH relativeFrom="page">
                  <wp:posOffset>851535</wp:posOffset>
                </wp:positionH>
                <wp:positionV relativeFrom="paragraph">
                  <wp:posOffset>0</wp:posOffset>
                </wp:positionV>
                <wp:extent cx="6035675" cy="12065"/>
                <wp:effectExtent l="3810" t="1905" r="0" b="0"/>
                <wp:wrapNone/>
                <wp:docPr id="3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675"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8B0D9" id="Rectangle 41" o:spid="_x0000_s1026" style="position:absolute;margin-left:67.05pt;margin-top:0;width:475.25pt;height:.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DjdAIAAPkEAAAOAAAAZHJzL2Uyb0RvYy54bWysVNuO0zAQfUfiHyy/t0m66SVR09VuSxHS&#10;AisWPsC1ncbCsY3tNi2If2fstKULLytEH1xPZnx85syM57eHVqI9t05oVeFsmGLEFdVMqG2Fv3xe&#10;D2YYOU8UI1IrXuEjd/h28frVvDMlH+lGS8YtAhDlys5UuPHelEniaMNb4obacAXOWtuWeDDtNmGW&#10;dIDeymSUppOk05YZqyl3Dr6ueideRPy65tR/rGvHPZIVBm4+rjaum7Amizkpt5aYRtATDfIPLFoi&#10;FFx6gVoRT9DOir+gWkGtdrr2Q6rbRNe1oDzmANlk6R/ZPDXE8JgLiOPMRSb3/2Dph/2jRYJV+GaM&#10;kSIt1OgTqEbUVnKUZ0GgzrgS4p7Mow0pOvOg6VeHlF42EMbvrNVdwwkDWjE+eXYgGA6Ook33XjOA&#10;Jzuvo1aH2rYBEFRAh1iS46Uk/OARhY+T9GY8mQI1Cr5slE7GgVFCyvNhY51/y3WLwqbCFrhHcLJ/&#10;cL4PPYdE8loKthZSRsNuN0tp0Z6E7oi/E7q7DpMqBCsdjvWI/RfgCHcEX2Abq/2jyEZ5ej8qBuvJ&#10;bDrI1/l4UEzT2SDNivtikuZFvlr/DASzvGwEY1w9CMXPnZflL6vsaQb6nom9h7ogXUzqmrp7WYat&#10;8DCFUrQVnl1kIGUo6hvFIGdSeiJkv0+ec4/VAAHO/1GS2AKh6n33bDQ7QgdYDRWCKYT3AjaNtt8x&#10;6mD2Kuy+7YjlGMl3CrqoyPI8DGs08vF0BIa99myuPURRgKqwx6jfLn0/4DtjxbaBm7IojNJ30Hm1&#10;iF0RurJnBbyDAfMVMzi9BWGAr+0Y9fvFWvwCAAD//wMAUEsDBBQABgAIAAAAIQDqCyOK2QAAAAcB&#10;AAAPAAAAZHJzL2Rvd25yZXYueG1sTI/BTsMwEETvSPyDtUjcqF0SohDiVIDEFamBCzcnXpKIeG1i&#10;tw1/z/YEtx3NaOZtvVvdLI64xMmThu1GgUDqvZ1o0PD+9nJTgojJkDWzJ9TwgxF2zeVFbSrrT7TH&#10;Y5sGwSUUK6NhTClUUsZ+RGfixgck9j794kxiuQzSLubE5W6Wt0oV0pmJeGE0AZ9H7L/ag+Pdj6xV&#10;ofx+Gsi95vuuCFlX3Gl9fbU+PoBIuKa/MJzxGR0aZur8gWwUM+ss33JUA390tlWZFyA6vu5BNrX8&#10;z9/8AgAA//8DAFBLAQItABQABgAIAAAAIQC2gziS/gAAAOEBAAATAAAAAAAAAAAAAAAAAAAAAABb&#10;Q29udGVudF9UeXBlc10ueG1sUEsBAi0AFAAGAAgAAAAhADj9If/WAAAAlAEAAAsAAAAAAAAAAAAA&#10;AAAALwEAAF9yZWxzLy5yZWxzUEsBAi0AFAAGAAgAAAAhAGoy0ON0AgAA+QQAAA4AAAAAAAAAAAAA&#10;AAAALgIAAGRycy9lMm9Eb2MueG1sUEsBAi0AFAAGAAgAAAAhAOoLI4rZAAAABwEAAA8AAAAAAAAA&#10;AAAAAAAAzgQAAGRycy9kb3ducmV2LnhtbFBLBQYAAAAABAAEAPMAAADUBQAAAAA=&#10;" o:allowincell="f" fillcolor="black" stroked="f" strokeweight="0">
                <w10:wrap anchorx="page"/>
                <w10:anchorlock/>
              </v:rect>
            </w:pict>
          </mc:Fallback>
        </mc:AlternateContent>
      </w:r>
    </w:p>
    <w:p w14:paraId="2B822074" w14:textId="77777777" w:rsidR="001D1D4B" w:rsidRPr="0045783B" w:rsidRDefault="001D1D4B" w:rsidP="001D1D4B">
      <w:pPr>
        <w:widowControl/>
        <w:adjustRightInd/>
        <w:rPr>
          <w:color w:val="000000" w:themeColor="text1"/>
          <w:highlight w:val="yellow"/>
        </w:rPr>
      </w:pPr>
    </w:p>
    <w:p w14:paraId="3A23CD12" w14:textId="0814EF44" w:rsidR="001D1D4B" w:rsidRPr="00D50EDA" w:rsidRDefault="00D50EDA" w:rsidP="001D1D4B">
      <w:pPr>
        <w:widowControl/>
        <w:adjustRightInd/>
        <w:rPr>
          <w:color w:val="000000" w:themeColor="text1"/>
        </w:rPr>
      </w:pPr>
      <w:r w:rsidRPr="00D50EDA">
        <w:rPr>
          <w:color w:val="000000" w:themeColor="text1"/>
        </w:rPr>
        <w:t>BP-Husky Refining, LLC</w:t>
      </w:r>
    </w:p>
    <w:p w14:paraId="0A7EF798" w14:textId="77777777" w:rsidR="001D1D4B" w:rsidRPr="00D50EDA" w:rsidRDefault="001D1D4B" w:rsidP="001D1D4B">
      <w:pPr>
        <w:widowControl/>
        <w:adjustRightInd/>
        <w:rPr>
          <w:color w:val="000000" w:themeColor="text1"/>
        </w:rPr>
      </w:pPr>
      <w:r w:rsidRPr="00D50EDA">
        <w:rPr>
          <w:color w:val="000000" w:themeColor="text1"/>
        </w:rPr>
        <w:t xml:space="preserve">Private Enterprise </w:t>
      </w:r>
    </w:p>
    <w:p w14:paraId="43ED43B5" w14:textId="75531A90" w:rsidR="001D1D4B" w:rsidRPr="00D50EDA" w:rsidRDefault="00D50EDA" w:rsidP="001D1D4B">
      <w:pPr>
        <w:widowControl/>
        <w:adjustRightInd/>
        <w:rPr>
          <w:color w:val="000000" w:themeColor="text1"/>
        </w:rPr>
      </w:pPr>
      <w:r w:rsidRPr="00D50EDA">
        <w:rPr>
          <w:color w:val="000000" w:themeColor="text1"/>
        </w:rPr>
        <w:t>Oregon, OH</w:t>
      </w:r>
      <w:r w:rsidR="001D1D4B" w:rsidRPr="00D50EDA">
        <w:rPr>
          <w:color w:val="000000" w:themeColor="text1"/>
        </w:rPr>
        <w:t xml:space="preserve"> </w:t>
      </w:r>
    </w:p>
    <w:p w14:paraId="004B4728" w14:textId="74E38140" w:rsidR="001D1D4B" w:rsidRPr="00D50EDA" w:rsidRDefault="001D1D4B" w:rsidP="001D1D4B">
      <w:pPr>
        <w:widowControl/>
        <w:adjustRightInd/>
        <w:rPr>
          <w:color w:val="000000" w:themeColor="text1"/>
        </w:rPr>
      </w:pPr>
      <w:r w:rsidRPr="00D50EDA">
        <w:rPr>
          <w:color w:val="000000" w:themeColor="text1"/>
        </w:rPr>
        <w:t>Incident Repor</w:t>
      </w:r>
      <w:r w:rsidR="00D50EDA" w:rsidRPr="00D50EDA">
        <w:rPr>
          <w:color w:val="000000" w:themeColor="text1"/>
        </w:rPr>
        <w:t>t #1073924</w:t>
      </w:r>
    </w:p>
    <w:p w14:paraId="62F5792F" w14:textId="77777777" w:rsidR="001D1D4B" w:rsidRPr="0045783B" w:rsidRDefault="001D1D4B" w:rsidP="001D1D4B">
      <w:pPr>
        <w:widowControl/>
        <w:adjustRightInd/>
        <w:rPr>
          <w:color w:val="000000" w:themeColor="text1"/>
          <w:highlight w:val="yellow"/>
        </w:rPr>
      </w:pPr>
    </w:p>
    <w:p w14:paraId="7E36EDFE" w14:textId="48A81623" w:rsidR="001D1D4B" w:rsidRPr="00387CF1" w:rsidRDefault="001D1D4B" w:rsidP="001D1D4B">
      <w:pPr>
        <w:widowControl/>
        <w:adjustRightInd/>
        <w:rPr>
          <w:color w:val="000000" w:themeColor="text1"/>
        </w:rPr>
      </w:pPr>
      <w:r w:rsidRPr="00387CF1">
        <w:rPr>
          <w:color w:val="000000" w:themeColor="text1"/>
        </w:rPr>
        <w:t xml:space="preserve">On </w:t>
      </w:r>
      <w:r w:rsidR="00387CF1" w:rsidRPr="00387CF1">
        <w:rPr>
          <w:color w:val="000000" w:themeColor="text1"/>
        </w:rPr>
        <w:t>February 13, 2014</w:t>
      </w:r>
      <w:r w:rsidRPr="00387CF1">
        <w:rPr>
          <w:color w:val="000000" w:themeColor="text1"/>
        </w:rPr>
        <w:t xml:space="preserve">, </w:t>
      </w:r>
      <w:r w:rsidR="00387CF1" w:rsidRPr="00387CF1">
        <w:rPr>
          <w:color w:val="000000" w:themeColor="text1"/>
        </w:rPr>
        <w:t xml:space="preserve">BP-Husky Refining, LLC </w:t>
      </w:r>
      <w:r w:rsidR="00E36F95" w:rsidRPr="00387CF1">
        <w:rPr>
          <w:color w:val="000000" w:themeColor="text1"/>
        </w:rPr>
        <w:t xml:space="preserve">called the NRC to make a </w:t>
      </w:r>
      <w:r w:rsidRPr="00387CF1">
        <w:rPr>
          <w:color w:val="000000" w:themeColor="text1"/>
        </w:rPr>
        <w:t>report of a</w:t>
      </w:r>
      <w:r w:rsidR="00E36F95" w:rsidRPr="00387CF1">
        <w:rPr>
          <w:color w:val="000000" w:themeColor="text1"/>
        </w:rPr>
        <w:t>n air release of</w:t>
      </w:r>
      <w:r w:rsidR="00387CF1" w:rsidRPr="00387CF1">
        <w:rPr>
          <w:color w:val="000000" w:themeColor="text1"/>
        </w:rPr>
        <w:t xml:space="preserve"> nitrogen oxide from combustion emissions. </w:t>
      </w:r>
      <w:r w:rsidR="00E36F95" w:rsidRPr="00387CF1">
        <w:rPr>
          <w:color w:val="000000" w:themeColor="text1"/>
        </w:rPr>
        <w:t xml:space="preserve">On </w:t>
      </w:r>
      <w:r w:rsidR="00387CF1" w:rsidRPr="00387CF1">
        <w:rPr>
          <w:color w:val="000000" w:themeColor="text1"/>
        </w:rPr>
        <w:t>March 9</w:t>
      </w:r>
      <w:r w:rsidRPr="00387CF1">
        <w:rPr>
          <w:color w:val="000000" w:themeColor="text1"/>
        </w:rPr>
        <w:t>, 20</w:t>
      </w:r>
      <w:r w:rsidR="00387CF1" w:rsidRPr="00387CF1">
        <w:rPr>
          <w:color w:val="000000" w:themeColor="text1"/>
        </w:rPr>
        <w:t>15</w:t>
      </w:r>
      <w:r w:rsidRPr="00387CF1">
        <w:rPr>
          <w:color w:val="000000" w:themeColor="text1"/>
        </w:rPr>
        <w:t xml:space="preserve">, the HQ EPA CR-ERNS analyst spoke with the person responsible for reporting releases. </w:t>
      </w:r>
      <w:r w:rsidR="00E36F95" w:rsidRPr="00387CF1">
        <w:rPr>
          <w:color w:val="000000" w:themeColor="text1"/>
        </w:rPr>
        <w:t xml:space="preserve">The individual indicated that </w:t>
      </w:r>
      <w:r w:rsidR="00387CF1" w:rsidRPr="00387CF1">
        <w:rPr>
          <w:color w:val="000000" w:themeColor="text1"/>
        </w:rPr>
        <w:t>the company does</w:t>
      </w:r>
      <w:r w:rsidR="00E36F95" w:rsidRPr="00387CF1">
        <w:rPr>
          <w:color w:val="000000" w:themeColor="text1"/>
        </w:rPr>
        <w:t xml:space="preserve"> ha</w:t>
      </w:r>
      <w:r w:rsidR="00387CF1" w:rsidRPr="00387CF1">
        <w:rPr>
          <w:color w:val="000000" w:themeColor="text1"/>
        </w:rPr>
        <w:t xml:space="preserve">ve procedures in place for continuous release reporting. They are aware and have submitted copies of the continuous release reports to the appropriate SERCs and LEPCs, and they do not have any questions regarding reporting continuous releases. The HQ EPA CR-ERNS analyst let the company representative know that EPA now has the continuous release forms on its web site at: www.epa.gov/superfund/policy/release/faciliti.htm and that there is also a file that provides the contact information for submitting the continuous release reports to the Agency. </w:t>
      </w:r>
      <w:r w:rsidR="00E36F95" w:rsidRPr="00387CF1">
        <w:rPr>
          <w:color w:val="000000" w:themeColor="text1"/>
        </w:rPr>
        <w:t xml:space="preserve">This was well received. </w:t>
      </w:r>
    </w:p>
    <w:p w14:paraId="1C552369" w14:textId="77777777" w:rsidR="001D1D4B" w:rsidRPr="00387CF1" w:rsidRDefault="001D1D4B" w:rsidP="001D1D4B">
      <w:pPr>
        <w:widowControl/>
        <w:adjustRightInd/>
        <w:rPr>
          <w:color w:val="000000" w:themeColor="text1"/>
        </w:rPr>
      </w:pPr>
    </w:p>
    <w:p w14:paraId="093C299F" w14:textId="77777777" w:rsidR="001D1D4B" w:rsidRPr="0045783B" w:rsidRDefault="00D239A7" w:rsidP="001D1D4B">
      <w:pPr>
        <w:widowControl/>
        <w:adjustRightInd/>
        <w:rPr>
          <w:color w:val="000000" w:themeColor="text1"/>
          <w:highlight w:val="yellow"/>
        </w:rPr>
      </w:pPr>
      <w:r w:rsidRPr="0045783B">
        <w:rPr>
          <w:noProof/>
          <w:color w:val="000000" w:themeColor="text1"/>
          <w:highlight w:val="yellow"/>
        </w:rPr>
        <mc:AlternateContent>
          <mc:Choice Requires="wps">
            <w:drawing>
              <wp:anchor distT="0" distB="0" distL="114300" distR="114300" simplePos="0" relativeHeight="251659776" behindDoc="1" locked="1" layoutInCell="0" allowOverlap="1" wp14:anchorId="5A3525F9" wp14:editId="43FEA5B6">
                <wp:simplePos x="0" y="0"/>
                <wp:positionH relativeFrom="page">
                  <wp:posOffset>851535</wp:posOffset>
                </wp:positionH>
                <wp:positionV relativeFrom="paragraph">
                  <wp:posOffset>0</wp:posOffset>
                </wp:positionV>
                <wp:extent cx="6035675" cy="12065"/>
                <wp:effectExtent l="3810" t="0" r="0" b="0"/>
                <wp:wrapNone/>
                <wp:docPr id="3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675"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AA001" id="Rectangle 42" o:spid="_x0000_s1026" style="position:absolute;margin-left:67.05pt;margin-top:0;width:475.25pt;height:.9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96pdQIAAPkEAAAOAAAAZHJzL2Uyb0RvYy54bWysVNuO0zAQfUfiHyy/d3PZ9JKo6Wq3pQhp&#10;gRULH+DaTmPh2MZ2my6If2fstKULLytEH1xPZjw+c+aM5zeHTqI9t05oVePsKsWIK6qZUNsaf/m8&#10;Hs0wcp4oRqRWvMZP3OGbxetX895UPNetloxbBEmUq3pT49Z7UyWJoy3viLvShitwNtp2xINptwmz&#10;pIfsnUzyNJ0kvbbMWE25c/B1NTjxIuZvGk79x6Zx3CNZY8Dm42rjuglrspiTamuJaQU9wiD/gKIj&#10;QsGl51Qr4gnaWfFXqk5Qq51u/BXVXaKbRlAea4BqsvSPah5bYnisBchx5kyT+39p6Yf9g0WC1fi6&#10;wEiRDnr0CVgjais5KvJAUG9cBXGP5sGGEp251/SrQ0ovWwjjt9bqvuWEAawsxCfPDgTDwVG06d9r&#10;BunJzuvI1aGxXUgILKBDbMnTuSX84BGFj5P0ejyZjjGi4MvydDKON5DqdNhY599y3aGwqbEF7DE5&#10;2d87H8CQ6hQSwWsp2FpIGQ273SylRXsS1BF/x+zuMkyqEKx0ODZkHL4ARrgj+ALa2O0fZZYX6V1e&#10;jtaT2XRUrIvxqJyms1GalXflJC3KYrX+GQBmRdUKxri6F4qflJcVL+vscQYGzUTtoT5QF4u6hO5e&#10;VmEnPEyhFF2NZ2caSBWa+kYxqJlUngg57JPn2CPFQMDpP1ISJRC6Pqhno9kTKMBq6BBMIbwXsGm1&#10;/Y5RD7NXY/dtRyzHSL5ToKIyK4owrNEoxtMcDHvp2Vx6iKKQqsYeo2G79MOA74wV2xZuyiIxSt+C&#10;8hoRVRFUOaA66hXmK1ZwfAvCAF/aMer3i7X4BQAA//8DAFBLAwQUAAYACAAAACEA6gsjitkAAAAH&#10;AQAADwAAAGRycy9kb3ducmV2LnhtbEyPwU7DMBBE70j8g7VI3KhdEqIQ4lSAxBWpgQs3J16SiHht&#10;YrcNf8/2BLcdzWjmbb1b3SyOuMTJk4btRoFA6r2daNDw/vZyU4KIyZA1syfU8IMRds3lRW0q60+0&#10;x2ObBsElFCujYUwpVFLGfkRn4sYHJPY+/eJMYrkM0i7mxOVulrdKFdKZiXhhNAGfR+y/2oPj3Y+s&#10;VaH8fhrIveb7rghZV9xpfX21Pj6ASLimvzCc8RkdGmbq/IFsFDPrLN9yVAN/dLZVmRcgOr7uQTa1&#10;/M/f/AIAAP//AwBQSwECLQAUAAYACAAAACEAtoM4kv4AAADhAQAAEwAAAAAAAAAAAAAAAAAAAAAA&#10;W0NvbnRlbnRfVHlwZXNdLnhtbFBLAQItABQABgAIAAAAIQA4/SH/1gAAAJQBAAALAAAAAAAAAAAA&#10;AAAAAC8BAABfcmVscy8ucmVsc1BLAQItABQABgAIAAAAIQBnm96pdQIAAPkEAAAOAAAAAAAAAAAA&#10;AAAAAC4CAABkcnMvZTJvRG9jLnhtbFBLAQItABQABgAIAAAAIQDqCyOK2QAAAAcBAAAPAAAAAAAA&#10;AAAAAAAAAM8EAABkcnMvZG93bnJldi54bWxQSwUGAAAAAAQABADzAAAA1QUAAAAA&#10;" o:allowincell="f" fillcolor="black" stroked="f" strokeweight="0">
                <w10:wrap anchorx="page"/>
                <w10:anchorlock/>
              </v:rect>
            </w:pict>
          </mc:Fallback>
        </mc:AlternateContent>
      </w:r>
    </w:p>
    <w:p w14:paraId="64156E42" w14:textId="77777777" w:rsidR="001D1D4B" w:rsidRPr="0045783B" w:rsidRDefault="001D1D4B" w:rsidP="001D1D4B">
      <w:pPr>
        <w:widowControl/>
        <w:adjustRightInd/>
        <w:rPr>
          <w:color w:val="000000" w:themeColor="text1"/>
          <w:highlight w:val="yellow"/>
        </w:rPr>
      </w:pPr>
    </w:p>
    <w:p w14:paraId="2533CE58" w14:textId="77777777" w:rsidR="001D1D4B" w:rsidRPr="00EF642B" w:rsidRDefault="001D1D4B" w:rsidP="001D1D4B">
      <w:pPr>
        <w:widowControl/>
        <w:adjustRightInd/>
        <w:rPr>
          <w:color w:val="000000" w:themeColor="text1"/>
        </w:rPr>
      </w:pPr>
      <w:r w:rsidRPr="00EF642B">
        <w:rPr>
          <w:color w:val="000000" w:themeColor="text1"/>
        </w:rPr>
        <w:t>Mears Fertilizer Inc.</w:t>
      </w:r>
    </w:p>
    <w:p w14:paraId="4F7FBCD1" w14:textId="77777777" w:rsidR="001D1D4B" w:rsidRPr="00EF642B" w:rsidRDefault="001D1D4B" w:rsidP="001D1D4B">
      <w:pPr>
        <w:widowControl/>
        <w:adjustRightInd/>
        <w:rPr>
          <w:color w:val="000000" w:themeColor="text1"/>
        </w:rPr>
      </w:pPr>
      <w:r w:rsidRPr="00EF642B">
        <w:rPr>
          <w:color w:val="000000" w:themeColor="text1"/>
        </w:rPr>
        <w:t xml:space="preserve">Private Enterprise </w:t>
      </w:r>
    </w:p>
    <w:p w14:paraId="727B7643" w14:textId="065F6FC7" w:rsidR="001D1D4B" w:rsidRPr="00EF642B" w:rsidRDefault="00EF642B" w:rsidP="001D1D4B">
      <w:pPr>
        <w:widowControl/>
        <w:adjustRightInd/>
        <w:rPr>
          <w:color w:val="000000" w:themeColor="text1"/>
        </w:rPr>
      </w:pPr>
      <w:r w:rsidRPr="00EF642B">
        <w:rPr>
          <w:color w:val="000000" w:themeColor="text1"/>
        </w:rPr>
        <w:t>Lavant, KS</w:t>
      </w:r>
    </w:p>
    <w:p w14:paraId="0574EE77" w14:textId="10EB275A" w:rsidR="001D1D4B" w:rsidRPr="00EF642B" w:rsidRDefault="00EF642B" w:rsidP="001D1D4B">
      <w:pPr>
        <w:widowControl/>
        <w:adjustRightInd/>
        <w:rPr>
          <w:color w:val="000000" w:themeColor="text1"/>
        </w:rPr>
      </w:pPr>
      <w:r w:rsidRPr="00EF642B">
        <w:rPr>
          <w:color w:val="000000" w:themeColor="text1"/>
        </w:rPr>
        <w:t>Incident Report #1078814</w:t>
      </w:r>
    </w:p>
    <w:p w14:paraId="71ED0419" w14:textId="77777777" w:rsidR="001D1D4B" w:rsidRPr="0045783B" w:rsidRDefault="001D1D4B" w:rsidP="001D1D4B">
      <w:pPr>
        <w:widowControl/>
        <w:adjustRightInd/>
        <w:rPr>
          <w:color w:val="000000" w:themeColor="text1"/>
          <w:highlight w:val="yellow"/>
        </w:rPr>
      </w:pPr>
    </w:p>
    <w:p w14:paraId="56CCF243" w14:textId="26158984" w:rsidR="001D1D4B" w:rsidRPr="0045783B" w:rsidRDefault="001D1D4B" w:rsidP="001D1D4B">
      <w:pPr>
        <w:widowControl/>
        <w:adjustRightInd/>
        <w:rPr>
          <w:color w:val="000000" w:themeColor="text1"/>
          <w:highlight w:val="yellow"/>
        </w:rPr>
      </w:pPr>
      <w:r w:rsidRPr="00EF642B">
        <w:rPr>
          <w:color w:val="000000" w:themeColor="text1"/>
        </w:rPr>
        <w:t xml:space="preserve">On </w:t>
      </w:r>
      <w:r w:rsidR="00EF642B" w:rsidRPr="00EF642B">
        <w:rPr>
          <w:color w:val="000000" w:themeColor="text1"/>
        </w:rPr>
        <w:t>April 4,</w:t>
      </w:r>
      <w:r w:rsidR="0055077F" w:rsidRPr="00EF642B">
        <w:rPr>
          <w:color w:val="000000" w:themeColor="text1"/>
        </w:rPr>
        <w:t xml:space="preserve"> </w:t>
      </w:r>
      <w:r w:rsidR="00EF642B" w:rsidRPr="00EF642B">
        <w:rPr>
          <w:color w:val="000000" w:themeColor="text1"/>
        </w:rPr>
        <w:t>2014</w:t>
      </w:r>
      <w:r w:rsidRPr="00EF642B">
        <w:rPr>
          <w:color w:val="000000" w:themeColor="text1"/>
        </w:rPr>
        <w:t xml:space="preserve">, </w:t>
      </w:r>
      <w:r w:rsidR="0055077F" w:rsidRPr="00EF642B">
        <w:rPr>
          <w:color w:val="000000" w:themeColor="text1"/>
        </w:rPr>
        <w:t xml:space="preserve">Mears Fertilizer, Inc., </w:t>
      </w:r>
      <w:r w:rsidRPr="00EF642B">
        <w:rPr>
          <w:color w:val="000000" w:themeColor="text1"/>
        </w:rPr>
        <w:t xml:space="preserve">called the NRC to make a report of a </w:t>
      </w:r>
      <w:r w:rsidR="00D34D8C" w:rsidRPr="00EF642B">
        <w:rPr>
          <w:color w:val="000000" w:themeColor="text1"/>
        </w:rPr>
        <w:t>continuous release of anhydrous ammonia from a portable pipe reactor</w:t>
      </w:r>
      <w:r w:rsidR="00EF642B" w:rsidRPr="00EF642B">
        <w:rPr>
          <w:color w:val="000000" w:themeColor="text1"/>
        </w:rPr>
        <w:t>, which is used to make liquid fertilizer</w:t>
      </w:r>
      <w:r w:rsidR="00D34D8C" w:rsidRPr="00EF642B">
        <w:rPr>
          <w:color w:val="000000" w:themeColor="text1"/>
        </w:rPr>
        <w:t>.</w:t>
      </w:r>
      <w:r w:rsidR="00EF642B" w:rsidRPr="00EF642B">
        <w:rPr>
          <w:color w:val="000000" w:themeColor="text1"/>
        </w:rPr>
        <w:t xml:space="preserve">  On March 9</w:t>
      </w:r>
      <w:r w:rsidRPr="00EF642B">
        <w:rPr>
          <w:color w:val="000000" w:themeColor="text1"/>
        </w:rPr>
        <w:t>, 20</w:t>
      </w:r>
      <w:r w:rsidR="00EF642B" w:rsidRPr="00EF642B">
        <w:rPr>
          <w:color w:val="000000" w:themeColor="text1"/>
        </w:rPr>
        <w:t>15</w:t>
      </w:r>
      <w:r w:rsidRPr="00EF642B">
        <w:rPr>
          <w:color w:val="000000" w:themeColor="text1"/>
        </w:rPr>
        <w:t xml:space="preserve">, the HQ EPA CR-ERNS analyst spoke with the person responsible for reporting releases. </w:t>
      </w:r>
      <w:r w:rsidR="00EF642B" w:rsidRPr="00EF642B">
        <w:rPr>
          <w:color w:val="000000" w:themeColor="text1"/>
        </w:rPr>
        <w:t>The</w:t>
      </w:r>
      <w:r w:rsidR="00EF642B" w:rsidRPr="00387CF1">
        <w:rPr>
          <w:color w:val="000000" w:themeColor="text1"/>
        </w:rPr>
        <w:t xml:space="preserve"> individual indicated that the company does have procedures in place for continuous release reporting. They are aware and have submitted copies of the continuous release reports to the appropriate SERCs and LEPCs, and they </w:t>
      </w:r>
      <w:r w:rsidR="00EF642B" w:rsidRPr="00387CF1">
        <w:rPr>
          <w:color w:val="000000" w:themeColor="text1"/>
        </w:rPr>
        <w:lastRenderedPageBreak/>
        <w:t xml:space="preserve">do not have any questions regarding reporting continuous releases. The HQ EPA CR-ERNS analyst let the company representative know that EPA now has the continuous release forms on its web site at: www.epa.gov/superfund/policy/release/faciliti.htm and that there is also a file that provides the contact information for submitting the continuous </w:t>
      </w:r>
      <w:r w:rsidR="00EF642B" w:rsidRPr="00EF642B">
        <w:rPr>
          <w:color w:val="000000" w:themeColor="text1"/>
        </w:rPr>
        <w:t xml:space="preserve">release reports to the Agency. The representative indicated that she was already aware of this. </w:t>
      </w:r>
      <w:r w:rsidR="000D513E">
        <w:rPr>
          <w:color w:val="000000" w:themeColor="text1"/>
        </w:rPr>
        <w:pict w14:anchorId="1B28124F">
          <v:rect id="_x0000_i1028" style="width:0;height:1.5pt" o:hralign="center" o:hrstd="t" o:hr="t" fillcolor="#aca899" stroked="f"/>
        </w:pict>
      </w:r>
    </w:p>
    <w:p w14:paraId="0F76EB7B" w14:textId="77777777" w:rsidR="001D1D4B" w:rsidRPr="0045783B" w:rsidRDefault="001D1D4B" w:rsidP="001D1D4B">
      <w:pPr>
        <w:widowControl/>
        <w:adjustRightInd/>
        <w:rPr>
          <w:color w:val="000000" w:themeColor="text1"/>
          <w:highlight w:val="yellow"/>
        </w:rPr>
      </w:pPr>
    </w:p>
    <w:p w14:paraId="603479D1" w14:textId="498F5C49" w:rsidR="001D1D4B" w:rsidRPr="00667271" w:rsidRDefault="00667271" w:rsidP="001D1D4B">
      <w:pPr>
        <w:widowControl/>
        <w:adjustRightInd/>
        <w:rPr>
          <w:color w:val="000000" w:themeColor="text1"/>
        </w:rPr>
      </w:pPr>
      <w:r w:rsidRPr="00667271">
        <w:rPr>
          <w:color w:val="000000" w:themeColor="text1"/>
        </w:rPr>
        <w:t>CHS, Inc.</w:t>
      </w:r>
    </w:p>
    <w:p w14:paraId="5832203D" w14:textId="77777777" w:rsidR="001D1D4B" w:rsidRPr="00667271" w:rsidRDefault="001D1D4B" w:rsidP="001D1D4B">
      <w:pPr>
        <w:widowControl/>
        <w:adjustRightInd/>
        <w:rPr>
          <w:color w:val="000000" w:themeColor="text1"/>
        </w:rPr>
      </w:pPr>
      <w:r w:rsidRPr="00667271">
        <w:rPr>
          <w:color w:val="000000" w:themeColor="text1"/>
        </w:rPr>
        <w:t>Private Enterprise</w:t>
      </w:r>
    </w:p>
    <w:p w14:paraId="160BB1C8" w14:textId="37A6540D" w:rsidR="001D1D4B" w:rsidRPr="00667271" w:rsidRDefault="00667271" w:rsidP="001D1D4B">
      <w:pPr>
        <w:widowControl/>
        <w:adjustRightInd/>
        <w:rPr>
          <w:color w:val="000000" w:themeColor="text1"/>
        </w:rPr>
      </w:pPr>
      <w:r w:rsidRPr="00667271">
        <w:rPr>
          <w:color w:val="000000" w:themeColor="text1"/>
        </w:rPr>
        <w:t>Laurel, MT</w:t>
      </w:r>
    </w:p>
    <w:p w14:paraId="59B01587" w14:textId="4A3E634E" w:rsidR="001D1D4B" w:rsidRPr="00667271" w:rsidRDefault="00667271" w:rsidP="001D1D4B">
      <w:pPr>
        <w:widowControl/>
        <w:adjustRightInd/>
        <w:rPr>
          <w:color w:val="000000" w:themeColor="text1"/>
        </w:rPr>
      </w:pPr>
      <w:r w:rsidRPr="00667271">
        <w:rPr>
          <w:color w:val="000000" w:themeColor="text1"/>
        </w:rPr>
        <w:t>Incident Report #1073644</w:t>
      </w:r>
    </w:p>
    <w:p w14:paraId="5336CE02" w14:textId="77777777" w:rsidR="001D1D4B" w:rsidRPr="00667271" w:rsidRDefault="001D1D4B" w:rsidP="001D1D4B">
      <w:pPr>
        <w:widowControl/>
        <w:adjustRightInd/>
        <w:rPr>
          <w:color w:val="000000" w:themeColor="text1"/>
        </w:rPr>
      </w:pPr>
    </w:p>
    <w:p w14:paraId="6240661C" w14:textId="3F28AA0B" w:rsidR="00803578" w:rsidRPr="00667271" w:rsidRDefault="00667271" w:rsidP="001D1D4B">
      <w:pPr>
        <w:widowControl/>
        <w:adjustRightInd/>
        <w:rPr>
          <w:color w:val="000000" w:themeColor="text1"/>
        </w:rPr>
      </w:pPr>
      <w:r w:rsidRPr="00667271">
        <w:rPr>
          <w:color w:val="000000" w:themeColor="text1"/>
        </w:rPr>
        <w:t>On February 11, 2014, CHS,</w:t>
      </w:r>
      <w:r w:rsidR="00E866DB" w:rsidRPr="00667271">
        <w:rPr>
          <w:color w:val="000000" w:themeColor="text1"/>
        </w:rPr>
        <w:t xml:space="preserve"> Inc., called the NRC to make a report of </w:t>
      </w:r>
      <w:r w:rsidRPr="00667271">
        <w:rPr>
          <w:color w:val="000000" w:themeColor="text1"/>
        </w:rPr>
        <w:t>ammonia, nitrogen oxide, and NO2 into the atmosphere</w:t>
      </w:r>
      <w:r w:rsidR="00E866DB" w:rsidRPr="00667271">
        <w:rPr>
          <w:color w:val="000000" w:themeColor="text1"/>
        </w:rPr>
        <w:t xml:space="preserve">. </w:t>
      </w:r>
      <w:r w:rsidRPr="00667271">
        <w:rPr>
          <w:color w:val="000000" w:themeColor="text1"/>
        </w:rPr>
        <w:t>The caller stated that the release was due to normal plant operations.</w:t>
      </w:r>
      <w:r w:rsidR="00E866DB" w:rsidRPr="00667271">
        <w:rPr>
          <w:color w:val="000000" w:themeColor="text1"/>
        </w:rPr>
        <w:t xml:space="preserve"> </w:t>
      </w:r>
      <w:r w:rsidR="00FB2A66">
        <w:rPr>
          <w:color w:val="000000" w:themeColor="text1"/>
        </w:rPr>
        <w:t xml:space="preserve">On March </w:t>
      </w:r>
      <w:r w:rsidRPr="00667271">
        <w:rPr>
          <w:color w:val="000000" w:themeColor="text1"/>
        </w:rPr>
        <w:t>9, 2015</w:t>
      </w:r>
      <w:r w:rsidR="00E866DB" w:rsidRPr="00667271">
        <w:rPr>
          <w:color w:val="000000" w:themeColor="text1"/>
        </w:rPr>
        <w:t>, the HQ EPA CR-ERNS analyst spoke with the person responsible for reporting releases. The individual indicated that the company has procedures in place for making</w:t>
      </w:r>
      <w:r w:rsidRPr="00667271">
        <w:rPr>
          <w:color w:val="000000" w:themeColor="text1"/>
        </w:rPr>
        <w:t xml:space="preserve"> continuous release</w:t>
      </w:r>
      <w:r w:rsidR="00E866DB" w:rsidRPr="00667271">
        <w:rPr>
          <w:color w:val="000000" w:themeColor="text1"/>
        </w:rPr>
        <w:t xml:space="preserve"> reports</w:t>
      </w:r>
      <w:r>
        <w:rPr>
          <w:color w:val="000000" w:themeColor="text1"/>
        </w:rPr>
        <w:t>.</w:t>
      </w:r>
      <w:r w:rsidR="00E866DB" w:rsidRPr="00667271">
        <w:rPr>
          <w:color w:val="000000" w:themeColor="text1"/>
        </w:rPr>
        <w:t xml:space="preserve"> </w:t>
      </w:r>
      <w:r w:rsidRPr="00667271">
        <w:rPr>
          <w:color w:val="000000" w:themeColor="text1"/>
        </w:rPr>
        <w:t>The</w:t>
      </w:r>
      <w:r w:rsidRPr="00387CF1">
        <w:rPr>
          <w:color w:val="000000" w:themeColor="text1"/>
        </w:rPr>
        <w:t xml:space="preserve"> HQ EPA CR-ERNS analyst let the company representative know that EPA now has the continuous release forms on its web site at: www.epa.gov/superfund/policy/release/faciliti.htm and that there is also a file that provides the contact information for submitting the continuous </w:t>
      </w:r>
      <w:r w:rsidRPr="00EF642B">
        <w:rPr>
          <w:color w:val="000000" w:themeColor="text1"/>
        </w:rPr>
        <w:t xml:space="preserve">release </w:t>
      </w:r>
      <w:r w:rsidRPr="00667271">
        <w:rPr>
          <w:color w:val="000000" w:themeColor="text1"/>
        </w:rPr>
        <w:t>reports to the Agency.</w:t>
      </w:r>
    </w:p>
    <w:p w14:paraId="5B9A3A61" w14:textId="77777777" w:rsidR="001D1D4B" w:rsidRPr="00667271" w:rsidRDefault="000D513E" w:rsidP="001D1D4B">
      <w:pPr>
        <w:widowControl/>
        <w:adjustRightInd/>
        <w:rPr>
          <w:color w:val="000000" w:themeColor="text1"/>
        </w:rPr>
      </w:pPr>
      <w:r>
        <w:rPr>
          <w:color w:val="000000" w:themeColor="text1"/>
        </w:rPr>
        <w:pict w14:anchorId="6B531658">
          <v:rect id="_x0000_i1029" style="width:0;height:1.5pt" o:hralign="center" o:hrstd="t" o:hr="t" fillcolor="#aca899" stroked="f"/>
        </w:pict>
      </w:r>
    </w:p>
    <w:p w14:paraId="46BE7EE5" w14:textId="77777777" w:rsidR="001D1D4B" w:rsidRPr="00667271" w:rsidRDefault="001D1D4B" w:rsidP="001D1D4B">
      <w:pPr>
        <w:widowControl/>
        <w:adjustRightInd/>
        <w:rPr>
          <w:color w:val="000000" w:themeColor="text1"/>
        </w:rPr>
      </w:pPr>
    </w:p>
    <w:p w14:paraId="1516E100" w14:textId="707C4B88" w:rsidR="001D1D4B" w:rsidRPr="00F94222" w:rsidRDefault="00F94222" w:rsidP="001D1D4B">
      <w:pPr>
        <w:widowControl/>
        <w:adjustRightInd/>
        <w:rPr>
          <w:color w:val="000000" w:themeColor="text1"/>
        </w:rPr>
      </w:pPr>
      <w:r w:rsidRPr="00F94222">
        <w:rPr>
          <w:color w:val="000000" w:themeColor="text1"/>
        </w:rPr>
        <w:t>Ultramar Refinery</w:t>
      </w:r>
    </w:p>
    <w:p w14:paraId="29C26D41" w14:textId="77777777" w:rsidR="001D1D4B" w:rsidRPr="00F94222" w:rsidRDefault="001D1D4B" w:rsidP="001D1D4B">
      <w:pPr>
        <w:widowControl/>
        <w:adjustRightInd/>
        <w:rPr>
          <w:color w:val="000000" w:themeColor="text1"/>
        </w:rPr>
      </w:pPr>
      <w:r w:rsidRPr="00F94222">
        <w:rPr>
          <w:color w:val="000000" w:themeColor="text1"/>
        </w:rPr>
        <w:t>Private Enterprise</w:t>
      </w:r>
    </w:p>
    <w:p w14:paraId="22E62F8E" w14:textId="3A2A4534" w:rsidR="001D1D4B" w:rsidRPr="00F94222" w:rsidRDefault="00F94222" w:rsidP="001D1D4B">
      <w:pPr>
        <w:widowControl/>
        <w:adjustRightInd/>
        <w:rPr>
          <w:color w:val="000000" w:themeColor="text1"/>
        </w:rPr>
      </w:pPr>
      <w:r w:rsidRPr="00F94222">
        <w:rPr>
          <w:color w:val="000000" w:themeColor="text1"/>
        </w:rPr>
        <w:t>Wilmington, CA</w:t>
      </w:r>
    </w:p>
    <w:p w14:paraId="73BB255D" w14:textId="6B6A8290" w:rsidR="001D1D4B" w:rsidRPr="00F94222" w:rsidRDefault="00F94222" w:rsidP="001D1D4B">
      <w:pPr>
        <w:widowControl/>
        <w:adjustRightInd/>
        <w:rPr>
          <w:color w:val="000000" w:themeColor="text1"/>
        </w:rPr>
      </w:pPr>
      <w:r w:rsidRPr="00F94222">
        <w:rPr>
          <w:color w:val="000000" w:themeColor="text1"/>
        </w:rPr>
        <w:t>Incident Report #</w:t>
      </w:r>
      <w:r>
        <w:rPr>
          <w:color w:val="000000" w:themeColor="text1"/>
        </w:rPr>
        <w:t>1087724</w:t>
      </w:r>
    </w:p>
    <w:p w14:paraId="6D954543" w14:textId="77777777" w:rsidR="001D1D4B" w:rsidRPr="00E04433" w:rsidRDefault="001D1D4B" w:rsidP="001D1D4B">
      <w:pPr>
        <w:widowControl/>
        <w:adjustRightInd/>
        <w:rPr>
          <w:color w:val="000000" w:themeColor="text1"/>
        </w:rPr>
      </w:pPr>
    </w:p>
    <w:p w14:paraId="794F5584" w14:textId="632D4262" w:rsidR="00E04433" w:rsidRPr="00667271" w:rsidRDefault="00E04433" w:rsidP="00E04433">
      <w:pPr>
        <w:widowControl/>
        <w:adjustRightInd/>
        <w:rPr>
          <w:color w:val="000000" w:themeColor="text1"/>
        </w:rPr>
      </w:pPr>
      <w:r w:rsidRPr="00E04433">
        <w:rPr>
          <w:color w:val="000000" w:themeColor="text1"/>
        </w:rPr>
        <w:t>On July 2, 2014, Ultramar Refinery</w:t>
      </w:r>
      <w:r w:rsidR="000A29FA" w:rsidRPr="00E04433">
        <w:rPr>
          <w:color w:val="000000" w:themeColor="text1"/>
        </w:rPr>
        <w:t xml:space="preserve"> called the NRC to make a report of a continu</w:t>
      </w:r>
      <w:r w:rsidRPr="00E04433">
        <w:rPr>
          <w:color w:val="000000" w:themeColor="text1"/>
        </w:rPr>
        <w:t>ous release of hydrogen cyanide</w:t>
      </w:r>
      <w:r>
        <w:rPr>
          <w:color w:val="000000" w:themeColor="text1"/>
        </w:rPr>
        <w:t xml:space="preserve"> from an exhaust stack</w:t>
      </w:r>
      <w:r w:rsidRPr="00E04433">
        <w:rPr>
          <w:color w:val="000000" w:themeColor="text1"/>
        </w:rPr>
        <w:t>. On March 9, 2015</w:t>
      </w:r>
      <w:r w:rsidR="000A29FA" w:rsidRPr="00E04433">
        <w:rPr>
          <w:color w:val="000000" w:themeColor="text1"/>
        </w:rPr>
        <w:t>, the HQ EPA CR-ERNS analyst spoke with the person responsible for reporting releases. The individual indicated that the company has procedures</w:t>
      </w:r>
      <w:r w:rsidRPr="00E04433">
        <w:rPr>
          <w:color w:val="000000" w:themeColor="text1"/>
        </w:rPr>
        <w:t xml:space="preserve"> in place for making reports</w:t>
      </w:r>
      <w:r w:rsidR="000A29FA" w:rsidRPr="00E04433">
        <w:rPr>
          <w:color w:val="000000" w:themeColor="text1"/>
        </w:rPr>
        <w:t xml:space="preserve">.  He is aware that reports for continuous release reporting (written reports) as also sent to the SERCs and LEPCs.  The individual did not have any questions regarding continuous release reporting.  </w:t>
      </w:r>
      <w:r w:rsidRPr="00667271">
        <w:rPr>
          <w:color w:val="000000" w:themeColor="text1"/>
        </w:rPr>
        <w:t>The</w:t>
      </w:r>
      <w:r w:rsidRPr="00387CF1">
        <w:rPr>
          <w:color w:val="000000" w:themeColor="text1"/>
        </w:rPr>
        <w:t xml:space="preserve"> HQ EPA CR-ERNS analyst let the company representative know that EPA now has the continuous release forms on its web site at: www.epa.gov/superfund/policy/release/faciliti.htm and that there is also a file that provides the contact information for submitting the continuous </w:t>
      </w:r>
      <w:r w:rsidRPr="00EF642B">
        <w:rPr>
          <w:color w:val="000000" w:themeColor="text1"/>
        </w:rPr>
        <w:t xml:space="preserve">release </w:t>
      </w:r>
      <w:r w:rsidRPr="00667271">
        <w:rPr>
          <w:color w:val="000000" w:themeColor="text1"/>
        </w:rPr>
        <w:t>reports to the Agency.</w:t>
      </w:r>
      <w:r w:rsidR="008F619F">
        <w:rPr>
          <w:color w:val="000000" w:themeColor="text1"/>
        </w:rPr>
        <w:t xml:space="preserve"> The individual said that he was already aware of where the forms were located online. </w:t>
      </w:r>
    </w:p>
    <w:p w14:paraId="14B950EC" w14:textId="32E79517" w:rsidR="00803578" w:rsidRPr="0045783B" w:rsidRDefault="00803578">
      <w:pPr>
        <w:widowControl/>
        <w:adjustRightInd/>
        <w:rPr>
          <w:color w:val="000000" w:themeColor="text1"/>
          <w:highlight w:val="yellow"/>
        </w:rPr>
      </w:pPr>
    </w:p>
    <w:p w14:paraId="24622748" w14:textId="77777777" w:rsidR="009D2901" w:rsidRPr="0045783B" w:rsidRDefault="000D513E" w:rsidP="009D2901">
      <w:pPr>
        <w:widowControl/>
        <w:adjustRightInd/>
        <w:rPr>
          <w:color w:val="000000" w:themeColor="text1"/>
        </w:rPr>
      </w:pPr>
      <w:r>
        <w:rPr>
          <w:color w:val="000000" w:themeColor="text1"/>
        </w:rPr>
        <w:pict w14:anchorId="6D8D3044">
          <v:rect id="_x0000_i1030" style="width:0;height:1.5pt" o:hralign="center" o:hrstd="t" o:hr="t" fillcolor="#aca899" stroked="f"/>
        </w:pict>
      </w:r>
    </w:p>
    <w:p w14:paraId="12F6FF6B" w14:textId="77777777" w:rsidR="009D2901" w:rsidRPr="0045783B" w:rsidRDefault="009D2901">
      <w:pPr>
        <w:widowControl/>
        <w:adjustRightInd/>
        <w:rPr>
          <w:color w:val="000000" w:themeColor="text1"/>
        </w:rPr>
        <w:sectPr w:rsidR="009D2901" w:rsidRPr="0045783B" w:rsidSect="00C32344">
          <w:headerReference w:type="default" r:id="rId35"/>
          <w:pgSz w:w="12240" w:h="15840" w:code="1"/>
          <w:pgMar w:top="1440" w:right="1800" w:bottom="1440" w:left="1800" w:header="720" w:footer="720" w:gutter="0"/>
          <w:cols w:space="720"/>
          <w:docGrid w:linePitch="360"/>
        </w:sectPr>
      </w:pPr>
    </w:p>
    <w:p w14:paraId="28B17215" w14:textId="77777777" w:rsidR="00237139" w:rsidRDefault="00C25693" w:rsidP="00C25693">
      <w:pPr>
        <w:pStyle w:val="Heading1"/>
        <w:numPr>
          <w:ilvl w:val="0"/>
          <w:numId w:val="0"/>
        </w:numPr>
        <w:ind w:left="360"/>
        <w:jc w:val="center"/>
        <w:rPr>
          <w:b/>
        </w:rPr>
      </w:pPr>
      <w:bookmarkStart w:id="93" w:name="_Toc302552536"/>
      <w:r w:rsidRPr="00C25693">
        <w:rPr>
          <w:b/>
        </w:rPr>
        <w:lastRenderedPageBreak/>
        <w:t>ATTACHMENT A – Continuous Release Reporting Forms</w:t>
      </w:r>
      <w:bookmarkEnd w:id="93"/>
    </w:p>
    <w:p w14:paraId="3A724AAC" w14:textId="77777777" w:rsidR="00C25693" w:rsidRDefault="00C25693" w:rsidP="00C25693"/>
    <w:p w14:paraId="4DA7876B" w14:textId="77777777" w:rsidR="00C25693" w:rsidRDefault="00C25693" w:rsidP="00C25693">
      <w:r>
        <w:t xml:space="preserve">The following pages contain the Continuous Release Reporting Forms that are also available at:  </w:t>
      </w:r>
      <w:hyperlink r:id="rId36" w:anchor="con" w:history="1">
        <w:r w:rsidRPr="00941B26">
          <w:rPr>
            <w:rStyle w:val="Hyperlink"/>
          </w:rPr>
          <w:t>http://www.epa.gov/emergencies/content/reporting/rqover.htm#con</w:t>
        </w:r>
      </w:hyperlink>
      <w:r>
        <w:t xml:space="preserve">.  </w:t>
      </w:r>
    </w:p>
    <w:p w14:paraId="2F02F308" w14:textId="77777777" w:rsidR="00894707" w:rsidRDefault="00894707" w:rsidP="00C25693"/>
    <w:p w14:paraId="1F32479C" w14:textId="77777777" w:rsidR="00C25693" w:rsidRDefault="00C25693" w:rsidP="00C25693">
      <w:r>
        <w:rPr>
          <w:noProof/>
        </w:rPr>
        <w:lastRenderedPageBreak/>
        <w:drawing>
          <wp:inline distT="0" distB="0" distL="0" distR="0" wp14:anchorId="5C819C1C" wp14:editId="734EBE4D">
            <wp:extent cx="5475918" cy="6701051"/>
            <wp:effectExtent l="19050" t="0" r="0" b="0"/>
            <wp:docPr id="2" name="Picture 0" descr="checklist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list_Page_1.jpg"/>
                    <pic:cNvPicPr/>
                  </pic:nvPicPr>
                  <pic:blipFill>
                    <a:blip r:embed="rId37" cstate="print"/>
                    <a:stretch>
                      <a:fillRect/>
                    </a:stretch>
                  </pic:blipFill>
                  <pic:spPr>
                    <a:xfrm>
                      <a:off x="0" y="0"/>
                      <a:ext cx="5486400" cy="6713878"/>
                    </a:xfrm>
                    <a:prstGeom prst="rect">
                      <a:avLst/>
                    </a:prstGeom>
                  </pic:spPr>
                </pic:pic>
              </a:graphicData>
            </a:graphic>
          </wp:inline>
        </w:drawing>
      </w:r>
      <w:r w:rsidR="001429B8">
        <w:rPr>
          <w:noProof/>
        </w:rPr>
        <w:lastRenderedPageBreak/>
        <w:drawing>
          <wp:inline distT="0" distB="0" distL="0" distR="0" wp14:anchorId="2EE791E6" wp14:editId="04D4FD33">
            <wp:extent cx="5486400" cy="7099300"/>
            <wp:effectExtent l="19050" t="0" r="0" b="0"/>
            <wp:docPr id="5" name="Picture 4" descr="checklist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list_Page_2.jpg"/>
                    <pic:cNvPicPr/>
                  </pic:nvPicPr>
                  <pic:blipFill>
                    <a:blip r:embed="rId38" cstate="print"/>
                    <a:stretch>
                      <a:fillRect/>
                    </a:stretch>
                  </pic:blipFill>
                  <pic:spPr>
                    <a:xfrm>
                      <a:off x="0" y="0"/>
                      <a:ext cx="5486400" cy="7099300"/>
                    </a:xfrm>
                    <a:prstGeom prst="rect">
                      <a:avLst/>
                    </a:prstGeom>
                  </pic:spPr>
                </pic:pic>
              </a:graphicData>
            </a:graphic>
          </wp:inline>
        </w:drawing>
      </w:r>
    </w:p>
    <w:p w14:paraId="66F1ED02" w14:textId="77777777" w:rsidR="00C25693" w:rsidRDefault="00E3437E" w:rsidP="00C25693">
      <w:r>
        <w:rPr>
          <w:noProof/>
        </w:rPr>
        <w:lastRenderedPageBreak/>
        <w:drawing>
          <wp:inline distT="0" distB="0" distL="0" distR="0" wp14:anchorId="7A023C6E" wp14:editId="42D53CED">
            <wp:extent cx="5486400" cy="7099300"/>
            <wp:effectExtent l="19050" t="0" r="0" b="0"/>
            <wp:docPr id="3" name="Picture 2" descr="Page 1-Section 1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Section 1_Page_1.jpg"/>
                    <pic:cNvPicPr/>
                  </pic:nvPicPr>
                  <pic:blipFill>
                    <a:blip r:embed="rId39" cstate="print"/>
                    <a:stretch>
                      <a:fillRect/>
                    </a:stretch>
                  </pic:blipFill>
                  <pic:spPr>
                    <a:xfrm>
                      <a:off x="0" y="0"/>
                      <a:ext cx="5486400" cy="7099300"/>
                    </a:xfrm>
                    <a:prstGeom prst="rect">
                      <a:avLst/>
                    </a:prstGeom>
                  </pic:spPr>
                </pic:pic>
              </a:graphicData>
            </a:graphic>
          </wp:inline>
        </w:drawing>
      </w:r>
      <w:r>
        <w:rPr>
          <w:noProof/>
        </w:rPr>
        <w:lastRenderedPageBreak/>
        <w:drawing>
          <wp:inline distT="0" distB="0" distL="0" distR="0" wp14:anchorId="098F1868" wp14:editId="51A80C1F">
            <wp:extent cx="5486400" cy="7099300"/>
            <wp:effectExtent l="19050" t="0" r="0" b="0"/>
            <wp:docPr id="16" name="Picture 5" descr="Page 1-Section 1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Section 1_Page_2.jpg"/>
                    <pic:cNvPicPr/>
                  </pic:nvPicPr>
                  <pic:blipFill>
                    <a:blip r:embed="rId40" cstate="print"/>
                    <a:stretch>
                      <a:fillRect/>
                    </a:stretch>
                  </pic:blipFill>
                  <pic:spPr>
                    <a:xfrm>
                      <a:off x="0" y="0"/>
                      <a:ext cx="5486400" cy="7099300"/>
                    </a:xfrm>
                    <a:prstGeom prst="rect">
                      <a:avLst/>
                    </a:prstGeom>
                  </pic:spPr>
                </pic:pic>
              </a:graphicData>
            </a:graphic>
          </wp:inline>
        </w:drawing>
      </w:r>
      <w:r>
        <w:rPr>
          <w:noProof/>
        </w:rPr>
        <w:lastRenderedPageBreak/>
        <w:drawing>
          <wp:inline distT="0" distB="0" distL="0" distR="0" wp14:anchorId="36E5DFE6" wp14:editId="2BCB3DD8">
            <wp:extent cx="5486400" cy="7099300"/>
            <wp:effectExtent l="19050" t="0" r="0" b="0"/>
            <wp:docPr id="17" name="Picture 6" descr="Page 2-Section 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Section 2_Page_1.jpg"/>
                    <pic:cNvPicPr/>
                  </pic:nvPicPr>
                  <pic:blipFill>
                    <a:blip r:embed="rId41" cstate="print"/>
                    <a:stretch>
                      <a:fillRect/>
                    </a:stretch>
                  </pic:blipFill>
                  <pic:spPr>
                    <a:xfrm>
                      <a:off x="0" y="0"/>
                      <a:ext cx="5486400" cy="7099300"/>
                    </a:xfrm>
                    <a:prstGeom prst="rect">
                      <a:avLst/>
                    </a:prstGeom>
                  </pic:spPr>
                </pic:pic>
              </a:graphicData>
            </a:graphic>
          </wp:inline>
        </w:drawing>
      </w:r>
      <w:r>
        <w:rPr>
          <w:noProof/>
        </w:rPr>
        <w:lastRenderedPageBreak/>
        <w:drawing>
          <wp:inline distT="0" distB="0" distL="0" distR="0" wp14:anchorId="2F103F4B" wp14:editId="1D58E016">
            <wp:extent cx="5486400" cy="7099300"/>
            <wp:effectExtent l="19050" t="0" r="0" b="0"/>
            <wp:docPr id="18" name="Picture 7" descr="Page 2-Section 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Section 2_Page_2.jpg"/>
                    <pic:cNvPicPr/>
                  </pic:nvPicPr>
                  <pic:blipFill>
                    <a:blip r:embed="rId42" cstate="print"/>
                    <a:stretch>
                      <a:fillRect/>
                    </a:stretch>
                  </pic:blipFill>
                  <pic:spPr>
                    <a:xfrm>
                      <a:off x="0" y="0"/>
                      <a:ext cx="5486400" cy="7099300"/>
                    </a:xfrm>
                    <a:prstGeom prst="rect">
                      <a:avLst/>
                    </a:prstGeom>
                  </pic:spPr>
                </pic:pic>
              </a:graphicData>
            </a:graphic>
          </wp:inline>
        </w:drawing>
      </w:r>
      <w:r>
        <w:rPr>
          <w:noProof/>
        </w:rPr>
        <w:lastRenderedPageBreak/>
        <w:drawing>
          <wp:inline distT="0" distB="0" distL="0" distR="0" wp14:anchorId="75997C8A" wp14:editId="1C4B9E17">
            <wp:extent cx="5486400" cy="7099300"/>
            <wp:effectExtent l="19050" t="0" r="0" b="0"/>
            <wp:docPr id="9" name="Picture 8" descr="Page 3-Section 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Section 2_Page_1.jpg"/>
                    <pic:cNvPicPr/>
                  </pic:nvPicPr>
                  <pic:blipFill>
                    <a:blip r:embed="rId43" cstate="print"/>
                    <a:stretch>
                      <a:fillRect/>
                    </a:stretch>
                  </pic:blipFill>
                  <pic:spPr>
                    <a:xfrm>
                      <a:off x="0" y="0"/>
                      <a:ext cx="5486400" cy="7099300"/>
                    </a:xfrm>
                    <a:prstGeom prst="rect">
                      <a:avLst/>
                    </a:prstGeom>
                  </pic:spPr>
                </pic:pic>
              </a:graphicData>
            </a:graphic>
          </wp:inline>
        </w:drawing>
      </w:r>
      <w:r>
        <w:rPr>
          <w:noProof/>
        </w:rPr>
        <w:lastRenderedPageBreak/>
        <w:drawing>
          <wp:inline distT="0" distB="0" distL="0" distR="0" wp14:anchorId="1BFC97D2" wp14:editId="4459275C">
            <wp:extent cx="5486400" cy="7099300"/>
            <wp:effectExtent l="19050" t="0" r="0" b="0"/>
            <wp:docPr id="10" name="Picture 9" descr="Page 3-Section 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Section 2_Page_2.jpg"/>
                    <pic:cNvPicPr/>
                  </pic:nvPicPr>
                  <pic:blipFill>
                    <a:blip r:embed="rId44" cstate="print"/>
                    <a:stretch>
                      <a:fillRect/>
                    </a:stretch>
                  </pic:blipFill>
                  <pic:spPr>
                    <a:xfrm>
                      <a:off x="0" y="0"/>
                      <a:ext cx="5486400" cy="7099300"/>
                    </a:xfrm>
                    <a:prstGeom prst="rect">
                      <a:avLst/>
                    </a:prstGeom>
                  </pic:spPr>
                </pic:pic>
              </a:graphicData>
            </a:graphic>
          </wp:inline>
        </w:drawing>
      </w:r>
      <w:r>
        <w:rPr>
          <w:noProof/>
        </w:rPr>
        <w:lastRenderedPageBreak/>
        <w:drawing>
          <wp:inline distT="0" distB="0" distL="0" distR="0" wp14:anchorId="2B47C69F" wp14:editId="7B9B7F33">
            <wp:extent cx="5486400" cy="4239895"/>
            <wp:effectExtent l="19050" t="0" r="0" b="0"/>
            <wp:docPr id="11" name="Picture 10" descr="Page 4-Section 2-v2.0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4-Section 2-v2.0_Page_1.jpg"/>
                    <pic:cNvPicPr/>
                  </pic:nvPicPr>
                  <pic:blipFill>
                    <a:blip r:embed="rId45" cstate="print"/>
                    <a:stretch>
                      <a:fillRect/>
                    </a:stretch>
                  </pic:blipFill>
                  <pic:spPr>
                    <a:xfrm>
                      <a:off x="0" y="0"/>
                      <a:ext cx="5486400" cy="4239895"/>
                    </a:xfrm>
                    <a:prstGeom prst="rect">
                      <a:avLst/>
                    </a:prstGeom>
                  </pic:spPr>
                </pic:pic>
              </a:graphicData>
            </a:graphic>
          </wp:inline>
        </w:drawing>
      </w:r>
      <w:r>
        <w:rPr>
          <w:noProof/>
        </w:rPr>
        <w:lastRenderedPageBreak/>
        <w:drawing>
          <wp:inline distT="0" distB="0" distL="0" distR="0" wp14:anchorId="176BC5A2" wp14:editId="1C89A64E">
            <wp:extent cx="5486400" cy="4239895"/>
            <wp:effectExtent l="19050" t="0" r="0" b="0"/>
            <wp:docPr id="12" name="Picture 11" descr="Page 4-Section 2-v2.0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4-Section 2-v2.0_Page_2.jpg"/>
                    <pic:cNvPicPr/>
                  </pic:nvPicPr>
                  <pic:blipFill>
                    <a:blip r:embed="rId46" cstate="print"/>
                    <a:stretch>
                      <a:fillRect/>
                    </a:stretch>
                  </pic:blipFill>
                  <pic:spPr>
                    <a:xfrm>
                      <a:off x="0" y="0"/>
                      <a:ext cx="5486400" cy="4239895"/>
                    </a:xfrm>
                    <a:prstGeom prst="rect">
                      <a:avLst/>
                    </a:prstGeom>
                  </pic:spPr>
                </pic:pic>
              </a:graphicData>
            </a:graphic>
          </wp:inline>
        </w:drawing>
      </w:r>
      <w:r>
        <w:rPr>
          <w:noProof/>
        </w:rPr>
        <w:lastRenderedPageBreak/>
        <w:drawing>
          <wp:inline distT="0" distB="0" distL="0" distR="0" wp14:anchorId="67BDB8A1" wp14:editId="7460DE76">
            <wp:extent cx="5486400" cy="4239895"/>
            <wp:effectExtent l="19050" t="0" r="0" b="0"/>
            <wp:docPr id="13" name="Picture 12" descr="Page 4-Section 2-v2.0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4-Section 2-v2.0_Page_3.jpg"/>
                    <pic:cNvPicPr/>
                  </pic:nvPicPr>
                  <pic:blipFill>
                    <a:blip r:embed="rId47" cstate="print"/>
                    <a:stretch>
                      <a:fillRect/>
                    </a:stretch>
                  </pic:blipFill>
                  <pic:spPr>
                    <a:xfrm>
                      <a:off x="0" y="0"/>
                      <a:ext cx="5486400" cy="4239895"/>
                    </a:xfrm>
                    <a:prstGeom prst="rect">
                      <a:avLst/>
                    </a:prstGeom>
                  </pic:spPr>
                </pic:pic>
              </a:graphicData>
            </a:graphic>
          </wp:inline>
        </w:drawing>
      </w:r>
      <w:r>
        <w:rPr>
          <w:noProof/>
        </w:rPr>
        <w:lastRenderedPageBreak/>
        <w:drawing>
          <wp:inline distT="0" distB="0" distL="0" distR="0" wp14:anchorId="43435D3D" wp14:editId="0A5CB71E">
            <wp:extent cx="5486400" cy="7099300"/>
            <wp:effectExtent l="19050" t="0" r="0" b="0"/>
            <wp:docPr id="14" name="Picture 13" descr="Page 5-Section 3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5-Section 3_Page_1.jpg"/>
                    <pic:cNvPicPr/>
                  </pic:nvPicPr>
                  <pic:blipFill>
                    <a:blip r:embed="rId48" cstate="print"/>
                    <a:stretch>
                      <a:fillRect/>
                    </a:stretch>
                  </pic:blipFill>
                  <pic:spPr>
                    <a:xfrm>
                      <a:off x="0" y="0"/>
                      <a:ext cx="5486400" cy="7099300"/>
                    </a:xfrm>
                    <a:prstGeom prst="rect">
                      <a:avLst/>
                    </a:prstGeom>
                  </pic:spPr>
                </pic:pic>
              </a:graphicData>
            </a:graphic>
          </wp:inline>
        </w:drawing>
      </w:r>
    </w:p>
    <w:p w14:paraId="6A1E4E8D" w14:textId="77777777" w:rsidR="00891079" w:rsidRDefault="00891079" w:rsidP="00C25693">
      <w:pPr>
        <w:sectPr w:rsidR="00891079" w:rsidSect="00C32344">
          <w:headerReference w:type="default" r:id="rId49"/>
          <w:pgSz w:w="12240" w:h="15840" w:code="1"/>
          <w:pgMar w:top="1440" w:right="1800" w:bottom="1440" w:left="1800" w:header="720" w:footer="720" w:gutter="0"/>
          <w:cols w:space="720"/>
          <w:docGrid w:linePitch="360"/>
        </w:sectPr>
      </w:pPr>
    </w:p>
    <w:p w14:paraId="27B8557C" w14:textId="77777777" w:rsidR="0097592F" w:rsidRPr="00C25693" w:rsidRDefault="003169BD" w:rsidP="001D1D4B">
      <w:pPr>
        <w:pStyle w:val="Heading1"/>
        <w:numPr>
          <w:ilvl w:val="0"/>
          <w:numId w:val="0"/>
        </w:numPr>
        <w:ind w:left="360" w:hanging="360"/>
      </w:pPr>
      <w:r>
        <w:rPr>
          <w:noProof/>
        </w:rPr>
        <w:lastRenderedPageBreak/>
        <w:drawing>
          <wp:inline distT="0" distB="0" distL="0" distR="0" wp14:anchorId="21E9B817" wp14:editId="1E481B0E">
            <wp:extent cx="6031613" cy="7039155"/>
            <wp:effectExtent l="19050" t="0" r="7237" b="0"/>
            <wp:docPr id="1" name="Picture 0" descr="Page 5-Section 3_Page_2-v2.0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5-Section 3_Page_2-v2.0_Page_2.jpg"/>
                    <pic:cNvPicPr/>
                  </pic:nvPicPr>
                  <pic:blipFill>
                    <a:blip r:embed="rId50" cstate="print"/>
                    <a:stretch>
                      <a:fillRect/>
                    </a:stretch>
                  </pic:blipFill>
                  <pic:spPr>
                    <a:xfrm>
                      <a:off x="0" y="0"/>
                      <a:ext cx="6035675" cy="7043896"/>
                    </a:xfrm>
                    <a:prstGeom prst="rect">
                      <a:avLst/>
                    </a:prstGeom>
                  </pic:spPr>
                </pic:pic>
              </a:graphicData>
            </a:graphic>
          </wp:inline>
        </w:drawing>
      </w:r>
    </w:p>
    <w:sectPr w:rsidR="0097592F" w:rsidRPr="00C25693" w:rsidSect="00ED0F12">
      <w:pgSz w:w="12240" w:h="15840"/>
      <w:pgMar w:top="1080" w:right="1394" w:bottom="1440" w:left="1341" w:header="840" w:footer="120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12314F" w14:textId="77777777" w:rsidR="000D513E" w:rsidRDefault="000D513E">
      <w:r>
        <w:separator/>
      </w:r>
    </w:p>
  </w:endnote>
  <w:endnote w:type="continuationSeparator" w:id="0">
    <w:p w14:paraId="41FC59CE" w14:textId="77777777" w:rsidR="000D513E" w:rsidRDefault="000D5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3CD9C" w14:textId="77777777" w:rsidR="000D513E" w:rsidRDefault="000D513E" w:rsidP="00C32344">
    <w:pPr>
      <w:pStyle w:val="Footer"/>
      <w:jc w:val="center"/>
    </w:pPr>
    <w:r>
      <w:pict w14:anchorId="6B8F3BAD">
        <v:rect id="_x0000_i1025" style="width:0;height:1.5pt" o:hralign="center" o:hrstd="t" o:hr="t" fillcolor="#aca899" stroked="f"/>
      </w:pict>
    </w:r>
  </w:p>
  <w:p w14:paraId="5903C81D" w14:textId="77777777" w:rsidR="000D513E" w:rsidRPr="00ED0F12" w:rsidRDefault="000D513E" w:rsidP="00ED0F12">
    <w:pPr>
      <w:pStyle w:val="Footer"/>
      <w:jc w:val="center"/>
    </w:pPr>
    <w:r w:rsidRPr="00ED0F12">
      <w:t>***OMB Submission***</w:t>
    </w:r>
  </w:p>
  <w:p w14:paraId="0120F6DA" w14:textId="77777777" w:rsidR="000D513E" w:rsidRPr="00ED0F12" w:rsidRDefault="000D513E" w:rsidP="00ED0F12">
    <w:pPr>
      <w:pStyle w:val="Footer"/>
      <w:jc w:val="center"/>
    </w:pPr>
    <w:r w:rsidRPr="00ED0F12">
      <w:t>OMB No. 2050-0086</w:t>
    </w:r>
  </w:p>
  <w:p w14:paraId="68AAB567" w14:textId="77777777" w:rsidR="000D513E" w:rsidRPr="000D0FEC" w:rsidRDefault="000D513E" w:rsidP="00ED0F12">
    <w:pPr>
      <w:pStyle w:val="Footer"/>
      <w:jc w:val="center"/>
      <w:rPr>
        <w:color w:val="FF0000"/>
      </w:rPr>
    </w:pPr>
    <w:r>
      <w:rPr>
        <w:color w:val="FF0000"/>
        <w:highlight w:val="yellow"/>
      </w:rPr>
      <w:t>April</w:t>
    </w:r>
    <w:r w:rsidRPr="000D0FEC">
      <w:rPr>
        <w:color w:val="FF0000"/>
        <w:highlight w:val="yellow"/>
      </w:rPr>
      <w:t xml:space="preserve"> 2015</w:t>
    </w:r>
  </w:p>
  <w:p w14:paraId="77FE10B3" w14:textId="77777777" w:rsidR="000D513E" w:rsidRDefault="000D513E" w:rsidP="00131773">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sidR="00B23DF0">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B23DF0">
      <w:rPr>
        <w:rStyle w:val="PageNumber"/>
        <w:noProof/>
      </w:rPr>
      <w:t>67</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AB395" w14:textId="77777777" w:rsidR="000D513E" w:rsidRDefault="000D513E" w:rsidP="00C32344">
    <w:pPr>
      <w:pStyle w:val="Footer"/>
      <w:jc w:val="center"/>
    </w:pPr>
    <w:r>
      <w:pict w14:anchorId="70F1456B">
        <v:rect id="_x0000_i1026" style="width:0;height:1.5pt" o:hralign="center" o:hrstd="t" o:hr="t" fillcolor="#aca899" stroked="f"/>
      </w:pict>
    </w:r>
  </w:p>
  <w:p w14:paraId="36481978" w14:textId="77777777" w:rsidR="000D513E" w:rsidRPr="00ED0F12" w:rsidRDefault="000D513E" w:rsidP="00ED0F12">
    <w:pPr>
      <w:pStyle w:val="Footer"/>
      <w:jc w:val="center"/>
    </w:pPr>
    <w:r w:rsidRPr="00ED0F12">
      <w:t>***OMB Submission***</w:t>
    </w:r>
  </w:p>
  <w:p w14:paraId="0705EF3B" w14:textId="77777777" w:rsidR="000D513E" w:rsidRPr="00ED0F12" w:rsidRDefault="000D513E" w:rsidP="00ED0F12">
    <w:pPr>
      <w:pStyle w:val="Footer"/>
      <w:jc w:val="center"/>
    </w:pPr>
    <w:r w:rsidRPr="00ED0F12">
      <w:t>OMB No. 2050-0086</w:t>
    </w:r>
  </w:p>
  <w:p w14:paraId="09B76DB9" w14:textId="77777777" w:rsidR="000D513E" w:rsidRPr="00DB3E93" w:rsidRDefault="000D513E" w:rsidP="00131773">
    <w:pPr>
      <w:pStyle w:val="Footer"/>
      <w:jc w:val="center"/>
      <w:rPr>
        <w:color w:val="FF0000"/>
      </w:rPr>
    </w:pPr>
    <w:r w:rsidRPr="00DB3E93">
      <w:rPr>
        <w:color w:val="FF0000"/>
      </w:rPr>
      <w:t>April 2015</w:t>
    </w:r>
  </w:p>
  <w:p w14:paraId="5CF90A07" w14:textId="77777777" w:rsidR="000D513E" w:rsidRDefault="000D513E" w:rsidP="00131773">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sidR="00B23DF0">
      <w:rPr>
        <w:rStyle w:val="PageNumber"/>
        <w:noProof/>
      </w:rPr>
      <w:t>4</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B23DF0">
      <w:rPr>
        <w:rStyle w:val="PageNumber"/>
        <w:noProof/>
      </w:rPr>
      <w:t>67</w:t>
    </w:r>
    <w:r>
      <w:rPr>
        <w:rStyle w:val="PageNumber"/>
      </w:rPr>
      <w:fldChar w:fldCharType="end"/>
    </w:r>
  </w:p>
  <w:p w14:paraId="590294BE" w14:textId="77777777" w:rsidR="000D513E" w:rsidRDefault="000D513E" w:rsidP="00131773">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23BC7" w14:textId="77777777" w:rsidR="000D513E" w:rsidRDefault="000D513E" w:rsidP="00C32344">
    <w:pPr>
      <w:pStyle w:val="Footer"/>
      <w:jc w:val="center"/>
    </w:pPr>
    <w:r>
      <w:pict w14:anchorId="73011786">
        <v:rect id="_x0000_i1027" style="width:0;height:1.5pt" o:hralign="center" o:hrstd="t" o:hr="t" fillcolor="#aca899" stroked="f"/>
      </w:pict>
    </w:r>
  </w:p>
  <w:p w14:paraId="2EBC26F9" w14:textId="77777777" w:rsidR="000D513E" w:rsidRDefault="000D513E" w:rsidP="00131773">
    <w:pPr>
      <w:pStyle w:val="Footer"/>
      <w:jc w:val="center"/>
    </w:pPr>
    <w:r>
      <w:t>***OMB Submission***</w:t>
    </w:r>
  </w:p>
  <w:p w14:paraId="032FE498" w14:textId="77777777" w:rsidR="000D513E" w:rsidRDefault="000D513E" w:rsidP="00131773">
    <w:pPr>
      <w:pStyle w:val="Footer"/>
      <w:jc w:val="center"/>
    </w:pPr>
    <w:r>
      <w:t>OMB No. 2050-0086</w:t>
    </w:r>
  </w:p>
  <w:p w14:paraId="5F614F4B" w14:textId="168F1A29" w:rsidR="000D513E" w:rsidRPr="001B3629" w:rsidRDefault="000D513E" w:rsidP="00131773">
    <w:pPr>
      <w:pStyle w:val="Footer"/>
      <w:jc w:val="center"/>
      <w:rPr>
        <w:color w:val="FF0000"/>
      </w:rPr>
    </w:pPr>
    <w:r w:rsidRPr="001B3629">
      <w:rPr>
        <w:color w:val="FF0000"/>
      </w:rPr>
      <w:t>April 2015</w:t>
    </w:r>
  </w:p>
  <w:p w14:paraId="332BD34E" w14:textId="77777777" w:rsidR="000D513E" w:rsidRDefault="000D513E" w:rsidP="00131773">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sidR="00B23DF0">
      <w:rPr>
        <w:rStyle w:val="PageNumber"/>
        <w:noProof/>
      </w:rPr>
      <w:t>47</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B23DF0">
      <w:rPr>
        <w:rStyle w:val="PageNumber"/>
        <w:noProof/>
      </w:rPr>
      <w:t>67</w:t>
    </w:r>
    <w:r>
      <w:rPr>
        <w:rStyle w:val="PageNumber"/>
      </w:rPr>
      <w:fldChar w:fldCharType="end"/>
    </w:r>
  </w:p>
  <w:p w14:paraId="335626C3" w14:textId="77777777" w:rsidR="000D513E" w:rsidRDefault="000D513E" w:rsidP="0013177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F82F18" w14:textId="77777777" w:rsidR="000D513E" w:rsidRDefault="000D513E">
      <w:r>
        <w:separator/>
      </w:r>
    </w:p>
  </w:footnote>
  <w:footnote w:type="continuationSeparator" w:id="0">
    <w:p w14:paraId="3061CCA1" w14:textId="77777777" w:rsidR="000D513E" w:rsidRDefault="000D513E">
      <w:r>
        <w:continuationSeparator/>
      </w:r>
    </w:p>
  </w:footnote>
  <w:footnote w:id="1">
    <w:p w14:paraId="516138D6" w14:textId="77777777" w:rsidR="000D513E" w:rsidRPr="008813A3" w:rsidRDefault="000D513E">
      <w:pPr>
        <w:pStyle w:val="FootnoteText"/>
        <w:rPr>
          <w:vertAlign w:val="subscript"/>
        </w:rPr>
      </w:pPr>
      <w:r w:rsidRPr="008813A3">
        <w:rPr>
          <w:rStyle w:val="FootnoteReference"/>
          <w:vertAlign w:val="superscript"/>
        </w:rPr>
        <w:footnoteRef/>
      </w:r>
      <w:r w:rsidRPr="008813A3">
        <w:rPr>
          <w:vertAlign w:val="superscript"/>
        </w:rPr>
        <w:t xml:space="preserve"> </w:t>
      </w:r>
      <w:r w:rsidRPr="00760ABB">
        <w:rPr>
          <w:vertAlign w:val="subscript"/>
        </w:rPr>
        <w:t xml:space="preserve">2050-0086 (EPA No. 1445.11) expires on June 30, 2015. The forms are contained in Attachment A to this document and also available at:  </w:t>
      </w:r>
      <w:hyperlink r:id="rId1" w:anchor="con" w:history="1">
        <w:r w:rsidRPr="0004089B">
          <w:rPr>
            <w:rStyle w:val="Hyperlink"/>
            <w:vertAlign w:val="subscript"/>
          </w:rPr>
          <w:t>www.epa.gov/emergencies/content/reporting/rqover.htm#con</w:t>
        </w:r>
      </w:hyperlink>
      <w:r w:rsidRPr="0004089B">
        <w:rPr>
          <w:vertAlign w:val="subscript"/>
        </w:rPr>
        <w:t>.</w:t>
      </w:r>
    </w:p>
  </w:footnote>
  <w:footnote w:id="2">
    <w:p w14:paraId="19CE5CC3" w14:textId="77777777" w:rsidR="000D513E" w:rsidRPr="004E45E8" w:rsidRDefault="000D513E" w:rsidP="0017595A">
      <w:pPr>
        <w:pStyle w:val="FootnoteText"/>
        <w:spacing w:after="240"/>
        <w:rPr>
          <w:u w:val="single"/>
        </w:rPr>
      </w:pPr>
      <w:r w:rsidRPr="001F3A52">
        <w:rPr>
          <w:rStyle w:val="FootnoteReference"/>
          <w:vertAlign w:val="superscript"/>
        </w:rPr>
        <w:footnoteRef/>
      </w:r>
      <w:r w:rsidRPr="001F3A52">
        <w:t>That data base is available at:</w:t>
      </w:r>
      <w:r w:rsidRPr="004E45E8">
        <w:t xml:space="preserve"> </w:t>
      </w:r>
      <w:hyperlink r:id="rId2" w:history="1">
        <w:r w:rsidRPr="0004089B">
          <w:rPr>
            <w:rStyle w:val="Hyperlink"/>
            <w:color w:val="auto"/>
          </w:rPr>
          <w:t>http://www.nrc.uscg.mil/</w:t>
        </w:r>
      </w:hyperlink>
    </w:p>
  </w:footnote>
  <w:footnote w:id="3">
    <w:p w14:paraId="04084E81" w14:textId="77777777" w:rsidR="000D513E" w:rsidRPr="008813A3" w:rsidRDefault="000D513E" w:rsidP="004C28F4">
      <w:pPr>
        <w:pStyle w:val="FootnoteText"/>
        <w:rPr>
          <w:vertAlign w:val="superscript"/>
        </w:rPr>
      </w:pPr>
      <w:r w:rsidRPr="008813A3">
        <w:rPr>
          <w:rStyle w:val="FootnoteReference"/>
          <w:vertAlign w:val="superscript"/>
        </w:rPr>
        <w:footnoteRef/>
      </w:r>
      <w:r>
        <w:t xml:space="preserve">The burden reduction is estimated to be </w:t>
      </w:r>
      <w:r w:rsidRPr="008813A3">
        <w:rPr>
          <w:i/>
        </w:rPr>
        <w:t>one hour/initial notification activity and information collection activity</w:t>
      </w:r>
      <w:r>
        <w:t xml:space="preserve"> which is why these numbers are the same as the paragraph above.</w:t>
      </w:r>
      <w:r w:rsidRPr="008813A3">
        <w:rPr>
          <w:vertAlign w:val="superscript"/>
        </w:rPr>
        <w:t xml:space="preserve"> </w:t>
      </w:r>
    </w:p>
  </w:footnote>
  <w:footnote w:id="4">
    <w:p w14:paraId="7242991F" w14:textId="6742E6E7" w:rsidR="000D513E" w:rsidRPr="00E27E17" w:rsidRDefault="000D513E" w:rsidP="00064F31">
      <w:pPr>
        <w:pStyle w:val="FootnoteText"/>
        <w:spacing w:after="240"/>
        <w:ind w:firstLine="720"/>
      </w:pPr>
      <w:r w:rsidRPr="001F3A52">
        <w:rPr>
          <w:rStyle w:val="FootnoteReference"/>
          <w:vertAlign w:val="superscript"/>
        </w:rPr>
        <w:footnoteRef/>
      </w:r>
      <w:r w:rsidRPr="001F3A52">
        <w:t xml:space="preserve"> </w:t>
      </w:r>
      <w:r w:rsidRPr="00E27E17">
        <w:t>Bureau of Labor Statistics’ news release dated, March 11, 2015, entitled, “Employer Costs for Employee Compensation - December 2014” listed hourly compensation (wages and salaries plus fringe benefits) rates for civilian managerial, technical, and clerical workers. Therefore the wage rates used in this ICR (1445.12) include salaries, fringe benefits, overhead costs and general and administrative costs as of December 2014.</w:t>
      </w:r>
    </w:p>
  </w:footnote>
  <w:footnote w:id="5">
    <w:p w14:paraId="7FF939A3" w14:textId="0876EF67" w:rsidR="000D513E" w:rsidRPr="005371BE" w:rsidRDefault="000D513E">
      <w:pPr>
        <w:pStyle w:val="FootnoteText"/>
      </w:pPr>
      <w:r w:rsidRPr="00E27E17">
        <w:rPr>
          <w:rStyle w:val="FootnoteReference"/>
          <w:vertAlign w:val="superscript"/>
        </w:rPr>
        <w:footnoteRef/>
      </w:r>
      <w:r w:rsidRPr="00E27E17">
        <w:rPr>
          <w:vertAlign w:val="superscript"/>
        </w:rPr>
        <w:t xml:space="preserve"> </w:t>
      </w:r>
      <w:r w:rsidRPr="00E27E17">
        <w:t>Postage includes $0.91 (3oz), certified $3.30, and return receipt $2.70.  Certified and return receipt are not required, however, we expect most respondents to incur these costs.</w:t>
      </w:r>
    </w:p>
  </w:footnote>
  <w:footnote w:id="6">
    <w:p w14:paraId="17251A54" w14:textId="77777777" w:rsidR="000D513E" w:rsidRPr="001F3A52" w:rsidRDefault="000D513E" w:rsidP="00351226">
      <w:pPr>
        <w:pStyle w:val="FootnoteText"/>
        <w:spacing w:after="240"/>
        <w:ind w:firstLine="720"/>
      </w:pPr>
      <w:r w:rsidRPr="001F3A52">
        <w:rPr>
          <w:rStyle w:val="FootnoteReference"/>
          <w:vertAlign w:val="superscript"/>
        </w:rPr>
        <w:footnoteRef/>
      </w:r>
      <w:r w:rsidRPr="001F3A52">
        <w:t xml:space="preserve"> Exhibit 8 does not include capital costs because there is no capital costs associated with implementing the regulations of the CRRR.</w:t>
      </w:r>
    </w:p>
  </w:footnote>
  <w:footnote w:id="7">
    <w:p w14:paraId="056FC297" w14:textId="77777777" w:rsidR="000D513E" w:rsidRPr="001D26B6" w:rsidRDefault="000D513E" w:rsidP="001D26B6">
      <w:pPr>
        <w:pStyle w:val="FootnoteText"/>
        <w:spacing w:after="240"/>
        <w:ind w:firstLine="720"/>
        <w:rPr>
          <w:color w:val="99CC00"/>
        </w:rPr>
      </w:pPr>
      <w:r w:rsidRPr="00B23DF0">
        <w:rPr>
          <w:rStyle w:val="FootnoteReference"/>
          <w:color w:val="008000"/>
          <w:vertAlign w:val="superscript"/>
        </w:rPr>
        <w:footnoteRef/>
      </w:r>
      <w:r w:rsidRPr="00B23DF0">
        <w:rPr>
          <w:color w:val="008000"/>
        </w:rPr>
        <w:t xml:space="preserve"> Exhibit 8 (With Forms) does not include capital costs because there is no capital costs associated with implementing the regulations of the CRRR.</w:t>
      </w:r>
    </w:p>
  </w:footnote>
  <w:footnote w:id="8">
    <w:p w14:paraId="2B88C591" w14:textId="389BF06A" w:rsidR="000D513E" w:rsidRPr="00E27E17" w:rsidRDefault="000D513E" w:rsidP="00305A08">
      <w:r w:rsidRPr="001F3A52">
        <w:rPr>
          <w:rStyle w:val="FootnoteReference"/>
          <w:vertAlign w:val="superscript"/>
        </w:rPr>
        <w:footnoteRef/>
      </w:r>
      <w:r w:rsidRPr="001F3A52">
        <w:t xml:space="preserve"> </w:t>
      </w:r>
      <w:r w:rsidRPr="00E27E17">
        <w:rPr>
          <w:sz w:val="20"/>
          <w:szCs w:val="20"/>
        </w:rPr>
        <w:t>This hourly wage estimate was calculated by summing the basic hourly wage rate for a GS-12 step 1 government employee in 2015 ($29.46) and the hourly monetary value of the representative employee’s fringe benefits (assumed to be the basic hourly wage rate multiplied by 60 percent).</w:t>
      </w:r>
    </w:p>
  </w:footnote>
  <w:footnote w:id="9">
    <w:p w14:paraId="391013AF" w14:textId="70FB836B" w:rsidR="000D513E" w:rsidRPr="00DF520F" w:rsidRDefault="000D513E" w:rsidP="006D44BD">
      <w:pPr>
        <w:rPr>
          <w:sz w:val="20"/>
          <w:szCs w:val="20"/>
        </w:rPr>
      </w:pPr>
      <w:r w:rsidRPr="00021317">
        <w:rPr>
          <w:rStyle w:val="FootnoteReference"/>
          <w:vertAlign w:val="superscript"/>
        </w:rPr>
        <w:footnoteRef/>
      </w:r>
      <w:r w:rsidRPr="00DF520F">
        <w:rPr>
          <w:sz w:val="20"/>
          <w:szCs w:val="20"/>
        </w:rPr>
        <w:t>80</w:t>
      </w:r>
      <w:r w:rsidRPr="00DF520F">
        <w:t xml:space="preserve"> hrs/facility is further broken out to </w:t>
      </w:r>
      <w:r w:rsidRPr="00DF520F">
        <w:rPr>
          <w:sz w:val="20"/>
          <w:szCs w:val="20"/>
        </w:rPr>
        <w:t>48</w:t>
      </w:r>
      <w:r w:rsidRPr="00DF520F">
        <w:t xml:space="preserve"> hours for reporting  (</w:t>
      </w:r>
      <w:r w:rsidRPr="00DF520F">
        <w:rPr>
          <w:sz w:val="20"/>
          <w:szCs w:val="20"/>
        </w:rPr>
        <w:t>196,124</w:t>
      </w:r>
      <w:r w:rsidRPr="00DF520F">
        <w:t xml:space="preserve"> reporting burden hours/</w:t>
      </w:r>
      <w:r w:rsidRPr="00DF520F">
        <w:rPr>
          <w:sz w:val="20"/>
          <w:szCs w:val="20"/>
        </w:rPr>
        <w:t>4,046</w:t>
      </w:r>
      <w:r w:rsidRPr="00DF520F">
        <w:t xml:space="preserve"> affected facilities) and </w:t>
      </w:r>
      <w:r w:rsidRPr="00DF520F">
        <w:rPr>
          <w:sz w:val="20"/>
          <w:szCs w:val="20"/>
        </w:rPr>
        <w:t>32</w:t>
      </w:r>
      <w:r w:rsidRPr="00DF520F">
        <w:t xml:space="preserve"> hours for record keeping (</w:t>
      </w:r>
      <w:r w:rsidRPr="00DF520F">
        <w:rPr>
          <w:sz w:val="20"/>
          <w:szCs w:val="20"/>
        </w:rPr>
        <w:t>129,458</w:t>
      </w:r>
      <w:r w:rsidRPr="00DF520F">
        <w:t xml:space="preserve"> record keeping hours/</w:t>
      </w:r>
      <w:r w:rsidRPr="00DF520F">
        <w:rPr>
          <w:sz w:val="20"/>
          <w:szCs w:val="20"/>
        </w:rPr>
        <w:t>4,046</w:t>
      </w:r>
      <w:r w:rsidRPr="00DF520F">
        <w:t xml:space="preserve"> affected facilities)</w:t>
      </w:r>
    </w:p>
  </w:footnote>
  <w:footnote w:id="10">
    <w:p w14:paraId="38CFE968" w14:textId="671FBF44" w:rsidR="000D513E" w:rsidRPr="00DF520F" w:rsidRDefault="000D513E" w:rsidP="006D44BD">
      <w:pPr>
        <w:rPr>
          <w:sz w:val="20"/>
          <w:szCs w:val="20"/>
        </w:rPr>
      </w:pPr>
      <w:r w:rsidRPr="00DF520F">
        <w:rPr>
          <w:rStyle w:val="FootnoteReference"/>
          <w:vertAlign w:val="superscript"/>
        </w:rPr>
        <w:footnoteRef/>
      </w:r>
      <w:r w:rsidRPr="00DF520F">
        <w:rPr>
          <w:vertAlign w:val="superscript"/>
        </w:rPr>
        <w:t xml:space="preserve"> </w:t>
      </w:r>
      <w:r w:rsidRPr="00DF520F">
        <w:rPr>
          <w:sz w:val="20"/>
          <w:szCs w:val="20"/>
        </w:rPr>
        <w:t>6.1</w:t>
      </w:r>
      <w:r w:rsidRPr="00DF520F">
        <w:t xml:space="preserve"> hours for reporting and </w:t>
      </w:r>
      <w:r w:rsidRPr="00DF520F">
        <w:rPr>
          <w:sz w:val="20"/>
          <w:szCs w:val="20"/>
        </w:rPr>
        <w:t>4.0</w:t>
      </w:r>
      <w:r w:rsidRPr="00DF520F">
        <w:t xml:space="preserve"> for record keeping.</w:t>
      </w:r>
    </w:p>
  </w:footnote>
  <w:footnote w:id="11">
    <w:p w14:paraId="203AA37E" w14:textId="77777777" w:rsidR="000D513E" w:rsidRPr="00DF520F" w:rsidRDefault="000D513E" w:rsidP="00BA60AF">
      <w:pPr>
        <w:rPr>
          <w:sz w:val="20"/>
          <w:szCs w:val="20"/>
        </w:rPr>
      </w:pPr>
      <w:r w:rsidRPr="00D96E37">
        <w:rPr>
          <w:rStyle w:val="FootnoteReference"/>
          <w:color w:val="92D050"/>
          <w:sz w:val="20"/>
          <w:vertAlign w:val="superscript"/>
        </w:rPr>
        <w:footnoteRef/>
      </w:r>
      <w:r w:rsidRPr="00D96E37">
        <w:rPr>
          <w:sz w:val="20"/>
          <w:vertAlign w:val="superscript"/>
        </w:rPr>
        <w:t xml:space="preserve"> </w:t>
      </w:r>
      <w:r w:rsidRPr="00DF520F">
        <w:rPr>
          <w:sz w:val="20"/>
          <w:szCs w:val="20"/>
        </w:rPr>
        <w:t xml:space="preserve">80 </w:t>
      </w:r>
      <w:r w:rsidRPr="00DF520F">
        <w:t xml:space="preserve">hrs/facility is further broken out to </w:t>
      </w:r>
      <w:r w:rsidRPr="00DF520F">
        <w:rPr>
          <w:sz w:val="20"/>
          <w:szCs w:val="20"/>
        </w:rPr>
        <w:t xml:space="preserve">48 </w:t>
      </w:r>
      <w:r w:rsidRPr="00DF520F">
        <w:t>hours for reporting (</w:t>
      </w:r>
      <w:r w:rsidRPr="00DF520F">
        <w:rPr>
          <w:sz w:val="20"/>
          <w:szCs w:val="20"/>
        </w:rPr>
        <w:t xml:space="preserve">196,068 </w:t>
      </w:r>
      <w:r w:rsidRPr="00DF520F">
        <w:t>reporting burden hours/</w:t>
      </w:r>
      <w:r w:rsidRPr="00DF520F">
        <w:rPr>
          <w:sz w:val="20"/>
          <w:szCs w:val="20"/>
        </w:rPr>
        <w:t xml:space="preserve">4,046 </w:t>
      </w:r>
      <w:r w:rsidRPr="00DF520F">
        <w:t xml:space="preserve">affected facilities) and </w:t>
      </w:r>
      <w:r w:rsidRPr="00DF520F">
        <w:rPr>
          <w:sz w:val="20"/>
          <w:szCs w:val="20"/>
        </w:rPr>
        <w:t>32</w:t>
      </w:r>
      <w:r w:rsidRPr="00DF520F">
        <w:t xml:space="preserve"> hours for record keeping (</w:t>
      </w:r>
      <w:r w:rsidRPr="00DF520F">
        <w:rPr>
          <w:sz w:val="20"/>
          <w:szCs w:val="20"/>
        </w:rPr>
        <w:t xml:space="preserve">129,458 </w:t>
      </w:r>
      <w:r w:rsidRPr="00DF520F">
        <w:t>record keeping hours/</w:t>
      </w:r>
      <w:r w:rsidRPr="00DF520F">
        <w:rPr>
          <w:sz w:val="20"/>
          <w:szCs w:val="20"/>
        </w:rPr>
        <w:t>4,046</w:t>
      </w:r>
      <w:r w:rsidRPr="00DF520F">
        <w:t xml:space="preserve"> affected facilities).</w:t>
      </w:r>
    </w:p>
  </w:footnote>
  <w:footnote w:id="12">
    <w:p w14:paraId="049EE74D" w14:textId="77777777" w:rsidR="000D513E" w:rsidRPr="00DF520F" w:rsidRDefault="000D513E" w:rsidP="00BA60AF">
      <w:pPr>
        <w:rPr>
          <w:sz w:val="20"/>
          <w:szCs w:val="20"/>
        </w:rPr>
      </w:pPr>
      <w:r w:rsidRPr="00DF520F">
        <w:rPr>
          <w:rStyle w:val="FootnoteReference"/>
          <w:sz w:val="20"/>
          <w:vertAlign w:val="superscript"/>
        </w:rPr>
        <w:footnoteRef/>
      </w:r>
      <w:r w:rsidRPr="00DF520F">
        <w:t xml:space="preserve"> </w:t>
      </w:r>
      <w:r w:rsidRPr="00DF520F">
        <w:rPr>
          <w:sz w:val="20"/>
          <w:szCs w:val="20"/>
        </w:rPr>
        <w:t>6.1</w:t>
      </w:r>
      <w:r w:rsidRPr="00DF520F">
        <w:t xml:space="preserve"> hours for reporting and </w:t>
      </w:r>
      <w:r w:rsidRPr="00DF520F">
        <w:rPr>
          <w:sz w:val="20"/>
          <w:szCs w:val="20"/>
        </w:rPr>
        <w:t>4.0</w:t>
      </w:r>
      <w:r w:rsidRPr="00DF520F">
        <w:t xml:space="preserve"> for record keeping.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4D225" w14:textId="77777777" w:rsidR="000D513E" w:rsidRPr="00760ABB" w:rsidRDefault="000D513E" w:rsidP="00D239A7">
    <w:pPr>
      <w:pStyle w:val="Header"/>
      <w:jc w:val="right"/>
    </w:pPr>
    <w:r w:rsidRPr="00760ABB">
      <w:t>EPA-HQ-SFUND-2015-0100</w:t>
    </w:r>
  </w:p>
  <w:p w14:paraId="70CEA397" w14:textId="77777777" w:rsidR="000D513E" w:rsidRPr="00D239A7" w:rsidRDefault="000D513E" w:rsidP="00D239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6E367" w14:textId="08037CAF" w:rsidR="000D513E" w:rsidRDefault="000D513E" w:rsidP="00C32344">
    <w:pPr>
      <w:pStyle w:val="Header"/>
      <w:jc w:val="right"/>
    </w:pPr>
    <w:r>
      <w:t>EPA-HQ-SFUND-2015-0100</w:t>
    </w:r>
  </w:p>
  <w:p w14:paraId="06EECD4C" w14:textId="77777777" w:rsidR="000D513E" w:rsidRDefault="000D513E" w:rsidP="001D1D4B">
    <w:pPr>
      <w:pStyle w:val="Header"/>
      <w:jc w:val="center"/>
    </w:pPr>
    <w:r>
      <w:t>APPENDIX A</w:t>
    </w:r>
  </w:p>
  <w:p w14:paraId="12469F39" w14:textId="77777777" w:rsidR="000D513E" w:rsidRDefault="000D513E" w:rsidP="001D1D4B">
    <w:pPr>
      <w:pStyle w:val="Header"/>
      <w:jc w:val="center"/>
    </w:pPr>
    <w:r>
      <w:pict w14:anchorId="0BF0610D">
        <v:rect id="_x0000_i1031" style="width:0;height:1.5pt" o:hralign="center" o:hrstd="t" o:hr="t" fillcolor="#aca899"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957A10" w14:textId="1EB7EFC5" w:rsidR="000D513E" w:rsidRDefault="000D513E" w:rsidP="00C32344">
    <w:pPr>
      <w:pStyle w:val="Header"/>
      <w:jc w:val="right"/>
    </w:pPr>
    <w:r>
      <w:t>EPA-HQ-SFUND-2015-0100</w:t>
    </w:r>
  </w:p>
  <w:p w14:paraId="367884FD" w14:textId="77777777" w:rsidR="000D513E" w:rsidRDefault="000D513E" w:rsidP="001D1D4B">
    <w:pPr>
      <w:pStyle w:val="Header"/>
      <w:jc w:val="center"/>
    </w:pPr>
    <w:r>
      <w:t>ATTACHMENT A – Continuous Release Reporting Forms</w:t>
    </w:r>
  </w:p>
  <w:p w14:paraId="4892BB32" w14:textId="77777777" w:rsidR="000D513E" w:rsidRDefault="000D513E" w:rsidP="001D1D4B">
    <w:pPr>
      <w:pStyle w:val="Header"/>
      <w:jc w:val="center"/>
    </w:pPr>
    <w:r>
      <w:pict w14:anchorId="1FC7DC75">
        <v:rect id="_x0000_i1032" style="width:0;height:1.5pt" o:hralign="center" o:hrstd="t" o:hr="t" fillcolor="#aca899"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7"/>
    <w:multiLevelType w:val="multilevel"/>
    <w:tmpl w:val="429EF380"/>
    <w:lvl w:ilvl="0">
      <w:start w:val="1"/>
      <w:numFmt w:val="decimal"/>
      <w:lvlText w:val="(%1)"/>
      <w:lvlJc w:val="left"/>
      <w:pPr>
        <w:tabs>
          <w:tab w:val="num" w:pos="1440"/>
        </w:tabs>
        <w:ind w:left="1440" w:hanging="720"/>
      </w:pPr>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61A4CD0"/>
    <w:multiLevelType w:val="hybridMultilevel"/>
    <w:tmpl w:val="3DBCB7AE"/>
    <w:lvl w:ilvl="0" w:tplc="BAD643EC">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0B5AEA"/>
    <w:multiLevelType w:val="multilevel"/>
    <w:tmpl w:val="572E051E"/>
    <w:lvl w:ilvl="0">
      <w:start w:val="2"/>
      <w:numFmt w:val="upperRoman"/>
      <w:lvlText w:val="%1."/>
      <w:lvlJc w:val="left"/>
      <w:pPr>
        <w:tabs>
          <w:tab w:val="num" w:pos="1080"/>
        </w:tabs>
        <w:ind w:left="1080" w:hanging="720"/>
      </w:pPr>
      <w:rPr>
        <w:rFonts w:hint="default"/>
      </w:rPr>
    </w:lvl>
    <w:lvl w:ilvl="1">
      <w:start w:val="1"/>
      <w:numFmt w:val="decimal"/>
      <w:lvlText w:val="%2."/>
      <w:lvlJc w:val="left"/>
      <w:pPr>
        <w:tabs>
          <w:tab w:val="num" w:pos="1440"/>
        </w:tabs>
        <w:ind w:left="1440" w:hanging="360"/>
      </w:pPr>
      <w:rPr>
        <w:rFonts w:hint="default"/>
      </w:rPr>
    </w:lvl>
    <w:lvl w:ilvl="2">
      <w:start w:val="1"/>
      <w:numFmt w:val="upp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DBB669F"/>
    <w:multiLevelType w:val="multilevel"/>
    <w:tmpl w:val="217ACAA2"/>
    <w:lvl w:ilvl="0">
      <w:start w:val="1"/>
      <w:numFmt w:val="decimal"/>
      <w:lvlText w:val="%1."/>
      <w:lvlJc w:val="left"/>
      <w:pPr>
        <w:tabs>
          <w:tab w:val="num" w:pos="360"/>
        </w:tabs>
        <w:ind w:left="72" w:hanging="72"/>
      </w:pPr>
      <w:rPr>
        <w:rFonts w:hint="default"/>
      </w:rPr>
    </w:lvl>
    <w:lvl w:ilvl="1">
      <w:start w:val="1"/>
      <w:numFmt w:val="lowerLetter"/>
      <w:lvlText w:val="%1%2."/>
      <w:lvlJc w:val="left"/>
      <w:pPr>
        <w:tabs>
          <w:tab w:val="num" w:pos="1080"/>
        </w:tabs>
        <w:ind w:left="792" w:hanging="72"/>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800"/>
        </w:tabs>
        <w:ind w:left="1512" w:hanging="72"/>
      </w:pPr>
      <w:rPr>
        <w:rFonts w:ascii="Times New Roman" w:hAnsi="Times New Roman" w:hint="default"/>
        <w:b w:val="0"/>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
    <w:nsid w:val="13247151"/>
    <w:multiLevelType w:val="multilevel"/>
    <w:tmpl w:val="80141224"/>
    <w:lvl w:ilvl="0">
      <w:start w:val="1"/>
      <w:numFmt w:val="decimal"/>
      <w:lvlText w:val="%1."/>
      <w:lvlJc w:val="left"/>
      <w:pPr>
        <w:tabs>
          <w:tab w:val="num" w:pos="360"/>
        </w:tabs>
        <w:ind w:left="72" w:hanging="72"/>
      </w:pPr>
      <w:rPr>
        <w:rFonts w:hint="default"/>
      </w:rPr>
    </w:lvl>
    <w:lvl w:ilvl="1">
      <w:start w:val="1"/>
      <w:numFmt w:val="lowerLetter"/>
      <w:lvlText w:val="%1%2."/>
      <w:lvlJc w:val="left"/>
      <w:pPr>
        <w:tabs>
          <w:tab w:val="num" w:pos="1080"/>
        </w:tabs>
        <w:ind w:left="792" w:hanging="72"/>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800"/>
        </w:tabs>
        <w:ind w:left="1512" w:hanging="72"/>
      </w:pPr>
      <w:rPr>
        <w:rFonts w:ascii="Times New Roman" w:hAnsi="Times New Roman" w:hint="default"/>
        <w:b w:val="0"/>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
    <w:nsid w:val="17177AB0"/>
    <w:multiLevelType w:val="hybridMultilevel"/>
    <w:tmpl w:val="A6D6D54C"/>
    <w:lvl w:ilvl="0" w:tplc="47B2009A">
      <w:start w:val="1"/>
      <w:numFmt w:val="lowerRoman"/>
      <w:lvlText w:val="%1."/>
      <w:lvlJc w:val="right"/>
      <w:pPr>
        <w:tabs>
          <w:tab w:val="num" w:pos="1800"/>
        </w:tabs>
        <w:ind w:left="1800" w:hanging="180"/>
      </w:pPr>
      <w:rPr>
        <w:rFonts w:hint="default"/>
      </w:r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6">
    <w:nsid w:val="18942A84"/>
    <w:multiLevelType w:val="multilevel"/>
    <w:tmpl w:val="A2F62D42"/>
    <w:lvl w:ilvl="0">
      <w:start w:val="1"/>
      <w:numFmt w:val="decimal"/>
      <w:lvlText w:val="%1)"/>
      <w:lvlJc w:val="right"/>
      <w:pPr>
        <w:tabs>
          <w:tab w:val="num" w:pos="1800"/>
        </w:tabs>
        <w:ind w:left="1800" w:hanging="180"/>
      </w:pPr>
      <w:rPr>
        <w:rFonts w:hint="default"/>
      </w:rPr>
    </w:lvl>
    <w:lvl w:ilvl="1">
      <w:start w:val="1"/>
      <w:numFmt w:val="lowerLetter"/>
      <w:lvlText w:val="%2."/>
      <w:lvlJc w:val="left"/>
      <w:pPr>
        <w:tabs>
          <w:tab w:val="num" w:pos="2700"/>
        </w:tabs>
        <w:ind w:left="2700" w:hanging="360"/>
      </w:pPr>
    </w:lvl>
    <w:lvl w:ilvl="2">
      <w:start w:val="1"/>
      <w:numFmt w:val="lowerRoman"/>
      <w:lvlText w:val="%3."/>
      <w:lvlJc w:val="right"/>
      <w:pPr>
        <w:tabs>
          <w:tab w:val="num" w:pos="3420"/>
        </w:tabs>
        <w:ind w:left="3420" w:hanging="180"/>
      </w:pPr>
    </w:lvl>
    <w:lvl w:ilvl="3">
      <w:start w:val="1"/>
      <w:numFmt w:val="decimal"/>
      <w:lvlText w:val="%4."/>
      <w:lvlJc w:val="left"/>
      <w:pPr>
        <w:tabs>
          <w:tab w:val="num" w:pos="4140"/>
        </w:tabs>
        <w:ind w:left="4140" w:hanging="360"/>
      </w:pPr>
    </w:lvl>
    <w:lvl w:ilvl="4">
      <w:start w:val="1"/>
      <w:numFmt w:val="lowerLetter"/>
      <w:lvlText w:val="%5."/>
      <w:lvlJc w:val="left"/>
      <w:pPr>
        <w:tabs>
          <w:tab w:val="num" w:pos="4860"/>
        </w:tabs>
        <w:ind w:left="4860" w:hanging="360"/>
      </w:pPr>
    </w:lvl>
    <w:lvl w:ilvl="5">
      <w:start w:val="1"/>
      <w:numFmt w:val="lowerRoman"/>
      <w:lvlText w:val="%6."/>
      <w:lvlJc w:val="right"/>
      <w:pPr>
        <w:tabs>
          <w:tab w:val="num" w:pos="5580"/>
        </w:tabs>
        <w:ind w:left="5580" w:hanging="180"/>
      </w:pPr>
    </w:lvl>
    <w:lvl w:ilvl="6">
      <w:start w:val="1"/>
      <w:numFmt w:val="decimal"/>
      <w:lvlText w:val="%7."/>
      <w:lvlJc w:val="left"/>
      <w:pPr>
        <w:tabs>
          <w:tab w:val="num" w:pos="6300"/>
        </w:tabs>
        <w:ind w:left="6300" w:hanging="360"/>
      </w:pPr>
    </w:lvl>
    <w:lvl w:ilvl="7">
      <w:start w:val="1"/>
      <w:numFmt w:val="lowerLetter"/>
      <w:lvlText w:val="%8."/>
      <w:lvlJc w:val="left"/>
      <w:pPr>
        <w:tabs>
          <w:tab w:val="num" w:pos="7020"/>
        </w:tabs>
        <w:ind w:left="7020" w:hanging="360"/>
      </w:pPr>
    </w:lvl>
    <w:lvl w:ilvl="8">
      <w:start w:val="1"/>
      <w:numFmt w:val="lowerRoman"/>
      <w:lvlText w:val="%9."/>
      <w:lvlJc w:val="right"/>
      <w:pPr>
        <w:tabs>
          <w:tab w:val="num" w:pos="7740"/>
        </w:tabs>
        <w:ind w:left="7740" w:hanging="180"/>
      </w:pPr>
    </w:lvl>
  </w:abstractNum>
  <w:abstractNum w:abstractNumId="7">
    <w:nsid w:val="1BBA68EE"/>
    <w:multiLevelType w:val="hybridMultilevel"/>
    <w:tmpl w:val="572E051E"/>
    <w:lvl w:ilvl="0" w:tplc="47527FB6">
      <w:start w:val="2"/>
      <w:numFmt w:val="upperRoman"/>
      <w:lvlText w:val="%1."/>
      <w:lvlJc w:val="left"/>
      <w:pPr>
        <w:tabs>
          <w:tab w:val="num" w:pos="1080"/>
        </w:tabs>
        <w:ind w:left="1080" w:hanging="720"/>
      </w:pPr>
      <w:rPr>
        <w:rFonts w:hint="default"/>
      </w:rPr>
    </w:lvl>
    <w:lvl w:ilvl="1" w:tplc="0409000F">
      <w:start w:val="1"/>
      <w:numFmt w:val="decimal"/>
      <w:lvlText w:val="%2."/>
      <w:lvlJc w:val="left"/>
      <w:pPr>
        <w:tabs>
          <w:tab w:val="num" w:pos="1440"/>
        </w:tabs>
        <w:ind w:left="1440" w:hanging="360"/>
      </w:pPr>
      <w:rPr>
        <w:rFonts w:hint="default"/>
      </w:rPr>
    </w:lvl>
    <w:lvl w:ilvl="2" w:tplc="B33C75B8">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6345337"/>
    <w:multiLevelType w:val="multilevel"/>
    <w:tmpl w:val="5A586DE6"/>
    <w:lvl w:ilvl="0">
      <w:start w:val="1"/>
      <w:numFmt w:val="decimal"/>
      <w:lvlText w:val="%1."/>
      <w:lvlJc w:val="left"/>
      <w:pPr>
        <w:tabs>
          <w:tab w:val="num" w:pos="360"/>
        </w:tabs>
        <w:ind w:left="72" w:hanging="72"/>
      </w:pPr>
      <w:rPr>
        <w:rFonts w:hint="default"/>
      </w:rPr>
    </w:lvl>
    <w:lvl w:ilvl="1">
      <w:start w:val="1"/>
      <w:numFmt w:val="lowerLetter"/>
      <w:lvlText w:val="%1%2."/>
      <w:lvlJc w:val="left"/>
      <w:pPr>
        <w:tabs>
          <w:tab w:val="num" w:pos="1080"/>
        </w:tabs>
        <w:ind w:left="792" w:hanging="7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800"/>
        </w:tabs>
        <w:ind w:left="1512" w:hanging="72"/>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9">
    <w:nsid w:val="2B2E392E"/>
    <w:multiLevelType w:val="multilevel"/>
    <w:tmpl w:val="1B142E9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DE264CA"/>
    <w:multiLevelType w:val="multilevel"/>
    <w:tmpl w:val="9CE21624"/>
    <w:lvl w:ilvl="0">
      <w:start w:val="1"/>
      <w:numFmt w:val="none"/>
      <w:lvlText w:val="7a."/>
      <w:lvlJc w:val="left"/>
      <w:pPr>
        <w:tabs>
          <w:tab w:val="num" w:pos="1080"/>
        </w:tabs>
        <w:ind w:left="1080" w:hanging="720"/>
      </w:pPr>
      <w:rPr>
        <w:rFonts w:ascii="Times New Roman" w:hAnsi="Times New Roman" w:hint="default"/>
        <w:b w:val="0"/>
        <w:i w:val="0"/>
        <w:color w:val="33CC33"/>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3047518A"/>
    <w:multiLevelType w:val="multilevel"/>
    <w:tmpl w:val="3DBCB7AE"/>
    <w:lvl w:ilvl="0">
      <w:start w:val="1"/>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33050DAE"/>
    <w:multiLevelType w:val="multilevel"/>
    <w:tmpl w:val="47026720"/>
    <w:lvl w:ilvl="0">
      <w:start w:val="1"/>
      <w:numFmt w:val="decimal"/>
      <w:pStyle w:val="Heading1"/>
      <w:lvlText w:val="%1."/>
      <w:lvlJc w:val="left"/>
      <w:pPr>
        <w:tabs>
          <w:tab w:val="num" w:pos="360"/>
        </w:tabs>
        <w:ind w:left="360" w:hanging="360"/>
      </w:pPr>
      <w:rPr>
        <w:rFonts w:hint="default"/>
      </w:rPr>
    </w:lvl>
    <w:lvl w:ilvl="1">
      <w:start w:val="1"/>
      <w:numFmt w:val="lowerLetter"/>
      <w:pStyle w:val="Heading2"/>
      <w:lvlText w:val="%1%2."/>
      <w:lvlJc w:val="left"/>
      <w:pPr>
        <w:tabs>
          <w:tab w:val="num" w:pos="1080"/>
        </w:tabs>
        <w:ind w:left="108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Heading3"/>
      <w:lvlText w:val="%3."/>
      <w:lvlJc w:val="left"/>
      <w:pPr>
        <w:tabs>
          <w:tab w:val="num" w:pos="1800"/>
        </w:tabs>
        <w:ind w:left="1512" w:hanging="72"/>
      </w:pPr>
      <w:rPr>
        <w:rFonts w:ascii="Times New Roman" w:hAnsi="Times New Roman" w:hint="default"/>
        <w:b w:val="0"/>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pStyle w:val="Heading4"/>
      <w:lvlText w:val="%4)"/>
      <w:lvlJc w:val="left"/>
      <w:pPr>
        <w:tabs>
          <w:tab w:val="num" w:pos="2520"/>
        </w:tabs>
        <w:ind w:left="2160" w:firstLine="0"/>
      </w:pPr>
      <w:rPr>
        <w:rFonts w:ascii="Times New Roman" w:hAnsi="Times New Roman" w:hint="default"/>
        <w:b w:val="0"/>
        <w:i w:val="0"/>
        <w:sz w:val="24"/>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13">
    <w:nsid w:val="346C4386"/>
    <w:multiLevelType w:val="multilevel"/>
    <w:tmpl w:val="131EA9E4"/>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3AD9592F"/>
    <w:multiLevelType w:val="multilevel"/>
    <w:tmpl w:val="4DC61438"/>
    <w:lvl w:ilvl="0">
      <w:start w:val="1"/>
      <w:numFmt w:val="decimal"/>
      <w:lvlText w:val="%1."/>
      <w:lvlJc w:val="left"/>
      <w:pPr>
        <w:tabs>
          <w:tab w:val="num" w:pos="360"/>
        </w:tabs>
        <w:ind w:left="360" w:hanging="360"/>
      </w:pPr>
      <w:rPr>
        <w:rFonts w:hint="default"/>
      </w:rPr>
    </w:lvl>
    <w:lvl w:ilvl="1">
      <w:start w:val="1"/>
      <w:numFmt w:val="lowerLetter"/>
      <w:lvlText w:val="%1%2."/>
      <w:lvlJc w:val="left"/>
      <w:pPr>
        <w:tabs>
          <w:tab w:val="num" w:pos="1080"/>
        </w:tabs>
        <w:ind w:left="792" w:hanging="72"/>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800"/>
        </w:tabs>
        <w:ind w:left="1512" w:hanging="72"/>
      </w:pPr>
      <w:rPr>
        <w:rFonts w:ascii="Times New Roman" w:hAnsi="Times New Roman" w:hint="default"/>
        <w:b w:val="0"/>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5">
    <w:nsid w:val="4A166B08"/>
    <w:multiLevelType w:val="multilevel"/>
    <w:tmpl w:val="D6C03568"/>
    <w:lvl w:ilvl="0">
      <w:start w:val="1"/>
      <w:numFmt w:val="decimal"/>
      <w:lvlText w:val="%1."/>
      <w:lvlJc w:val="left"/>
      <w:pPr>
        <w:tabs>
          <w:tab w:val="num" w:pos="360"/>
        </w:tabs>
        <w:ind w:left="0" w:firstLine="0"/>
      </w:pPr>
      <w:rPr>
        <w:rFonts w:hint="default"/>
      </w:rPr>
    </w:lvl>
    <w:lvl w:ilvl="1">
      <w:start w:val="1"/>
      <w:numFmt w:val="lowerLetter"/>
      <w:lvlText w:val="%1%2."/>
      <w:lvlJc w:val="left"/>
      <w:pPr>
        <w:tabs>
          <w:tab w:val="num" w:pos="1080"/>
        </w:tabs>
        <w:ind w:left="720" w:firstLine="0"/>
      </w:pPr>
      <w:rPr>
        <w:rFonts w:hint="default"/>
      </w:rPr>
    </w:lvl>
    <w:lvl w:ilvl="2">
      <w:start w:val="1"/>
      <w:numFmt w:val="lowerRoman"/>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6">
    <w:nsid w:val="4ABC5FF2"/>
    <w:multiLevelType w:val="multilevel"/>
    <w:tmpl w:val="524E006C"/>
    <w:lvl w:ilvl="0">
      <w:start w:val="1"/>
      <w:numFmt w:val="decimal"/>
      <w:lvlText w:val="%1."/>
      <w:lvlJc w:val="left"/>
      <w:pPr>
        <w:tabs>
          <w:tab w:val="num" w:pos="360"/>
        </w:tabs>
        <w:ind w:left="360" w:hanging="360"/>
      </w:pPr>
      <w:rPr>
        <w:rFonts w:hint="default"/>
      </w:rPr>
    </w:lvl>
    <w:lvl w:ilvl="1">
      <w:start w:val="1"/>
      <w:numFmt w:val="lowerLetter"/>
      <w:lvlText w:val="%1%2."/>
      <w:lvlJc w:val="left"/>
      <w:pPr>
        <w:tabs>
          <w:tab w:val="num" w:pos="1080"/>
        </w:tabs>
        <w:ind w:left="108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800"/>
        </w:tabs>
        <w:ind w:left="1512" w:hanging="72"/>
      </w:pPr>
      <w:rPr>
        <w:rFonts w:ascii="Times New Roman" w:hAnsi="Times New Roman" w:hint="default"/>
        <w:b w:val="0"/>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2520"/>
        </w:tabs>
        <w:ind w:left="2160" w:firstLine="0"/>
      </w:pPr>
      <w:rPr>
        <w:rFonts w:ascii="Times New Roman" w:hAnsi="Times New Roman" w:hint="default"/>
        <w:b w:val="0"/>
        <w:i w:val="0"/>
        <w:sz w:val="24"/>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7">
    <w:nsid w:val="4ACF2107"/>
    <w:multiLevelType w:val="multilevel"/>
    <w:tmpl w:val="78ACEE5A"/>
    <w:lvl w:ilvl="0">
      <w:start w:val="1"/>
      <w:numFmt w:val="decimal"/>
      <w:lvlText w:val="%1."/>
      <w:lvlJc w:val="left"/>
      <w:pPr>
        <w:tabs>
          <w:tab w:val="num" w:pos="360"/>
        </w:tabs>
        <w:ind w:left="72" w:hanging="72"/>
      </w:pPr>
      <w:rPr>
        <w:rFonts w:hint="default"/>
      </w:rPr>
    </w:lvl>
    <w:lvl w:ilvl="1">
      <w:start w:val="1"/>
      <w:numFmt w:val="lowerLetter"/>
      <w:lvlText w:val="%1%2."/>
      <w:lvlJc w:val="left"/>
      <w:pPr>
        <w:tabs>
          <w:tab w:val="num" w:pos="1080"/>
        </w:tabs>
        <w:ind w:left="792" w:hanging="72"/>
      </w:pPr>
      <w:rPr>
        <w:rFonts w:hint="default"/>
      </w:rPr>
    </w:lvl>
    <w:lvl w:ilvl="2">
      <w:start w:val="1"/>
      <w:numFmt w:val="lowerRoman"/>
      <w:lvlText w:val="%3."/>
      <w:lvlJc w:val="left"/>
      <w:pPr>
        <w:tabs>
          <w:tab w:val="num" w:pos="1800"/>
        </w:tabs>
        <w:ind w:left="1512" w:hanging="72"/>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8">
    <w:nsid w:val="4CF77584"/>
    <w:multiLevelType w:val="multilevel"/>
    <w:tmpl w:val="4DC61438"/>
    <w:lvl w:ilvl="0">
      <w:start w:val="1"/>
      <w:numFmt w:val="decimal"/>
      <w:lvlText w:val="%1."/>
      <w:lvlJc w:val="left"/>
      <w:pPr>
        <w:tabs>
          <w:tab w:val="num" w:pos="360"/>
        </w:tabs>
        <w:ind w:left="360" w:hanging="360"/>
      </w:pPr>
      <w:rPr>
        <w:rFonts w:hint="default"/>
      </w:rPr>
    </w:lvl>
    <w:lvl w:ilvl="1">
      <w:start w:val="1"/>
      <w:numFmt w:val="lowerLetter"/>
      <w:lvlText w:val="%1%2."/>
      <w:lvlJc w:val="left"/>
      <w:pPr>
        <w:tabs>
          <w:tab w:val="num" w:pos="1080"/>
        </w:tabs>
        <w:ind w:left="792" w:hanging="72"/>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800"/>
        </w:tabs>
        <w:ind w:left="1512" w:hanging="72"/>
      </w:pPr>
      <w:rPr>
        <w:rFonts w:ascii="Times New Roman" w:hAnsi="Times New Roman" w:hint="default"/>
        <w:b w:val="0"/>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9">
    <w:nsid w:val="4DD9450E"/>
    <w:multiLevelType w:val="multilevel"/>
    <w:tmpl w:val="82BCFD50"/>
    <w:lvl w:ilvl="0">
      <w:start w:val="2"/>
      <w:numFmt w:val="lowerRoman"/>
      <w:lvlRestart w:val="0"/>
      <w:lvlText w:val="(%1)"/>
      <w:lvlJc w:val="left"/>
      <w:pPr>
        <w:tabs>
          <w:tab w:val="num" w:pos="1440"/>
        </w:tabs>
        <w:ind w:left="1440" w:hanging="720"/>
      </w:pPr>
      <w:rPr>
        <w:rFonts w:ascii="Times New Roman" w:hAnsi="Times New Roman" w:cs="Times New Roman"/>
        <w:sz w:val="24"/>
      </w:rPr>
    </w:lvl>
    <w:lvl w:ilvl="1">
      <w:start w:val="1"/>
      <w:numFmt w:val="lowerRoman"/>
      <w:lvlText w:val="%2"/>
      <w:lvlJc w:val="left"/>
      <w:pPr>
        <w:ind w:left="720" w:hanging="360"/>
      </w:pPr>
    </w:lvl>
    <w:lvl w:ilvl="2">
      <w:start w:val="1"/>
      <w:numFmt w:val="lowerRoman"/>
      <w:lvlText w:val="%3"/>
      <w:lvlJc w:val="left"/>
      <w:pPr>
        <w:ind w:left="1080" w:hanging="360"/>
      </w:pPr>
    </w:lvl>
    <w:lvl w:ilvl="3">
      <w:start w:val="1"/>
      <w:numFmt w:val="lowerRoman"/>
      <w:lvlText w:val="%4"/>
      <w:lvlJc w:val="left"/>
      <w:pPr>
        <w:ind w:left="1440" w:hanging="360"/>
      </w:pPr>
    </w:lvl>
    <w:lvl w:ilvl="4">
      <w:start w:val="1"/>
      <w:numFmt w:val="lowerRoman"/>
      <w:lvlText w:val="%5"/>
      <w:lvlJc w:val="left"/>
      <w:pPr>
        <w:ind w:left="1800" w:hanging="360"/>
      </w:pPr>
    </w:lvl>
    <w:lvl w:ilvl="5">
      <w:start w:val="1"/>
      <w:numFmt w:val="lowerRoman"/>
      <w:lvlText w:val="%6"/>
      <w:lvlJc w:val="left"/>
      <w:pPr>
        <w:ind w:left="2160" w:hanging="360"/>
      </w:pPr>
    </w:lvl>
    <w:lvl w:ilvl="6">
      <w:start w:val="1"/>
      <w:numFmt w:val="lowerRoman"/>
      <w:lvlText w:val="%7"/>
      <w:lvlJc w:val="left"/>
      <w:pPr>
        <w:ind w:left="2520" w:hanging="360"/>
      </w:pPr>
    </w:lvl>
    <w:lvl w:ilvl="7">
      <w:start w:val="1"/>
      <w:numFmt w:val="lowerRoman"/>
      <w:lvlText w:val="%8"/>
      <w:lvlJc w:val="left"/>
      <w:pPr>
        <w:ind w:left="2880" w:hanging="360"/>
      </w:pPr>
    </w:lvl>
    <w:lvl w:ilvl="8">
      <w:start w:val="1"/>
      <w:numFmt w:val="lowerRoman"/>
      <w:lvlText w:val="%9."/>
      <w:lvlJc w:val="left"/>
      <w:pPr>
        <w:tabs>
          <w:tab w:val="num" w:pos="3240"/>
        </w:tabs>
        <w:ind w:left="3240" w:hanging="360"/>
      </w:pPr>
    </w:lvl>
  </w:abstractNum>
  <w:abstractNum w:abstractNumId="20">
    <w:nsid w:val="52C402A4"/>
    <w:multiLevelType w:val="multilevel"/>
    <w:tmpl w:val="429EF380"/>
    <w:lvl w:ilvl="0">
      <w:start w:val="1"/>
      <w:numFmt w:val="decimal"/>
      <w:lvlText w:val="(%1)"/>
      <w:lvlJc w:val="left"/>
      <w:pPr>
        <w:tabs>
          <w:tab w:val="num" w:pos="1440"/>
        </w:tabs>
        <w:ind w:left="1440" w:hanging="720"/>
      </w:pPr>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1">
    <w:nsid w:val="5318084E"/>
    <w:multiLevelType w:val="hybridMultilevel"/>
    <w:tmpl w:val="A2F62D42"/>
    <w:lvl w:ilvl="0" w:tplc="8A2ADCDE">
      <w:start w:val="1"/>
      <w:numFmt w:val="decimal"/>
      <w:lvlText w:val="%1)"/>
      <w:lvlJc w:val="right"/>
      <w:pPr>
        <w:tabs>
          <w:tab w:val="num" w:pos="1800"/>
        </w:tabs>
        <w:ind w:left="1800" w:hanging="180"/>
      </w:pPr>
      <w:rPr>
        <w:rFonts w:hint="default"/>
      </w:r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22">
    <w:nsid w:val="54406F55"/>
    <w:multiLevelType w:val="multilevel"/>
    <w:tmpl w:val="1908AEFE"/>
    <w:lvl w:ilvl="0">
      <w:start w:val="1"/>
      <w:numFmt w:val="decimal"/>
      <w:lvlText w:val="%1."/>
      <w:lvlJc w:val="left"/>
      <w:pPr>
        <w:tabs>
          <w:tab w:val="num" w:pos="360"/>
        </w:tabs>
        <w:ind w:left="360" w:hanging="360"/>
      </w:pPr>
      <w:rPr>
        <w:rFonts w:hint="default"/>
      </w:rPr>
    </w:lvl>
    <w:lvl w:ilvl="1">
      <w:start w:val="1"/>
      <w:numFmt w:val="lowerLetter"/>
      <w:lvlText w:val="%1%2."/>
      <w:lvlJc w:val="left"/>
      <w:pPr>
        <w:tabs>
          <w:tab w:val="num" w:pos="1080"/>
        </w:tabs>
        <w:ind w:left="72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800"/>
        </w:tabs>
        <w:ind w:left="1512" w:hanging="72"/>
      </w:pPr>
      <w:rPr>
        <w:rFonts w:ascii="Times New Roman" w:hAnsi="Times New Roman" w:hint="default"/>
        <w:b w:val="0"/>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2520"/>
        </w:tabs>
        <w:ind w:left="2160" w:firstLine="0"/>
      </w:pPr>
      <w:rPr>
        <w:rFonts w:ascii="Times New Roman" w:hAnsi="Times New Roman" w:hint="default"/>
        <w:b w:val="0"/>
        <w:i w:val="0"/>
        <w:sz w:val="24"/>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3">
    <w:nsid w:val="54BA2E47"/>
    <w:multiLevelType w:val="hybridMultilevel"/>
    <w:tmpl w:val="398073B4"/>
    <w:lvl w:ilvl="0" w:tplc="47B2009A">
      <w:start w:val="1"/>
      <w:numFmt w:val="lowerRoman"/>
      <w:lvlText w:val="%1."/>
      <w:lvlJc w:val="right"/>
      <w:pPr>
        <w:tabs>
          <w:tab w:val="num" w:pos="2160"/>
        </w:tabs>
        <w:ind w:left="2160" w:hanging="18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7842C7F"/>
    <w:multiLevelType w:val="multilevel"/>
    <w:tmpl w:val="62A6F878"/>
    <w:lvl w:ilvl="0">
      <w:start w:val="1"/>
      <w:numFmt w:val="decimal"/>
      <w:lvlRestart w:val="0"/>
      <w:pStyle w:val="Level1"/>
      <w:lvlText w:val="(%1)"/>
      <w:lvlJc w:val="left"/>
      <w:pPr>
        <w:tabs>
          <w:tab w:val="num" w:pos="1440"/>
        </w:tabs>
        <w:ind w:left="1440" w:hanging="720"/>
      </w:pPr>
      <w:rPr>
        <w:rFonts w:ascii="Times New Roman" w:hAnsi="Times New Roman" w:cs="Times New Roman" w:hint="default"/>
        <w:sz w:val="24"/>
      </w:rPr>
    </w:lvl>
    <w:lvl w:ilvl="1">
      <w:start w:val="1"/>
      <w:numFmt w:val="lowerRoman"/>
      <w:lvlText w:val="%2"/>
      <w:lvlJc w:val="left"/>
      <w:pPr>
        <w:tabs>
          <w:tab w:val="num" w:pos="0"/>
        </w:tabs>
        <w:ind w:left="720" w:hanging="360"/>
      </w:pPr>
      <w:rPr>
        <w:rFonts w:hint="default"/>
      </w:rPr>
    </w:lvl>
    <w:lvl w:ilvl="2">
      <w:start w:val="1"/>
      <w:numFmt w:val="lowerRoman"/>
      <w:lvlText w:val="%3"/>
      <w:lvlJc w:val="left"/>
      <w:pPr>
        <w:tabs>
          <w:tab w:val="num" w:pos="0"/>
        </w:tabs>
        <w:ind w:left="1080" w:hanging="360"/>
      </w:pPr>
      <w:rPr>
        <w:rFonts w:hint="default"/>
      </w:rPr>
    </w:lvl>
    <w:lvl w:ilvl="3">
      <w:start w:val="1"/>
      <w:numFmt w:val="lowerRoman"/>
      <w:lvlText w:val="%4"/>
      <w:lvlJc w:val="left"/>
      <w:pPr>
        <w:tabs>
          <w:tab w:val="num" w:pos="0"/>
        </w:tabs>
        <w:ind w:left="1440" w:hanging="360"/>
      </w:pPr>
      <w:rPr>
        <w:rFonts w:hint="default"/>
      </w:rPr>
    </w:lvl>
    <w:lvl w:ilvl="4">
      <w:start w:val="1"/>
      <w:numFmt w:val="lowerRoman"/>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lowerRoman"/>
      <w:lvlText w:val="%7"/>
      <w:lvlJc w:val="left"/>
      <w:pPr>
        <w:tabs>
          <w:tab w:val="num" w:pos="0"/>
        </w:tabs>
        <w:ind w:left="2520" w:hanging="360"/>
      </w:pPr>
      <w:rPr>
        <w:rFonts w:hint="default"/>
      </w:rPr>
    </w:lvl>
    <w:lvl w:ilvl="7">
      <w:start w:val="1"/>
      <w:numFmt w:val="lowerRoman"/>
      <w:lvlText w:val="%8"/>
      <w:lvlJc w:val="left"/>
      <w:pPr>
        <w:tabs>
          <w:tab w:val="num" w:pos="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57AF22BE"/>
    <w:multiLevelType w:val="hybridMultilevel"/>
    <w:tmpl w:val="1F4281C8"/>
    <w:lvl w:ilvl="0" w:tplc="5E4C1822">
      <w:start w:val="1"/>
      <w:numFmt w:val="decimal"/>
      <w:lvlText w:val="(%1)"/>
      <w:lvlJc w:val="right"/>
      <w:pPr>
        <w:tabs>
          <w:tab w:val="num" w:pos="1260"/>
        </w:tabs>
        <w:ind w:left="1260" w:hanging="18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nsid w:val="5D3758E5"/>
    <w:multiLevelType w:val="hybridMultilevel"/>
    <w:tmpl w:val="4DA41A90"/>
    <w:lvl w:ilvl="0" w:tplc="0409000F">
      <w:start w:val="1"/>
      <w:numFmt w:val="decimal"/>
      <w:lvlText w:val="%1."/>
      <w:lvlJc w:val="left"/>
      <w:pPr>
        <w:tabs>
          <w:tab w:val="num" w:pos="2520"/>
        </w:tabs>
        <w:ind w:left="2520" w:hanging="360"/>
      </w:pPr>
    </w:lvl>
    <w:lvl w:ilvl="1" w:tplc="04090019">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7">
    <w:nsid w:val="5F587EEE"/>
    <w:multiLevelType w:val="multilevel"/>
    <w:tmpl w:val="8CE22ABA"/>
    <w:lvl w:ilvl="0">
      <w:start w:val="1"/>
      <w:numFmt w:val="lowerRoman"/>
      <w:lvlRestart w:val="0"/>
      <w:lvlText w:val="(%1)"/>
      <w:lvlJc w:val="left"/>
      <w:pPr>
        <w:tabs>
          <w:tab w:val="num" w:pos="1440"/>
        </w:tabs>
        <w:ind w:left="1440" w:hanging="720"/>
      </w:pPr>
      <w:rPr>
        <w:rFonts w:ascii="Times New Roman" w:hAnsi="Times New Roman" w:cs="Times New Roman" w:hint="default"/>
        <w:sz w:val="24"/>
      </w:rPr>
    </w:lvl>
    <w:lvl w:ilvl="1">
      <w:start w:val="1"/>
      <w:numFmt w:val="lowerRoman"/>
      <w:lvlText w:val="%2"/>
      <w:lvlJc w:val="left"/>
      <w:pPr>
        <w:tabs>
          <w:tab w:val="num" w:pos="0"/>
        </w:tabs>
        <w:ind w:left="720" w:hanging="360"/>
      </w:pPr>
      <w:rPr>
        <w:rFonts w:hint="default"/>
      </w:rPr>
    </w:lvl>
    <w:lvl w:ilvl="2">
      <w:start w:val="1"/>
      <w:numFmt w:val="lowerRoman"/>
      <w:lvlText w:val="%3"/>
      <w:lvlJc w:val="left"/>
      <w:pPr>
        <w:tabs>
          <w:tab w:val="num" w:pos="0"/>
        </w:tabs>
        <w:ind w:left="1080" w:hanging="360"/>
      </w:pPr>
      <w:rPr>
        <w:rFonts w:hint="default"/>
      </w:rPr>
    </w:lvl>
    <w:lvl w:ilvl="3">
      <w:start w:val="1"/>
      <w:numFmt w:val="lowerRoman"/>
      <w:lvlText w:val="%4"/>
      <w:lvlJc w:val="left"/>
      <w:pPr>
        <w:tabs>
          <w:tab w:val="num" w:pos="0"/>
        </w:tabs>
        <w:ind w:left="1440" w:hanging="360"/>
      </w:pPr>
      <w:rPr>
        <w:rFonts w:hint="default"/>
      </w:rPr>
    </w:lvl>
    <w:lvl w:ilvl="4">
      <w:start w:val="1"/>
      <w:numFmt w:val="lowerRoman"/>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lowerRoman"/>
      <w:lvlText w:val="%7"/>
      <w:lvlJc w:val="left"/>
      <w:pPr>
        <w:tabs>
          <w:tab w:val="num" w:pos="0"/>
        </w:tabs>
        <w:ind w:left="2520" w:hanging="360"/>
      </w:pPr>
      <w:rPr>
        <w:rFonts w:hint="default"/>
      </w:rPr>
    </w:lvl>
    <w:lvl w:ilvl="7">
      <w:start w:val="1"/>
      <w:numFmt w:val="lowerRoman"/>
      <w:lvlText w:val="%8"/>
      <w:lvlJc w:val="left"/>
      <w:pPr>
        <w:tabs>
          <w:tab w:val="num" w:pos="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5F812175"/>
    <w:multiLevelType w:val="hybridMultilevel"/>
    <w:tmpl w:val="172C5820"/>
    <w:lvl w:ilvl="0" w:tplc="5A7CD106">
      <w:start w:val="1"/>
      <w:numFmt w:val="none"/>
      <w:lvlText w:val="7a."/>
      <w:lvlJc w:val="left"/>
      <w:pPr>
        <w:tabs>
          <w:tab w:val="num" w:pos="1080"/>
        </w:tabs>
        <w:ind w:left="1080" w:hanging="720"/>
      </w:pPr>
      <w:rPr>
        <w:rFonts w:ascii="Times New Roman" w:hAnsi="Times New Roman" w:hint="default"/>
        <w:b w:val="0"/>
        <w:i w:val="0"/>
        <w:color w:val="auto"/>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5A22155"/>
    <w:multiLevelType w:val="multilevel"/>
    <w:tmpl w:val="702A6C56"/>
    <w:lvl w:ilvl="0">
      <w:start w:val="1"/>
      <w:numFmt w:val="decimal"/>
      <w:lvlText w:val="%1."/>
      <w:lvlJc w:val="left"/>
      <w:pPr>
        <w:tabs>
          <w:tab w:val="num" w:pos="360"/>
        </w:tabs>
        <w:ind w:left="360" w:hanging="360"/>
      </w:pPr>
      <w:rPr>
        <w:rFonts w:hint="default"/>
      </w:rPr>
    </w:lvl>
    <w:lvl w:ilvl="1">
      <w:start w:val="1"/>
      <w:numFmt w:val="lowerLetter"/>
      <w:lvlText w:val="%1%2."/>
      <w:lvlJc w:val="left"/>
      <w:pPr>
        <w:tabs>
          <w:tab w:val="num" w:pos="1080"/>
        </w:tabs>
        <w:ind w:left="792" w:hanging="72"/>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800"/>
        </w:tabs>
        <w:ind w:left="1512" w:hanging="72"/>
      </w:pPr>
      <w:rPr>
        <w:rFonts w:ascii="Times New Roman" w:hAnsi="Times New Roman" w:hint="default"/>
        <w:b w:val="0"/>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2520"/>
        </w:tabs>
        <w:ind w:left="2160" w:firstLine="0"/>
      </w:pPr>
      <w:rPr>
        <w:rFonts w:ascii="Times New Roman" w:hAnsi="Times New Roman" w:hint="default"/>
        <w:b w:val="0"/>
        <w:i w:val="0"/>
        <w:sz w:val="24"/>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0">
    <w:nsid w:val="75BF77DB"/>
    <w:multiLevelType w:val="multilevel"/>
    <w:tmpl w:val="A6D6D54C"/>
    <w:lvl w:ilvl="0">
      <w:start w:val="1"/>
      <w:numFmt w:val="lowerRoman"/>
      <w:lvlText w:val="%1."/>
      <w:lvlJc w:val="right"/>
      <w:pPr>
        <w:tabs>
          <w:tab w:val="num" w:pos="1800"/>
        </w:tabs>
        <w:ind w:left="1800" w:hanging="180"/>
      </w:pPr>
      <w:rPr>
        <w:rFonts w:hint="default"/>
      </w:rPr>
    </w:lvl>
    <w:lvl w:ilvl="1">
      <w:start w:val="1"/>
      <w:numFmt w:val="lowerLetter"/>
      <w:lvlText w:val="%2."/>
      <w:lvlJc w:val="left"/>
      <w:pPr>
        <w:tabs>
          <w:tab w:val="num" w:pos="2700"/>
        </w:tabs>
        <w:ind w:left="2700" w:hanging="360"/>
      </w:pPr>
    </w:lvl>
    <w:lvl w:ilvl="2">
      <w:start w:val="1"/>
      <w:numFmt w:val="lowerRoman"/>
      <w:lvlText w:val="%3."/>
      <w:lvlJc w:val="right"/>
      <w:pPr>
        <w:tabs>
          <w:tab w:val="num" w:pos="3420"/>
        </w:tabs>
        <w:ind w:left="3420" w:hanging="180"/>
      </w:pPr>
    </w:lvl>
    <w:lvl w:ilvl="3">
      <w:start w:val="1"/>
      <w:numFmt w:val="decimal"/>
      <w:lvlText w:val="%4."/>
      <w:lvlJc w:val="left"/>
      <w:pPr>
        <w:tabs>
          <w:tab w:val="num" w:pos="4140"/>
        </w:tabs>
        <w:ind w:left="4140" w:hanging="360"/>
      </w:pPr>
    </w:lvl>
    <w:lvl w:ilvl="4">
      <w:start w:val="1"/>
      <w:numFmt w:val="lowerLetter"/>
      <w:lvlText w:val="%5."/>
      <w:lvlJc w:val="left"/>
      <w:pPr>
        <w:tabs>
          <w:tab w:val="num" w:pos="4860"/>
        </w:tabs>
        <w:ind w:left="4860" w:hanging="360"/>
      </w:pPr>
    </w:lvl>
    <w:lvl w:ilvl="5">
      <w:start w:val="1"/>
      <w:numFmt w:val="lowerRoman"/>
      <w:lvlText w:val="%6."/>
      <w:lvlJc w:val="right"/>
      <w:pPr>
        <w:tabs>
          <w:tab w:val="num" w:pos="5580"/>
        </w:tabs>
        <w:ind w:left="5580" w:hanging="180"/>
      </w:pPr>
    </w:lvl>
    <w:lvl w:ilvl="6">
      <w:start w:val="1"/>
      <w:numFmt w:val="decimal"/>
      <w:lvlText w:val="%7."/>
      <w:lvlJc w:val="left"/>
      <w:pPr>
        <w:tabs>
          <w:tab w:val="num" w:pos="6300"/>
        </w:tabs>
        <w:ind w:left="6300" w:hanging="360"/>
      </w:pPr>
    </w:lvl>
    <w:lvl w:ilvl="7">
      <w:start w:val="1"/>
      <w:numFmt w:val="lowerLetter"/>
      <w:lvlText w:val="%8."/>
      <w:lvlJc w:val="left"/>
      <w:pPr>
        <w:tabs>
          <w:tab w:val="num" w:pos="7020"/>
        </w:tabs>
        <w:ind w:left="7020" w:hanging="360"/>
      </w:pPr>
    </w:lvl>
    <w:lvl w:ilvl="8">
      <w:start w:val="1"/>
      <w:numFmt w:val="lowerRoman"/>
      <w:lvlText w:val="%9."/>
      <w:lvlJc w:val="right"/>
      <w:pPr>
        <w:tabs>
          <w:tab w:val="num" w:pos="7740"/>
        </w:tabs>
        <w:ind w:left="7740" w:hanging="180"/>
      </w:pPr>
    </w:lvl>
  </w:abstractNum>
  <w:abstractNum w:abstractNumId="31">
    <w:nsid w:val="7BAC4F3E"/>
    <w:multiLevelType w:val="multilevel"/>
    <w:tmpl w:val="429EF380"/>
    <w:lvl w:ilvl="0">
      <w:start w:val="1"/>
      <w:numFmt w:val="decimal"/>
      <w:lvlText w:val="(%1)"/>
      <w:lvlJc w:val="left"/>
      <w:pPr>
        <w:tabs>
          <w:tab w:val="num" w:pos="1440"/>
        </w:tabs>
        <w:ind w:left="1440" w:hanging="720"/>
      </w:pPr>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num w:numId="1">
    <w:abstractNumId w:val="12"/>
  </w:num>
  <w:num w:numId="2">
    <w:abstractNumId w:val="13"/>
  </w:num>
  <w:num w:numId="3">
    <w:abstractNumId w:val="15"/>
  </w:num>
  <w:num w:numId="4">
    <w:abstractNumId w:val="17"/>
  </w:num>
  <w:num w:numId="5">
    <w:abstractNumId w:val="8"/>
  </w:num>
  <w:num w:numId="6">
    <w:abstractNumId w:val="0"/>
  </w:num>
  <w:num w:numId="7">
    <w:abstractNumId w:val="24"/>
  </w:num>
  <w:num w:numId="8">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27"/>
  </w:num>
  <w:num w:numId="12">
    <w:abstractNumId w:val="4"/>
  </w:num>
  <w:num w:numId="13">
    <w:abstractNumId w:val="3"/>
  </w:num>
  <w:num w:numId="14">
    <w:abstractNumId w:val="7"/>
  </w:num>
  <w:num w:numId="15">
    <w:abstractNumId w:val="26"/>
  </w:num>
  <w:num w:numId="16">
    <w:abstractNumId w:val="2"/>
  </w:num>
  <w:num w:numId="17">
    <w:abstractNumId w:val="1"/>
  </w:num>
  <w:num w:numId="18">
    <w:abstractNumId w:val="11"/>
  </w:num>
  <w:num w:numId="19">
    <w:abstractNumId w:val="28"/>
  </w:num>
  <w:num w:numId="20">
    <w:abstractNumId w:val="10"/>
  </w:num>
  <w:num w:numId="21">
    <w:abstractNumId w:val="23"/>
  </w:num>
  <w:num w:numId="22">
    <w:abstractNumId w:val="14"/>
  </w:num>
  <w:num w:numId="23">
    <w:abstractNumId w:val="20"/>
  </w:num>
  <w:num w:numId="24">
    <w:abstractNumId w:val="31"/>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29"/>
  </w:num>
  <w:num w:numId="28">
    <w:abstractNumId w:val="22"/>
  </w:num>
  <w:num w:numId="29">
    <w:abstractNumId w:val="5"/>
  </w:num>
  <w:num w:numId="30">
    <w:abstractNumId w:val="9"/>
  </w:num>
  <w:num w:numId="31">
    <w:abstractNumId w:val="30"/>
  </w:num>
  <w:num w:numId="32">
    <w:abstractNumId w:val="21"/>
  </w:num>
  <w:num w:numId="33">
    <w:abstractNumId w:val="6"/>
  </w:num>
  <w:num w:numId="34">
    <w:abstractNumId w:val="25"/>
  </w:num>
  <w:num w:numId="35">
    <w:abstractNumId w:val="16"/>
  </w:num>
  <w:num w:numId="36">
    <w:abstractNumId w:val="12"/>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434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344"/>
    <w:rsid w:val="000003F0"/>
    <w:rsid w:val="00011827"/>
    <w:rsid w:val="00013D39"/>
    <w:rsid w:val="000163AA"/>
    <w:rsid w:val="00021317"/>
    <w:rsid w:val="0002444F"/>
    <w:rsid w:val="0003363F"/>
    <w:rsid w:val="00035728"/>
    <w:rsid w:val="00036520"/>
    <w:rsid w:val="000413DF"/>
    <w:rsid w:val="000439CB"/>
    <w:rsid w:val="00044F6E"/>
    <w:rsid w:val="00045162"/>
    <w:rsid w:val="00045754"/>
    <w:rsid w:val="00046522"/>
    <w:rsid w:val="00054282"/>
    <w:rsid w:val="00054FF5"/>
    <w:rsid w:val="00064F31"/>
    <w:rsid w:val="00066720"/>
    <w:rsid w:val="0007029C"/>
    <w:rsid w:val="0007254E"/>
    <w:rsid w:val="00082C0E"/>
    <w:rsid w:val="0008371A"/>
    <w:rsid w:val="00083AD6"/>
    <w:rsid w:val="00084E48"/>
    <w:rsid w:val="00085F48"/>
    <w:rsid w:val="00092850"/>
    <w:rsid w:val="000A29FA"/>
    <w:rsid w:val="000A7982"/>
    <w:rsid w:val="000A7D51"/>
    <w:rsid w:val="000B39B0"/>
    <w:rsid w:val="000B42CD"/>
    <w:rsid w:val="000B54D8"/>
    <w:rsid w:val="000D0FEC"/>
    <w:rsid w:val="000D513E"/>
    <w:rsid w:val="000D6E81"/>
    <w:rsid w:val="000E3FD2"/>
    <w:rsid w:val="000E4B28"/>
    <w:rsid w:val="000E75CD"/>
    <w:rsid w:val="000F2845"/>
    <w:rsid w:val="000F5824"/>
    <w:rsid w:val="001017A5"/>
    <w:rsid w:val="00101C08"/>
    <w:rsid w:val="00105F09"/>
    <w:rsid w:val="00106037"/>
    <w:rsid w:val="00107DBF"/>
    <w:rsid w:val="00114458"/>
    <w:rsid w:val="00117FB6"/>
    <w:rsid w:val="001228C3"/>
    <w:rsid w:val="00123FC7"/>
    <w:rsid w:val="001255EB"/>
    <w:rsid w:val="00127A8A"/>
    <w:rsid w:val="00131773"/>
    <w:rsid w:val="001408D1"/>
    <w:rsid w:val="001429B8"/>
    <w:rsid w:val="0015157D"/>
    <w:rsid w:val="00157B06"/>
    <w:rsid w:val="001609EF"/>
    <w:rsid w:val="00170A59"/>
    <w:rsid w:val="00170F2C"/>
    <w:rsid w:val="0017121E"/>
    <w:rsid w:val="00173E4E"/>
    <w:rsid w:val="0017595A"/>
    <w:rsid w:val="0017621D"/>
    <w:rsid w:val="00186825"/>
    <w:rsid w:val="001901E1"/>
    <w:rsid w:val="001A2039"/>
    <w:rsid w:val="001B04E4"/>
    <w:rsid w:val="001B3629"/>
    <w:rsid w:val="001B3A54"/>
    <w:rsid w:val="001C544F"/>
    <w:rsid w:val="001D1D4B"/>
    <w:rsid w:val="001D26B6"/>
    <w:rsid w:val="001D3CBE"/>
    <w:rsid w:val="001D3DDB"/>
    <w:rsid w:val="001E1C6E"/>
    <w:rsid w:val="001F1588"/>
    <w:rsid w:val="001F44F9"/>
    <w:rsid w:val="001F47E1"/>
    <w:rsid w:val="001F621C"/>
    <w:rsid w:val="00205A9F"/>
    <w:rsid w:val="00225E34"/>
    <w:rsid w:val="00230655"/>
    <w:rsid w:val="00230A74"/>
    <w:rsid w:val="00232DF2"/>
    <w:rsid w:val="00237139"/>
    <w:rsid w:val="00243C27"/>
    <w:rsid w:val="00252854"/>
    <w:rsid w:val="00253BC1"/>
    <w:rsid w:val="00255258"/>
    <w:rsid w:val="0026315B"/>
    <w:rsid w:val="002668FF"/>
    <w:rsid w:val="002674A6"/>
    <w:rsid w:val="002703B2"/>
    <w:rsid w:val="0027243B"/>
    <w:rsid w:val="00280CFB"/>
    <w:rsid w:val="00290A22"/>
    <w:rsid w:val="002A3053"/>
    <w:rsid w:val="002A47A5"/>
    <w:rsid w:val="002A512E"/>
    <w:rsid w:val="002A5650"/>
    <w:rsid w:val="002A64BE"/>
    <w:rsid w:val="002B5003"/>
    <w:rsid w:val="002B63B5"/>
    <w:rsid w:val="002D03ED"/>
    <w:rsid w:val="002D0E54"/>
    <w:rsid w:val="002D4C8B"/>
    <w:rsid w:val="002D5D9C"/>
    <w:rsid w:val="002D5E9E"/>
    <w:rsid w:val="002E0F3E"/>
    <w:rsid w:val="002E6F20"/>
    <w:rsid w:val="002F5353"/>
    <w:rsid w:val="002F66A0"/>
    <w:rsid w:val="00305A08"/>
    <w:rsid w:val="00307D39"/>
    <w:rsid w:val="00312DDE"/>
    <w:rsid w:val="003169BD"/>
    <w:rsid w:val="003177CD"/>
    <w:rsid w:val="00317F3E"/>
    <w:rsid w:val="00330D96"/>
    <w:rsid w:val="0033319C"/>
    <w:rsid w:val="00336F16"/>
    <w:rsid w:val="00341F3E"/>
    <w:rsid w:val="0034543A"/>
    <w:rsid w:val="00351226"/>
    <w:rsid w:val="0035418B"/>
    <w:rsid w:val="0036401D"/>
    <w:rsid w:val="00366DF2"/>
    <w:rsid w:val="00367509"/>
    <w:rsid w:val="00387CF1"/>
    <w:rsid w:val="00391204"/>
    <w:rsid w:val="0039779A"/>
    <w:rsid w:val="003A0C9C"/>
    <w:rsid w:val="003A1DB0"/>
    <w:rsid w:val="003B4B59"/>
    <w:rsid w:val="003C4648"/>
    <w:rsid w:val="003C60AA"/>
    <w:rsid w:val="003C6692"/>
    <w:rsid w:val="003C6EEB"/>
    <w:rsid w:val="003E007E"/>
    <w:rsid w:val="003E04F6"/>
    <w:rsid w:val="003E1CE9"/>
    <w:rsid w:val="003E2352"/>
    <w:rsid w:val="003E5B1A"/>
    <w:rsid w:val="003E6A88"/>
    <w:rsid w:val="003E7F0C"/>
    <w:rsid w:val="003F572F"/>
    <w:rsid w:val="004024D6"/>
    <w:rsid w:val="00421014"/>
    <w:rsid w:val="004230CD"/>
    <w:rsid w:val="0042413B"/>
    <w:rsid w:val="004302AE"/>
    <w:rsid w:val="00430475"/>
    <w:rsid w:val="00433EAD"/>
    <w:rsid w:val="00434ACA"/>
    <w:rsid w:val="004429B8"/>
    <w:rsid w:val="0044557D"/>
    <w:rsid w:val="004519C1"/>
    <w:rsid w:val="00455976"/>
    <w:rsid w:val="004569C5"/>
    <w:rsid w:val="00457347"/>
    <w:rsid w:val="0045783B"/>
    <w:rsid w:val="0046130C"/>
    <w:rsid w:val="004631C3"/>
    <w:rsid w:val="00465B2B"/>
    <w:rsid w:val="004667F6"/>
    <w:rsid w:val="0046707F"/>
    <w:rsid w:val="00467676"/>
    <w:rsid w:val="004725C6"/>
    <w:rsid w:val="004829F6"/>
    <w:rsid w:val="00485A49"/>
    <w:rsid w:val="00486961"/>
    <w:rsid w:val="00487280"/>
    <w:rsid w:val="00492FD7"/>
    <w:rsid w:val="00493D32"/>
    <w:rsid w:val="00494CEB"/>
    <w:rsid w:val="004968B0"/>
    <w:rsid w:val="004A2A80"/>
    <w:rsid w:val="004C0627"/>
    <w:rsid w:val="004C28F4"/>
    <w:rsid w:val="004C4922"/>
    <w:rsid w:val="004C495F"/>
    <w:rsid w:val="004C4D6E"/>
    <w:rsid w:val="004D34E2"/>
    <w:rsid w:val="004D4585"/>
    <w:rsid w:val="004D6EA4"/>
    <w:rsid w:val="004E2FF4"/>
    <w:rsid w:val="004E45E8"/>
    <w:rsid w:val="004E486E"/>
    <w:rsid w:val="004E5182"/>
    <w:rsid w:val="004E674D"/>
    <w:rsid w:val="004F1BF2"/>
    <w:rsid w:val="004F3AF9"/>
    <w:rsid w:val="004F5EE4"/>
    <w:rsid w:val="00500BFF"/>
    <w:rsid w:val="005019F4"/>
    <w:rsid w:val="00512502"/>
    <w:rsid w:val="00513A4B"/>
    <w:rsid w:val="0051756D"/>
    <w:rsid w:val="0052089C"/>
    <w:rsid w:val="005267A7"/>
    <w:rsid w:val="005371BE"/>
    <w:rsid w:val="00540C60"/>
    <w:rsid w:val="00541195"/>
    <w:rsid w:val="005426A3"/>
    <w:rsid w:val="00546213"/>
    <w:rsid w:val="0055077F"/>
    <w:rsid w:val="005564DC"/>
    <w:rsid w:val="00557AD6"/>
    <w:rsid w:val="00557C81"/>
    <w:rsid w:val="00560CBD"/>
    <w:rsid w:val="0057323B"/>
    <w:rsid w:val="00576273"/>
    <w:rsid w:val="00580672"/>
    <w:rsid w:val="00590E8B"/>
    <w:rsid w:val="00591DAF"/>
    <w:rsid w:val="005945F6"/>
    <w:rsid w:val="005A36D6"/>
    <w:rsid w:val="005B0049"/>
    <w:rsid w:val="005B2858"/>
    <w:rsid w:val="005B6F74"/>
    <w:rsid w:val="005C0748"/>
    <w:rsid w:val="005D16AB"/>
    <w:rsid w:val="005D7CA5"/>
    <w:rsid w:val="005F5C29"/>
    <w:rsid w:val="005F5FA9"/>
    <w:rsid w:val="006072B8"/>
    <w:rsid w:val="00613D9D"/>
    <w:rsid w:val="00623D1A"/>
    <w:rsid w:val="00624695"/>
    <w:rsid w:val="00630571"/>
    <w:rsid w:val="00631383"/>
    <w:rsid w:val="006331FC"/>
    <w:rsid w:val="00634EC8"/>
    <w:rsid w:val="006401EE"/>
    <w:rsid w:val="006549BA"/>
    <w:rsid w:val="00654CEC"/>
    <w:rsid w:val="00662475"/>
    <w:rsid w:val="00663435"/>
    <w:rsid w:val="00667271"/>
    <w:rsid w:val="00671A54"/>
    <w:rsid w:val="00676598"/>
    <w:rsid w:val="006766A5"/>
    <w:rsid w:val="00682C03"/>
    <w:rsid w:val="006A0412"/>
    <w:rsid w:val="006A4C09"/>
    <w:rsid w:val="006A4DF9"/>
    <w:rsid w:val="006A58C3"/>
    <w:rsid w:val="006B74BF"/>
    <w:rsid w:val="006C078D"/>
    <w:rsid w:val="006C57F1"/>
    <w:rsid w:val="006C6C55"/>
    <w:rsid w:val="006D36BC"/>
    <w:rsid w:val="006D3DA7"/>
    <w:rsid w:val="006D44BD"/>
    <w:rsid w:val="006D4F8E"/>
    <w:rsid w:val="006E2CC6"/>
    <w:rsid w:val="006F2B70"/>
    <w:rsid w:val="006F4B4C"/>
    <w:rsid w:val="006F6CBB"/>
    <w:rsid w:val="007033A2"/>
    <w:rsid w:val="0070491A"/>
    <w:rsid w:val="007265C4"/>
    <w:rsid w:val="00727BA0"/>
    <w:rsid w:val="00736778"/>
    <w:rsid w:val="00743821"/>
    <w:rsid w:val="00753EA3"/>
    <w:rsid w:val="00757C36"/>
    <w:rsid w:val="00760ABB"/>
    <w:rsid w:val="00762CF5"/>
    <w:rsid w:val="00764B1D"/>
    <w:rsid w:val="007701C8"/>
    <w:rsid w:val="007815A1"/>
    <w:rsid w:val="00783FAF"/>
    <w:rsid w:val="00787E66"/>
    <w:rsid w:val="007938F5"/>
    <w:rsid w:val="0079453F"/>
    <w:rsid w:val="007A1462"/>
    <w:rsid w:val="007A4310"/>
    <w:rsid w:val="007A7D4B"/>
    <w:rsid w:val="007B61CD"/>
    <w:rsid w:val="007B69BA"/>
    <w:rsid w:val="007C0274"/>
    <w:rsid w:val="007C1CEE"/>
    <w:rsid w:val="007C58AD"/>
    <w:rsid w:val="007C76F6"/>
    <w:rsid w:val="007C7842"/>
    <w:rsid w:val="007C7DA7"/>
    <w:rsid w:val="007D1053"/>
    <w:rsid w:val="007D2484"/>
    <w:rsid w:val="007D46AC"/>
    <w:rsid w:val="007D6A37"/>
    <w:rsid w:val="007E3272"/>
    <w:rsid w:val="007E61F9"/>
    <w:rsid w:val="007F4990"/>
    <w:rsid w:val="007F7CCC"/>
    <w:rsid w:val="008004D8"/>
    <w:rsid w:val="00802272"/>
    <w:rsid w:val="00802E2A"/>
    <w:rsid w:val="00803578"/>
    <w:rsid w:val="00805571"/>
    <w:rsid w:val="008065B5"/>
    <w:rsid w:val="0081587C"/>
    <w:rsid w:val="00820DD7"/>
    <w:rsid w:val="00824590"/>
    <w:rsid w:val="008256C6"/>
    <w:rsid w:val="0082631E"/>
    <w:rsid w:val="00831D9B"/>
    <w:rsid w:val="00836F43"/>
    <w:rsid w:val="008413B1"/>
    <w:rsid w:val="008439F3"/>
    <w:rsid w:val="00844DC3"/>
    <w:rsid w:val="0084718E"/>
    <w:rsid w:val="00850098"/>
    <w:rsid w:val="00851C82"/>
    <w:rsid w:val="008625CB"/>
    <w:rsid w:val="00872B86"/>
    <w:rsid w:val="008802F1"/>
    <w:rsid w:val="008813A3"/>
    <w:rsid w:val="0088224F"/>
    <w:rsid w:val="00885F67"/>
    <w:rsid w:val="00887A83"/>
    <w:rsid w:val="0089006A"/>
    <w:rsid w:val="008906D7"/>
    <w:rsid w:val="00891079"/>
    <w:rsid w:val="00891E7F"/>
    <w:rsid w:val="00894707"/>
    <w:rsid w:val="008949D8"/>
    <w:rsid w:val="0089544E"/>
    <w:rsid w:val="00896873"/>
    <w:rsid w:val="008A2ED8"/>
    <w:rsid w:val="008A5BB9"/>
    <w:rsid w:val="008B1617"/>
    <w:rsid w:val="008B3606"/>
    <w:rsid w:val="008C7D07"/>
    <w:rsid w:val="008D0726"/>
    <w:rsid w:val="008D0977"/>
    <w:rsid w:val="008F33FD"/>
    <w:rsid w:val="008F619F"/>
    <w:rsid w:val="00903805"/>
    <w:rsid w:val="00910CD8"/>
    <w:rsid w:val="00913C33"/>
    <w:rsid w:val="00920D5E"/>
    <w:rsid w:val="00934EC5"/>
    <w:rsid w:val="00936939"/>
    <w:rsid w:val="00941F9C"/>
    <w:rsid w:val="00946B7B"/>
    <w:rsid w:val="00951D69"/>
    <w:rsid w:val="00954E35"/>
    <w:rsid w:val="0095573E"/>
    <w:rsid w:val="009601ED"/>
    <w:rsid w:val="009623FF"/>
    <w:rsid w:val="00964404"/>
    <w:rsid w:val="009664B4"/>
    <w:rsid w:val="0096759E"/>
    <w:rsid w:val="00967B62"/>
    <w:rsid w:val="00970C49"/>
    <w:rsid w:val="0097592F"/>
    <w:rsid w:val="00985531"/>
    <w:rsid w:val="009974F9"/>
    <w:rsid w:val="009A1D95"/>
    <w:rsid w:val="009A40E8"/>
    <w:rsid w:val="009B5A98"/>
    <w:rsid w:val="009C0BCB"/>
    <w:rsid w:val="009C149A"/>
    <w:rsid w:val="009C19D4"/>
    <w:rsid w:val="009C37BE"/>
    <w:rsid w:val="009C4CB1"/>
    <w:rsid w:val="009C6A0D"/>
    <w:rsid w:val="009D2901"/>
    <w:rsid w:val="009D30AC"/>
    <w:rsid w:val="009D387F"/>
    <w:rsid w:val="009D3CEE"/>
    <w:rsid w:val="009E3737"/>
    <w:rsid w:val="009E4BCA"/>
    <w:rsid w:val="009F5E0D"/>
    <w:rsid w:val="009F7901"/>
    <w:rsid w:val="00A002D0"/>
    <w:rsid w:val="00A00B17"/>
    <w:rsid w:val="00A02F6C"/>
    <w:rsid w:val="00A06921"/>
    <w:rsid w:val="00A06FDD"/>
    <w:rsid w:val="00A10B9F"/>
    <w:rsid w:val="00A10C1F"/>
    <w:rsid w:val="00A122FF"/>
    <w:rsid w:val="00A170BE"/>
    <w:rsid w:val="00A20E43"/>
    <w:rsid w:val="00A261D0"/>
    <w:rsid w:val="00A31DBE"/>
    <w:rsid w:val="00A33CDD"/>
    <w:rsid w:val="00A349C9"/>
    <w:rsid w:val="00A45AEC"/>
    <w:rsid w:val="00A50E65"/>
    <w:rsid w:val="00A619E9"/>
    <w:rsid w:val="00A621EA"/>
    <w:rsid w:val="00A7558B"/>
    <w:rsid w:val="00A82C75"/>
    <w:rsid w:val="00A96A78"/>
    <w:rsid w:val="00AA00E6"/>
    <w:rsid w:val="00AA618B"/>
    <w:rsid w:val="00AB49F9"/>
    <w:rsid w:val="00AC43A9"/>
    <w:rsid w:val="00AC4B9D"/>
    <w:rsid w:val="00AC67B7"/>
    <w:rsid w:val="00AC7022"/>
    <w:rsid w:val="00AD02A3"/>
    <w:rsid w:val="00AD52AD"/>
    <w:rsid w:val="00AE0F63"/>
    <w:rsid w:val="00AE106B"/>
    <w:rsid w:val="00AE3A4A"/>
    <w:rsid w:val="00AF0691"/>
    <w:rsid w:val="00AF2F44"/>
    <w:rsid w:val="00B11073"/>
    <w:rsid w:val="00B12BFB"/>
    <w:rsid w:val="00B13738"/>
    <w:rsid w:val="00B224CF"/>
    <w:rsid w:val="00B23DF0"/>
    <w:rsid w:val="00B27AB6"/>
    <w:rsid w:val="00B27DFB"/>
    <w:rsid w:val="00B33BB0"/>
    <w:rsid w:val="00B418C2"/>
    <w:rsid w:val="00B41B73"/>
    <w:rsid w:val="00B42036"/>
    <w:rsid w:val="00B5163D"/>
    <w:rsid w:val="00B51A0B"/>
    <w:rsid w:val="00B54712"/>
    <w:rsid w:val="00B5474D"/>
    <w:rsid w:val="00B62D96"/>
    <w:rsid w:val="00B7357F"/>
    <w:rsid w:val="00B82481"/>
    <w:rsid w:val="00B90B6F"/>
    <w:rsid w:val="00BA2D56"/>
    <w:rsid w:val="00BA60AF"/>
    <w:rsid w:val="00BA669C"/>
    <w:rsid w:val="00BB03AB"/>
    <w:rsid w:val="00BB5154"/>
    <w:rsid w:val="00BB6940"/>
    <w:rsid w:val="00BB74C9"/>
    <w:rsid w:val="00BB76AF"/>
    <w:rsid w:val="00BC018C"/>
    <w:rsid w:val="00BC1AC6"/>
    <w:rsid w:val="00BC6C17"/>
    <w:rsid w:val="00BD2FF4"/>
    <w:rsid w:val="00BE1CF5"/>
    <w:rsid w:val="00BE1EE5"/>
    <w:rsid w:val="00BE61C5"/>
    <w:rsid w:val="00BE7180"/>
    <w:rsid w:val="00BF195B"/>
    <w:rsid w:val="00BF35DA"/>
    <w:rsid w:val="00BF4DD4"/>
    <w:rsid w:val="00BF51B0"/>
    <w:rsid w:val="00BF767F"/>
    <w:rsid w:val="00C165DD"/>
    <w:rsid w:val="00C17901"/>
    <w:rsid w:val="00C222A7"/>
    <w:rsid w:val="00C242AF"/>
    <w:rsid w:val="00C25693"/>
    <w:rsid w:val="00C27C97"/>
    <w:rsid w:val="00C32344"/>
    <w:rsid w:val="00C32FD1"/>
    <w:rsid w:val="00C33A9E"/>
    <w:rsid w:val="00C40C69"/>
    <w:rsid w:val="00C41CEA"/>
    <w:rsid w:val="00C4311B"/>
    <w:rsid w:val="00C44599"/>
    <w:rsid w:val="00C47F14"/>
    <w:rsid w:val="00C50AF1"/>
    <w:rsid w:val="00C54BA8"/>
    <w:rsid w:val="00C55B80"/>
    <w:rsid w:val="00C56B17"/>
    <w:rsid w:val="00C57958"/>
    <w:rsid w:val="00C6206D"/>
    <w:rsid w:val="00C62247"/>
    <w:rsid w:val="00C72CED"/>
    <w:rsid w:val="00C77DC2"/>
    <w:rsid w:val="00C82484"/>
    <w:rsid w:val="00C83611"/>
    <w:rsid w:val="00C86212"/>
    <w:rsid w:val="00C874E7"/>
    <w:rsid w:val="00C87748"/>
    <w:rsid w:val="00C90ABC"/>
    <w:rsid w:val="00C90B8A"/>
    <w:rsid w:val="00C93E88"/>
    <w:rsid w:val="00CA1785"/>
    <w:rsid w:val="00CA3584"/>
    <w:rsid w:val="00CB07E0"/>
    <w:rsid w:val="00CC218B"/>
    <w:rsid w:val="00CE1391"/>
    <w:rsid w:val="00CE6E4B"/>
    <w:rsid w:val="00D00077"/>
    <w:rsid w:val="00D003E9"/>
    <w:rsid w:val="00D025F9"/>
    <w:rsid w:val="00D075DF"/>
    <w:rsid w:val="00D109D5"/>
    <w:rsid w:val="00D1125C"/>
    <w:rsid w:val="00D14D2F"/>
    <w:rsid w:val="00D206EE"/>
    <w:rsid w:val="00D21DF4"/>
    <w:rsid w:val="00D239A7"/>
    <w:rsid w:val="00D309C4"/>
    <w:rsid w:val="00D34D8C"/>
    <w:rsid w:val="00D40C04"/>
    <w:rsid w:val="00D50EDA"/>
    <w:rsid w:val="00D5421F"/>
    <w:rsid w:val="00D706E1"/>
    <w:rsid w:val="00D71FCD"/>
    <w:rsid w:val="00D7596B"/>
    <w:rsid w:val="00D901CD"/>
    <w:rsid w:val="00D93AF3"/>
    <w:rsid w:val="00D93AF5"/>
    <w:rsid w:val="00D940D8"/>
    <w:rsid w:val="00D95619"/>
    <w:rsid w:val="00D96E37"/>
    <w:rsid w:val="00D971CE"/>
    <w:rsid w:val="00DA0A6D"/>
    <w:rsid w:val="00DA4ED6"/>
    <w:rsid w:val="00DB1CED"/>
    <w:rsid w:val="00DB3E93"/>
    <w:rsid w:val="00DC7F32"/>
    <w:rsid w:val="00DD2EE7"/>
    <w:rsid w:val="00DF1028"/>
    <w:rsid w:val="00DF2F94"/>
    <w:rsid w:val="00DF4868"/>
    <w:rsid w:val="00DF520F"/>
    <w:rsid w:val="00DF5366"/>
    <w:rsid w:val="00DF77DB"/>
    <w:rsid w:val="00E042DD"/>
    <w:rsid w:val="00E04433"/>
    <w:rsid w:val="00E10A08"/>
    <w:rsid w:val="00E205C3"/>
    <w:rsid w:val="00E27E17"/>
    <w:rsid w:val="00E30F25"/>
    <w:rsid w:val="00E3437E"/>
    <w:rsid w:val="00E34A8F"/>
    <w:rsid w:val="00E35976"/>
    <w:rsid w:val="00E36F95"/>
    <w:rsid w:val="00E37F61"/>
    <w:rsid w:val="00E40194"/>
    <w:rsid w:val="00E41D72"/>
    <w:rsid w:val="00E44214"/>
    <w:rsid w:val="00E46612"/>
    <w:rsid w:val="00E46E64"/>
    <w:rsid w:val="00E579D7"/>
    <w:rsid w:val="00E620A9"/>
    <w:rsid w:val="00E70A72"/>
    <w:rsid w:val="00E7333D"/>
    <w:rsid w:val="00E76491"/>
    <w:rsid w:val="00E84841"/>
    <w:rsid w:val="00E85A1D"/>
    <w:rsid w:val="00E8608A"/>
    <w:rsid w:val="00E866DB"/>
    <w:rsid w:val="00E8678A"/>
    <w:rsid w:val="00E9333C"/>
    <w:rsid w:val="00E95306"/>
    <w:rsid w:val="00E96A5F"/>
    <w:rsid w:val="00E97EC8"/>
    <w:rsid w:val="00EA6A2D"/>
    <w:rsid w:val="00EB23A4"/>
    <w:rsid w:val="00EB3F30"/>
    <w:rsid w:val="00EB75C6"/>
    <w:rsid w:val="00EC3B90"/>
    <w:rsid w:val="00EC5729"/>
    <w:rsid w:val="00ED0726"/>
    <w:rsid w:val="00ED0F12"/>
    <w:rsid w:val="00ED0FA7"/>
    <w:rsid w:val="00ED50E0"/>
    <w:rsid w:val="00EE3E44"/>
    <w:rsid w:val="00EE42F6"/>
    <w:rsid w:val="00EF254D"/>
    <w:rsid w:val="00EF48D2"/>
    <w:rsid w:val="00EF642B"/>
    <w:rsid w:val="00EF66AE"/>
    <w:rsid w:val="00EF7422"/>
    <w:rsid w:val="00F05B3D"/>
    <w:rsid w:val="00F06C1E"/>
    <w:rsid w:val="00F1317F"/>
    <w:rsid w:val="00F14C05"/>
    <w:rsid w:val="00F14FD1"/>
    <w:rsid w:val="00F23FEC"/>
    <w:rsid w:val="00F30686"/>
    <w:rsid w:val="00F535EE"/>
    <w:rsid w:val="00F53A07"/>
    <w:rsid w:val="00F54A18"/>
    <w:rsid w:val="00F64884"/>
    <w:rsid w:val="00F64BB9"/>
    <w:rsid w:val="00F66009"/>
    <w:rsid w:val="00F77EDF"/>
    <w:rsid w:val="00F812F8"/>
    <w:rsid w:val="00F837BA"/>
    <w:rsid w:val="00F85A98"/>
    <w:rsid w:val="00F87BF7"/>
    <w:rsid w:val="00F9030B"/>
    <w:rsid w:val="00F9146A"/>
    <w:rsid w:val="00F94222"/>
    <w:rsid w:val="00FA4ADA"/>
    <w:rsid w:val="00FA7CE7"/>
    <w:rsid w:val="00FB244C"/>
    <w:rsid w:val="00FB2A66"/>
    <w:rsid w:val="00FB2BEB"/>
    <w:rsid w:val="00FB4F61"/>
    <w:rsid w:val="00FC39C8"/>
    <w:rsid w:val="00FC7499"/>
    <w:rsid w:val="00FE05DE"/>
    <w:rsid w:val="00FE07A2"/>
    <w:rsid w:val="00FE2DAA"/>
    <w:rsid w:val="00FE5769"/>
    <w:rsid w:val="00FE64CC"/>
    <w:rsid w:val="00FE765C"/>
    <w:rsid w:val="00FF0305"/>
    <w:rsid w:val="00FF39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4342"/>
    <o:shapelayout v:ext="edit">
      <o:idmap v:ext="edit" data="1"/>
    </o:shapelayout>
  </w:shapeDefaults>
  <w:decimalSymbol w:val="."/>
  <w:listSeparator w:val=","/>
  <w14:docId w14:val="2144398A"/>
  <w15:docId w15:val="{40FC8EB8-754B-4CF9-BF73-2C11EF407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2344"/>
    <w:pPr>
      <w:widowControl w:val="0"/>
      <w:adjustRightInd w:val="0"/>
    </w:pPr>
    <w:rPr>
      <w:sz w:val="24"/>
      <w:szCs w:val="24"/>
    </w:rPr>
  </w:style>
  <w:style w:type="paragraph" w:styleId="Heading1">
    <w:name w:val="heading 1"/>
    <w:basedOn w:val="Normal"/>
    <w:next w:val="Normal"/>
    <w:qFormat/>
    <w:rsid w:val="006E2CC6"/>
    <w:pPr>
      <w:keepNext/>
      <w:numPr>
        <w:numId w:val="1"/>
      </w:numPr>
      <w:spacing w:before="240" w:after="60"/>
      <w:outlineLvl w:val="0"/>
    </w:pPr>
    <w:rPr>
      <w:rFonts w:cs="Arial"/>
      <w:bCs/>
      <w:kern w:val="32"/>
      <w:szCs w:val="32"/>
    </w:rPr>
  </w:style>
  <w:style w:type="paragraph" w:styleId="Heading2">
    <w:name w:val="heading 2"/>
    <w:basedOn w:val="Normal"/>
    <w:next w:val="Normal"/>
    <w:qFormat/>
    <w:rsid w:val="00FC7499"/>
    <w:pPr>
      <w:keepNext/>
      <w:numPr>
        <w:ilvl w:val="1"/>
        <w:numId w:val="1"/>
      </w:numPr>
      <w:spacing w:before="240" w:after="60"/>
      <w:outlineLvl w:val="1"/>
    </w:pPr>
    <w:rPr>
      <w:rFonts w:cs="Arial"/>
      <w:bCs/>
      <w:iCs/>
      <w:szCs w:val="28"/>
    </w:rPr>
  </w:style>
  <w:style w:type="paragraph" w:styleId="Heading3">
    <w:name w:val="heading 3"/>
    <w:basedOn w:val="Normal"/>
    <w:next w:val="Normal"/>
    <w:qFormat/>
    <w:rsid w:val="004C4922"/>
    <w:pPr>
      <w:keepNext/>
      <w:numPr>
        <w:ilvl w:val="2"/>
        <w:numId w:val="1"/>
      </w:numPr>
      <w:spacing w:before="240" w:after="60"/>
      <w:outlineLvl w:val="2"/>
    </w:pPr>
    <w:rPr>
      <w:rFonts w:cs="Arial"/>
      <w:bCs/>
      <w:szCs w:val="26"/>
    </w:rPr>
  </w:style>
  <w:style w:type="paragraph" w:styleId="Heading4">
    <w:name w:val="heading 4"/>
    <w:basedOn w:val="Normal"/>
    <w:next w:val="Normal"/>
    <w:qFormat/>
    <w:rsid w:val="00B51A0B"/>
    <w:pPr>
      <w:keepNext/>
      <w:numPr>
        <w:ilvl w:val="3"/>
        <w:numId w:val="1"/>
      </w:numPr>
      <w:spacing w:before="240" w:after="60"/>
      <w:outlineLvl w:val="3"/>
    </w:pPr>
    <w:rPr>
      <w:b/>
      <w:bCs/>
      <w:sz w:val="28"/>
      <w:szCs w:val="28"/>
    </w:rPr>
  </w:style>
  <w:style w:type="paragraph" w:styleId="Heading5">
    <w:name w:val="heading 5"/>
    <w:basedOn w:val="Normal"/>
    <w:next w:val="Normal"/>
    <w:qFormat/>
    <w:rsid w:val="00B51A0B"/>
    <w:pPr>
      <w:numPr>
        <w:ilvl w:val="4"/>
        <w:numId w:val="1"/>
      </w:numPr>
      <w:spacing w:before="240" w:after="60"/>
      <w:outlineLvl w:val="4"/>
    </w:pPr>
    <w:rPr>
      <w:b/>
      <w:bCs/>
      <w:i/>
      <w:iCs/>
      <w:sz w:val="26"/>
      <w:szCs w:val="26"/>
    </w:rPr>
  </w:style>
  <w:style w:type="paragraph" w:styleId="Heading6">
    <w:name w:val="heading 6"/>
    <w:basedOn w:val="Normal"/>
    <w:next w:val="Normal"/>
    <w:qFormat/>
    <w:rsid w:val="00B51A0B"/>
    <w:pPr>
      <w:numPr>
        <w:ilvl w:val="5"/>
        <w:numId w:val="1"/>
      </w:numPr>
      <w:spacing w:before="240" w:after="60"/>
      <w:outlineLvl w:val="5"/>
    </w:pPr>
    <w:rPr>
      <w:b/>
      <w:bCs/>
      <w:sz w:val="22"/>
      <w:szCs w:val="22"/>
    </w:rPr>
  </w:style>
  <w:style w:type="paragraph" w:styleId="Heading7">
    <w:name w:val="heading 7"/>
    <w:basedOn w:val="Normal"/>
    <w:next w:val="Normal"/>
    <w:qFormat/>
    <w:rsid w:val="00B51A0B"/>
    <w:pPr>
      <w:numPr>
        <w:ilvl w:val="6"/>
        <w:numId w:val="1"/>
      </w:numPr>
      <w:spacing w:before="240" w:after="60"/>
      <w:outlineLvl w:val="6"/>
    </w:pPr>
  </w:style>
  <w:style w:type="paragraph" w:styleId="Heading8">
    <w:name w:val="heading 8"/>
    <w:basedOn w:val="Normal"/>
    <w:next w:val="Normal"/>
    <w:qFormat/>
    <w:rsid w:val="00B51A0B"/>
    <w:pPr>
      <w:numPr>
        <w:ilvl w:val="7"/>
        <w:numId w:val="1"/>
      </w:numPr>
      <w:spacing w:before="240" w:after="60"/>
      <w:outlineLvl w:val="7"/>
    </w:pPr>
    <w:rPr>
      <w:i/>
      <w:iCs/>
    </w:rPr>
  </w:style>
  <w:style w:type="paragraph" w:styleId="Heading9">
    <w:name w:val="heading 9"/>
    <w:basedOn w:val="Normal"/>
    <w:next w:val="Normal"/>
    <w:qFormat/>
    <w:rsid w:val="00B51A0B"/>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32344"/>
    <w:pPr>
      <w:tabs>
        <w:tab w:val="center" w:pos="4680"/>
        <w:tab w:val="right" w:pos="9360"/>
      </w:tabs>
    </w:pPr>
  </w:style>
  <w:style w:type="paragraph" w:styleId="Footer">
    <w:name w:val="footer"/>
    <w:basedOn w:val="Normal"/>
    <w:rsid w:val="00C32344"/>
    <w:pPr>
      <w:tabs>
        <w:tab w:val="center" w:pos="4680"/>
        <w:tab w:val="right" w:pos="9360"/>
      </w:tabs>
    </w:pPr>
  </w:style>
  <w:style w:type="paragraph" w:customStyle="1" w:styleId="Style1">
    <w:name w:val="Style1"/>
    <w:basedOn w:val="Heading1"/>
    <w:rsid w:val="00B51A0B"/>
  </w:style>
  <w:style w:type="paragraph" w:styleId="TOC2">
    <w:name w:val="toc 2"/>
    <w:basedOn w:val="Normal"/>
    <w:next w:val="Normal"/>
    <w:autoRedefine/>
    <w:uiPriority w:val="39"/>
    <w:rsid w:val="00A31DBE"/>
    <w:pPr>
      <w:tabs>
        <w:tab w:val="right" w:leader="dot" w:pos="9710"/>
      </w:tabs>
      <w:ind w:left="792" w:hanging="432"/>
    </w:pPr>
  </w:style>
  <w:style w:type="paragraph" w:styleId="TOC1">
    <w:name w:val="toc 1"/>
    <w:basedOn w:val="Normal"/>
    <w:next w:val="Normal"/>
    <w:autoRedefine/>
    <w:uiPriority w:val="39"/>
    <w:rsid w:val="00A31DBE"/>
    <w:pPr>
      <w:ind w:left="360" w:hanging="360"/>
      <w:outlineLvl w:val="0"/>
    </w:pPr>
  </w:style>
  <w:style w:type="character" w:styleId="Hyperlink">
    <w:name w:val="Hyperlink"/>
    <w:basedOn w:val="DefaultParagraphFont"/>
    <w:uiPriority w:val="99"/>
    <w:rsid w:val="009D30AC"/>
    <w:rPr>
      <w:color w:val="0000FF"/>
      <w:u w:val="single"/>
    </w:rPr>
  </w:style>
  <w:style w:type="character" w:styleId="FootnoteReference">
    <w:name w:val="footnote reference"/>
    <w:rsid w:val="00B62D96"/>
    <w:rPr>
      <w:rFonts w:ascii="Times New Roman" w:hAnsi="Times New Roman" w:cs="Times New Roman"/>
    </w:rPr>
  </w:style>
  <w:style w:type="character" w:customStyle="1" w:styleId="Hypertext">
    <w:name w:val="Hypertext"/>
    <w:rsid w:val="00B62D96"/>
    <w:rPr>
      <w:rFonts w:ascii="Times New Roman" w:hAnsi="Times New Roman" w:cs="Times New Roman"/>
      <w:color w:val="0000FF"/>
      <w:u w:val="single"/>
    </w:rPr>
  </w:style>
  <w:style w:type="paragraph" w:styleId="FootnoteText">
    <w:name w:val="footnote text"/>
    <w:basedOn w:val="Normal"/>
    <w:semiHidden/>
    <w:rsid w:val="00B62D96"/>
    <w:rPr>
      <w:sz w:val="20"/>
      <w:szCs w:val="20"/>
    </w:rPr>
  </w:style>
  <w:style w:type="paragraph" w:customStyle="1" w:styleId="Level1">
    <w:name w:val="Level 1"/>
    <w:basedOn w:val="Normal"/>
    <w:rsid w:val="00802E2A"/>
    <w:pPr>
      <w:numPr>
        <w:numId w:val="7"/>
      </w:numPr>
      <w:tabs>
        <w:tab w:val="left" w:pos="-1440"/>
      </w:tabs>
    </w:pPr>
  </w:style>
  <w:style w:type="character" w:styleId="PageNumber">
    <w:name w:val="page number"/>
    <w:basedOn w:val="DefaultParagraphFont"/>
    <w:rsid w:val="00C86212"/>
  </w:style>
  <w:style w:type="paragraph" w:styleId="TOC3">
    <w:name w:val="toc 3"/>
    <w:basedOn w:val="Normal"/>
    <w:next w:val="Normal"/>
    <w:autoRedefine/>
    <w:uiPriority w:val="39"/>
    <w:rsid w:val="0046707F"/>
    <w:pPr>
      <w:tabs>
        <w:tab w:val="left" w:pos="1512"/>
        <w:tab w:val="right" w:leader="dot" w:pos="9710"/>
      </w:tabs>
      <w:ind w:left="1080" w:hanging="288"/>
    </w:pPr>
  </w:style>
  <w:style w:type="paragraph" w:styleId="BalloonText">
    <w:name w:val="Balloon Text"/>
    <w:basedOn w:val="Normal"/>
    <w:semiHidden/>
    <w:rsid w:val="0017121E"/>
    <w:rPr>
      <w:rFonts w:ascii="Tahoma" w:hAnsi="Tahoma" w:cs="Tahoma"/>
      <w:sz w:val="16"/>
      <w:szCs w:val="16"/>
    </w:rPr>
  </w:style>
  <w:style w:type="character" w:styleId="FollowedHyperlink">
    <w:name w:val="FollowedHyperlink"/>
    <w:basedOn w:val="DefaultParagraphFont"/>
    <w:rsid w:val="009D3CEE"/>
    <w:rPr>
      <w:color w:val="800080"/>
      <w:u w:val="single"/>
    </w:rPr>
  </w:style>
  <w:style w:type="paragraph" w:styleId="TOC4">
    <w:name w:val="toc 4"/>
    <w:basedOn w:val="Normal"/>
    <w:next w:val="Normal"/>
    <w:autoRedefine/>
    <w:semiHidden/>
    <w:rsid w:val="00805571"/>
    <w:pPr>
      <w:ind w:left="1512" w:hanging="360"/>
    </w:pPr>
  </w:style>
  <w:style w:type="paragraph" w:styleId="TOC5">
    <w:name w:val="toc 5"/>
    <w:basedOn w:val="Normal"/>
    <w:next w:val="Normal"/>
    <w:autoRedefine/>
    <w:uiPriority w:val="39"/>
    <w:rsid w:val="0046707F"/>
    <w:pPr>
      <w:tabs>
        <w:tab w:val="right" w:leader="dot" w:pos="9710"/>
      </w:tabs>
      <w:ind w:left="1800" w:hanging="720"/>
    </w:pPr>
  </w:style>
  <w:style w:type="character" w:styleId="CommentReference">
    <w:name w:val="annotation reference"/>
    <w:basedOn w:val="DefaultParagraphFont"/>
    <w:semiHidden/>
    <w:unhideWhenUsed/>
    <w:rsid w:val="0003363F"/>
    <w:rPr>
      <w:sz w:val="16"/>
      <w:szCs w:val="16"/>
    </w:rPr>
  </w:style>
  <w:style w:type="paragraph" w:styleId="CommentText">
    <w:name w:val="annotation text"/>
    <w:basedOn w:val="Normal"/>
    <w:link w:val="CommentTextChar"/>
    <w:semiHidden/>
    <w:unhideWhenUsed/>
    <w:rsid w:val="0003363F"/>
    <w:rPr>
      <w:sz w:val="20"/>
      <w:szCs w:val="20"/>
    </w:rPr>
  </w:style>
  <w:style w:type="character" w:customStyle="1" w:styleId="CommentTextChar">
    <w:name w:val="Comment Text Char"/>
    <w:basedOn w:val="DefaultParagraphFont"/>
    <w:link w:val="CommentText"/>
    <w:semiHidden/>
    <w:rsid w:val="0003363F"/>
  </w:style>
  <w:style w:type="paragraph" w:styleId="CommentSubject">
    <w:name w:val="annotation subject"/>
    <w:basedOn w:val="CommentText"/>
    <w:next w:val="CommentText"/>
    <w:link w:val="CommentSubjectChar"/>
    <w:semiHidden/>
    <w:unhideWhenUsed/>
    <w:rsid w:val="0003363F"/>
    <w:rPr>
      <w:b/>
      <w:bCs/>
    </w:rPr>
  </w:style>
  <w:style w:type="character" w:customStyle="1" w:styleId="CommentSubjectChar">
    <w:name w:val="Comment Subject Char"/>
    <w:basedOn w:val="CommentTextChar"/>
    <w:link w:val="CommentSubject"/>
    <w:semiHidden/>
    <w:rsid w:val="000336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3979">
      <w:bodyDiv w:val="1"/>
      <w:marLeft w:val="0"/>
      <w:marRight w:val="0"/>
      <w:marTop w:val="0"/>
      <w:marBottom w:val="0"/>
      <w:divBdr>
        <w:top w:val="none" w:sz="0" w:space="0" w:color="auto"/>
        <w:left w:val="none" w:sz="0" w:space="0" w:color="auto"/>
        <w:bottom w:val="none" w:sz="0" w:space="0" w:color="auto"/>
        <w:right w:val="none" w:sz="0" w:space="0" w:color="auto"/>
      </w:divBdr>
    </w:div>
    <w:div w:id="41634872">
      <w:bodyDiv w:val="1"/>
      <w:marLeft w:val="0"/>
      <w:marRight w:val="0"/>
      <w:marTop w:val="0"/>
      <w:marBottom w:val="0"/>
      <w:divBdr>
        <w:top w:val="none" w:sz="0" w:space="0" w:color="auto"/>
        <w:left w:val="none" w:sz="0" w:space="0" w:color="auto"/>
        <w:bottom w:val="none" w:sz="0" w:space="0" w:color="auto"/>
        <w:right w:val="none" w:sz="0" w:space="0" w:color="auto"/>
      </w:divBdr>
    </w:div>
    <w:div w:id="50348699">
      <w:bodyDiv w:val="1"/>
      <w:marLeft w:val="0"/>
      <w:marRight w:val="0"/>
      <w:marTop w:val="0"/>
      <w:marBottom w:val="0"/>
      <w:divBdr>
        <w:top w:val="none" w:sz="0" w:space="0" w:color="auto"/>
        <w:left w:val="none" w:sz="0" w:space="0" w:color="auto"/>
        <w:bottom w:val="none" w:sz="0" w:space="0" w:color="auto"/>
        <w:right w:val="none" w:sz="0" w:space="0" w:color="auto"/>
      </w:divBdr>
    </w:div>
    <w:div w:id="50350621">
      <w:bodyDiv w:val="1"/>
      <w:marLeft w:val="0"/>
      <w:marRight w:val="0"/>
      <w:marTop w:val="0"/>
      <w:marBottom w:val="0"/>
      <w:divBdr>
        <w:top w:val="none" w:sz="0" w:space="0" w:color="auto"/>
        <w:left w:val="none" w:sz="0" w:space="0" w:color="auto"/>
        <w:bottom w:val="none" w:sz="0" w:space="0" w:color="auto"/>
        <w:right w:val="none" w:sz="0" w:space="0" w:color="auto"/>
      </w:divBdr>
    </w:div>
    <w:div w:id="52390877">
      <w:bodyDiv w:val="1"/>
      <w:marLeft w:val="0"/>
      <w:marRight w:val="0"/>
      <w:marTop w:val="0"/>
      <w:marBottom w:val="0"/>
      <w:divBdr>
        <w:top w:val="none" w:sz="0" w:space="0" w:color="auto"/>
        <w:left w:val="none" w:sz="0" w:space="0" w:color="auto"/>
        <w:bottom w:val="none" w:sz="0" w:space="0" w:color="auto"/>
        <w:right w:val="none" w:sz="0" w:space="0" w:color="auto"/>
      </w:divBdr>
    </w:div>
    <w:div w:id="61756585">
      <w:bodyDiv w:val="1"/>
      <w:marLeft w:val="0"/>
      <w:marRight w:val="0"/>
      <w:marTop w:val="0"/>
      <w:marBottom w:val="0"/>
      <w:divBdr>
        <w:top w:val="none" w:sz="0" w:space="0" w:color="auto"/>
        <w:left w:val="none" w:sz="0" w:space="0" w:color="auto"/>
        <w:bottom w:val="none" w:sz="0" w:space="0" w:color="auto"/>
        <w:right w:val="none" w:sz="0" w:space="0" w:color="auto"/>
      </w:divBdr>
    </w:div>
    <w:div w:id="73087847">
      <w:bodyDiv w:val="1"/>
      <w:marLeft w:val="0"/>
      <w:marRight w:val="0"/>
      <w:marTop w:val="0"/>
      <w:marBottom w:val="0"/>
      <w:divBdr>
        <w:top w:val="none" w:sz="0" w:space="0" w:color="auto"/>
        <w:left w:val="none" w:sz="0" w:space="0" w:color="auto"/>
        <w:bottom w:val="none" w:sz="0" w:space="0" w:color="auto"/>
        <w:right w:val="none" w:sz="0" w:space="0" w:color="auto"/>
      </w:divBdr>
    </w:div>
    <w:div w:id="88891498">
      <w:bodyDiv w:val="1"/>
      <w:marLeft w:val="0"/>
      <w:marRight w:val="0"/>
      <w:marTop w:val="0"/>
      <w:marBottom w:val="0"/>
      <w:divBdr>
        <w:top w:val="none" w:sz="0" w:space="0" w:color="auto"/>
        <w:left w:val="none" w:sz="0" w:space="0" w:color="auto"/>
        <w:bottom w:val="none" w:sz="0" w:space="0" w:color="auto"/>
        <w:right w:val="none" w:sz="0" w:space="0" w:color="auto"/>
      </w:divBdr>
    </w:div>
    <w:div w:id="90012420">
      <w:bodyDiv w:val="1"/>
      <w:marLeft w:val="0"/>
      <w:marRight w:val="0"/>
      <w:marTop w:val="0"/>
      <w:marBottom w:val="0"/>
      <w:divBdr>
        <w:top w:val="none" w:sz="0" w:space="0" w:color="auto"/>
        <w:left w:val="none" w:sz="0" w:space="0" w:color="auto"/>
        <w:bottom w:val="none" w:sz="0" w:space="0" w:color="auto"/>
        <w:right w:val="none" w:sz="0" w:space="0" w:color="auto"/>
      </w:divBdr>
    </w:div>
    <w:div w:id="90398976">
      <w:bodyDiv w:val="1"/>
      <w:marLeft w:val="0"/>
      <w:marRight w:val="0"/>
      <w:marTop w:val="0"/>
      <w:marBottom w:val="0"/>
      <w:divBdr>
        <w:top w:val="none" w:sz="0" w:space="0" w:color="auto"/>
        <w:left w:val="none" w:sz="0" w:space="0" w:color="auto"/>
        <w:bottom w:val="none" w:sz="0" w:space="0" w:color="auto"/>
        <w:right w:val="none" w:sz="0" w:space="0" w:color="auto"/>
      </w:divBdr>
    </w:div>
    <w:div w:id="109782311">
      <w:bodyDiv w:val="1"/>
      <w:marLeft w:val="0"/>
      <w:marRight w:val="0"/>
      <w:marTop w:val="0"/>
      <w:marBottom w:val="0"/>
      <w:divBdr>
        <w:top w:val="none" w:sz="0" w:space="0" w:color="auto"/>
        <w:left w:val="none" w:sz="0" w:space="0" w:color="auto"/>
        <w:bottom w:val="none" w:sz="0" w:space="0" w:color="auto"/>
        <w:right w:val="none" w:sz="0" w:space="0" w:color="auto"/>
      </w:divBdr>
    </w:div>
    <w:div w:id="110706927">
      <w:bodyDiv w:val="1"/>
      <w:marLeft w:val="0"/>
      <w:marRight w:val="0"/>
      <w:marTop w:val="0"/>
      <w:marBottom w:val="0"/>
      <w:divBdr>
        <w:top w:val="none" w:sz="0" w:space="0" w:color="auto"/>
        <w:left w:val="none" w:sz="0" w:space="0" w:color="auto"/>
        <w:bottom w:val="none" w:sz="0" w:space="0" w:color="auto"/>
        <w:right w:val="none" w:sz="0" w:space="0" w:color="auto"/>
      </w:divBdr>
    </w:div>
    <w:div w:id="131411603">
      <w:bodyDiv w:val="1"/>
      <w:marLeft w:val="0"/>
      <w:marRight w:val="0"/>
      <w:marTop w:val="0"/>
      <w:marBottom w:val="0"/>
      <w:divBdr>
        <w:top w:val="none" w:sz="0" w:space="0" w:color="auto"/>
        <w:left w:val="none" w:sz="0" w:space="0" w:color="auto"/>
        <w:bottom w:val="none" w:sz="0" w:space="0" w:color="auto"/>
        <w:right w:val="none" w:sz="0" w:space="0" w:color="auto"/>
      </w:divBdr>
    </w:div>
    <w:div w:id="142432812">
      <w:bodyDiv w:val="1"/>
      <w:marLeft w:val="0"/>
      <w:marRight w:val="0"/>
      <w:marTop w:val="0"/>
      <w:marBottom w:val="0"/>
      <w:divBdr>
        <w:top w:val="none" w:sz="0" w:space="0" w:color="auto"/>
        <w:left w:val="none" w:sz="0" w:space="0" w:color="auto"/>
        <w:bottom w:val="none" w:sz="0" w:space="0" w:color="auto"/>
        <w:right w:val="none" w:sz="0" w:space="0" w:color="auto"/>
      </w:divBdr>
    </w:div>
    <w:div w:id="147796040">
      <w:bodyDiv w:val="1"/>
      <w:marLeft w:val="0"/>
      <w:marRight w:val="0"/>
      <w:marTop w:val="0"/>
      <w:marBottom w:val="0"/>
      <w:divBdr>
        <w:top w:val="none" w:sz="0" w:space="0" w:color="auto"/>
        <w:left w:val="none" w:sz="0" w:space="0" w:color="auto"/>
        <w:bottom w:val="none" w:sz="0" w:space="0" w:color="auto"/>
        <w:right w:val="none" w:sz="0" w:space="0" w:color="auto"/>
      </w:divBdr>
    </w:div>
    <w:div w:id="152795866">
      <w:bodyDiv w:val="1"/>
      <w:marLeft w:val="0"/>
      <w:marRight w:val="0"/>
      <w:marTop w:val="0"/>
      <w:marBottom w:val="0"/>
      <w:divBdr>
        <w:top w:val="none" w:sz="0" w:space="0" w:color="auto"/>
        <w:left w:val="none" w:sz="0" w:space="0" w:color="auto"/>
        <w:bottom w:val="none" w:sz="0" w:space="0" w:color="auto"/>
        <w:right w:val="none" w:sz="0" w:space="0" w:color="auto"/>
      </w:divBdr>
    </w:div>
    <w:div w:id="153644710">
      <w:bodyDiv w:val="1"/>
      <w:marLeft w:val="0"/>
      <w:marRight w:val="0"/>
      <w:marTop w:val="0"/>
      <w:marBottom w:val="0"/>
      <w:divBdr>
        <w:top w:val="none" w:sz="0" w:space="0" w:color="auto"/>
        <w:left w:val="none" w:sz="0" w:space="0" w:color="auto"/>
        <w:bottom w:val="none" w:sz="0" w:space="0" w:color="auto"/>
        <w:right w:val="none" w:sz="0" w:space="0" w:color="auto"/>
      </w:divBdr>
    </w:div>
    <w:div w:id="157115971">
      <w:bodyDiv w:val="1"/>
      <w:marLeft w:val="0"/>
      <w:marRight w:val="0"/>
      <w:marTop w:val="0"/>
      <w:marBottom w:val="0"/>
      <w:divBdr>
        <w:top w:val="none" w:sz="0" w:space="0" w:color="auto"/>
        <w:left w:val="none" w:sz="0" w:space="0" w:color="auto"/>
        <w:bottom w:val="none" w:sz="0" w:space="0" w:color="auto"/>
        <w:right w:val="none" w:sz="0" w:space="0" w:color="auto"/>
      </w:divBdr>
    </w:div>
    <w:div w:id="160589877">
      <w:bodyDiv w:val="1"/>
      <w:marLeft w:val="0"/>
      <w:marRight w:val="0"/>
      <w:marTop w:val="0"/>
      <w:marBottom w:val="0"/>
      <w:divBdr>
        <w:top w:val="none" w:sz="0" w:space="0" w:color="auto"/>
        <w:left w:val="none" w:sz="0" w:space="0" w:color="auto"/>
        <w:bottom w:val="none" w:sz="0" w:space="0" w:color="auto"/>
        <w:right w:val="none" w:sz="0" w:space="0" w:color="auto"/>
      </w:divBdr>
    </w:div>
    <w:div w:id="166798968">
      <w:bodyDiv w:val="1"/>
      <w:marLeft w:val="0"/>
      <w:marRight w:val="0"/>
      <w:marTop w:val="0"/>
      <w:marBottom w:val="0"/>
      <w:divBdr>
        <w:top w:val="none" w:sz="0" w:space="0" w:color="auto"/>
        <w:left w:val="none" w:sz="0" w:space="0" w:color="auto"/>
        <w:bottom w:val="none" w:sz="0" w:space="0" w:color="auto"/>
        <w:right w:val="none" w:sz="0" w:space="0" w:color="auto"/>
      </w:divBdr>
    </w:div>
    <w:div w:id="168064839">
      <w:bodyDiv w:val="1"/>
      <w:marLeft w:val="0"/>
      <w:marRight w:val="0"/>
      <w:marTop w:val="0"/>
      <w:marBottom w:val="0"/>
      <w:divBdr>
        <w:top w:val="none" w:sz="0" w:space="0" w:color="auto"/>
        <w:left w:val="none" w:sz="0" w:space="0" w:color="auto"/>
        <w:bottom w:val="none" w:sz="0" w:space="0" w:color="auto"/>
        <w:right w:val="none" w:sz="0" w:space="0" w:color="auto"/>
      </w:divBdr>
    </w:div>
    <w:div w:id="179246174">
      <w:bodyDiv w:val="1"/>
      <w:marLeft w:val="0"/>
      <w:marRight w:val="0"/>
      <w:marTop w:val="0"/>
      <w:marBottom w:val="0"/>
      <w:divBdr>
        <w:top w:val="none" w:sz="0" w:space="0" w:color="auto"/>
        <w:left w:val="none" w:sz="0" w:space="0" w:color="auto"/>
        <w:bottom w:val="none" w:sz="0" w:space="0" w:color="auto"/>
        <w:right w:val="none" w:sz="0" w:space="0" w:color="auto"/>
      </w:divBdr>
    </w:div>
    <w:div w:id="183708951">
      <w:bodyDiv w:val="1"/>
      <w:marLeft w:val="0"/>
      <w:marRight w:val="0"/>
      <w:marTop w:val="0"/>
      <w:marBottom w:val="0"/>
      <w:divBdr>
        <w:top w:val="none" w:sz="0" w:space="0" w:color="auto"/>
        <w:left w:val="none" w:sz="0" w:space="0" w:color="auto"/>
        <w:bottom w:val="none" w:sz="0" w:space="0" w:color="auto"/>
        <w:right w:val="none" w:sz="0" w:space="0" w:color="auto"/>
      </w:divBdr>
    </w:div>
    <w:div w:id="188303372">
      <w:bodyDiv w:val="1"/>
      <w:marLeft w:val="0"/>
      <w:marRight w:val="0"/>
      <w:marTop w:val="0"/>
      <w:marBottom w:val="0"/>
      <w:divBdr>
        <w:top w:val="none" w:sz="0" w:space="0" w:color="auto"/>
        <w:left w:val="none" w:sz="0" w:space="0" w:color="auto"/>
        <w:bottom w:val="none" w:sz="0" w:space="0" w:color="auto"/>
        <w:right w:val="none" w:sz="0" w:space="0" w:color="auto"/>
      </w:divBdr>
    </w:div>
    <w:div w:id="194345980">
      <w:bodyDiv w:val="1"/>
      <w:marLeft w:val="0"/>
      <w:marRight w:val="0"/>
      <w:marTop w:val="0"/>
      <w:marBottom w:val="0"/>
      <w:divBdr>
        <w:top w:val="none" w:sz="0" w:space="0" w:color="auto"/>
        <w:left w:val="none" w:sz="0" w:space="0" w:color="auto"/>
        <w:bottom w:val="none" w:sz="0" w:space="0" w:color="auto"/>
        <w:right w:val="none" w:sz="0" w:space="0" w:color="auto"/>
      </w:divBdr>
    </w:div>
    <w:div w:id="196935940">
      <w:bodyDiv w:val="1"/>
      <w:marLeft w:val="0"/>
      <w:marRight w:val="0"/>
      <w:marTop w:val="0"/>
      <w:marBottom w:val="0"/>
      <w:divBdr>
        <w:top w:val="none" w:sz="0" w:space="0" w:color="auto"/>
        <w:left w:val="none" w:sz="0" w:space="0" w:color="auto"/>
        <w:bottom w:val="none" w:sz="0" w:space="0" w:color="auto"/>
        <w:right w:val="none" w:sz="0" w:space="0" w:color="auto"/>
      </w:divBdr>
    </w:div>
    <w:div w:id="199175010">
      <w:bodyDiv w:val="1"/>
      <w:marLeft w:val="0"/>
      <w:marRight w:val="0"/>
      <w:marTop w:val="0"/>
      <w:marBottom w:val="0"/>
      <w:divBdr>
        <w:top w:val="none" w:sz="0" w:space="0" w:color="auto"/>
        <w:left w:val="none" w:sz="0" w:space="0" w:color="auto"/>
        <w:bottom w:val="none" w:sz="0" w:space="0" w:color="auto"/>
        <w:right w:val="none" w:sz="0" w:space="0" w:color="auto"/>
      </w:divBdr>
    </w:div>
    <w:div w:id="210072956">
      <w:bodyDiv w:val="1"/>
      <w:marLeft w:val="0"/>
      <w:marRight w:val="0"/>
      <w:marTop w:val="0"/>
      <w:marBottom w:val="0"/>
      <w:divBdr>
        <w:top w:val="none" w:sz="0" w:space="0" w:color="auto"/>
        <w:left w:val="none" w:sz="0" w:space="0" w:color="auto"/>
        <w:bottom w:val="none" w:sz="0" w:space="0" w:color="auto"/>
        <w:right w:val="none" w:sz="0" w:space="0" w:color="auto"/>
      </w:divBdr>
    </w:div>
    <w:div w:id="218790156">
      <w:bodyDiv w:val="1"/>
      <w:marLeft w:val="0"/>
      <w:marRight w:val="0"/>
      <w:marTop w:val="0"/>
      <w:marBottom w:val="0"/>
      <w:divBdr>
        <w:top w:val="none" w:sz="0" w:space="0" w:color="auto"/>
        <w:left w:val="none" w:sz="0" w:space="0" w:color="auto"/>
        <w:bottom w:val="none" w:sz="0" w:space="0" w:color="auto"/>
        <w:right w:val="none" w:sz="0" w:space="0" w:color="auto"/>
      </w:divBdr>
    </w:div>
    <w:div w:id="226645614">
      <w:bodyDiv w:val="1"/>
      <w:marLeft w:val="0"/>
      <w:marRight w:val="0"/>
      <w:marTop w:val="0"/>
      <w:marBottom w:val="0"/>
      <w:divBdr>
        <w:top w:val="none" w:sz="0" w:space="0" w:color="auto"/>
        <w:left w:val="none" w:sz="0" w:space="0" w:color="auto"/>
        <w:bottom w:val="none" w:sz="0" w:space="0" w:color="auto"/>
        <w:right w:val="none" w:sz="0" w:space="0" w:color="auto"/>
      </w:divBdr>
    </w:div>
    <w:div w:id="248586864">
      <w:bodyDiv w:val="1"/>
      <w:marLeft w:val="0"/>
      <w:marRight w:val="0"/>
      <w:marTop w:val="0"/>
      <w:marBottom w:val="0"/>
      <w:divBdr>
        <w:top w:val="none" w:sz="0" w:space="0" w:color="auto"/>
        <w:left w:val="none" w:sz="0" w:space="0" w:color="auto"/>
        <w:bottom w:val="none" w:sz="0" w:space="0" w:color="auto"/>
        <w:right w:val="none" w:sz="0" w:space="0" w:color="auto"/>
      </w:divBdr>
    </w:div>
    <w:div w:id="258952305">
      <w:bodyDiv w:val="1"/>
      <w:marLeft w:val="0"/>
      <w:marRight w:val="0"/>
      <w:marTop w:val="0"/>
      <w:marBottom w:val="0"/>
      <w:divBdr>
        <w:top w:val="none" w:sz="0" w:space="0" w:color="auto"/>
        <w:left w:val="none" w:sz="0" w:space="0" w:color="auto"/>
        <w:bottom w:val="none" w:sz="0" w:space="0" w:color="auto"/>
        <w:right w:val="none" w:sz="0" w:space="0" w:color="auto"/>
      </w:divBdr>
    </w:div>
    <w:div w:id="272329692">
      <w:bodyDiv w:val="1"/>
      <w:marLeft w:val="0"/>
      <w:marRight w:val="0"/>
      <w:marTop w:val="0"/>
      <w:marBottom w:val="0"/>
      <w:divBdr>
        <w:top w:val="none" w:sz="0" w:space="0" w:color="auto"/>
        <w:left w:val="none" w:sz="0" w:space="0" w:color="auto"/>
        <w:bottom w:val="none" w:sz="0" w:space="0" w:color="auto"/>
        <w:right w:val="none" w:sz="0" w:space="0" w:color="auto"/>
      </w:divBdr>
    </w:div>
    <w:div w:id="301547748">
      <w:bodyDiv w:val="1"/>
      <w:marLeft w:val="0"/>
      <w:marRight w:val="0"/>
      <w:marTop w:val="0"/>
      <w:marBottom w:val="0"/>
      <w:divBdr>
        <w:top w:val="none" w:sz="0" w:space="0" w:color="auto"/>
        <w:left w:val="none" w:sz="0" w:space="0" w:color="auto"/>
        <w:bottom w:val="none" w:sz="0" w:space="0" w:color="auto"/>
        <w:right w:val="none" w:sz="0" w:space="0" w:color="auto"/>
      </w:divBdr>
    </w:div>
    <w:div w:id="320893505">
      <w:bodyDiv w:val="1"/>
      <w:marLeft w:val="0"/>
      <w:marRight w:val="0"/>
      <w:marTop w:val="0"/>
      <w:marBottom w:val="0"/>
      <w:divBdr>
        <w:top w:val="none" w:sz="0" w:space="0" w:color="auto"/>
        <w:left w:val="none" w:sz="0" w:space="0" w:color="auto"/>
        <w:bottom w:val="none" w:sz="0" w:space="0" w:color="auto"/>
        <w:right w:val="none" w:sz="0" w:space="0" w:color="auto"/>
      </w:divBdr>
    </w:div>
    <w:div w:id="325287829">
      <w:bodyDiv w:val="1"/>
      <w:marLeft w:val="0"/>
      <w:marRight w:val="0"/>
      <w:marTop w:val="0"/>
      <w:marBottom w:val="0"/>
      <w:divBdr>
        <w:top w:val="none" w:sz="0" w:space="0" w:color="auto"/>
        <w:left w:val="none" w:sz="0" w:space="0" w:color="auto"/>
        <w:bottom w:val="none" w:sz="0" w:space="0" w:color="auto"/>
        <w:right w:val="none" w:sz="0" w:space="0" w:color="auto"/>
      </w:divBdr>
    </w:div>
    <w:div w:id="351154588">
      <w:bodyDiv w:val="1"/>
      <w:marLeft w:val="0"/>
      <w:marRight w:val="0"/>
      <w:marTop w:val="0"/>
      <w:marBottom w:val="0"/>
      <w:divBdr>
        <w:top w:val="none" w:sz="0" w:space="0" w:color="auto"/>
        <w:left w:val="none" w:sz="0" w:space="0" w:color="auto"/>
        <w:bottom w:val="none" w:sz="0" w:space="0" w:color="auto"/>
        <w:right w:val="none" w:sz="0" w:space="0" w:color="auto"/>
      </w:divBdr>
    </w:div>
    <w:div w:id="351684205">
      <w:bodyDiv w:val="1"/>
      <w:marLeft w:val="0"/>
      <w:marRight w:val="0"/>
      <w:marTop w:val="0"/>
      <w:marBottom w:val="0"/>
      <w:divBdr>
        <w:top w:val="none" w:sz="0" w:space="0" w:color="auto"/>
        <w:left w:val="none" w:sz="0" w:space="0" w:color="auto"/>
        <w:bottom w:val="none" w:sz="0" w:space="0" w:color="auto"/>
        <w:right w:val="none" w:sz="0" w:space="0" w:color="auto"/>
      </w:divBdr>
    </w:div>
    <w:div w:id="360513537">
      <w:bodyDiv w:val="1"/>
      <w:marLeft w:val="0"/>
      <w:marRight w:val="0"/>
      <w:marTop w:val="0"/>
      <w:marBottom w:val="0"/>
      <w:divBdr>
        <w:top w:val="none" w:sz="0" w:space="0" w:color="auto"/>
        <w:left w:val="none" w:sz="0" w:space="0" w:color="auto"/>
        <w:bottom w:val="none" w:sz="0" w:space="0" w:color="auto"/>
        <w:right w:val="none" w:sz="0" w:space="0" w:color="auto"/>
      </w:divBdr>
    </w:div>
    <w:div w:id="381248510">
      <w:bodyDiv w:val="1"/>
      <w:marLeft w:val="0"/>
      <w:marRight w:val="0"/>
      <w:marTop w:val="0"/>
      <w:marBottom w:val="0"/>
      <w:divBdr>
        <w:top w:val="none" w:sz="0" w:space="0" w:color="auto"/>
        <w:left w:val="none" w:sz="0" w:space="0" w:color="auto"/>
        <w:bottom w:val="none" w:sz="0" w:space="0" w:color="auto"/>
        <w:right w:val="none" w:sz="0" w:space="0" w:color="auto"/>
      </w:divBdr>
    </w:div>
    <w:div w:id="381561269">
      <w:bodyDiv w:val="1"/>
      <w:marLeft w:val="0"/>
      <w:marRight w:val="0"/>
      <w:marTop w:val="0"/>
      <w:marBottom w:val="0"/>
      <w:divBdr>
        <w:top w:val="none" w:sz="0" w:space="0" w:color="auto"/>
        <w:left w:val="none" w:sz="0" w:space="0" w:color="auto"/>
        <w:bottom w:val="none" w:sz="0" w:space="0" w:color="auto"/>
        <w:right w:val="none" w:sz="0" w:space="0" w:color="auto"/>
      </w:divBdr>
    </w:div>
    <w:div w:id="384304054">
      <w:bodyDiv w:val="1"/>
      <w:marLeft w:val="0"/>
      <w:marRight w:val="0"/>
      <w:marTop w:val="0"/>
      <w:marBottom w:val="0"/>
      <w:divBdr>
        <w:top w:val="none" w:sz="0" w:space="0" w:color="auto"/>
        <w:left w:val="none" w:sz="0" w:space="0" w:color="auto"/>
        <w:bottom w:val="none" w:sz="0" w:space="0" w:color="auto"/>
        <w:right w:val="none" w:sz="0" w:space="0" w:color="auto"/>
      </w:divBdr>
    </w:div>
    <w:div w:id="417291609">
      <w:bodyDiv w:val="1"/>
      <w:marLeft w:val="0"/>
      <w:marRight w:val="0"/>
      <w:marTop w:val="0"/>
      <w:marBottom w:val="0"/>
      <w:divBdr>
        <w:top w:val="none" w:sz="0" w:space="0" w:color="auto"/>
        <w:left w:val="none" w:sz="0" w:space="0" w:color="auto"/>
        <w:bottom w:val="none" w:sz="0" w:space="0" w:color="auto"/>
        <w:right w:val="none" w:sz="0" w:space="0" w:color="auto"/>
      </w:divBdr>
    </w:div>
    <w:div w:id="421999964">
      <w:bodyDiv w:val="1"/>
      <w:marLeft w:val="0"/>
      <w:marRight w:val="0"/>
      <w:marTop w:val="0"/>
      <w:marBottom w:val="0"/>
      <w:divBdr>
        <w:top w:val="none" w:sz="0" w:space="0" w:color="auto"/>
        <w:left w:val="none" w:sz="0" w:space="0" w:color="auto"/>
        <w:bottom w:val="none" w:sz="0" w:space="0" w:color="auto"/>
        <w:right w:val="none" w:sz="0" w:space="0" w:color="auto"/>
      </w:divBdr>
    </w:div>
    <w:div w:id="435561783">
      <w:bodyDiv w:val="1"/>
      <w:marLeft w:val="0"/>
      <w:marRight w:val="0"/>
      <w:marTop w:val="0"/>
      <w:marBottom w:val="0"/>
      <w:divBdr>
        <w:top w:val="none" w:sz="0" w:space="0" w:color="auto"/>
        <w:left w:val="none" w:sz="0" w:space="0" w:color="auto"/>
        <w:bottom w:val="none" w:sz="0" w:space="0" w:color="auto"/>
        <w:right w:val="none" w:sz="0" w:space="0" w:color="auto"/>
      </w:divBdr>
    </w:div>
    <w:div w:id="436872513">
      <w:bodyDiv w:val="1"/>
      <w:marLeft w:val="0"/>
      <w:marRight w:val="0"/>
      <w:marTop w:val="0"/>
      <w:marBottom w:val="0"/>
      <w:divBdr>
        <w:top w:val="none" w:sz="0" w:space="0" w:color="auto"/>
        <w:left w:val="none" w:sz="0" w:space="0" w:color="auto"/>
        <w:bottom w:val="none" w:sz="0" w:space="0" w:color="auto"/>
        <w:right w:val="none" w:sz="0" w:space="0" w:color="auto"/>
      </w:divBdr>
    </w:div>
    <w:div w:id="443353340">
      <w:bodyDiv w:val="1"/>
      <w:marLeft w:val="0"/>
      <w:marRight w:val="0"/>
      <w:marTop w:val="0"/>
      <w:marBottom w:val="0"/>
      <w:divBdr>
        <w:top w:val="none" w:sz="0" w:space="0" w:color="auto"/>
        <w:left w:val="none" w:sz="0" w:space="0" w:color="auto"/>
        <w:bottom w:val="none" w:sz="0" w:space="0" w:color="auto"/>
        <w:right w:val="none" w:sz="0" w:space="0" w:color="auto"/>
      </w:divBdr>
    </w:div>
    <w:div w:id="452095122">
      <w:bodyDiv w:val="1"/>
      <w:marLeft w:val="0"/>
      <w:marRight w:val="0"/>
      <w:marTop w:val="0"/>
      <w:marBottom w:val="0"/>
      <w:divBdr>
        <w:top w:val="none" w:sz="0" w:space="0" w:color="auto"/>
        <w:left w:val="none" w:sz="0" w:space="0" w:color="auto"/>
        <w:bottom w:val="none" w:sz="0" w:space="0" w:color="auto"/>
        <w:right w:val="none" w:sz="0" w:space="0" w:color="auto"/>
      </w:divBdr>
    </w:div>
    <w:div w:id="486046409">
      <w:bodyDiv w:val="1"/>
      <w:marLeft w:val="0"/>
      <w:marRight w:val="0"/>
      <w:marTop w:val="0"/>
      <w:marBottom w:val="0"/>
      <w:divBdr>
        <w:top w:val="none" w:sz="0" w:space="0" w:color="auto"/>
        <w:left w:val="none" w:sz="0" w:space="0" w:color="auto"/>
        <w:bottom w:val="none" w:sz="0" w:space="0" w:color="auto"/>
        <w:right w:val="none" w:sz="0" w:space="0" w:color="auto"/>
      </w:divBdr>
    </w:div>
    <w:div w:id="493910384">
      <w:bodyDiv w:val="1"/>
      <w:marLeft w:val="0"/>
      <w:marRight w:val="0"/>
      <w:marTop w:val="0"/>
      <w:marBottom w:val="0"/>
      <w:divBdr>
        <w:top w:val="none" w:sz="0" w:space="0" w:color="auto"/>
        <w:left w:val="none" w:sz="0" w:space="0" w:color="auto"/>
        <w:bottom w:val="none" w:sz="0" w:space="0" w:color="auto"/>
        <w:right w:val="none" w:sz="0" w:space="0" w:color="auto"/>
      </w:divBdr>
    </w:div>
    <w:div w:id="500124931">
      <w:bodyDiv w:val="1"/>
      <w:marLeft w:val="0"/>
      <w:marRight w:val="0"/>
      <w:marTop w:val="0"/>
      <w:marBottom w:val="0"/>
      <w:divBdr>
        <w:top w:val="none" w:sz="0" w:space="0" w:color="auto"/>
        <w:left w:val="none" w:sz="0" w:space="0" w:color="auto"/>
        <w:bottom w:val="none" w:sz="0" w:space="0" w:color="auto"/>
        <w:right w:val="none" w:sz="0" w:space="0" w:color="auto"/>
      </w:divBdr>
    </w:div>
    <w:div w:id="505020869">
      <w:bodyDiv w:val="1"/>
      <w:marLeft w:val="0"/>
      <w:marRight w:val="0"/>
      <w:marTop w:val="0"/>
      <w:marBottom w:val="0"/>
      <w:divBdr>
        <w:top w:val="none" w:sz="0" w:space="0" w:color="auto"/>
        <w:left w:val="none" w:sz="0" w:space="0" w:color="auto"/>
        <w:bottom w:val="none" w:sz="0" w:space="0" w:color="auto"/>
        <w:right w:val="none" w:sz="0" w:space="0" w:color="auto"/>
      </w:divBdr>
    </w:div>
    <w:div w:id="509834457">
      <w:bodyDiv w:val="1"/>
      <w:marLeft w:val="0"/>
      <w:marRight w:val="0"/>
      <w:marTop w:val="0"/>
      <w:marBottom w:val="0"/>
      <w:divBdr>
        <w:top w:val="none" w:sz="0" w:space="0" w:color="auto"/>
        <w:left w:val="none" w:sz="0" w:space="0" w:color="auto"/>
        <w:bottom w:val="none" w:sz="0" w:space="0" w:color="auto"/>
        <w:right w:val="none" w:sz="0" w:space="0" w:color="auto"/>
      </w:divBdr>
    </w:div>
    <w:div w:id="528186369">
      <w:bodyDiv w:val="1"/>
      <w:marLeft w:val="0"/>
      <w:marRight w:val="0"/>
      <w:marTop w:val="0"/>
      <w:marBottom w:val="0"/>
      <w:divBdr>
        <w:top w:val="none" w:sz="0" w:space="0" w:color="auto"/>
        <w:left w:val="none" w:sz="0" w:space="0" w:color="auto"/>
        <w:bottom w:val="none" w:sz="0" w:space="0" w:color="auto"/>
        <w:right w:val="none" w:sz="0" w:space="0" w:color="auto"/>
      </w:divBdr>
    </w:div>
    <w:div w:id="533428202">
      <w:bodyDiv w:val="1"/>
      <w:marLeft w:val="0"/>
      <w:marRight w:val="0"/>
      <w:marTop w:val="0"/>
      <w:marBottom w:val="0"/>
      <w:divBdr>
        <w:top w:val="none" w:sz="0" w:space="0" w:color="auto"/>
        <w:left w:val="none" w:sz="0" w:space="0" w:color="auto"/>
        <w:bottom w:val="none" w:sz="0" w:space="0" w:color="auto"/>
        <w:right w:val="none" w:sz="0" w:space="0" w:color="auto"/>
      </w:divBdr>
    </w:div>
    <w:div w:id="534268720">
      <w:bodyDiv w:val="1"/>
      <w:marLeft w:val="0"/>
      <w:marRight w:val="0"/>
      <w:marTop w:val="0"/>
      <w:marBottom w:val="0"/>
      <w:divBdr>
        <w:top w:val="none" w:sz="0" w:space="0" w:color="auto"/>
        <w:left w:val="none" w:sz="0" w:space="0" w:color="auto"/>
        <w:bottom w:val="none" w:sz="0" w:space="0" w:color="auto"/>
        <w:right w:val="none" w:sz="0" w:space="0" w:color="auto"/>
      </w:divBdr>
    </w:div>
    <w:div w:id="534387240">
      <w:bodyDiv w:val="1"/>
      <w:marLeft w:val="0"/>
      <w:marRight w:val="0"/>
      <w:marTop w:val="0"/>
      <w:marBottom w:val="0"/>
      <w:divBdr>
        <w:top w:val="none" w:sz="0" w:space="0" w:color="auto"/>
        <w:left w:val="none" w:sz="0" w:space="0" w:color="auto"/>
        <w:bottom w:val="none" w:sz="0" w:space="0" w:color="auto"/>
        <w:right w:val="none" w:sz="0" w:space="0" w:color="auto"/>
      </w:divBdr>
    </w:div>
    <w:div w:id="534663619">
      <w:bodyDiv w:val="1"/>
      <w:marLeft w:val="0"/>
      <w:marRight w:val="0"/>
      <w:marTop w:val="0"/>
      <w:marBottom w:val="0"/>
      <w:divBdr>
        <w:top w:val="none" w:sz="0" w:space="0" w:color="auto"/>
        <w:left w:val="none" w:sz="0" w:space="0" w:color="auto"/>
        <w:bottom w:val="none" w:sz="0" w:space="0" w:color="auto"/>
        <w:right w:val="none" w:sz="0" w:space="0" w:color="auto"/>
      </w:divBdr>
    </w:div>
    <w:div w:id="536813132">
      <w:bodyDiv w:val="1"/>
      <w:marLeft w:val="0"/>
      <w:marRight w:val="0"/>
      <w:marTop w:val="0"/>
      <w:marBottom w:val="0"/>
      <w:divBdr>
        <w:top w:val="none" w:sz="0" w:space="0" w:color="auto"/>
        <w:left w:val="none" w:sz="0" w:space="0" w:color="auto"/>
        <w:bottom w:val="none" w:sz="0" w:space="0" w:color="auto"/>
        <w:right w:val="none" w:sz="0" w:space="0" w:color="auto"/>
      </w:divBdr>
    </w:div>
    <w:div w:id="537163474">
      <w:bodyDiv w:val="1"/>
      <w:marLeft w:val="0"/>
      <w:marRight w:val="0"/>
      <w:marTop w:val="0"/>
      <w:marBottom w:val="0"/>
      <w:divBdr>
        <w:top w:val="none" w:sz="0" w:space="0" w:color="auto"/>
        <w:left w:val="none" w:sz="0" w:space="0" w:color="auto"/>
        <w:bottom w:val="none" w:sz="0" w:space="0" w:color="auto"/>
        <w:right w:val="none" w:sz="0" w:space="0" w:color="auto"/>
      </w:divBdr>
    </w:div>
    <w:div w:id="538593433">
      <w:bodyDiv w:val="1"/>
      <w:marLeft w:val="0"/>
      <w:marRight w:val="0"/>
      <w:marTop w:val="0"/>
      <w:marBottom w:val="0"/>
      <w:divBdr>
        <w:top w:val="none" w:sz="0" w:space="0" w:color="auto"/>
        <w:left w:val="none" w:sz="0" w:space="0" w:color="auto"/>
        <w:bottom w:val="none" w:sz="0" w:space="0" w:color="auto"/>
        <w:right w:val="none" w:sz="0" w:space="0" w:color="auto"/>
      </w:divBdr>
    </w:div>
    <w:div w:id="541595042">
      <w:bodyDiv w:val="1"/>
      <w:marLeft w:val="0"/>
      <w:marRight w:val="0"/>
      <w:marTop w:val="0"/>
      <w:marBottom w:val="0"/>
      <w:divBdr>
        <w:top w:val="none" w:sz="0" w:space="0" w:color="auto"/>
        <w:left w:val="none" w:sz="0" w:space="0" w:color="auto"/>
        <w:bottom w:val="none" w:sz="0" w:space="0" w:color="auto"/>
        <w:right w:val="none" w:sz="0" w:space="0" w:color="auto"/>
      </w:divBdr>
    </w:div>
    <w:div w:id="549222724">
      <w:bodyDiv w:val="1"/>
      <w:marLeft w:val="0"/>
      <w:marRight w:val="0"/>
      <w:marTop w:val="0"/>
      <w:marBottom w:val="0"/>
      <w:divBdr>
        <w:top w:val="none" w:sz="0" w:space="0" w:color="auto"/>
        <w:left w:val="none" w:sz="0" w:space="0" w:color="auto"/>
        <w:bottom w:val="none" w:sz="0" w:space="0" w:color="auto"/>
        <w:right w:val="none" w:sz="0" w:space="0" w:color="auto"/>
      </w:divBdr>
    </w:div>
    <w:div w:id="553276427">
      <w:bodyDiv w:val="1"/>
      <w:marLeft w:val="0"/>
      <w:marRight w:val="0"/>
      <w:marTop w:val="0"/>
      <w:marBottom w:val="0"/>
      <w:divBdr>
        <w:top w:val="none" w:sz="0" w:space="0" w:color="auto"/>
        <w:left w:val="none" w:sz="0" w:space="0" w:color="auto"/>
        <w:bottom w:val="none" w:sz="0" w:space="0" w:color="auto"/>
        <w:right w:val="none" w:sz="0" w:space="0" w:color="auto"/>
      </w:divBdr>
    </w:div>
    <w:div w:id="556933993">
      <w:bodyDiv w:val="1"/>
      <w:marLeft w:val="0"/>
      <w:marRight w:val="0"/>
      <w:marTop w:val="0"/>
      <w:marBottom w:val="0"/>
      <w:divBdr>
        <w:top w:val="none" w:sz="0" w:space="0" w:color="auto"/>
        <w:left w:val="none" w:sz="0" w:space="0" w:color="auto"/>
        <w:bottom w:val="none" w:sz="0" w:space="0" w:color="auto"/>
        <w:right w:val="none" w:sz="0" w:space="0" w:color="auto"/>
      </w:divBdr>
    </w:div>
    <w:div w:id="585967477">
      <w:bodyDiv w:val="1"/>
      <w:marLeft w:val="0"/>
      <w:marRight w:val="0"/>
      <w:marTop w:val="0"/>
      <w:marBottom w:val="0"/>
      <w:divBdr>
        <w:top w:val="none" w:sz="0" w:space="0" w:color="auto"/>
        <w:left w:val="none" w:sz="0" w:space="0" w:color="auto"/>
        <w:bottom w:val="none" w:sz="0" w:space="0" w:color="auto"/>
        <w:right w:val="none" w:sz="0" w:space="0" w:color="auto"/>
      </w:divBdr>
    </w:div>
    <w:div w:id="601839960">
      <w:bodyDiv w:val="1"/>
      <w:marLeft w:val="0"/>
      <w:marRight w:val="0"/>
      <w:marTop w:val="0"/>
      <w:marBottom w:val="0"/>
      <w:divBdr>
        <w:top w:val="none" w:sz="0" w:space="0" w:color="auto"/>
        <w:left w:val="none" w:sz="0" w:space="0" w:color="auto"/>
        <w:bottom w:val="none" w:sz="0" w:space="0" w:color="auto"/>
        <w:right w:val="none" w:sz="0" w:space="0" w:color="auto"/>
      </w:divBdr>
    </w:div>
    <w:div w:id="606238041">
      <w:bodyDiv w:val="1"/>
      <w:marLeft w:val="0"/>
      <w:marRight w:val="0"/>
      <w:marTop w:val="0"/>
      <w:marBottom w:val="0"/>
      <w:divBdr>
        <w:top w:val="none" w:sz="0" w:space="0" w:color="auto"/>
        <w:left w:val="none" w:sz="0" w:space="0" w:color="auto"/>
        <w:bottom w:val="none" w:sz="0" w:space="0" w:color="auto"/>
        <w:right w:val="none" w:sz="0" w:space="0" w:color="auto"/>
      </w:divBdr>
    </w:div>
    <w:div w:id="617642014">
      <w:bodyDiv w:val="1"/>
      <w:marLeft w:val="0"/>
      <w:marRight w:val="0"/>
      <w:marTop w:val="0"/>
      <w:marBottom w:val="0"/>
      <w:divBdr>
        <w:top w:val="none" w:sz="0" w:space="0" w:color="auto"/>
        <w:left w:val="none" w:sz="0" w:space="0" w:color="auto"/>
        <w:bottom w:val="none" w:sz="0" w:space="0" w:color="auto"/>
        <w:right w:val="none" w:sz="0" w:space="0" w:color="auto"/>
      </w:divBdr>
    </w:div>
    <w:div w:id="623122134">
      <w:bodyDiv w:val="1"/>
      <w:marLeft w:val="0"/>
      <w:marRight w:val="0"/>
      <w:marTop w:val="0"/>
      <w:marBottom w:val="0"/>
      <w:divBdr>
        <w:top w:val="none" w:sz="0" w:space="0" w:color="auto"/>
        <w:left w:val="none" w:sz="0" w:space="0" w:color="auto"/>
        <w:bottom w:val="none" w:sz="0" w:space="0" w:color="auto"/>
        <w:right w:val="none" w:sz="0" w:space="0" w:color="auto"/>
      </w:divBdr>
    </w:div>
    <w:div w:id="625745967">
      <w:bodyDiv w:val="1"/>
      <w:marLeft w:val="0"/>
      <w:marRight w:val="0"/>
      <w:marTop w:val="0"/>
      <w:marBottom w:val="0"/>
      <w:divBdr>
        <w:top w:val="none" w:sz="0" w:space="0" w:color="auto"/>
        <w:left w:val="none" w:sz="0" w:space="0" w:color="auto"/>
        <w:bottom w:val="none" w:sz="0" w:space="0" w:color="auto"/>
        <w:right w:val="none" w:sz="0" w:space="0" w:color="auto"/>
      </w:divBdr>
    </w:div>
    <w:div w:id="627398932">
      <w:bodyDiv w:val="1"/>
      <w:marLeft w:val="0"/>
      <w:marRight w:val="0"/>
      <w:marTop w:val="0"/>
      <w:marBottom w:val="0"/>
      <w:divBdr>
        <w:top w:val="none" w:sz="0" w:space="0" w:color="auto"/>
        <w:left w:val="none" w:sz="0" w:space="0" w:color="auto"/>
        <w:bottom w:val="none" w:sz="0" w:space="0" w:color="auto"/>
        <w:right w:val="none" w:sz="0" w:space="0" w:color="auto"/>
      </w:divBdr>
    </w:div>
    <w:div w:id="636759290">
      <w:bodyDiv w:val="1"/>
      <w:marLeft w:val="0"/>
      <w:marRight w:val="0"/>
      <w:marTop w:val="0"/>
      <w:marBottom w:val="0"/>
      <w:divBdr>
        <w:top w:val="none" w:sz="0" w:space="0" w:color="auto"/>
        <w:left w:val="none" w:sz="0" w:space="0" w:color="auto"/>
        <w:bottom w:val="none" w:sz="0" w:space="0" w:color="auto"/>
        <w:right w:val="none" w:sz="0" w:space="0" w:color="auto"/>
      </w:divBdr>
    </w:div>
    <w:div w:id="650450797">
      <w:bodyDiv w:val="1"/>
      <w:marLeft w:val="0"/>
      <w:marRight w:val="0"/>
      <w:marTop w:val="0"/>
      <w:marBottom w:val="0"/>
      <w:divBdr>
        <w:top w:val="none" w:sz="0" w:space="0" w:color="auto"/>
        <w:left w:val="none" w:sz="0" w:space="0" w:color="auto"/>
        <w:bottom w:val="none" w:sz="0" w:space="0" w:color="auto"/>
        <w:right w:val="none" w:sz="0" w:space="0" w:color="auto"/>
      </w:divBdr>
    </w:div>
    <w:div w:id="675884544">
      <w:bodyDiv w:val="1"/>
      <w:marLeft w:val="0"/>
      <w:marRight w:val="0"/>
      <w:marTop w:val="0"/>
      <w:marBottom w:val="0"/>
      <w:divBdr>
        <w:top w:val="none" w:sz="0" w:space="0" w:color="auto"/>
        <w:left w:val="none" w:sz="0" w:space="0" w:color="auto"/>
        <w:bottom w:val="none" w:sz="0" w:space="0" w:color="auto"/>
        <w:right w:val="none" w:sz="0" w:space="0" w:color="auto"/>
      </w:divBdr>
    </w:div>
    <w:div w:id="689451835">
      <w:bodyDiv w:val="1"/>
      <w:marLeft w:val="0"/>
      <w:marRight w:val="0"/>
      <w:marTop w:val="0"/>
      <w:marBottom w:val="0"/>
      <w:divBdr>
        <w:top w:val="none" w:sz="0" w:space="0" w:color="auto"/>
        <w:left w:val="none" w:sz="0" w:space="0" w:color="auto"/>
        <w:bottom w:val="none" w:sz="0" w:space="0" w:color="auto"/>
        <w:right w:val="none" w:sz="0" w:space="0" w:color="auto"/>
      </w:divBdr>
    </w:div>
    <w:div w:id="692389898">
      <w:bodyDiv w:val="1"/>
      <w:marLeft w:val="0"/>
      <w:marRight w:val="0"/>
      <w:marTop w:val="0"/>
      <w:marBottom w:val="0"/>
      <w:divBdr>
        <w:top w:val="none" w:sz="0" w:space="0" w:color="auto"/>
        <w:left w:val="none" w:sz="0" w:space="0" w:color="auto"/>
        <w:bottom w:val="none" w:sz="0" w:space="0" w:color="auto"/>
        <w:right w:val="none" w:sz="0" w:space="0" w:color="auto"/>
      </w:divBdr>
    </w:div>
    <w:div w:id="697049848">
      <w:bodyDiv w:val="1"/>
      <w:marLeft w:val="0"/>
      <w:marRight w:val="0"/>
      <w:marTop w:val="0"/>
      <w:marBottom w:val="0"/>
      <w:divBdr>
        <w:top w:val="none" w:sz="0" w:space="0" w:color="auto"/>
        <w:left w:val="none" w:sz="0" w:space="0" w:color="auto"/>
        <w:bottom w:val="none" w:sz="0" w:space="0" w:color="auto"/>
        <w:right w:val="none" w:sz="0" w:space="0" w:color="auto"/>
      </w:divBdr>
    </w:div>
    <w:div w:id="705646327">
      <w:bodyDiv w:val="1"/>
      <w:marLeft w:val="0"/>
      <w:marRight w:val="0"/>
      <w:marTop w:val="0"/>
      <w:marBottom w:val="0"/>
      <w:divBdr>
        <w:top w:val="none" w:sz="0" w:space="0" w:color="auto"/>
        <w:left w:val="none" w:sz="0" w:space="0" w:color="auto"/>
        <w:bottom w:val="none" w:sz="0" w:space="0" w:color="auto"/>
        <w:right w:val="none" w:sz="0" w:space="0" w:color="auto"/>
      </w:divBdr>
    </w:div>
    <w:div w:id="720980879">
      <w:bodyDiv w:val="1"/>
      <w:marLeft w:val="0"/>
      <w:marRight w:val="0"/>
      <w:marTop w:val="0"/>
      <w:marBottom w:val="0"/>
      <w:divBdr>
        <w:top w:val="none" w:sz="0" w:space="0" w:color="auto"/>
        <w:left w:val="none" w:sz="0" w:space="0" w:color="auto"/>
        <w:bottom w:val="none" w:sz="0" w:space="0" w:color="auto"/>
        <w:right w:val="none" w:sz="0" w:space="0" w:color="auto"/>
      </w:divBdr>
    </w:div>
    <w:div w:id="728529859">
      <w:bodyDiv w:val="1"/>
      <w:marLeft w:val="0"/>
      <w:marRight w:val="0"/>
      <w:marTop w:val="0"/>
      <w:marBottom w:val="0"/>
      <w:divBdr>
        <w:top w:val="none" w:sz="0" w:space="0" w:color="auto"/>
        <w:left w:val="none" w:sz="0" w:space="0" w:color="auto"/>
        <w:bottom w:val="none" w:sz="0" w:space="0" w:color="auto"/>
        <w:right w:val="none" w:sz="0" w:space="0" w:color="auto"/>
      </w:divBdr>
    </w:div>
    <w:div w:id="735709339">
      <w:bodyDiv w:val="1"/>
      <w:marLeft w:val="0"/>
      <w:marRight w:val="0"/>
      <w:marTop w:val="0"/>
      <w:marBottom w:val="0"/>
      <w:divBdr>
        <w:top w:val="none" w:sz="0" w:space="0" w:color="auto"/>
        <w:left w:val="none" w:sz="0" w:space="0" w:color="auto"/>
        <w:bottom w:val="none" w:sz="0" w:space="0" w:color="auto"/>
        <w:right w:val="none" w:sz="0" w:space="0" w:color="auto"/>
      </w:divBdr>
    </w:div>
    <w:div w:id="748187987">
      <w:bodyDiv w:val="1"/>
      <w:marLeft w:val="0"/>
      <w:marRight w:val="0"/>
      <w:marTop w:val="0"/>
      <w:marBottom w:val="0"/>
      <w:divBdr>
        <w:top w:val="none" w:sz="0" w:space="0" w:color="auto"/>
        <w:left w:val="none" w:sz="0" w:space="0" w:color="auto"/>
        <w:bottom w:val="none" w:sz="0" w:space="0" w:color="auto"/>
        <w:right w:val="none" w:sz="0" w:space="0" w:color="auto"/>
      </w:divBdr>
    </w:div>
    <w:div w:id="759452638">
      <w:bodyDiv w:val="1"/>
      <w:marLeft w:val="0"/>
      <w:marRight w:val="0"/>
      <w:marTop w:val="0"/>
      <w:marBottom w:val="0"/>
      <w:divBdr>
        <w:top w:val="none" w:sz="0" w:space="0" w:color="auto"/>
        <w:left w:val="none" w:sz="0" w:space="0" w:color="auto"/>
        <w:bottom w:val="none" w:sz="0" w:space="0" w:color="auto"/>
        <w:right w:val="none" w:sz="0" w:space="0" w:color="auto"/>
      </w:divBdr>
    </w:div>
    <w:div w:id="765538600">
      <w:bodyDiv w:val="1"/>
      <w:marLeft w:val="0"/>
      <w:marRight w:val="0"/>
      <w:marTop w:val="0"/>
      <w:marBottom w:val="0"/>
      <w:divBdr>
        <w:top w:val="none" w:sz="0" w:space="0" w:color="auto"/>
        <w:left w:val="none" w:sz="0" w:space="0" w:color="auto"/>
        <w:bottom w:val="none" w:sz="0" w:space="0" w:color="auto"/>
        <w:right w:val="none" w:sz="0" w:space="0" w:color="auto"/>
      </w:divBdr>
    </w:div>
    <w:div w:id="774133528">
      <w:bodyDiv w:val="1"/>
      <w:marLeft w:val="0"/>
      <w:marRight w:val="0"/>
      <w:marTop w:val="0"/>
      <w:marBottom w:val="0"/>
      <w:divBdr>
        <w:top w:val="none" w:sz="0" w:space="0" w:color="auto"/>
        <w:left w:val="none" w:sz="0" w:space="0" w:color="auto"/>
        <w:bottom w:val="none" w:sz="0" w:space="0" w:color="auto"/>
        <w:right w:val="none" w:sz="0" w:space="0" w:color="auto"/>
      </w:divBdr>
    </w:div>
    <w:div w:id="777337118">
      <w:bodyDiv w:val="1"/>
      <w:marLeft w:val="0"/>
      <w:marRight w:val="0"/>
      <w:marTop w:val="0"/>
      <w:marBottom w:val="0"/>
      <w:divBdr>
        <w:top w:val="none" w:sz="0" w:space="0" w:color="auto"/>
        <w:left w:val="none" w:sz="0" w:space="0" w:color="auto"/>
        <w:bottom w:val="none" w:sz="0" w:space="0" w:color="auto"/>
        <w:right w:val="none" w:sz="0" w:space="0" w:color="auto"/>
      </w:divBdr>
    </w:div>
    <w:div w:id="777918951">
      <w:bodyDiv w:val="1"/>
      <w:marLeft w:val="0"/>
      <w:marRight w:val="0"/>
      <w:marTop w:val="0"/>
      <w:marBottom w:val="0"/>
      <w:divBdr>
        <w:top w:val="none" w:sz="0" w:space="0" w:color="auto"/>
        <w:left w:val="none" w:sz="0" w:space="0" w:color="auto"/>
        <w:bottom w:val="none" w:sz="0" w:space="0" w:color="auto"/>
        <w:right w:val="none" w:sz="0" w:space="0" w:color="auto"/>
      </w:divBdr>
    </w:div>
    <w:div w:id="780495294">
      <w:bodyDiv w:val="1"/>
      <w:marLeft w:val="0"/>
      <w:marRight w:val="0"/>
      <w:marTop w:val="0"/>
      <w:marBottom w:val="0"/>
      <w:divBdr>
        <w:top w:val="none" w:sz="0" w:space="0" w:color="auto"/>
        <w:left w:val="none" w:sz="0" w:space="0" w:color="auto"/>
        <w:bottom w:val="none" w:sz="0" w:space="0" w:color="auto"/>
        <w:right w:val="none" w:sz="0" w:space="0" w:color="auto"/>
      </w:divBdr>
    </w:div>
    <w:div w:id="787360631">
      <w:bodyDiv w:val="1"/>
      <w:marLeft w:val="0"/>
      <w:marRight w:val="0"/>
      <w:marTop w:val="0"/>
      <w:marBottom w:val="0"/>
      <w:divBdr>
        <w:top w:val="none" w:sz="0" w:space="0" w:color="auto"/>
        <w:left w:val="none" w:sz="0" w:space="0" w:color="auto"/>
        <w:bottom w:val="none" w:sz="0" w:space="0" w:color="auto"/>
        <w:right w:val="none" w:sz="0" w:space="0" w:color="auto"/>
      </w:divBdr>
    </w:div>
    <w:div w:id="795023315">
      <w:bodyDiv w:val="1"/>
      <w:marLeft w:val="0"/>
      <w:marRight w:val="0"/>
      <w:marTop w:val="0"/>
      <w:marBottom w:val="0"/>
      <w:divBdr>
        <w:top w:val="none" w:sz="0" w:space="0" w:color="auto"/>
        <w:left w:val="none" w:sz="0" w:space="0" w:color="auto"/>
        <w:bottom w:val="none" w:sz="0" w:space="0" w:color="auto"/>
        <w:right w:val="none" w:sz="0" w:space="0" w:color="auto"/>
      </w:divBdr>
    </w:div>
    <w:div w:id="814296153">
      <w:bodyDiv w:val="1"/>
      <w:marLeft w:val="0"/>
      <w:marRight w:val="0"/>
      <w:marTop w:val="0"/>
      <w:marBottom w:val="0"/>
      <w:divBdr>
        <w:top w:val="none" w:sz="0" w:space="0" w:color="auto"/>
        <w:left w:val="none" w:sz="0" w:space="0" w:color="auto"/>
        <w:bottom w:val="none" w:sz="0" w:space="0" w:color="auto"/>
        <w:right w:val="none" w:sz="0" w:space="0" w:color="auto"/>
      </w:divBdr>
    </w:div>
    <w:div w:id="817377275">
      <w:bodyDiv w:val="1"/>
      <w:marLeft w:val="0"/>
      <w:marRight w:val="0"/>
      <w:marTop w:val="0"/>
      <w:marBottom w:val="0"/>
      <w:divBdr>
        <w:top w:val="none" w:sz="0" w:space="0" w:color="auto"/>
        <w:left w:val="none" w:sz="0" w:space="0" w:color="auto"/>
        <w:bottom w:val="none" w:sz="0" w:space="0" w:color="auto"/>
        <w:right w:val="none" w:sz="0" w:space="0" w:color="auto"/>
      </w:divBdr>
    </w:div>
    <w:div w:id="829907292">
      <w:bodyDiv w:val="1"/>
      <w:marLeft w:val="0"/>
      <w:marRight w:val="0"/>
      <w:marTop w:val="0"/>
      <w:marBottom w:val="0"/>
      <w:divBdr>
        <w:top w:val="none" w:sz="0" w:space="0" w:color="auto"/>
        <w:left w:val="none" w:sz="0" w:space="0" w:color="auto"/>
        <w:bottom w:val="none" w:sz="0" w:space="0" w:color="auto"/>
        <w:right w:val="none" w:sz="0" w:space="0" w:color="auto"/>
      </w:divBdr>
    </w:div>
    <w:div w:id="840585855">
      <w:bodyDiv w:val="1"/>
      <w:marLeft w:val="0"/>
      <w:marRight w:val="0"/>
      <w:marTop w:val="0"/>
      <w:marBottom w:val="0"/>
      <w:divBdr>
        <w:top w:val="none" w:sz="0" w:space="0" w:color="auto"/>
        <w:left w:val="none" w:sz="0" w:space="0" w:color="auto"/>
        <w:bottom w:val="none" w:sz="0" w:space="0" w:color="auto"/>
        <w:right w:val="none" w:sz="0" w:space="0" w:color="auto"/>
      </w:divBdr>
    </w:div>
    <w:div w:id="841089807">
      <w:bodyDiv w:val="1"/>
      <w:marLeft w:val="0"/>
      <w:marRight w:val="0"/>
      <w:marTop w:val="0"/>
      <w:marBottom w:val="0"/>
      <w:divBdr>
        <w:top w:val="none" w:sz="0" w:space="0" w:color="auto"/>
        <w:left w:val="none" w:sz="0" w:space="0" w:color="auto"/>
        <w:bottom w:val="none" w:sz="0" w:space="0" w:color="auto"/>
        <w:right w:val="none" w:sz="0" w:space="0" w:color="auto"/>
      </w:divBdr>
    </w:div>
    <w:div w:id="842941469">
      <w:bodyDiv w:val="1"/>
      <w:marLeft w:val="0"/>
      <w:marRight w:val="0"/>
      <w:marTop w:val="0"/>
      <w:marBottom w:val="0"/>
      <w:divBdr>
        <w:top w:val="none" w:sz="0" w:space="0" w:color="auto"/>
        <w:left w:val="none" w:sz="0" w:space="0" w:color="auto"/>
        <w:bottom w:val="none" w:sz="0" w:space="0" w:color="auto"/>
        <w:right w:val="none" w:sz="0" w:space="0" w:color="auto"/>
      </w:divBdr>
    </w:div>
    <w:div w:id="863135715">
      <w:bodyDiv w:val="1"/>
      <w:marLeft w:val="0"/>
      <w:marRight w:val="0"/>
      <w:marTop w:val="0"/>
      <w:marBottom w:val="0"/>
      <w:divBdr>
        <w:top w:val="none" w:sz="0" w:space="0" w:color="auto"/>
        <w:left w:val="none" w:sz="0" w:space="0" w:color="auto"/>
        <w:bottom w:val="none" w:sz="0" w:space="0" w:color="auto"/>
        <w:right w:val="none" w:sz="0" w:space="0" w:color="auto"/>
      </w:divBdr>
    </w:div>
    <w:div w:id="877277994">
      <w:bodyDiv w:val="1"/>
      <w:marLeft w:val="0"/>
      <w:marRight w:val="0"/>
      <w:marTop w:val="0"/>
      <w:marBottom w:val="0"/>
      <w:divBdr>
        <w:top w:val="none" w:sz="0" w:space="0" w:color="auto"/>
        <w:left w:val="none" w:sz="0" w:space="0" w:color="auto"/>
        <w:bottom w:val="none" w:sz="0" w:space="0" w:color="auto"/>
        <w:right w:val="none" w:sz="0" w:space="0" w:color="auto"/>
      </w:divBdr>
    </w:div>
    <w:div w:id="882837724">
      <w:bodyDiv w:val="1"/>
      <w:marLeft w:val="0"/>
      <w:marRight w:val="0"/>
      <w:marTop w:val="0"/>
      <w:marBottom w:val="0"/>
      <w:divBdr>
        <w:top w:val="none" w:sz="0" w:space="0" w:color="auto"/>
        <w:left w:val="none" w:sz="0" w:space="0" w:color="auto"/>
        <w:bottom w:val="none" w:sz="0" w:space="0" w:color="auto"/>
        <w:right w:val="none" w:sz="0" w:space="0" w:color="auto"/>
      </w:divBdr>
    </w:div>
    <w:div w:id="891843845">
      <w:bodyDiv w:val="1"/>
      <w:marLeft w:val="0"/>
      <w:marRight w:val="0"/>
      <w:marTop w:val="0"/>
      <w:marBottom w:val="0"/>
      <w:divBdr>
        <w:top w:val="none" w:sz="0" w:space="0" w:color="auto"/>
        <w:left w:val="none" w:sz="0" w:space="0" w:color="auto"/>
        <w:bottom w:val="none" w:sz="0" w:space="0" w:color="auto"/>
        <w:right w:val="none" w:sz="0" w:space="0" w:color="auto"/>
      </w:divBdr>
    </w:div>
    <w:div w:id="897403577">
      <w:bodyDiv w:val="1"/>
      <w:marLeft w:val="0"/>
      <w:marRight w:val="0"/>
      <w:marTop w:val="0"/>
      <w:marBottom w:val="0"/>
      <w:divBdr>
        <w:top w:val="none" w:sz="0" w:space="0" w:color="auto"/>
        <w:left w:val="none" w:sz="0" w:space="0" w:color="auto"/>
        <w:bottom w:val="none" w:sz="0" w:space="0" w:color="auto"/>
        <w:right w:val="none" w:sz="0" w:space="0" w:color="auto"/>
      </w:divBdr>
    </w:div>
    <w:div w:id="903375067">
      <w:bodyDiv w:val="1"/>
      <w:marLeft w:val="0"/>
      <w:marRight w:val="0"/>
      <w:marTop w:val="0"/>
      <w:marBottom w:val="0"/>
      <w:divBdr>
        <w:top w:val="none" w:sz="0" w:space="0" w:color="auto"/>
        <w:left w:val="none" w:sz="0" w:space="0" w:color="auto"/>
        <w:bottom w:val="none" w:sz="0" w:space="0" w:color="auto"/>
        <w:right w:val="none" w:sz="0" w:space="0" w:color="auto"/>
      </w:divBdr>
    </w:div>
    <w:div w:id="912588883">
      <w:bodyDiv w:val="1"/>
      <w:marLeft w:val="0"/>
      <w:marRight w:val="0"/>
      <w:marTop w:val="0"/>
      <w:marBottom w:val="0"/>
      <w:divBdr>
        <w:top w:val="none" w:sz="0" w:space="0" w:color="auto"/>
        <w:left w:val="none" w:sz="0" w:space="0" w:color="auto"/>
        <w:bottom w:val="none" w:sz="0" w:space="0" w:color="auto"/>
        <w:right w:val="none" w:sz="0" w:space="0" w:color="auto"/>
      </w:divBdr>
    </w:div>
    <w:div w:id="915943216">
      <w:bodyDiv w:val="1"/>
      <w:marLeft w:val="0"/>
      <w:marRight w:val="0"/>
      <w:marTop w:val="0"/>
      <w:marBottom w:val="0"/>
      <w:divBdr>
        <w:top w:val="none" w:sz="0" w:space="0" w:color="auto"/>
        <w:left w:val="none" w:sz="0" w:space="0" w:color="auto"/>
        <w:bottom w:val="none" w:sz="0" w:space="0" w:color="auto"/>
        <w:right w:val="none" w:sz="0" w:space="0" w:color="auto"/>
      </w:divBdr>
    </w:div>
    <w:div w:id="917637315">
      <w:bodyDiv w:val="1"/>
      <w:marLeft w:val="0"/>
      <w:marRight w:val="0"/>
      <w:marTop w:val="0"/>
      <w:marBottom w:val="0"/>
      <w:divBdr>
        <w:top w:val="none" w:sz="0" w:space="0" w:color="auto"/>
        <w:left w:val="none" w:sz="0" w:space="0" w:color="auto"/>
        <w:bottom w:val="none" w:sz="0" w:space="0" w:color="auto"/>
        <w:right w:val="none" w:sz="0" w:space="0" w:color="auto"/>
      </w:divBdr>
    </w:div>
    <w:div w:id="937366505">
      <w:bodyDiv w:val="1"/>
      <w:marLeft w:val="0"/>
      <w:marRight w:val="0"/>
      <w:marTop w:val="0"/>
      <w:marBottom w:val="0"/>
      <w:divBdr>
        <w:top w:val="none" w:sz="0" w:space="0" w:color="auto"/>
        <w:left w:val="none" w:sz="0" w:space="0" w:color="auto"/>
        <w:bottom w:val="none" w:sz="0" w:space="0" w:color="auto"/>
        <w:right w:val="none" w:sz="0" w:space="0" w:color="auto"/>
      </w:divBdr>
    </w:div>
    <w:div w:id="938676934">
      <w:bodyDiv w:val="1"/>
      <w:marLeft w:val="0"/>
      <w:marRight w:val="0"/>
      <w:marTop w:val="0"/>
      <w:marBottom w:val="0"/>
      <w:divBdr>
        <w:top w:val="none" w:sz="0" w:space="0" w:color="auto"/>
        <w:left w:val="none" w:sz="0" w:space="0" w:color="auto"/>
        <w:bottom w:val="none" w:sz="0" w:space="0" w:color="auto"/>
        <w:right w:val="none" w:sz="0" w:space="0" w:color="auto"/>
      </w:divBdr>
    </w:div>
    <w:div w:id="954216304">
      <w:bodyDiv w:val="1"/>
      <w:marLeft w:val="0"/>
      <w:marRight w:val="0"/>
      <w:marTop w:val="0"/>
      <w:marBottom w:val="0"/>
      <w:divBdr>
        <w:top w:val="none" w:sz="0" w:space="0" w:color="auto"/>
        <w:left w:val="none" w:sz="0" w:space="0" w:color="auto"/>
        <w:bottom w:val="none" w:sz="0" w:space="0" w:color="auto"/>
        <w:right w:val="none" w:sz="0" w:space="0" w:color="auto"/>
      </w:divBdr>
    </w:div>
    <w:div w:id="961424465">
      <w:bodyDiv w:val="1"/>
      <w:marLeft w:val="0"/>
      <w:marRight w:val="0"/>
      <w:marTop w:val="0"/>
      <w:marBottom w:val="0"/>
      <w:divBdr>
        <w:top w:val="none" w:sz="0" w:space="0" w:color="auto"/>
        <w:left w:val="none" w:sz="0" w:space="0" w:color="auto"/>
        <w:bottom w:val="none" w:sz="0" w:space="0" w:color="auto"/>
        <w:right w:val="none" w:sz="0" w:space="0" w:color="auto"/>
      </w:divBdr>
    </w:div>
    <w:div w:id="991908428">
      <w:bodyDiv w:val="1"/>
      <w:marLeft w:val="0"/>
      <w:marRight w:val="0"/>
      <w:marTop w:val="0"/>
      <w:marBottom w:val="0"/>
      <w:divBdr>
        <w:top w:val="none" w:sz="0" w:space="0" w:color="auto"/>
        <w:left w:val="none" w:sz="0" w:space="0" w:color="auto"/>
        <w:bottom w:val="none" w:sz="0" w:space="0" w:color="auto"/>
        <w:right w:val="none" w:sz="0" w:space="0" w:color="auto"/>
      </w:divBdr>
    </w:div>
    <w:div w:id="996113821">
      <w:bodyDiv w:val="1"/>
      <w:marLeft w:val="0"/>
      <w:marRight w:val="0"/>
      <w:marTop w:val="0"/>
      <w:marBottom w:val="0"/>
      <w:divBdr>
        <w:top w:val="none" w:sz="0" w:space="0" w:color="auto"/>
        <w:left w:val="none" w:sz="0" w:space="0" w:color="auto"/>
        <w:bottom w:val="none" w:sz="0" w:space="0" w:color="auto"/>
        <w:right w:val="none" w:sz="0" w:space="0" w:color="auto"/>
      </w:divBdr>
    </w:div>
    <w:div w:id="997922757">
      <w:bodyDiv w:val="1"/>
      <w:marLeft w:val="0"/>
      <w:marRight w:val="0"/>
      <w:marTop w:val="0"/>
      <w:marBottom w:val="0"/>
      <w:divBdr>
        <w:top w:val="none" w:sz="0" w:space="0" w:color="auto"/>
        <w:left w:val="none" w:sz="0" w:space="0" w:color="auto"/>
        <w:bottom w:val="none" w:sz="0" w:space="0" w:color="auto"/>
        <w:right w:val="none" w:sz="0" w:space="0" w:color="auto"/>
      </w:divBdr>
    </w:div>
    <w:div w:id="1001079550">
      <w:bodyDiv w:val="1"/>
      <w:marLeft w:val="0"/>
      <w:marRight w:val="0"/>
      <w:marTop w:val="0"/>
      <w:marBottom w:val="0"/>
      <w:divBdr>
        <w:top w:val="none" w:sz="0" w:space="0" w:color="auto"/>
        <w:left w:val="none" w:sz="0" w:space="0" w:color="auto"/>
        <w:bottom w:val="none" w:sz="0" w:space="0" w:color="auto"/>
        <w:right w:val="none" w:sz="0" w:space="0" w:color="auto"/>
      </w:divBdr>
    </w:div>
    <w:div w:id="1008292624">
      <w:bodyDiv w:val="1"/>
      <w:marLeft w:val="0"/>
      <w:marRight w:val="0"/>
      <w:marTop w:val="0"/>
      <w:marBottom w:val="0"/>
      <w:divBdr>
        <w:top w:val="none" w:sz="0" w:space="0" w:color="auto"/>
        <w:left w:val="none" w:sz="0" w:space="0" w:color="auto"/>
        <w:bottom w:val="none" w:sz="0" w:space="0" w:color="auto"/>
        <w:right w:val="none" w:sz="0" w:space="0" w:color="auto"/>
      </w:divBdr>
    </w:div>
    <w:div w:id="1028876942">
      <w:bodyDiv w:val="1"/>
      <w:marLeft w:val="0"/>
      <w:marRight w:val="0"/>
      <w:marTop w:val="0"/>
      <w:marBottom w:val="0"/>
      <w:divBdr>
        <w:top w:val="none" w:sz="0" w:space="0" w:color="auto"/>
        <w:left w:val="none" w:sz="0" w:space="0" w:color="auto"/>
        <w:bottom w:val="none" w:sz="0" w:space="0" w:color="auto"/>
        <w:right w:val="none" w:sz="0" w:space="0" w:color="auto"/>
      </w:divBdr>
    </w:div>
    <w:div w:id="1034304108">
      <w:bodyDiv w:val="1"/>
      <w:marLeft w:val="0"/>
      <w:marRight w:val="0"/>
      <w:marTop w:val="0"/>
      <w:marBottom w:val="0"/>
      <w:divBdr>
        <w:top w:val="none" w:sz="0" w:space="0" w:color="auto"/>
        <w:left w:val="none" w:sz="0" w:space="0" w:color="auto"/>
        <w:bottom w:val="none" w:sz="0" w:space="0" w:color="auto"/>
        <w:right w:val="none" w:sz="0" w:space="0" w:color="auto"/>
      </w:divBdr>
    </w:div>
    <w:div w:id="1039822123">
      <w:bodyDiv w:val="1"/>
      <w:marLeft w:val="0"/>
      <w:marRight w:val="0"/>
      <w:marTop w:val="0"/>
      <w:marBottom w:val="0"/>
      <w:divBdr>
        <w:top w:val="none" w:sz="0" w:space="0" w:color="auto"/>
        <w:left w:val="none" w:sz="0" w:space="0" w:color="auto"/>
        <w:bottom w:val="none" w:sz="0" w:space="0" w:color="auto"/>
        <w:right w:val="none" w:sz="0" w:space="0" w:color="auto"/>
      </w:divBdr>
    </w:div>
    <w:div w:id="1050153908">
      <w:bodyDiv w:val="1"/>
      <w:marLeft w:val="0"/>
      <w:marRight w:val="0"/>
      <w:marTop w:val="0"/>
      <w:marBottom w:val="0"/>
      <w:divBdr>
        <w:top w:val="none" w:sz="0" w:space="0" w:color="auto"/>
        <w:left w:val="none" w:sz="0" w:space="0" w:color="auto"/>
        <w:bottom w:val="none" w:sz="0" w:space="0" w:color="auto"/>
        <w:right w:val="none" w:sz="0" w:space="0" w:color="auto"/>
      </w:divBdr>
    </w:div>
    <w:div w:id="1053967240">
      <w:bodyDiv w:val="1"/>
      <w:marLeft w:val="0"/>
      <w:marRight w:val="0"/>
      <w:marTop w:val="0"/>
      <w:marBottom w:val="0"/>
      <w:divBdr>
        <w:top w:val="none" w:sz="0" w:space="0" w:color="auto"/>
        <w:left w:val="none" w:sz="0" w:space="0" w:color="auto"/>
        <w:bottom w:val="none" w:sz="0" w:space="0" w:color="auto"/>
        <w:right w:val="none" w:sz="0" w:space="0" w:color="auto"/>
      </w:divBdr>
    </w:div>
    <w:div w:id="1076971639">
      <w:bodyDiv w:val="1"/>
      <w:marLeft w:val="0"/>
      <w:marRight w:val="0"/>
      <w:marTop w:val="0"/>
      <w:marBottom w:val="0"/>
      <w:divBdr>
        <w:top w:val="none" w:sz="0" w:space="0" w:color="auto"/>
        <w:left w:val="none" w:sz="0" w:space="0" w:color="auto"/>
        <w:bottom w:val="none" w:sz="0" w:space="0" w:color="auto"/>
        <w:right w:val="none" w:sz="0" w:space="0" w:color="auto"/>
      </w:divBdr>
    </w:div>
    <w:div w:id="1081099460">
      <w:bodyDiv w:val="1"/>
      <w:marLeft w:val="0"/>
      <w:marRight w:val="0"/>
      <w:marTop w:val="0"/>
      <w:marBottom w:val="0"/>
      <w:divBdr>
        <w:top w:val="none" w:sz="0" w:space="0" w:color="auto"/>
        <w:left w:val="none" w:sz="0" w:space="0" w:color="auto"/>
        <w:bottom w:val="none" w:sz="0" w:space="0" w:color="auto"/>
        <w:right w:val="none" w:sz="0" w:space="0" w:color="auto"/>
      </w:divBdr>
    </w:div>
    <w:div w:id="1102994222">
      <w:bodyDiv w:val="1"/>
      <w:marLeft w:val="0"/>
      <w:marRight w:val="0"/>
      <w:marTop w:val="0"/>
      <w:marBottom w:val="0"/>
      <w:divBdr>
        <w:top w:val="none" w:sz="0" w:space="0" w:color="auto"/>
        <w:left w:val="none" w:sz="0" w:space="0" w:color="auto"/>
        <w:bottom w:val="none" w:sz="0" w:space="0" w:color="auto"/>
        <w:right w:val="none" w:sz="0" w:space="0" w:color="auto"/>
      </w:divBdr>
    </w:div>
    <w:div w:id="1120300848">
      <w:bodyDiv w:val="1"/>
      <w:marLeft w:val="0"/>
      <w:marRight w:val="0"/>
      <w:marTop w:val="0"/>
      <w:marBottom w:val="0"/>
      <w:divBdr>
        <w:top w:val="none" w:sz="0" w:space="0" w:color="auto"/>
        <w:left w:val="none" w:sz="0" w:space="0" w:color="auto"/>
        <w:bottom w:val="none" w:sz="0" w:space="0" w:color="auto"/>
        <w:right w:val="none" w:sz="0" w:space="0" w:color="auto"/>
      </w:divBdr>
    </w:div>
    <w:div w:id="1122647360">
      <w:bodyDiv w:val="1"/>
      <w:marLeft w:val="0"/>
      <w:marRight w:val="0"/>
      <w:marTop w:val="0"/>
      <w:marBottom w:val="0"/>
      <w:divBdr>
        <w:top w:val="none" w:sz="0" w:space="0" w:color="auto"/>
        <w:left w:val="none" w:sz="0" w:space="0" w:color="auto"/>
        <w:bottom w:val="none" w:sz="0" w:space="0" w:color="auto"/>
        <w:right w:val="none" w:sz="0" w:space="0" w:color="auto"/>
      </w:divBdr>
    </w:div>
    <w:div w:id="1126661891">
      <w:bodyDiv w:val="1"/>
      <w:marLeft w:val="0"/>
      <w:marRight w:val="0"/>
      <w:marTop w:val="0"/>
      <w:marBottom w:val="0"/>
      <w:divBdr>
        <w:top w:val="none" w:sz="0" w:space="0" w:color="auto"/>
        <w:left w:val="none" w:sz="0" w:space="0" w:color="auto"/>
        <w:bottom w:val="none" w:sz="0" w:space="0" w:color="auto"/>
        <w:right w:val="none" w:sz="0" w:space="0" w:color="auto"/>
      </w:divBdr>
    </w:div>
    <w:div w:id="1140734762">
      <w:bodyDiv w:val="1"/>
      <w:marLeft w:val="0"/>
      <w:marRight w:val="0"/>
      <w:marTop w:val="0"/>
      <w:marBottom w:val="0"/>
      <w:divBdr>
        <w:top w:val="none" w:sz="0" w:space="0" w:color="auto"/>
        <w:left w:val="none" w:sz="0" w:space="0" w:color="auto"/>
        <w:bottom w:val="none" w:sz="0" w:space="0" w:color="auto"/>
        <w:right w:val="none" w:sz="0" w:space="0" w:color="auto"/>
      </w:divBdr>
    </w:div>
    <w:div w:id="1141966098">
      <w:bodyDiv w:val="1"/>
      <w:marLeft w:val="0"/>
      <w:marRight w:val="0"/>
      <w:marTop w:val="0"/>
      <w:marBottom w:val="0"/>
      <w:divBdr>
        <w:top w:val="none" w:sz="0" w:space="0" w:color="auto"/>
        <w:left w:val="none" w:sz="0" w:space="0" w:color="auto"/>
        <w:bottom w:val="none" w:sz="0" w:space="0" w:color="auto"/>
        <w:right w:val="none" w:sz="0" w:space="0" w:color="auto"/>
      </w:divBdr>
    </w:div>
    <w:div w:id="1150944013">
      <w:bodyDiv w:val="1"/>
      <w:marLeft w:val="0"/>
      <w:marRight w:val="0"/>
      <w:marTop w:val="0"/>
      <w:marBottom w:val="0"/>
      <w:divBdr>
        <w:top w:val="none" w:sz="0" w:space="0" w:color="auto"/>
        <w:left w:val="none" w:sz="0" w:space="0" w:color="auto"/>
        <w:bottom w:val="none" w:sz="0" w:space="0" w:color="auto"/>
        <w:right w:val="none" w:sz="0" w:space="0" w:color="auto"/>
      </w:divBdr>
    </w:div>
    <w:div w:id="1168179296">
      <w:bodyDiv w:val="1"/>
      <w:marLeft w:val="0"/>
      <w:marRight w:val="0"/>
      <w:marTop w:val="0"/>
      <w:marBottom w:val="0"/>
      <w:divBdr>
        <w:top w:val="none" w:sz="0" w:space="0" w:color="auto"/>
        <w:left w:val="none" w:sz="0" w:space="0" w:color="auto"/>
        <w:bottom w:val="none" w:sz="0" w:space="0" w:color="auto"/>
        <w:right w:val="none" w:sz="0" w:space="0" w:color="auto"/>
      </w:divBdr>
    </w:div>
    <w:div w:id="1187982060">
      <w:bodyDiv w:val="1"/>
      <w:marLeft w:val="0"/>
      <w:marRight w:val="0"/>
      <w:marTop w:val="0"/>
      <w:marBottom w:val="0"/>
      <w:divBdr>
        <w:top w:val="none" w:sz="0" w:space="0" w:color="auto"/>
        <w:left w:val="none" w:sz="0" w:space="0" w:color="auto"/>
        <w:bottom w:val="none" w:sz="0" w:space="0" w:color="auto"/>
        <w:right w:val="none" w:sz="0" w:space="0" w:color="auto"/>
      </w:divBdr>
    </w:div>
    <w:div w:id="1198078620">
      <w:bodyDiv w:val="1"/>
      <w:marLeft w:val="0"/>
      <w:marRight w:val="0"/>
      <w:marTop w:val="0"/>
      <w:marBottom w:val="0"/>
      <w:divBdr>
        <w:top w:val="none" w:sz="0" w:space="0" w:color="auto"/>
        <w:left w:val="none" w:sz="0" w:space="0" w:color="auto"/>
        <w:bottom w:val="none" w:sz="0" w:space="0" w:color="auto"/>
        <w:right w:val="none" w:sz="0" w:space="0" w:color="auto"/>
      </w:divBdr>
    </w:div>
    <w:div w:id="1202130834">
      <w:bodyDiv w:val="1"/>
      <w:marLeft w:val="0"/>
      <w:marRight w:val="0"/>
      <w:marTop w:val="0"/>
      <w:marBottom w:val="0"/>
      <w:divBdr>
        <w:top w:val="none" w:sz="0" w:space="0" w:color="auto"/>
        <w:left w:val="none" w:sz="0" w:space="0" w:color="auto"/>
        <w:bottom w:val="none" w:sz="0" w:space="0" w:color="auto"/>
        <w:right w:val="none" w:sz="0" w:space="0" w:color="auto"/>
      </w:divBdr>
    </w:div>
    <w:div w:id="1206218189">
      <w:bodyDiv w:val="1"/>
      <w:marLeft w:val="0"/>
      <w:marRight w:val="0"/>
      <w:marTop w:val="0"/>
      <w:marBottom w:val="0"/>
      <w:divBdr>
        <w:top w:val="none" w:sz="0" w:space="0" w:color="auto"/>
        <w:left w:val="none" w:sz="0" w:space="0" w:color="auto"/>
        <w:bottom w:val="none" w:sz="0" w:space="0" w:color="auto"/>
        <w:right w:val="none" w:sz="0" w:space="0" w:color="auto"/>
      </w:divBdr>
    </w:div>
    <w:div w:id="1217164745">
      <w:bodyDiv w:val="1"/>
      <w:marLeft w:val="0"/>
      <w:marRight w:val="0"/>
      <w:marTop w:val="0"/>
      <w:marBottom w:val="0"/>
      <w:divBdr>
        <w:top w:val="none" w:sz="0" w:space="0" w:color="auto"/>
        <w:left w:val="none" w:sz="0" w:space="0" w:color="auto"/>
        <w:bottom w:val="none" w:sz="0" w:space="0" w:color="auto"/>
        <w:right w:val="none" w:sz="0" w:space="0" w:color="auto"/>
      </w:divBdr>
    </w:div>
    <w:div w:id="1220828360">
      <w:bodyDiv w:val="1"/>
      <w:marLeft w:val="0"/>
      <w:marRight w:val="0"/>
      <w:marTop w:val="0"/>
      <w:marBottom w:val="0"/>
      <w:divBdr>
        <w:top w:val="none" w:sz="0" w:space="0" w:color="auto"/>
        <w:left w:val="none" w:sz="0" w:space="0" w:color="auto"/>
        <w:bottom w:val="none" w:sz="0" w:space="0" w:color="auto"/>
        <w:right w:val="none" w:sz="0" w:space="0" w:color="auto"/>
      </w:divBdr>
    </w:div>
    <w:div w:id="1226912904">
      <w:bodyDiv w:val="1"/>
      <w:marLeft w:val="0"/>
      <w:marRight w:val="0"/>
      <w:marTop w:val="0"/>
      <w:marBottom w:val="0"/>
      <w:divBdr>
        <w:top w:val="none" w:sz="0" w:space="0" w:color="auto"/>
        <w:left w:val="none" w:sz="0" w:space="0" w:color="auto"/>
        <w:bottom w:val="none" w:sz="0" w:space="0" w:color="auto"/>
        <w:right w:val="none" w:sz="0" w:space="0" w:color="auto"/>
      </w:divBdr>
    </w:div>
    <w:div w:id="1227449883">
      <w:bodyDiv w:val="1"/>
      <w:marLeft w:val="0"/>
      <w:marRight w:val="0"/>
      <w:marTop w:val="0"/>
      <w:marBottom w:val="0"/>
      <w:divBdr>
        <w:top w:val="none" w:sz="0" w:space="0" w:color="auto"/>
        <w:left w:val="none" w:sz="0" w:space="0" w:color="auto"/>
        <w:bottom w:val="none" w:sz="0" w:space="0" w:color="auto"/>
        <w:right w:val="none" w:sz="0" w:space="0" w:color="auto"/>
      </w:divBdr>
    </w:div>
    <w:div w:id="1232618118">
      <w:bodyDiv w:val="1"/>
      <w:marLeft w:val="0"/>
      <w:marRight w:val="0"/>
      <w:marTop w:val="0"/>
      <w:marBottom w:val="0"/>
      <w:divBdr>
        <w:top w:val="none" w:sz="0" w:space="0" w:color="auto"/>
        <w:left w:val="none" w:sz="0" w:space="0" w:color="auto"/>
        <w:bottom w:val="none" w:sz="0" w:space="0" w:color="auto"/>
        <w:right w:val="none" w:sz="0" w:space="0" w:color="auto"/>
      </w:divBdr>
    </w:div>
    <w:div w:id="1246306960">
      <w:bodyDiv w:val="1"/>
      <w:marLeft w:val="0"/>
      <w:marRight w:val="0"/>
      <w:marTop w:val="0"/>
      <w:marBottom w:val="0"/>
      <w:divBdr>
        <w:top w:val="none" w:sz="0" w:space="0" w:color="auto"/>
        <w:left w:val="none" w:sz="0" w:space="0" w:color="auto"/>
        <w:bottom w:val="none" w:sz="0" w:space="0" w:color="auto"/>
        <w:right w:val="none" w:sz="0" w:space="0" w:color="auto"/>
      </w:divBdr>
    </w:div>
    <w:div w:id="1246496352">
      <w:bodyDiv w:val="1"/>
      <w:marLeft w:val="0"/>
      <w:marRight w:val="0"/>
      <w:marTop w:val="0"/>
      <w:marBottom w:val="0"/>
      <w:divBdr>
        <w:top w:val="none" w:sz="0" w:space="0" w:color="auto"/>
        <w:left w:val="none" w:sz="0" w:space="0" w:color="auto"/>
        <w:bottom w:val="none" w:sz="0" w:space="0" w:color="auto"/>
        <w:right w:val="none" w:sz="0" w:space="0" w:color="auto"/>
      </w:divBdr>
    </w:div>
    <w:div w:id="1257322302">
      <w:bodyDiv w:val="1"/>
      <w:marLeft w:val="0"/>
      <w:marRight w:val="0"/>
      <w:marTop w:val="0"/>
      <w:marBottom w:val="0"/>
      <w:divBdr>
        <w:top w:val="none" w:sz="0" w:space="0" w:color="auto"/>
        <w:left w:val="none" w:sz="0" w:space="0" w:color="auto"/>
        <w:bottom w:val="none" w:sz="0" w:space="0" w:color="auto"/>
        <w:right w:val="none" w:sz="0" w:space="0" w:color="auto"/>
      </w:divBdr>
    </w:div>
    <w:div w:id="1274097601">
      <w:bodyDiv w:val="1"/>
      <w:marLeft w:val="0"/>
      <w:marRight w:val="0"/>
      <w:marTop w:val="0"/>
      <w:marBottom w:val="0"/>
      <w:divBdr>
        <w:top w:val="none" w:sz="0" w:space="0" w:color="auto"/>
        <w:left w:val="none" w:sz="0" w:space="0" w:color="auto"/>
        <w:bottom w:val="none" w:sz="0" w:space="0" w:color="auto"/>
        <w:right w:val="none" w:sz="0" w:space="0" w:color="auto"/>
      </w:divBdr>
    </w:div>
    <w:div w:id="1283154541">
      <w:bodyDiv w:val="1"/>
      <w:marLeft w:val="0"/>
      <w:marRight w:val="0"/>
      <w:marTop w:val="0"/>
      <w:marBottom w:val="0"/>
      <w:divBdr>
        <w:top w:val="none" w:sz="0" w:space="0" w:color="auto"/>
        <w:left w:val="none" w:sz="0" w:space="0" w:color="auto"/>
        <w:bottom w:val="none" w:sz="0" w:space="0" w:color="auto"/>
        <w:right w:val="none" w:sz="0" w:space="0" w:color="auto"/>
      </w:divBdr>
    </w:div>
    <w:div w:id="1289430496">
      <w:bodyDiv w:val="1"/>
      <w:marLeft w:val="0"/>
      <w:marRight w:val="0"/>
      <w:marTop w:val="0"/>
      <w:marBottom w:val="0"/>
      <w:divBdr>
        <w:top w:val="none" w:sz="0" w:space="0" w:color="auto"/>
        <w:left w:val="none" w:sz="0" w:space="0" w:color="auto"/>
        <w:bottom w:val="none" w:sz="0" w:space="0" w:color="auto"/>
        <w:right w:val="none" w:sz="0" w:space="0" w:color="auto"/>
      </w:divBdr>
    </w:div>
    <w:div w:id="1289776405">
      <w:bodyDiv w:val="1"/>
      <w:marLeft w:val="0"/>
      <w:marRight w:val="0"/>
      <w:marTop w:val="0"/>
      <w:marBottom w:val="0"/>
      <w:divBdr>
        <w:top w:val="none" w:sz="0" w:space="0" w:color="auto"/>
        <w:left w:val="none" w:sz="0" w:space="0" w:color="auto"/>
        <w:bottom w:val="none" w:sz="0" w:space="0" w:color="auto"/>
        <w:right w:val="none" w:sz="0" w:space="0" w:color="auto"/>
      </w:divBdr>
    </w:div>
    <w:div w:id="1301837080">
      <w:bodyDiv w:val="1"/>
      <w:marLeft w:val="0"/>
      <w:marRight w:val="0"/>
      <w:marTop w:val="0"/>
      <w:marBottom w:val="0"/>
      <w:divBdr>
        <w:top w:val="none" w:sz="0" w:space="0" w:color="auto"/>
        <w:left w:val="none" w:sz="0" w:space="0" w:color="auto"/>
        <w:bottom w:val="none" w:sz="0" w:space="0" w:color="auto"/>
        <w:right w:val="none" w:sz="0" w:space="0" w:color="auto"/>
      </w:divBdr>
    </w:div>
    <w:div w:id="1302923332">
      <w:bodyDiv w:val="1"/>
      <w:marLeft w:val="0"/>
      <w:marRight w:val="0"/>
      <w:marTop w:val="0"/>
      <w:marBottom w:val="0"/>
      <w:divBdr>
        <w:top w:val="none" w:sz="0" w:space="0" w:color="auto"/>
        <w:left w:val="none" w:sz="0" w:space="0" w:color="auto"/>
        <w:bottom w:val="none" w:sz="0" w:space="0" w:color="auto"/>
        <w:right w:val="none" w:sz="0" w:space="0" w:color="auto"/>
      </w:divBdr>
    </w:div>
    <w:div w:id="1306198583">
      <w:bodyDiv w:val="1"/>
      <w:marLeft w:val="0"/>
      <w:marRight w:val="0"/>
      <w:marTop w:val="0"/>
      <w:marBottom w:val="0"/>
      <w:divBdr>
        <w:top w:val="none" w:sz="0" w:space="0" w:color="auto"/>
        <w:left w:val="none" w:sz="0" w:space="0" w:color="auto"/>
        <w:bottom w:val="none" w:sz="0" w:space="0" w:color="auto"/>
        <w:right w:val="none" w:sz="0" w:space="0" w:color="auto"/>
      </w:divBdr>
    </w:div>
    <w:div w:id="1316452563">
      <w:bodyDiv w:val="1"/>
      <w:marLeft w:val="0"/>
      <w:marRight w:val="0"/>
      <w:marTop w:val="0"/>
      <w:marBottom w:val="0"/>
      <w:divBdr>
        <w:top w:val="none" w:sz="0" w:space="0" w:color="auto"/>
        <w:left w:val="none" w:sz="0" w:space="0" w:color="auto"/>
        <w:bottom w:val="none" w:sz="0" w:space="0" w:color="auto"/>
        <w:right w:val="none" w:sz="0" w:space="0" w:color="auto"/>
      </w:divBdr>
    </w:div>
    <w:div w:id="1328748822">
      <w:bodyDiv w:val="1"/>
      <w:marLeft w:val="0"/>
      <w:marRight w:val="0"/>
      <w:marTop w:val="0"/>
      <w:marBottom w:val="0"/>
      <w:divBdr>
        <w:top w:val="none" w:sz="0" w:space="0" w:color="auto"/>
        <w:left w:val="none" w:sz="0" w:space="0" w:color="auto"/>
        <w:bottom w:val="none" w:sz="0" w:space="0" w:color="auto"/>
        <w:right w:val="none" w:sz="0" w:space="0" w:color="auto"/>
      </w:divBdr>
    </w:div>
    <w:div w:id="1340933857">
      <w:bodyDiv w:val="1"/>
      <w:marLeft w:val="0"/>
      <w:marRight w:val="0"/>
      <w:marTop w:val="0"/>
      <w:marBottom w:val="0"/>
      <w:divBdr>
        <w:top w:val="none" w:sz="0" w:space="0" w:color="auto"/>
        <w:left w:val="none" w:sz="0" w:space="0" w:color="auto"/>
        <w:bottom w:val="none" w:sz="0" w:space="0" w:color="auto"/>
        <w:right w:val="none" w:sz="0" w:space="0" w:color="auto"/>
      </w:divBdr>
    </w:div>
    <w:div w:id="1348751642">
      <w:bodyDiv w:val="1"/>
      <w:marLeft w:val="0"/>
      <w:marRight w:val="0"/>
      <w:marTop w:val="0"/>
      <w:marBottom w:val="0"/>
      <w:divBdr>
        <w:top w:val="none" w:sz="0" w:space="0" w:color="auto"/>
        <w:left w:val="none" w:sz="0" w:space="0" w:color="auto"/>
        <w:bottom w:val="none" w:sz="0" w:space="0" w:color="auto"/>
        <w:right w:val="none" w:sz="0" w:space="0" w:color="auto"/>
      </w:divBdr>
    </w:div>
    <w:div w:id="1363549741">
      <w:bodyDiv w:val="1"/>
      <w:marLeft w:val="0"/>
      <w:marRight w:val="0"/>
      <w:marTop w:val="0"/>
      <w:marBottom w:val="0"/>
      <w:divBdr>
        <w:top w:val="none" w:sz="0" w:space="0" w:color="auto"/>
        <w:left w:val="none" w:sz="0" w:space="0" w:color="auto"/>
        <w:bottom w:val="none" w:sz="0" w:space="0" w:color="auto"/>
        <w:right w:val="none" w:sz="0" w:space="0" w:color="auto"/>
      </w:divBdr>
    </w:div>
    <w:div w:id="1369376539">
      <w:bodyDiv w:val="1"/>
      <w:marLeft w:val="0"/>
      <w:marRight w:val="0"/>
      <w:marTop w:val="0"/>
      <w:marBottom w:val="0"/>
      <w:divBdr>
        <w:top w:val="none" w:sz="0" w:space="0" w:color="auto"/>
        <w:left w:val="none" w:sz="0" w:space="0" w:color="auto"/>
        <w:bottom w:val="none" w:sz="0" w:space="0" w:color="auto"/>
        <w:right w:val="none" w:sz="0" w:space="0" w:color="auto"/>
      </w:divBdr>
    </w:div>
    <w:div w:id="1372026885">
      <w:bodyDiv w:val="1"/>
      <w:marLeft w:val="0"/>
      <w:marRight w:val="0"/>
      <w:marTop w:val="0"/>
      <w:marBottom w:val="0"/>
      <w:divBdr>
        <w:top w:val="none" w:sz="0" w:space="0" w:color="auto"/>
        <w:left w:val="none" w:sz="0" w:space="0" w:color="auto"/>
        <w:bottom w:val="none" w:sz="0" w:space="0" w:color="auto"/>
        <w:right w:val="none" w:sz="0" w:space="0" w:color="auto"/>
      </w:divBdr>
    </w:div>
    <w:div w:id="1379471152">
      <w:bodyDiv w:val="1"/>
      <w:marLeft w:val="0"/>
      <w:marRight w:val="0"/>
      <w:marTop w:val="0"/>
      <w:marBottom w:val="0"/>
      <w:divBdr>
        <w:top w:val="none" w:sz="0" w:space="0" w:color="auto"/>
        <w:left w:val="none" w:sz="0" w:space="0" w:color="auto"/>
        <w:bottom w:val="none" w:sz="0" w:space="0" w:color="auto"/>
        <w:right w:val="none" w:sz="0" w:space="0" w:color="auto"/>
      </w:divBdr>
    </w:div>
    <w:div w:id="1392116407">
      <w:bodyDiv w:val="1"/>
      <w:marLeft w:val="0"/>
      <w:marRight w:val="0"/>
      <w:marTop w:val="0"/>
      <w:marBottom w:val="0"/>
      <w:divBdr>
        <w:top w:val="none" w:sz="0" w:space="0" w:color="auto"/>
        <w:left w:val="none" w:sz="0" w:space="0" w:color="auto"/>
        <w:bottom w:val="none" w:sz="0" w:space="0" w:color="auto"/>
        <w:right w:val="none" w:sz="0" w:space="0" w:color="auto"/>
      </w:divBdr>
    </w:div>
    <w:div w:id="1412041022">
      <w:bodyDiv w:val="1"/>
      <w:marLeft w:val="0"/>
      <w:marRight w:val="0"/>
      <w:marTop w:val="0"/>
      <w:marBottom w:val="0"/>
      <w:divBdr>
        <w:top w:val="none" w:sz="0" w:space="0" w:color="auto"/>
        <w:left w:val="none" w:sz="0" w:space="0" w:color="auto"/>
        <w:bottom w:val="none" w:sz="0" w:space="0" w:color="auto"/>
        <w:right w:val="none" w:sz="0" w:space="0" w:color="auto"/>
      </w:divBdr>
    </w:div>
    <w:div w:id="1440296245">
      <w:bodyDiv w:val="1"/>
      <w:marLeft w:val="0"/>
      <w:marRight w:val="0"/>
      <w:marTop w:val="0"/>
      <w:marBottom w:val="0"/>
      <w:divBdr>
        <w:top w:val="none" w:sz="0" w:space="0" w:color="auto"/>
        <w:left w:val="none" w:sz="0" w:space="0" w:color="auto"/>
        <w:bottom w:val="none" w:sz="0" w:space="0" w:color="auto"/>
        <w:right w:val="none" w:sz="0" w:space="0" w:color="auto"/>
      </w:divBdr>
    </w:div>
    <w:div w:id="1447315798">
      <w:bodyDiv w:val="1"/>
      <w:marLeft w:val="0"/>
      <w:marRight w:val="0"/>
      <w:marTop w:val="0"/>
      <w:marBottom w:val="0"/>
      <w:divBdr>
        <w:top w:val="none" w:sz="0" w:space="0" w:color="auto"/>
        <w:left w:val="none" w:sz="0" w:space="0" w:color="auto"/>
        <w:bottom w:val="none" w:sz="0" w:space="0" w:color="auto"/>
        <w:right w:val="none" w:sz="0" w:space="0" w:color="auto"/>
      </w:divBdr>
    </w:div>
    <w:div w:id="1449861132">
      <w:bodyDiv w:val="1"/>
      <w:marLeft w:val="0"/>
      <w:marRight w:val="0"/>
      <w:marTop w:val="0"/>
      <w:marBottom w:val="0"/>
      <w:divBdr>
        <w:top w:val="none" w:sz="0" w:space="0" w:color="auto"/>
        <w:left w:val="none" w:sz="0" w:space="0" w:color="auto"/>
        <w:bottom w:val="none" w:sz="0" w:space="0" w:color="auto"/>
        <w:right w:val="none" w:sz="0" w:space="0" w:color="auto"/>
      </w:divBdr>
    </w:div>
    <w:div w:id="1459955247">
      <w:bodyDiv w:val="1"/>
      <w:marLeft w:val="0"/>
      <w:marRight w:val="0"/>
      <w:marTop w:val="0"/>
      <w:marBottom w:val="0"/>
      <w:divBdr>
        <w:top w:val="none" w:sz="0" w:space="0" w:color="auto"/>
        <w:left w:val="none" w:sz="0" w:space="0" w:color="auto"/>
        <w:bottom w:val="none" w:sz="0" w:space="0" w:color="auto"/>
        <w:right w:val="none" w:sz="0" w:space="0" w:color="auto"/>
      </w:divBdr>
    </w:div>
    <w:div w:id="1462766493">
      <w:bodyDiv w:val="1"/>
      <w:marLeft w:val="0"/>
      <w:marRight w:val="0"/>
      <w:marTop w:val="0"/>
      <w:marBottom w:val="0"/>
      <w:divBdr>
        <w:top w:val="none" w:sz="0" w:space="0" w:color="auto"/>
        <w:left w:val="none" w:sz="0" w:space="0" w:color="auto"/>
        <w:bottom w:val="none" w:sz="0" w:space="0" w:color="auto"/>
        <w:right w:val="none" w:sz="0" w:space="0" w:color="auto"/>
      </w:divBdr>
    </w:div>
    <w:div w:id="1506899620">
      <w:bodyDiv w:val="1"/>
      <w:marLeft w:val="0"/>
      <w:marRight w:val="0"/>
      <w:marTop w:val="0"/>
      <w:marBottom w:val="0"/>
      <w:divBdr>
        <w:top w:val="none" w:sz="0" w:space="0" w:color="auto"/>
        <w:left w:val="none" w:sz="0" w:space="0" w:color="auto"/>
        <w:bottom w:val="none" w:sz="0" w:space="0" w:color="auto"/>
        <w:right w:val="none" w:sz="0" w:space="0" w:color="auto"/>
      </w:divBdr>
    </w:div>
    <w:div w:id="1515414224">
      <w:bodyDiv w:val="1"/>
      <w:marLeft w:val="0"/>
      <w:marRight w:val="0"/>
      <w:marTop w:val="0"/>
      <w:marBottom w:val="0"/>
      <w:divBdr>
        <w:top w:val="none" w:sz="0" w:space="0" w:color="auto"/>
        <w:left w:val="none" w:sz="0" w:space="0" w:color="auto"/>
        <w:bottom w:val="none" w:sz="0" w:space="0" w:color="auto"/>
        <w:right w:val="none" w:sz="0" w:space="0" w:color="auto"/>
      </w:divBdr>
    </w:div>
    <w:div w:id="1517577727">
      <w:bodyDiv w:val="1"/>
      <w:marLeft w:val="0"/>
      <w:marRight w:val="0"/>
      <w:marTop w:val="0"/>
      <w:marBottom w:val="0"/>
      <w:divBdr>
        <w:top w:val="none" w:sz="0" w:space="0" w:color="auto"/>
        <w:left w:val="none" w:sz="0" w:space="0" w:color="auto"/>
        <w:bottom w:val="none" w:sz="0" w:space="0" w:color="auto"/>
        <w:right w:val="none" w:sz="0" w:space="0" w:color="auto"/>
      </w:divBdr>
    </w:div>
    <w:div w:id="1517839360">
      <w:bodyDiv w:val="1"/>
      <w:marLeft w:val="0"/>
      <w:marRight w:val="0"/>
      <w:marTop w:val="0"/>
      <w:marBottom w:val="0"/>
      <w:divBdr>
        <w:top w:val="none" w:sz="0" w:space="0" w:color="auto"/>
        <w:left w:val="none" w:sz="0" w:space="0" w:color="auto"/>
        <w:bottom w:val="none" w:sz="0" w:space="0" w:color="auto"/>
        <w:right w:val="none" w:sz="0" w:space="0" w:color="auto"/>
      </w:divBdr>
    </w:div>
    <w:div w:id="1558011982">
      <w:bodyDiv w:val="1"/>
      <w:marLeft w:val="0"/>
      <w:marRight w:val="0"/>
      <w:marTop w:val="0"/>
      <w:marBottom w:val="0"/>
      <w:divBdr>
        <w:top w:val="none" w:sz="0" w:space="0" w:color="auto"/>
        <w:left w:val="none" w:sz="0" w:space="0" w:color="auto"/>
        <w:bottom w:val="none" w:sz="0" w:space="0" w:color="auto"/>
        <w:right w:val="none" w:sz="0" w:space="0" w:color="auto"/>
      </w:divBdr>
    </w:div>
    <w:div w:id="1559589503">
      <w:bodyDiv w:val="1"/>
      <w:marLeft w:val="0"/>
      <w:marRight w:val="0"/>
      <w:marTop w:val="0"/>
      <w:marBottom w:val="0"/>
      <w:divBdr>
        <w:top w:val="none" w:sz="0" w:space="0" w:color="auto"/>
        <w:left w:val="none" w:sz="0" w:space="0" w:color="auto"/>
        <w:bottom w:val="none" w:sz="0" w:space="0" w:color="auto"/>
        <w:right w:val="none" w:sz="0" w:space="0" w:color="auto"/>
      </w:divBdr>
    </w:div>
    <w:div w:id="1571816759">
      <w:bodyDiv w:val="1"/>
      <w:marLeft w:val="0"/>
      <w:marRight w:val="0"/>
      <w:marTop w:val="0"/>
      <w:marBottom w:val="0"/>
      <w:divBdr>
        <w:top w:val="none" w:sz="0" w:space="0" w:color="auto"/>
        <w:left w:val="none" w:sz="0" w:space="0" w:color="auto"/>
        <w:bottom w:val="none" w:sz="0" w:space="0" w:color="auto"/>
        <w:right w:val="none" w:sz="0" w:space="0" w:color="auto"/>
      </w:divBdr>
    </w:div>
    <w:div w:id="1609654185">
      <w:bodyDiv w:val="1"/>
      <w:marLeft w:val="0"/>
      <w:marRight w:val="0"/>
      <w:marTop w:val="0"/>
      <w:marBottom w:val="0"/>
      <w:divBdr>
        <w:top w:val="none" w:sz="0" w:space="0" w:color="auto"/>
        <w:left w:val="none" w:sz="0" w:space="0" w:color="auto"/>
        <w:bottom w:val="none" w:sz="0" w:space="0" w:color="auto"/>
        <w:right w:val="none" w:sz="0" w:space="0" w:color="auto"/>
      </w:divBdr>
    </w:div>
    <w:div w:id="1619020242">
      <w:bodyDiv w:val="1"/>
      <w:marLeft w:val="0"/>
      <w:marRight w:val="0"/>
      <w:marTop w:val="0"/>
      <w:marBottom w:val="0"/>
      <w:divBdr>
        <w:top w:val="none" w:sz="0" w:space="0" w:color="auto"/>
        <w:left w:val="none" w:sz="0" w:space="0" w:color="auto"/>
        <w:bottom w:val="none" w:sz="0" w:space="0" w:color="auto"/>
        <w:right w:val="none" w:sz="0" w:space="0" w:color="auto"/>
      </w:divBdr>
    </w:div>
    <w:div w:id="1621105286">
      <w:bodyDiv w:val="1"/>
      <w:marLeft w:val="0"/>
      <w:marRight w:val="0"/>
      <w:marTop w:val="0"/>
      <w:marBottom w:val="0"/>
      <w:divBdr>
        <w:top w:val="none" w:sz="0" w:space="0" w:color="auto"/>
        <w:left w:val="none" w:sz="0" w:space="0" w:color="auto"/>
        <w:bottom w:val="none" w:sz="0" w:space="0" w:color="auto"/>
        <w:right w:val="none" w:sz="0" w:space="0" w:color="auto"/>
      </w:divBdr>
    </w:div>
    <w:div w:id="1629126022">
      <w:bodyDiv w:val="1"/>
      <w:marLeft w:val="0"/>
      <w:marRight w:val="0"/>
      <w:marTop w:val="0"/>
      <w:marBottom w:val="0"/>
      <w:divBdr>
        <w:top w:val="none" w:sz="0" w:space="0" w:color="auto"/>
        <w:left w:val="none" w:sz="0" w:space="0" w:color="auto"/>
        <w:bottom w:val="none" w:sz="0" w:space="0" w:color="auto"/>
        <w:right w:val="none" w:sz="0" w:space="0" w:color="auto"/>
      </w:divBdr>
    </w:div>
    <w:div w:id="1643461184">
      <w:bodyDiv w:val="1"/>
      <w:marLeft w:val="0"/>
      <w:marRight w:val="0"/>
      <w:marTop w:val="0"/>
      <w:marBottom w:val="0"/>
      <w:divBdr>
        <w:top w:val="none" w:sz="0" w:space="0" w:color="auto"/>
        <w:left w:val="none" w:sz="0" w:space="0" w:color="auto"/>
        <w:bottom w:val="none" w:sz="0" w:space="0" w:color="auto"/>
        <w:right w:val="none" w:sz="0" w:space="0" w:color="auto"/>
      </w:divBdr>
    </w:div>
    <w:div w:id="1647858129">
      <w:bodyDiv w:val="1"/>
      <w:marLeft w:val="0"/>
      <w:marRight w:val="0"/>
      <w:marTop w:val="0"/>
      <w:marBottom w:val="0"/>
      <w:divBdr>
        <w:top w:val="none" w:sz="0" w:space="0" w:color="auto"/>
        <w:left w:val="none" w:sz="0" w:space="0" w:color="auto"/>
        <w:bottom w:val="none" w:sz="0" w:space="0" w:color="auto"/>
        <w:right w:val="none" w:sz="0" w:space="0" w:color="auto"/>
      </w:divBdr>
    </w:div>
    <w:div w:id="1696887796">
      <w:bodyDiv w:val="1"/>
      <w:marLeft w:val="0"/>
      <w:marRight w:val="0"/>
      <w:marTop w:val="0"/>
      <w:marBottom w:val="0"/>
      <w:divBdr>
        <w:top w:val="none" w:sz="0" w:space="0" w:color="auto"/>
        <w:left w:val="none" w:sz="0" w:space="0" w:color="auto"/>
        <w:bottom w:val="none" w:sz="0" w:space="0" w:color="auto"/>
        <w:right w:val="none" w:sz="0" w:space="0" w:color="auto"/>
      </w:divBdr>
    </w:div>
    <w:div w:id="1699549378">
      <w:bodyDiv w:val="1"/>
      <w:marLeft w:val="0"/>
      <w:marRight w:val="0"/>
      <w:marTop w:val="0"/>
      <w:marBottom w:val="0"/>
      <w:divBdr>
        <w:top w:val="none" w:sz="0" w:space="0" w:color="auto"/>
        <w:left w:val="none" w:sz="0" w:space="0" w:color="auto"/>
        <w:bottom w:val="none" w:sz="0" w:space="0" w:color="auto"/>
        <w:right w:val="none" w:sz="0" w:space="0" w:color="auto"/>
      </w:divBdr>
    </w:div>
    <w:div w:id="1704593618">
      <w:bodyDiv w:val="1"/>
      <w:marLeft w:val="0"/>
      <w:marRight w:val="0"/>
      <w:marTop w:val="0"/>
      <w:marBottom w:val="0"/>
      <w:divBdr>
        <w:top w:val="none" w:sz="0" w:space="0" w:color="auto"/>
        <w:left w:val="none" w:sz="0" w:space="0" w:color="auto"/>
        <w:bottom w:val="none" w:sz="0" w:space="0" w:color="auto"/>
        <w:right w:val="none" w:sz="0" w:space="0" w:color="auto"/>
      </w:divBdr>
    </w:div>
    <w:div w:id="1711956784">
      <w:bodyDiv w:val="1"/>
      <w:marLeft w:val="0"/>
      <w:marRight w:val="0"/>
      <w:marTop w:val="0"/>
      <w:marBottom w:val="0"/>
      <w:divBdr>
        <w:top w:val="none" w:sz="0" w:space="0" w:color="auto"/>
        <w:left w:val="none" w:sz="0" w:space="0" w:color="auto"/>
        <w:bottom w:val="none" w:sz="0" w:space="0" w:color="auto"/>
        <w:right w:val="none" w:sz="0" w:space="0" w:color="auto"/>
      </w:divBdr>
    </w:div>
    <w:div w:id="1715156045">
      <w:bodyDiv w:val="1"/>
      <w:marLeft w:val="0"/>
      <w:marRight w:val="0"/>
      <w:marTop w:val="0"/>
      <w:marBottom w:val="0"/>
      <w:divBdr>
        <w:top w:val="none" w:sz="0" w:space="0" w:color="auto"/>
        <w:left w:val="none" w:sz="0" w:space="0" w:color="auto"/>
        <w:bottom w:val="none" w:sz="0" w:space="0" w:color="auto"/>
        <w:right w:val="none" w:sz="0" w:space="0" w:color="auto"/>
      </w:divBdr>
    </w:div>
    <w:div w:id="1740441295">
      <w:bodyDiv w:val="1"/>
      <w:marLeft w:val="0"/>
      <w:marRight w:val="0"/>
      <w:marTop w:val="0"/>
      <w:marBottom w:val="0"/>
      <w:divBdr>
        <w:top w:val="none" w:sz="0" w:space="0" w:color="auto"/>
        <w:left w:val="none" w:sz="0" w:space="0" w:color="auto"/>
        <w:bottom w:val="none" w:sz="0" w:space="0" w:color="auto"/>
        <w:right w:val="none" w:sz="0" w:space="0" w:color="auto"/>
      </w:divBdr>
    </w:div>
    <w:div w:id="1749963665">
      <w:bodyDiv w:val="1"/>
      <w:marLeft w:val="0"/>
      <w:marRight w:val="0"/>
      <w:marTop w:val="0"/>
      <w:marBottom w:val="0"/>
      <w:divBdr>
        <w:top w:val="none" w:sz="0" w:space="0" w:color="auto"/>
        <w:left w:val="none" w:sz="0" w:space="0" w:color="auto"/>
        <w:bottom w:val="none" w:sz="0" w:space="0" w:color="auto"/>
        <w:right w:val="none" w:sz="0" w:space="0" w:color="auto"/>
      </w:divBdr>
    </w:div>
    <w:div w:id="1753357980">
      <w:bodyDiv w:val="1"/>
      <w:marLeft w:val="0"/>
      <w:marRight w:val="0"/>
      <w:marTop w:val="0"/>
      <w:marBottom w:val="0"/>
      <w:divBdr>
        <w:top w:val="none" w:sz="0" w:space="0" w:color="auto"/>
        <w:left w:val="none" w:sz="0" w:space="0" w:color="auto"/>
        <w:bottom w:val="none" w:sz="0" w:space="0" w:color="auto"/>
        <w:right w:val="none" w:sz="0" w:space="0" w:color="auto"/>
      </w:divBdr>
    </w:div>
    <w:div w:id="1763644623">
      <w:bodyDiv w:val="1"/>
      <w:marLeft w:val="0"/>
      <w:marRight w:val="0"/>
      <w:marTop w:val="0"/>
      <w:marBottom w:val="0"/>
      <w:divBdr>
        <w:top w:val="none" w:sz="0" w:space="0" w:color="auto"/>
        <w:left w:val="none" w:sz="0" w:space="0" w:color="auto"/>
        <w:bottom w:val="none" w:sz="0" w:space="0" w:color="auto"/>
        <w:right w:val="none" w:sz="0" w:space="0" w:color="auto"/>
      </w:divBdr>
    </w:div>
    <w:div w:id="1786774535">
      <w:bodyDiv w:val="1"/>
      <w:marLeft w:val="0"/>
      <w:marRight w:val="0"/>
      <w:marTop w:val="0"/>
      <w:marBottom w:val="0"/>
      <w:divBdr>
        <w:top w:val="none" w:sz="0" w:space="0" w:color="auto"/>
        <w:left w:val="none" w:sz="0" w:space="0" w:color="auto"/>
        <w:bottom w:val="none" w:sz="0" w:space="0" w:color="auto"/>
        <w:right w:val="none" w:sz="0" w:space="0" w:color="auto"/>
      </w:divBdr>
    </w:div>
    <w:div w:id="1795562854">
      <w:bodyDiv w:val="1"/>
      <w:marLeft w:val="0"/>
      <w:marRight w:val="0"/>
      <w:marTop w:val="0"/>
      <w:marBottom w:val="0"/>
      <w:divBdr>
        <w:top w:val="none" w:sz="0" w:space="0" w:color="auto"/>
        <w:left w:val="none" w:sz="0" w:space="0" w:color="auto"/>
        <w:bottom w:val="none" w:sz="0" w:space="0" w:color="auto"/>
        <w:right w:val="none" w:sz="0" w:space="0" w:color="auto"/>
      </w:divBdr>
    </w:div>
    <w:div w:id="1810856194">
      <w:bodyDiv w:val="1"/>
      <w:marLeft w:val="0"/>
      <w:marRight w:val="0"/>
      <w:marTop w:val="0"/>
      <w:marBottom w:val="0"/>
      <w:divBdr>
        <w:top w:val="none" w:sz="0" w:space="0" w:color="auto"/>
        <w:left w:val="none" w:sz="0" w:space="0" w:color="auto"/>
        <w:bottom w:val="none" w:sz="0" w:space="0" w:color="auto"/>
        <w:right w:val="none" w:sz="0" w:space="0" w:color="auto"/>
      </w:divBdr>
    </w:div>
    <w:div w:id="1813911800">
      <w:bodyDiv w:val="1"/>
      <w:marLeft w:val="0"/>
      <w:marRight w:val="0"/>
      <w:marTop w:val="0"/>
      <w:marBottom w:val="0"/>
      <w:divBdr>
        <w:top w:val="none" w:sz="0" w:space="0" w:color="auto"/>
        <w:left w:val="none" w:sz="0" w:space="0" w:color="auto"/>
        <w:bottom w:val="none" w:sz="0" w:space="0" w:color="auto"/>
        <w:right w:val="none" w:sz="0" w:space="0" w:color="auto"/>
      </w:divBdr>
    </w:div>
    <w:div w:id="1818108555">
      <w:bodyDiv w:val="1"/>
      <w:marLeft w:val="0"/>
      <w:marRight w:val="0"/>
      <w:marTop w:val="0"/>
      <w:marBottom w:val="0"/>
      <w:divBdr>
        <w:top w:val="none" w:sz="0" w:space="0" w:color="auto"/>
        <w:left w:val="none" w:sz="0" w:space="0" w:color="auto"/>
        <w:bottom w:val="none" w:sz="0" w:space="0" w:color="auto"/>
        <w:right w:val="none" w:sz="0" w:space="0" w:color="auto"/>
      </w:divBdr>
    </w:div>
    <w:div w:id="1819836301">
      <w:bodyDiv w:val="1"/>
      <w:marLeft w:val="0"/>
      <w:marRight w:val="0"/>
      <w:marTop w:val="0"/>
      <w:marBottom w:val="0"/>
      <w:divBdr>
        <w:top w:val="none" w:sz="0" w:space="0" w:color="auto"/>
        <w:left w:val="none" w:sz="0" w:space="0" w:color="auto"/>
        <w:bottom w:val="none" w:sz="0" w:space="0" w:color="auto"/>
        <w:right w:val="none" w:sz="0" w:space="0" w:color="auto"/>
      </w:divBdr>
    </w:div>
    <w:div w:id="1824349820">
      <w:bodyDiv w:val="1"/>
      <w:marLeft w:val="0"/>
      <w:marRight w:val="0"/>
      <w:marTop w:val="0"/>
      <w:marBottom w:val="0"/>
      <w:divBdr>
        <w:top w:val="none" w:sz="0" w:space="0" w:color="auto"/>
        <w:left w:val="none" w:sz="0" w:space="0" w:color="auto"/>
        <w:bottom w:val="none" w:sz="0" w:space="0" w:color="auto"/>
        <w:right w:val="none" w:sz="0" w:space="0" w:color="auto"/>
      </w:divBdr>
    </w:div>
    <w:div w:id="1829397349">
      <w:bodyDiv w:val="1"/>
      <w:marLeft w:val="0"/>
      <w:marRight w:val="0"/>
      <w:marTop w:val="0"/>
      <w:marBottom w:val="0"/>
      <w:divBdr>
        <w:top w:val="none" w:sz="0" w:space="0" w:color="auto"/>
        <w:left w:val="none" w:sz="0" w:space="0" w:color="auto"/>
        <w:bottom w:val="none" w:sz="0" w:space="0" w:color="auto"/>
        <w:right w:val="none" w:sz="0" w:space="0" w:color="auto"/>
      </w:divBdr>
    </w:div>
    <w:div w:id="1838839845">
      <w:bodyDiv w:val="1"/>
      <w:marLeft w:val="0"/>
      <w:marRight w:val="0"/>
      <w:marTop w:val="0"/>
      <w:marBottom w:val="0"/>
      <w:divBdr>
        <w:top w:val="none" w:sz="0" w:space="0" w:color="auto"/>
        <w:left w:val="none" w:sz="0" w:space="0" w:color="auto"/>
        <w:bottom w:val="none" w:sz="0" w:space="0" w:color="auto"/>
        <w:right w:val="none" w:sz="0" w:space="0" w:color="auto"/>
      </w:divBdr>
    </w:div>
    <w:div w:id="1872037312">
      <w:bodyDiv w:val="1"/>
      <w:marLeft w:val="0"/>
      <w:marRight w:val="0"/>
      <w:marTop w:val="0"/>
      <w:marBottom w:val="0"/>
      <w:divBdr>
        <w:top w:val="none" w:sz="0" w:space="0" w:color="auto"/>
        <w:left w:val="none" w:sz="0" w:space="0" w:color="auto"/>
        <w:bottom w:val="none" w:sz="0" w:space="0" w:color="auto"/>
        <w:right w:val="none" w:sz="0" w:space="0" w:color="auto"/>
      </w:divBdr>
    </w:div>
    <w:div w:id="1902402783">
      <w:bodyDiv w:val="1"/>
      <w:marLeft w:val="0"/>
      <w:marRight w:val="0"/>
      <w:marTop w:val="0"/>
      <w:marBottom w:val="0"/>
      <w:divBdr>
        <w:top w:val="none" w:sz="0" w:space="0" w:color="auto"/>
        <w:left w:val="none" w:sz="0" w:space="0" w:color="auto"/>
        <w:bottom w:val="none" w:sz="0" w:space="0" w:color="auto"/>
        <w:right w:val="none" w:sz="0" w:space="0" w:color="auto"/>
      </w:divBdr>
    </w:div>
    <w:div w:id="1928152665">
      <w:bodyDiv w:val="1"/>
      <w:marLeft w:val="0"/>
      <w:marRight w:val="0"/>
      <w:marTop w:val="0"/>
      <w:marBottom w:val="0"/>
      <w:divBdr>
        <w:top w:val="none" w:sz="0" w:space="0" w:color="auto"/>
        <w:left w:val="none" w:sz="0" w:space="0" w:color="auto"/>
        <w:bottom w:val="none" w:sz="0" w:space="0" w:color="auto"/>
        <w:right w:val="none" w:sz="0" w:space="0" w:color="auto"/>
      </w:divBdr>
    </w:div>
    <w:div w:id="1938126514">
      <w:bodyDiv w:val="1"/>
      <w:marLeft w:val="0"/>
      <w:marRight w:val="0"/>
      <w:marTop w:val="0"/>
      <w:marBottom w:val="0"/>
      <w:divBdr>
        <w:top w:val="none" w:sz="0" w:space="0" w:color="auto"/>
        <w:left w:val="none" w:sz="0" w:space="0" w:color="auto"/>
        <w:bottom w:val="none" w:sz="0" w:space="0" w:color="auto"/>
        <w:right w:val="none" w:sz="0" w:space="0" w:color="auto"/>
      </w:divBdr>
    </w:div>
    <w:div w:id="1939363332">
      <w:bodyDiv w:val="1"/>
      <w:marLeft w:val="0"/>
      <w:marRight w:val="0"/>
      <w:marTop w:val="0"/>
      <w:marBottom w:val="0"/>
      <w:divBdr>
        <w:top w:val="none" w:sz="0" w:space="0" w:color="auto"/>
        <w:left w:val="none" w:sz="0" w:space="0" w:color="auto"/>
        <w:bottom w:val="none" w:sz="0" w:space="0" w:color="auto"/>
        <w:right w:val="none" w:sz="0" w:space="0" w:color="auto"/>
      </w:divBdr>
    </w:div>
    <w:div w:id="1958102754">
      <w:bodyDiv w:val="1"/>
      <w:marLeft w:val="0"/>
      <w:marRight w:val="0"/>
      <w:marTop w:val="0"/>
      <w:marBottom w:val="0"/>
      <w:divBdr>
        <w:top w:val="none" w:sz="0" w:space="0" w:color="auto"/>
        <w:left w:val="none" w:sz="0" w:space="0" w:color="auto"/>
        <w:bottom w:val="none" w:sz="0" w:space="0" w:color="auto"/>
        <w:right w:val="none" w:sz="0" w:space="0" w:color="auto"/>
      </w:divBdr>
    </w:div>
    <w:div w:id="1960989946">
      <w:bodyDiv w:val="1"/>
      <w:marLeft w:val="0"/>
      <w:marRight w:val="0"/>
      <w:marTop w:val="0"/>
      <w:marBottom w:val="0"/>
      <w:divBdr>
        <w:top w:val="none" w:sz="0" w:space="0" w:color="auto"/>
        <w:left w:val="none" w:sz="0" w:space="0" w:color="auto"/>
        <w:bottom w:val="none" w:sz="0" w:space="0" w:color="auto"/>
        <w:right w:val="none" w:sz="0" w:space="0" w:color="auto"/>
      </w:divBdr>
    </w:div>
    <w:div w:id="1977025675">
      <w:bodyDiv w:val="1"/>
      <w:marLeft w:val="0"/>
      <w:marRight w:val="0"/>
      <w:marTop w:val="0"/>
      <w:marBottom w:val="0"/>
      <w:divBdr>
        <w:top w:val="none" w:sz="0" w:space="0" w:color="auto"/>
        <w:left w:val="none" w:sz="0" w:space="0" w:color="auto"/>
        <w:bottom w:val="none" w:sz="0" w:space="0" w:color="auto"/>
        <w:right w:val="none" w:sz="0" w:space="0" w:color="auto"/>
      </w:divBdr>
    </w:div>
    <w:div w:id="1981180762">
      <w:bodyDiv w:val="1"/>
      <w:marLeft w:val="0"/>
      <w:marRight w:val="0"/>
      <w:marTop w:val="0"/>
      <w:marBottom w:val="0"/>
      <w:divBdr>
        <w:top w:val="none" w:sz="0" w:space="0" w:color="auto"/>
        <w:left w:val="none" w:sz="0" w:space="0" w:color="auto"/>
        <w:bottom w:val="none" w:sz="0" w:space="0" w:color="auto"/>
        <w:right w:val="none" w:sz="0" w:space="0" w:color="auto"/>
      </w:divBdr>
    </w:div>
    <w:div w:id="1985234092">
      <w:bodyDiv w:val="1"/>
      <w:marLeft w:val="0"/>
      <w:marRight w:val="0"/>
      <w:marTop w:val="0"/>
      <w:marBottom w:val="0"/>
      <w:divBdr>
        <w:top w:val="none" w:sz="0" w:space="0" w:color="auto"/>
        <w:left w:val="none" w:sz="0" w:space="0" w:color="auto"/>
        <w:bottom w:val="none" w:sz="0" w:space="0" w:color="auto"/>
        <w:right w:val="none" w:sz="0" w:space="0" w:color="auto"/>
      </w:divBdr>
    </w:div>
    <w:div w:id="1987080973">
      <w:bodyDiv w:val="1"/>
      <w:marLeft w:val="0"/>
      <w:marRight w:val="0"/>
      <w:marTop w:val="0"/>
      <w:marBottom w:val="0"/>
      <w:divBdr>
        <w:top w:val="none" w:sz="0" w:space="0" w:color="auto"/>
        <w:left w:val="none" w:sz="0" w:space="0" w:color="auto"/>
        <w:bottom w:val="none" w:sz="0" w:space="0" w:color="auto"/>
        <w:right w:val="none" w:sz="0" w:space="0" w:color="auto"/>
      </w:divBdr>
    </w:div>
    <w:div w:id="1995178539">
      <w:bodyDiv w:val="1"/>
      <w:marLeft w:val="0"/>
      <w:marRight w:val="0"/>
      <w:marTop w:val="0"/>
      <w:marBottom w:val="0"/>
      <w:divBdr>
        <w:top w:val="none" w:sz="0" w:space="0" w:color="auto"/>
        <w:left w:val="none" w:sz="0" w:space="0" w:color="auto"/>
        <w:bottom w:val="none" w:sz="0" w:space="0" w:color="auto"/>
        <w:right w:val="none" w:sz="0" w:space="0" w:color="auto"/>
      </w:divBdr>
    </w:div>
    <w:div w:id="2004702781">
      <w:bodyDiv w:val="1"/>
      <w:marLeft w:val="0"/>
      <w:marRight w:val="0"/>
      <w:marTop w:val="0"/>
      <w:marBottom w:val="0"/>
      <w:divBdr>
        <w:top w:val="none" w:sz="0" w:space="0" w:color="auto"/>
        <w:left w:val="none" w:sz="0" w:space="0" w:color="auto"/>
        <w:bottom w:val="none" w:sz="0" w:space="0" w:color="auto"/>
        <w:right w:val="none" w:sz="0" w:space="0" w:color="auto"/>
      </w:divBdr>
    </w:div>
    <w:div w:id="2013490456">
      <w:bodyDiv w:val="1"/>
      <w:marLeft w:val="0"/>
      <w:marRight w:val="0"/>
      <w:marTop w:val="0"/>
      <w:marBottom w:val="0"/>
      <w:divBdr>
        <w:top w:val="none" w:sz="0" w:space="0" w:color="auto"/>
        <w:left w:val="none" w:sz="0" w:space="0" w:color="auto"/>
        <w:bottom w:val="none" w:sz="0" w:space="0" w:color="auto"/>
        <w:right w:val="none" w:sz="0" w:space="0" w:color="auto"/>
      </w:divBdr>
    </w:div>
    <w:div w:id="2018772534">
      <w:bodyDiv w:val="1"/>
      <w:marLeft w:val="0"/>
      <w:marRight w:val="0"/>
      <w:marTop w:val="0"/>
      <w:marBottom w:val="0"/>
      <w:divBdr>
        <w:top w:val="none" w:sz="0" w:space="0" w:color="auto"/>
        <w:left w:val="none" w:sz="0" w:space="0" w:color="auto"/>
        <w:bottom w:val="none" w:sz="0" w:space="0" w:color="auto"/>
        <w:right w:val="none" w:sz="0" w:space="0" w:color="auto"/>
      </w:divBdr>
    </w:div>
    <w:div w:id="2039239409">
      <w:bodyDiv w:val="1"/>
      <w:marLeft w:val="0"/>
      <w:marRight w:val="0"/>
      <w:marTop w:val="0"/>
      <w:marBottom w:val="0"/>
      <w:divBdr>
        <w:top w:val="none" w:sz="0" w:space="0" w:color="auto"/>
        <w:left w:val="none" w:sz="0" w:space="0" w:color="auto"/>
        <w:bottom w:val="none" w:sz="0" w:space="0" w:color="auto"/>
        <w:right w:val="none" w:sz="0" w:space="0" w:color="auto"/>
      </w:divBdr>
    </w:div>
    <w:div w:id="2044207723">
      <w:bodyDiv w:val="1"/>
      <w:marLeft w:val="0"/>
      <w:marRight w:val="0"/>
      <w:marTop w:val="0"/>
      <w:marBottom w:val="0"/>
      <w:divBdr>
        <w:top w:val="none" w:sz="0" w:space="0" w:color="auto"/>
        <w:left w:val="none" w:sz="0" w:space="0" w:color="auto"/>
        <w:bottom w:val="none" w:sz="0" w:space="0" w:color="auto"/>
        <w:right w:val="none" w:sz="0" w:space="0" w:color="auto"/>
      </w:divBdr>
    </w:div>
    <w:div w:id="2045599266">
      <w:bodyDiv w:val="1"/>
      <w:marLeft w:val="0"/>
      <w:marRight w:val="0"/>
      <w:marTop w:val="0"/>
      <w:marBottom w:val="0"/>
      <w:divBdr>
        <w:top w:val="none" w:sz="0" w:space="0" w:color="auto"/>
        <w:left w:val="none" w:sz="0" w:space="0" w:color="auto"/>
        <w:bottom w:val="none" w:sz="0" w:space="0" w:color="auto"/>
        <w:right w:val="none" w:sz="0" w:space="0" w:color="auto"/>
      </w:divBdr>
    </w:div>
    <w:div w:id="2045863873">
      <w:bodyDiv w:val="1"/>
      <w:marLeft w:val="0"/>
      <w:marRight w:val="0"/>
      <w:marTop w:val="0"/>
      <w:marBottom w:val="0"/>
      <w:divBdr>
        <w:top w:val="none" w:sz="0" w:space="0" w:color="auto"/>
        <w:left w:val="none" w:sz="0" w:space="0" w:color="auto"/>
        <w:bottom w:val="none" w:sz="0" w:space="0" w:color="auto"/>
        <w:right w:val="none" w:sz="0" w:space="0" w:color="auto"/>
      </w:divBdr>
    </w:div>
    <w:div w:id="2055230204">
      <w:bodyDiv w:val="1"/>
      <w:marLeft w:val="0"/>
      <w:marRight w:val="0"/>
      <w:marTop w:val="0"/>
      <w:marBottom w:val="0"/>
      <w:divBdr>
        <w:top w:val="none" w:sz="0" w:space="0" w:color="auto"/>
        <w:left w:val="none" w:sz="0" w:space="0" w:color="auto"/>
        <w:bottom w:val="none" w:sz="0" w:space="0" w:color="auto"/>
        <w:right w:val="none" w:sz="0" w:space="0" w:color="auto"/>
      </w:divBdr>
    </w:div>
    <w:div w:id="2065442976">
      <w:bodyDiv w:val="1"/>
      <w:marLeft w:val="0"/>
      <w:marRight w:val="0"/>
      <w:marTop w:val="0"/>
      <w:marBottom w:val="0"/>
      <w:divBdr>
        <w:top w:val="none" w:sz="0" w:space="0" w:color="auto"/>
        <w:left w:val="none" w:sz="0" w:space="0" w:color="auto"/>
        <w:bottom w:val="none" w:sz="0" w:space="0" w:color="auto"/>
        <w:right w:val="none" w:sz="0" w:space="0" w:color="auto"/>
      </w:divBdr>
    </w:div>
    <w:div w:id="2075352260">
      <w:bodyDiv w:val="1"/>
      <w:marLeft w:val="0"/>
      <w:marRight w:val="0"/>
      <w:marTop w:val="0"/>
      <w:marBottom w:val="0"/>
      <w:divBdr>
        <w:top w:val="none" w:sz="0" w:space="0" w:color="auto"/>
        <w:left w:val="none" w:sz="0" w:space="0" w:color="auto"/>
        <w:bottom w:val="none" w:sz="0" w:space="0" w:color="auto"/>
        <w:right w:val="none" w:sz="0" w:space="0" w:color="auto"/>
      </w:divBdr>
    </w:div>
    <w:div w:id="2095005037">
      <w:bodyDiv w:val="1"/>
      <w:marLeft w:val="0"/>
      <w:marRight w:val="0"/>
      <w:marTop w:val="0"/>
      <w:marBottom w:val="0"/>
      <w:divBdr>
        <w:top w:val="none" w:sz="0" w:space="0" w:color="auto"/>
        <w:left w:val="none" w:sz="0" w:space="0" w:color="auto"/>
        <w:bottom w:val="none" w:sz="0" w:space="0" w:color="auto"/>
        <w:right w:val="none" w:sz="0" w:space="0" w:color="auto"/>
      </w:divBdr>
    </w:div>
    <w:div w:id="2109234960">
      <w:bodyDiv w:val="1"/>
      <w:marLeft w:val="0"/>
      <w:marRight w:val="0"/>
      <w:marTop w:val="0"/>
      <w:marBottom w:val="0"/>
      <w:divBdr>
        <w:top w:val="none" w:sz="0" w:space="0" w:color="auto"/>
        <w:left w:val="none" w:sz="0" w:space="0" w:color="auto"/>
        <w:bottom w:val="none" w:sz="0" w:space="0" w:color="auto"/>
        <w:right w:val="none" w:sz="0" w:space="0" w:color="auto"/>
      </w:divBdr>
    </w:div>
    <w:div w:id="2115860271">
      <w:bodyDiv w:val="1"/>
      <w:marLeft w:val="0"/>
      <w:marRight w:val="0"/>
      <w:marTop w:val="0"/>
      <w:marBottom w:val="0"/>
      <w:divBdr>
        <w:top w:val="none" w:sz="0" w:space="0" w:color="auto"/>
        <w:left w:val="none" w:sz="0" w:space="0" w:color="auto"/>
        <w:bottom w:val="none" w:sz="0" w:space="0" w:color="auto"/>
        <w:right w:val="none" w:sz="0" w:space="0" w:color="auto"/>
      </w:divBdr>
    </w:div>
    <w:div w:id="2117168685">
      <w:bodyDiv w:val="1"/>
      <w:marLeft w:val="0"/>
      <w:marRight w:val="0"/>
      <w:marTop w:val="0"/>
      <w:marBottom w:val="0"/>
      <w:divBdr>
        <w:top w:val="none" w:sz="0" w:space="0" w:color="auto"/>
        <w:left w:val="none" w:sz="0" w:space="0" w:color="auto"/>
        <w:bottom w:val="none" w:sz="0" w:space="0" w:color="auto"/>
        <w:right w:val="none" w:sz="0" w:space="0" w:color="auto"/>
      </w:divBdr>
    </w:div>
    <w:div w:id="2140490037">
      <w:bodyDiv w:val="1"/>
      <w:marLeft w:val="0"/>
      <w:marRight w:val="0"/>
      <w:marTop w:val="0"/>
      <w:marBottom w:val="0"/>
      <w:divBdr>
        <w:top w:val="none" w:sz="0" w:space="0" w:color="auto"/>
        <w:left w:val="none" w:sz="0" w:space="0" w:color="auto"/>
        <w:bottom w:val="none" w:sz="0" w:space="0" w:color="auto"/>
        <w:right w:val="none" w:sz="0" w:space="0" w:color="auto"/>
      </w:divBdr>
    </w:div>
    <w:div w:id="2146771743">
      <w:bodyDiv w:val="1"/>
      <w:marLeft w:val="0"/>
      <w:marRight w:val="0"/>
      <w:marTop w:val="0"/>
      <w:marBottom w:val="0"/>
      <w:divBdr>
        <w:top w:val="none" w:sz="0" w:space="0" w:color="auto"/>
        <w:left w:val="none" w:sz="0" w:space="0" w:color="auto"/>
        <w:bottom w:val="none" w:sz="0" w:space="0" w:color="auto"/>
        <w:right w:val="none" w:sz="0" w:space="0" w:color="auto"/>
      </w:divBdr>
    </w:div>
    <w:div w:id="2147356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footer" Target="footer3.xml"/><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hyperlink" Target="http://www.epa.gov/emergencies/content/reporting/rqover.htm"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hyperlink" Target="http://www.regulations.gov" TargetMode="External"/><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gulations.gov"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hyperlink" Target="http://www.epa.gov/emergencies/content/reporting/rqover.htm" TargetMode="External"/><Relationship Id="rId49" Type="http://schemas.openxmlformats.org/officeDocument/2006/relationships/header" Target="header3.xml"/><Relationship Id="rId10" Type="http://schemas.openxmlformats.org/officeDocument/2006/relationships/footer" Target="footer2.xm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image" Target="media/image28.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header" Target="header2.xml"/><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header" Target="header1.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nrc.uscg.mil/" TargetMode="External"/><Relationship Id="rId1" Type="http://schemas.openxmlformats.org/officeDocument/2006/relationships/hyperlink" Target="http://www.epa.gov/emergencies/content/reporting/rqover.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7CF13-BA1B-4D0B-89C4-8DC853550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67</Pages>
  <Words>15377</Words>
  <Characters>89541</Characters>
  <Application>Microsoft Office Word</Application>
  <DocSecurity>0</DocSecurity>
  <Lines>746</Lines>
  <Paragraphs>209</Paragraphs>
  <ScaleCrop>false</ScaleCrop>
  <HeadingPairs>
    <vt:vector size="2" baseType="variant">
      <vt:variant>
        <vt:lpstr>Title</vt:lpstr>
      </vt:variant>
      <vt:variant>
        <vt:i4>1</vt:i4>
      </vt:variant>
    </vt:vector>
  </HeadingPairs>
  <TitlesOfParts>
    <vt:vector size="1" baseType="lpstr">
      <vt:lpstr>RENEWAL OF INFORMATION COLLECTION REQUEST FOR THE CONTINUOUS RELEASE REPORTING REQUIREMENT</vt:lpstr>
    </vt:vector>
  </TitlesOfParts>
  <Company>EPA</Company>
  <LinksUpToDate>false</LinksUpToDate>
  <CharactersWithSpaces>104709</CharactersWithSpaces>
  <SharedDoc>false</SharedDoc>
  <HLinks>
    <vt:vector size="750" baseType="variant">
      <vt:variant>
        <vt:i4>2818151</vt:i4>
      </vt:variant>
      <vt:variant>
        <vt:i4>1076</vt:i4>
      </vt:variant>
      <vt:variant>
        <vt:i4>0</vt:i4>
      </vt:variant>
      <vt:variant>
        <vt:i4>5</vt:i4>
      </vt:variant>
      <vt:variant>
        <vt:lpwstr>http://www.regulations.gov/</vt:lpwstr>
      </vt:variant>
      <vt:variant>
        <vt:lpwstr/>
      </vt:variant>
      <vt:variant>
        <vt:i4>2818151</vt:i4>
      </vt:variant>
      <vt:variant>
        <vt:i4>1073</vt:i4>
      </vt:variant>
      <vt:variant>
        <vt:i4>0</vt:i4>
      </vt:variant>
      <vt:variant>
        <vt:i4>5</vt:i4>
      </vt:variant>
      <vt:variant>
        <vt:lpwstr>http://www.regulations.gov/</vt:lpwstr>
      </vt:variant>
      <vt:variant>
        <vt:lpwstr/>
      </vt:variant>
      <vt:variant>
        <vt:i4>2818151</vt:i4>
      </vt:variant>
      <vt:variant>
        <vt:i4>834</vt:i4>
      </vt:variant>
      <vt:variant>
        <vt:i4>0</vt:i4>
      </vt:variant>
      <vt:variant>
        <vt:i4>5</vt:i4>
      </vt:variant>
      <vt:variant>
        <vt:lpwstr>http://www.regulations.gov/</vt:lpwstr>
      </vt:variant>
      <vt:variant>
        <vt:lpwstr/>
      </vt:variant>
      <vt:variant>
        <vt:i4>1572921</vt:i4>
      </vt:variant>
      <vt:variant>
        <vt:i4>722</vt:i4>
      </vt:variant>
      <vt:variant>
        <vt:i4>0</vt:i4>
      </vt:variant>
      <vt:variant>
        <vt:i4>5</vt:i4>
      </vt:variant>
      <vt:variant>
        <vt:lpwstr/>
      </vt:variant>
      <vt:variant>
        <vt:lpwstr>_Toc238866526</vt:lpwstr>
      </vt:variant>
      <vt:variant>
        <vt:i4>1572921</vt:i4>
      </vt:variant>
      <vt:variant>
        <vt:i4>716</vt:i4>
      </vt:variant>
      <vt:variant>
        <vt:i4>0</vt:i4>
      </vt:variant>
      <vt:variant>
        <vt:i4>5</vt:i4>
      </vt:variant>
      <vt:variant>
        <vt:lpwstr/>
      </vt:variant>
      <vt:variant>
        <vt:lpwstr>_Toc238866525</vt:lpwstr>
      </vt:variant>
      <vt:variant>
        <vt:i4>1572921</vt:i4>
      </vt:variant>
      <vt:variant>
        <vt:i4>710</vt:i4>
      </vt:variant>
      <vt:variant>
        <vt:i4>0</vt:i4>
      </vt:variant>
      <vt:variant>
        <vt:i4>5</vt:i4>
      </vt:variant>
      <vt:variant>
        <vt:lpwstr/>
      </vt:variant>
      <vt:variant>
        <vt:lpwstr>_Toc238866524</vt:lpwstr>
      </vt:variant>
      <vt:variant>
        <vt:i4>1572921</vt:i4>
      </vt:variant>
      <vt:variant>
        <vt:i4>704</vt:i4>
      </vt:variant>
      <vt:variant>
        <vt:i4>0</vt:i4>
      </vt:variant>
      <vt:variant>
        <vt:i4>5</vt:i4>
      </vt:variant>
      <vt:variant>
        <vt:lpwstr/>
      </vt:variant>
      <vt:variant>
        <vt:lpwstr>_Toc238866523</vt:lpwstr>
      </vt:variant>
      <vt:variant>
        <vt:i4>1572921</vt:i4>
      </vt:variant>
      <vt:variant>
        <vt:i4>698</vt:i4>
      </vt:variant>
      <vt:variant>
        <vt:i4>0</vt:i4>
      </vt:variant>
      <vt:variant>
        <vt:i4>5</vt:i4>
      </vt:variant>
      <vt:variant>
        <vt:lpwstr/>
      </vt:variant>
      <vt:variant>
        <vt:lpwstr>_Toc238866522</vt:lpwstr>
      </vt:variant>
      <vt:variant>
        <vt:i4>1572921</vt:i4>
      </vt:variant>
      <vt:variant>
        <vt:i4>692</vt:i4>
      </vt:variant>
      <vt:variant>
        <vt:i4>0</vt:i4>
      </vt:variant>
      <vt:variant>
        <vt:i4>5</vt:i4>
      </vt:variant>
      <vt:variant>
        <vt:lpwstr/>
      </vt:variant>
      <vt:variant>
        <vt:lpwstr>_Toc238866521</vt:lpwstr>
      </vt:variant>
      <vt:variant>
        <vt:i4>1572921</vt:i4>
      </vt:variant>
      <vt:variant>
        <vt:i4>686</vt:i4>
      </vt:variant>
      <vt:variant>
        <vt:i4>0</vt:i4>
      </vt:variant>
      <vt:variant>
        <vt:i4>5</vt:i4>
      </vt:variant>
      <vt:variant>
        <vt:lpwstr/>
      </vt:variant>
      <vt:variant>
        <vt:lpwstr>_Toc238866520</vt:lpwstr>
      </vt:variant>
      <vt:variant>
        <vt:i4>1769529</vt:i4>
      </vt:variant>
      <vt:variant>
        <vt:i4>680</vt:i4>
      </vt:variant>
      <vt:variant>
        <vt:i4>0</vt:i4>
      </vt:variant>
      <vt:variant>
        <vt:i4>5</vt:i4>
      </vt:variant>
      <vt:variant>
        <vt:lpwstr/>
      </vt:variant>
      <vt:variant>
        <vt:lpwstr>_Toc238866519</vt:lpwstr>
      </vt:variant>
      <vt:variant>
        <vt:i4>1769529</vt:i4>
      </vt:variant>
      <vt:variant>
        <vt:i4>674</vt:i4>
      </vt:variant>
      <vt:variant>
        <vt:i4>0</vt:i4>
      </vt:variant>
      <vt:variant>
        <vt:i4>5</vt:i4>
      </vt:variant>
      <vt:variant>
        <vt:lpwstr/>
      </vt:variant>
      <vt:variant>
        <vt:lpwstr>_Toc238866518</vt:lpwstr>
      </vt:variant>
      <vt:variant>
        <vt:i4>1769529</vt:i4>
      </vt:variant>
      <vt:variant>
        <vt:i4>668</vt:i4>
      </vt:variant>
      <vt:variant>
        <vt:i4>0</vt:i4>
      </vt:variant>
      <vt:variant>
        <vt:i4>5</vt:i4>
      </vt:variant>
      <vt:variant>
        <vt:lpwstr/>
      </vt:variant>
      <vt:variant>
        <vt:lpwstr>_Toc238866517</vt:lpwstr>
      </vt:variant>
      <vt:variant>
        <vt:i4>1769529</vt:i4>
      </vt:variant>
      <vt:variant>
        <vt:i4>662</vt:i4>
      </vt:variant>
      <vt:variant>
        <vt:i4>0</vt:i4>
      </vt:variant>
      <vt:variant>
        <vt:i4>5</vt:i4>
      </vt:variant>
      <vt:variant>
        <vt:lpwstr/>
      </vt:variant>
      <vt:variant>
        <vt:lpwstr>_Toc238866516</vt:lpwstr>
      </vt:variant>
      <vt:variant>
        <vt:i4>1769529</vt:i4>
      </vt:variant>
      <vt:variant>
        <vt:i4>656</vt:i4>
      </vt:variant>
      <vt:variant>
        <vt:i4>0</vt:i4>
      </vt:variant>
      <vt:variant>
        <vt:i4>5</vt:i4>
      </vt:variant>
      <vt:variant>
        <vt:lpwstr/>
      </vt:variant>
      <vt:variant>
        <vt:lpwstr>_Toc238866515</vt:lpwstr>
      </vt:variant>
      <vt:variant>
        <vt:i4>1769529</vt:i4>
      </vt:variant>
      <vt:variant>
        <vt:i4>650</vt:i4>
      </vt:variant>
      <vt:variant>
        <vt:i4>0</vt:i4>
      </vt:variant>
      <vt:variant>
        <vt:i4>5</vt:i4>
      </vt:variant>
      <vt:variant>
        <vt:lpwstr/>
      </vt:variant>
      <vt:variant>
        <vt:lpwstr>_Toc238866514</vt:lpwstr>
      </vt:variant>
      <vt:variant>
        <vt:i4>1769529</vt:i4>
      </vt:variant>
      <vt:variant>
        <vt:i4>644</vt:i4>
      </vt:variant>
      <vt:variant>
        <vt:i4>0</vt:i4>
      </vt:variant>
      <vt:variant>
        <vt:i4>5</vt:i4>
      </vt:variant>
      <vt:variant>
        <vt:lpwstr/>
      </vt:variant>
      <vt:variant>
        <vt:lpwstr>_Toc238866513</vt:lpwstr>
      </vt:variant>
      <vt:variant>
        <vt:i4>1769529</vt:i4>
      </vt:variant>
      <vt:variant>
        <vt:i4>638</vt:i4>
      </vt:variant>
      <vt:variant>
        <vt:i4>0</vt:i4>
      </vt:variant>
      <vt:variant>
        <vt:i4>5</vt:i4>
      </vt:variant>
      <vt:variant>
        <vt:lpwstr/>
      </vt:variant>
      <vt:variant>
        <vt:lpwstr>_Toc238866512</vt:lpwstr>
      </vt:variant>
      <vt:variant>
        <vt:i4>1769529</vt:i4>
      </vt:variant>
      <vt:variant>
        <vt:i4>632</vt:i4>
      </vt:variant>
      <vt:variant>
        <vt:i4>0</vt:i4>
      </vt:variant>
      <vt:variant>
        <vt:i4>5</vt:i4>
      </vt:variant>
      <vt:variant>
        <vt:lpwstr/>
      </vt:variant>
      <vt:variant>
        <vt:lpwstr>_Toc238866511</vt:lpwstr>
      </vt:variant>
      <vt:variant>
        <vt:i4>1769529</vt:i4>
      </vt:variant>
      <vt:variant>
        <vt:i4>626</vt:i4>
      </vt:variant>
      <vt:variant>
        <vt:i4>0</vt:i4>
      </vt:variant>
      <vt:variant>
        <vt:i4>5</vt:i4>
      </vt:variant>
      <vt:variant>
        <vt:lpwstr/>
      </vt:variant>
      <vt:variant>
        <vt:lpwstr>_Toc238866510</vt:lpwstr>
      </vt:variant>
      <vt:variant>
        <vt:i4>1703993</vt:i4>
      </vt:variant>
      <vt:variant>
        <vt:i4>620</vt:i4>
      </vt:variant>
      <vt:variant>
        <vt:i4>0</vt:i4>
      </vt:variant>
      <vt:variant>
        <vt:i4>5</vt:i4>
      </vt:variant>
      <vt:variant>
        <vt:lpwstr/>
      </vt:variant>
      <vt:variant>
        <vt:lpwstr>_Toc238866509</vt:lpwstr>
      </vt:variant>
      <vt:variant>
        <vt:i4>1703993</vt:i4>
      </vt:variant>
      <vt:variant>
        <vt:i4>614</vt:i4>
      </vt:variant>
      <vt:variant>
        <vt:i4>0</vt:i4>
      </vt:variant>
      <vt:variant>
        <vt:i4>5</vt:i4>
      </vt:variant>
      <vt:variant>
        <vt:lpwstr/>
      </vt:variant>
      <vt:variant>
        <vt:lpwstr>_Toc238866508</vt:lpwstr>
      </vt:variant>
      <vt:variant>
        <vt:i4>1703993</vt:i4>
      </vt:variant>
      <vt:variant>
        <vt:i4>608</vt:i4>
      </vt:variant>
      <vt:variant>
        <vt:i4>0</vt:i4>
      </vt:variant>
      <vt:variant>
        <vt:i4>5</vt:i4>
      </vt:variant>
      <vt:variant>
        <vt:lpwstr/>
      </vt:variant>
      <vt:variant>
        <vt:lpwstr>_Toc238866507</vt:lpwstr>
      </vt:variant>
      <vt:variant>
        <vt:i4>1703993</vt:i4>
      </vt:variant>
      <vt:variant>
        <vt:i4>602</vt:i4>
      </vt:variant>
      <vt:variant>
        <vt:i4>0</vt:i4>
      </vt:variant>
      <vt:variant>
        <vt:i4>5</vt:i4>
      </vt:variant>
      <vt:variant>
        <vt:lpwstr/>
      </vt:variant>
      <vt:variant>
        <vt:lpwstr>_Toc238866506</vt:lpwstr>
      </vt:variant>
      <vt:variant>
        <vt:i4>1703993</vt:i4>
      </vt:variant>
      <vt:variant>
        <vt:i4>596</vt:i4>
      </vt:variant>
      <vt:variant>
        <vt:i4>0</vt:i4>
      </vt:variant>
      <vt:variant>
        <vt:i4>5</vt:i4>
      </vt:variant>
      <vt:variant>
        <vt:lpwstr/>
      </vt:variant>
      <vt:variant>
        <vt:lpwstr>_Toc238866505</vt:lpwstr>
      </vt:variant>
      <vt:variant>
        <vt:i4>1703993</vt:i4>
      </vt:variant>
      <vt:variant>
        <vt:i4>590</vt:i4>
      </vt:variant>
      <vt:variant>
        <vt:i4>0</vt:i4>
      </vt:variant>
      <vt:variant>
        <vt:i4>5</vt:i4>
      </vt:variant>
      <vt:variant>
        <vt:lpwstr/>
      </vt:variant>
      <vt:variant>
        <vt:lpwstr>_Toc238866504</vt:lpwstr>
      </vt:variant>
      <vt:variant>
        <vt:i4>1703993</vt:i4>
      </vt:variant>
      <vt:variant>
        <vt:i4>584</vt:i4>
      </vt:variant>
      <vt:variant>
        <vt:i4>0</vt:i4>
      </vt:variant>
      <vt:variant>
        <vt:i4>5</vt:i4>
      </vt:variant>
      <vt:variant>
        <vt:lpwstr/>
      </vt:variant>
      <vt:variant>
        <vt:lpwstr>_Toc238866503</vt:lpwstr>
      </vt:variant>
      <vt:variant>
        <vt:i4>1703993</vt:i4>
      </vt:variant>
      <vt:variant>
        <vt:i4>578</vt:i4>
      </vt:variant>
      <vt:variant>
        <vt:i4>0</vt:i4>
      </vt:variant>
      <vt:variant>
        <vt:i4>5</vt:i4>
      </vt:variant>
      <vt:variant>
        <vt:lpwstr/>
      </vt:variant>
      <vt:variant>
        <vt:lpwstr>_Toc238866502</vt:lpwstr>
      </vt:variant>
      <vt:variant>
        <vt:i4>1703993</vt:i4>
      </vt:variant>
      <vt:variant>
        <vt:i4>572</vt:i4>
      </vt:variant>
      <vt:variant>
        <vt:i4>0</vt:i4>
      </vt:variant>
      <vt:variant>
        <vt:i4>5</vt:i4>
      </vt:variant>
      <vt:variant>
        <vt:lpwstr/>
      </vt:variant>
      <vt:variant>
        <vt:lpwstr>_Toc238866501</vt:lpwstr>
      </vt:variant>
      <vt:variant>
        <vt:i4>1703993</vt:i4>
      </vt:variant>
      <vt:variant>
        <vt:i4>566</vt:i4>
      </vt:variant>
      <vt:variant>
        <vt:i4>0</vt:i4>
      </vt:variant>
      <vt:variant>
        <vt:i4>5</vt:i4>
      </vt:variant>
      <vt:variant>
        <vt:lpwstr/>
      </vt:variant>
      <vt:variant>
        <vt:lpwstr>_Toc238866500</vt:lpwstr>
      </vt:variant>
      <vt:variant>
        <vt:i4>1245240</vt:i4>
      </vt:variant>
      <vt:variant>
        <vt:i4>560</vt:i4>
      </vt:variant>
      <vt:variant>
        <vt:i4>0</vt:i4>
      </vt:variant>
      <vt:variant>
        <vt:i4>5</vt:i4>
      </vt:variant>
      <vt:variant>
        <vt:lpwstr/>
      </vt:variant>
      <vt:variant>
        <vt:lpwstr>_Toc238866499</vt:lpwstr>
      </vt:variant>
      <vt:variant>
        <vt:i4>1245240</vt:i4>
      </vt:variant>
      <vt:variant>
        <vt:i4>554</vt:i4>
      </vt:variant>
      <vt:variant>
        <vt:i4>0</vt:i4>
      </vt:variant>
      <vt:variant>
        <vt:i4>5</vt:i4>
      </vt:variant>
      <vt:variant>
        <vt:lpwstr/>
      </vt:variant>
      <vt:variant>
        <vt:lpwstr>_Toc238866498</vt:lpwstr>
      </vt:variant>
      <vt:variant>
        <vt:i4>1245240</vt:i4>
      </vt:variant>
      <vt:variant>
        <vt:i4>548</vt:i4>
      </vt:variant>
      <vt:variant>
        <vt:i4>0</vt:i4>
      </vt:variant>
      <vt:variant>
        <vt:i4>5</vt:i4>
      </vt:variant>
      <vt:variant>
        <vt:lpwstr/>
      </vt:variant>
      <vt:variant>
        <vt:lpwstr>_Toc238866497</vt:lpwstr>
      </vt:variant>
      <vt:variant>
        <vt:i4>1245240</vt:i4>
      </vt:variant>
      <vt:variant>
        <vt:i4>542</vt:i4>
      </vt:variant>
      <vt:variant>
        <vt:i4>0</vt:i4>
      </vt:variant>
      <vt:variant>
        <vt:i4>5</vt:i4>
      </vt:variant>
      <vt:variant>
        <vt:lpwstr/>
      </vt:variant>
      <vt:variant>
        <vt:lpwstr>_Toc238866496</vt:lpwstr>
      </vt:variant>
      <vt:variant>
        <vt:i4>1245240</vt:i4>
      </vt:variant>
      <vt:variant>
        <vt:i4>536</vt:i4>
      </vt:variant>
      <vt:variant>
        <vt:i4>0</vt:i4>
      </vt:variant>
      <vt:variant>
        <vt:i4>5</vt:i4>
      </vt:variant>
      <vt:variant>
        <vt:lpwstr/>
      </vt:variant>
      <vt:variant>
        <vt:lpwstr>_Toc238866495</vt:lpwstr>
      </vt:variant>
      <vt:variant>
        <vt:i4>1245240</vt:i4>
      </vt:variant>
      <vt:variant>
        <vt:i4>530</vt:i4>
      </vt:variant>
      <vt:variant>
        <vt:i4>0</vt:i4>
      </vt:variant>
      <vt:variant>
        <vt:i4>5</vt:i4>
      </vt:variant>
      <vt:variant>
        <vt:lpwstr/>
      </vt:variant>
      <vt:variant>
        <vt:lpwstr>_Toc238866494</vt:lpwstr>
      </vt:variant>
      <vt:variant>
        <vt:i4>1245240</vt:i4>
      </vt:variant>
      <vt:variant>
        <vt:i4>524</vt:i4>
      </vt:variant>
      <vt:variant>
        <vt:i4>0</vt:i4>
      </vt:variant>
      <vt:variant>
        <vt:i4>5</vt:i4>
      </vt:variant>
      <vt:variant>
        <vt:lpwstr/>
      </vt:variant>
      <vt:variant>
        <vt:lpwstr>_Toc238866493</vt:lpwstr>
      </vt:variant>
      <vt:variant>
        <vt:i4>1245240</vt:i4>
      </vt:variant>
      <vt:variant>
        <vt:i4>518</vt:i4>
      </vt:variant>
      <vt:variant>
        <vt:i4>0</vt:i4>
      </vt:variant>
      <vt:variant>
        <vt:i4>5</vt:i4>
      </vt:variant>
      <vt:variant>
        <vt:lpwstr/>
      </vt:variant>
      <vt:variant>
        <vt:lpwstr>_Toc238866492</vt:lpwstr>
      </vt:variant>
      <vt:variant>
        <vt:i4>1245240</vt:i4>
      </vt:variant>
      <vt:variant>
        <vt:i4>512</vt:i4>
      </vt:variant>
      <vt:variant>
        <vt:i4>0</vt:i4>
      </vt:variant>
      <vt:variant>
        <vt:i4>5</vt:i4>
      </vt:variant>
      <vt:variant>
        <vt:lpwstr/>
      </vt:variant>
      <vt:variant>
        <vt:lpwstr>_Toc238866491</vt:lpwstr>
      </vt:variant>
      <vt:variant>
        <vt:i4>1245240</vt:i4>
      </vt:variant>
      <vt:variant>
        <vt:i4>506</vt:i4>
      </vt:variant>
      <vt:variant>
        <vt:i4>0</vt:i4>
      </vt:variant>
      <vt:variant>
        <vt:i4>5</vt:i4>
      </vt:variant>
      <vt:variant>
        <vt:lpwstr/>
      </vt:variant>
      <vt:variant>
        <vt:lpwstr>_Toc238866490</vt:lpwstr>
      </vt:variant>
      <vt:variant>
        <vt:i4>1179704</vt:i4>
      </vt:variant>
      <vt:variant>
        <vt:i4>500</vt:i4>
      </vt:variant>
      <vt:variant>
        <vt:i4>0</vt:i4>
      </vt:variant>
      <vt:variant>
        <vt:i4>5</vt:i4>
      </vt:variant>
      <vt:variant>
        <vt:lpwstr/>
      </vt:variant>
      <vt:variant>
        <vt:lpwstr>_Toc238866489</vt:lpwstr>
      </vt:variant>
      <vt:variant>
        <vt:i4>1179704</vt:i4>
      </vt:variant>
      <vt:variant>
        <vt:i4>494</vt:i4>
      </vt:variant>
      <vt:variant>
        <vt:i4>0</vt:i4>
      </vt:variant>
      <vt:variant>
        <vt:i4>5</vt:i4>
      </vt:variant>
      <vt:variant>
        <vt:lpwstr/>
      </vt:variant>
      <vt:variant>
        <vt:lpwstr>_Toc238866488</vt:lpwstr>
      </vt:variant>
      <vt:variant>
        <vt:i4>1179704</vt:i4>
      </vt:variant>
      <vt:variant>
        <vt:i4>488</vt:i4>
      </vt:variant>
      <vt:variant>
        <vt:i4>0</vt:i4>
      </vt:variant>
      <vt:variant>
        <vt:i4>5</vt:i4>
      </vt:variant>
      <vt:variant>
        <vt:lpwstr/>
      </vt:variant>
      <vt:variant>
        <vt:lpwstr>_Toc238866487</vt:lpwstr>
      </vt:variant>
      <vt:variant>
        <vt:i4>1179704</vt:i4>
      </vt:variant>
      <vt:variant>
        <vt:i4>482</vt:i4>
      </vt:variant>
      <vt:variant>
        <vt:i4>0</vt:i4>
      </vt:variant>
      <vt:variant>
        <vt:i4>5</vt:i4>
      </vt:variant>
      <vt:variant>
        <vt:lpwstr/>
      </vt:variant>
      <vt:variant>
        <vt:lpwstr>_Toc238866486</vt:lpwstr>
      </vt:variant>
      <vt:variant>
        <vt:i4>1179704</vt:i4>
      </vt:variant>
      <vt:variant>
        <vt:i4>476</vt:i4>
      </vt:variant>
      <vt:variant>
        <vt:i4>0</vt:i4>
      </vt:variant>
      <vt:variant>
        <vt:i4>5</vt:i4>
      </vt:variant>
      <vt:variant>
        <vt:lpwstr/>
      </vt:variant>
      <vt:variant>
        <vt:lpwstr>_Toc238866485</vt:lpwstr>
      </vt:variant>
      <vt:variant>
        <vt:i4>1179704</vt:i4>
      </vt:variant>
      <vt:variant>
        <vt:i4>470</vt:i4>
      </vt:variant>
      <vt:variant>
        <vt:i4>0</vt:i4>
      </vt:variant>
      <vt:variant>
        <vt:i4>5</vt:i4>
      </vt:variant>
      <vt:variant>
        <vt:lpwstr/>
      </vt:variant>
      <vt:variant>
        <vt:lpwstr>_Toc238866484</vt:lpwstr>
      </vt:variant>
      <vt:variant>
        <vt:i4>1179704</vt:i4>
      </vt:variant>
      <vt:variant>
        <vt:i4>464</vt:i4>
      </vt:variant>
      <vt:variant>
        <vt:i4>0</vt:i4>
      </vt:variant>
      <vt:variant>
        <vt:i4>5</vt:i4>
      </vt:variant>
      <vt:variant>
        <vt:lpwstr/>
      </vt:variant>
      <vt:variant>
        <vt:lpwstr>_Toc238866483</vt:lpwstr>
      </vt:variant>
      <vt:variant>
        <vt:i4>1179704</vt:i4>
      </vt:variant>
      <vt:variant>
        <vt:i4>458</vt:i4>
      </vt:variant>
      <vt:variant>
        <vt:i4>0</vt:i4>
      </vt:variant>
      <vt:variant>
        <vt:i4>5</vt:i4>
      </vt:variant>
      <vt:variant>
        <vt:lpwstr/>
      </vt:variant>
      <vt:variant>
        <vt:lpwstr>_Toc238866482</vt:lpwstr>
      </vt:variant>
      <vt:variant>
        <vt:i4>1179704</vt:i4>
      </vt:variant>
      <vt:variant>
        <vt:i4>452</vt:i4>
      </vt:variant>
      <vt:variant>
        <vt:i4>0</vt:i4>
      </vt:variant>
      <vt:variant>
        <vt:i4>5</vt:i4>
      </vt:variant>
      <vt:variant>
        <vt:lpwstr/>
      </vt:variant>
      <vt:variant>
        <vt:lpwstr>_Toc238866481</vt:lpwstr>
      </vt:variant>
      <vt:variant>
        <vt:i4>1179704</vt:i4>
      </vt:variant>
      <vt:variant>
        <vt:i4>446</vt:i4>
      </vt:variant>
      <vt:variant>
        <vt:i4>0</vt:i4>
      </vt:variant>
      <vt:variant>
        <vt:i4>5</vt:i4>
      </vt:variant>
      <vt:variant>
        <vt:lpwstr/>
      </vt:variant>
      <vt:variant>
        <vt:lpwstr>_Toc238866480</vt:lpwstr>
      </vt:variant>
      <vt:variant>
        <vt:i4>1900600</vt:i4>
      </vt:variant>
      <vt:variant>
        <vt:i4>440</vt:i4>
      </vt:variant>
      <vt:variant>
        <vt:i4>0</vt:i4>
      </vt:variant>
      <vt:variant>
        <vt:i4>5</vt:i4>
      </vt:variant>
      <vt:variant>
        <vt:lpwstr/>
      </vt:variant>
      <vt:variant>
        <vt:lpwstr>_Toc238866479</vt:lpwstr>
      </vt:variant>
      <vt:variant>
        <vt:i4>1900600</vt:i4>
      </vt:variant>
      <vt:variant>
        <vt:i4>434</vt:i4>
      </vt:variant>
      <vt:variant>
        <vt:i4>0</vt:i4>
      </vt:variant>
      <vt:variant>
        <vt:i4>5</vt:i4>
      </vt:variant>
      <vt:variant>
        <vt:lpwstr/>
      </vt:variant>
      <vt:variant>
        <vt:lpwstr>_Toc238866478</vt:lpwstr>
      </vt:variant>
      <vt:variant>
        <vt:i4>1900600</vt:i4>
      </vt:variant>
      <vt:variant>
        <vt:i4>428</vt:i4>
      </vt:variant>
      <vt:variant>
        <vt:i4>0</vt:i4>
      </vt:variant>
      <vt:variant>
        <vt:i4>5</vt:i4>
      </vt:variant>
      <vt:variant>
        <vt:lpwstr/>
      </vt:variant>
      <vt:variant>
        <vt:lpwstr>_Toc238866477</vt:lpwstr>
      </vt:variant>
      <vt:variant>
        <vt:i4>1900600</vt:i4>
      </vt:variant>
      <vt:variant>
        <vt:i4>422</vt:i4>
      </vt:variant>
      <vt:variant>
        <vt:i4>0</vt:i4>
      </vt:variant>
      <vt:variant>
        <vt:i4>5</vt:i4>
      </vt:variant>
      <vt:variant>
        <vt:lpwstr/>
      </vt:variant>
      <vt:variant>
        <vt:lpwstr>_Toc238866476</vt:lpwstr>
      </vt:variant>
      <vt:variant>
        <vt:i4>1900600</vt:i4>
      </vt:variant>
      <vt:variant>
        <vt:i4>416</vt:i4>
      </vt:variant>
      <vt:variant>
        <vt:i4>0</vt:i4>
      </vt:variant>
      <vt:variant>
        <vt:i4>5</vt:i4>
      </vt:variant>
      <vt:variant>
        <vt:lpwstr/>
      </vt:variant>
      <vt:variant>
        <vt:lpwstr>_Toc238866475</vt:lpwstr>
      </vt:variant>
      <vt:variant>
        <vt:i4>1900600</vt:i4>
      </vt:variant>
      <vt:variant>
        <vt:i4>410</vt:i4>
      </vt:variant>
      <vt:variant>
        <vt:i4>0</vt:i4>
      </vt:variant>
      <vt:variant>
        <vt:i4>5</vt:i4>
      </vt:variant>
      <vt:variant>
        <vt:lpwstr/>
      </vt:variant>
      <vt:variant>
        <vt:lpwstr>_Toc238866474</vt:lpwstr>
      </vt:variant>
      <vt:variant>
        <vt:i4>1900600</vt:i4>
      </vt:variant>
      <vt:variant>
        <vt:i4>404</vt:i4>
      </vt:variant>
      <vt:variant>
        <vt:i4>0</vt:i4>
      </vt:variant>
      <vt:variant>
        <vt:i4>5</vt:i4>
      </vt:variant>
      <vt:variant>
        <vt:lpwstr/>
      </vt:variant>
      <vt:variant>
        <vt:lpwstr>_Toc238866473</vt:lpwstr>
      </vt:variant>
      <vt:variant>
        <vt:i4>1900600</vt:i4>
      </vt:variant>
      <vt:variant>
        <vt:i4>398</vt:i4>
      </vt:variant>
      <vt:variant>
        <vt:i4>0</vt:i4>
      </vt:variant>
      <vt:variant>
        <vt:i4>5</vt:i4>
      </vt:variant>
      <vt:variant>
        <vt:lpwstr/>
      </vt:variant>
      <vt:variant>
        <vt:lpwstr>_Toc238866472</vt:lpwstr>
      </vt:variant>
      <vt:variant>
        <vt:i4>1900600</vt:i4>
      </vt:variant>
      <vt:variant>
        <vt:i4>392</vt:i4>
      </vt:variant>
      <vt:variant>
        <vt:i4>0</vt:i4>
      </vt:variant>
      <vt:variant>
        <vt:i4>5</vt:i4>
      </vt:variant>
      <vt:variant>
        <vt:lpwstr/>
      </vt:variant>
      <vt:variant>
        <vt:lpwstr>_Toc238866471</vt:lpwstr>
      </vt:variant>
      <vt:variant>
        <vt:i4>1900600</vt:i4>
      </vt:variant>
      <vt:variant>
        <vt:i4>386</vt:i4>
      </vt:variant>
      <vt:variant>
        <vt:i4>0</vt:i4>
      </vt:variant>
      <vt:variant>
        <vt:i4>5</vt:i4>
      </vt:variant>
      <vt:variant>
        <vt:lpwstr/>
      </vt:variant>
      <vt:variant>
        <vt:lpwstr>_Toc238866470</vt:lpwstr>
      </vt:variant>
      <vt:variant>
        <vt:i4>1835064</vt:i4>
      </vt:variant>
      <vt:variant>
        <vt:i4>380</vt:i4>
      </vt:variant>
      <vt:variant>
        <vt:i4>0</vt:i4>
      </vt:variant>
      <vt:variant>
        <vt:i4>5</vt:i4>
      </vt:variant>
      <vt:variant>
        <vt:lpwstr/>
      </vt:variant>
      <vt:variant>
        <vt:lpwstr>_Toc238866469</vt:lpwstr>
      </vt:variant>
      <vt:variant>
        <vt:i4>1835064</vt:i4>
      </vt:variant>
      <vt:variant>
        <vt:i4>374</vt:i4>
      </vt:variant>
      <vt:variant>
        <vt:i4>0</vt:i4>
      </vt:variant>
      <vt:variant>
        <vt:i4>5</vt:i4>
      </vt:variant>
      <vt:variant>
        <vt:lpwstr/>
      </vt:variant>
      <vt:variant>
        <vt:lpwstr>_Toc238866468</vt:lpwstr>
      </vt:variant>
      <vt:variant>
        <vt:i4>1835064</vt:i4>
      </vt:variant>
      <vt:variant>
        <vt:i4>368</vt:i4>
      </vt:variant>
      <vt:variant>
        <vt:i4>0</vt:i4>
      </vt:variant>
      <vt:variant>
        <vt:i4>5</vt:i4>
      </vt:variant>
      <vt:variant>
        <vt:lpwstr/>
      </vt:variant>
      <vt:variant>
        <vt:lpwstr>_Toc238866467</vt:lpwstr>
      </vt:variant>
      <vt:variant>
        <vt:i4>1835064</vt:i4>
      </vt:variant>
      <vt:variant>
        <vt:i4>362</vt:i4>
      </vt:variant>
      <vt:variant>
        <vt:i4>0</vt:i4>
      </vt:variant>
      <vt:variant>
        <vt:i4>5</vt:i4>
      </vt:variant>
      <vt:variant>
        <vt:lpwstr/>
      </vt:variant>
      <vt:variant>
        <vt:lpwstr>_Toc238866466</vt:lpwstr>
      </vt:variant>
      <vt:variant>
        <vt:i4>1835064</vt:i4>
      </vt:variant>
      <vt:variant>
        <vt:i4>356</vt:i4>
      </vt:variant>
      <vt:variant>
        <vt:i4>0</vt:i4>
      </vt:variant>
      <vt:variant>
        <vt:i4>5</vt:i4>
      </vt:variant>
      <vt:variant>
        <vt:lpwstr/>
      </vt:variant>
      <vt:variant>
        <vt:lpwstr>_Toc238866465</vt:lpwstr>
      </vt:variant>
      <vt:variant>
        <vt:i4>1835064</vt:i4>
      </vt:variant>
      <vt:variant>
        <vt:i4>350</vt:i4>
      </vt:variant>
      <vt:variant>
        <vt:i4>0</vt:i4>
      </vt:variant>
      <vt:variant>
        <vt:i4>5</vt:i4>
      </vt:variant>
      <vt:variant>
        <vt:lpwstr/>
      </vt:variant>
      <vt:variant>
        <vt:lpwstr>_Toc238866464</vt:lpwstr>
      </vt:variant>
      <vt:variant>
        <vt:i4>1835064</vt:i4>
      </vt:variant>
      <vt:variant>
        <vt:i4>344</vt:i4>
      </vt:variant>
      <vt:variant>
        <vt:i4>0</vt:i4>
      </vt:variant>
      <vt:variant>
        <vt:i4>5</vt:i4>
      </vt:variant>
      <vt:variant>
        <vt:lpwstr/>
      </vt:variant>
      <vt:variant>
        <vt:lpwstr>_Toc238866463</vt:lpwstr>
      </vt:variant>
      <vt:variant>
        <vt:i4>1835064</vt:i4>
      </vt:variant>
      <vt:variant>
        <vt:i4>338</vt:i4>
      </vt:variant>
      <vt:variant>
        <vt:i4>0</vt:i4>
      </vt:variant>
      <vt:variant>
        <vt:i4>5</vt:i4>
      </vt:variant>
      <vt:variant>
        <vt:lpwstr/>
      </vt:variant>
      <vt:variant>
        <vt:lpwstr>_Toc238866462</vt:lpwstr>
      </vt:variant>
      <vt:variant>
        <vt:i4>1835064</vt:i4>
      </vt:variant>
      <vt:variant>
        <vt:i4>332</vt:i4>
      </vt:variant>
      <vt:variant>
        <vt:i4>0</vt:i4>
      </vt:variant>
      <vt:variant>
        <vt:i4>5</vt:i4>
      </vt:variant>
      <vt:variant>
        <vt:lpwstr/>
      </vt:variant>
      <vt:variant>
        <vt:lpwstr>_Toc238866461</vt:lpwstr>
      </vt:variant>
      <vt:variant>
        <vt:i4>1835064</vt:i4>
      </vt:variant>
      <vt:variant>
        <vt:i4>326</vt:i4>
      </vt:variant>
      <vt:variant>
        <vt:i4>0</vt:i4>
      </vt:variant>
      <vt:variant>
        <vt:i4>5</vt:i4>
      </vt:variant>
      <vt:variant>
        <vt:lpwstr/>
      </vt:variant>
      <vt:variant>
        <vt:lpwstr>_Toc238866460</vt:lpwstr>
      </vt:variant>
      <vt:variant>
        <vt:i4>2031672</vt:i4>
      </vt:variant>
      <vt:variant>
        <vt:i4>320</vt:i4>
      </vt:variant>
      <vt:variant>
        <vt:i4>0</vt:i4>
      </vt:variant>
      <vt:variant>
        <vt:i4>5</vt:i4>
      </vt:variant>
      <vt:variant>
        <vt:lpwstr/>
      </vt:variant>
      <vt:variant>
        <vt:lpwstr>_Toc238866459</vt:lpwstr>
      </vt:variant>
      <vt:variant>
        <vt:i4>2031672</vt:i4>
      </vt:variant>
      <vt:variant>
        <vt:i4>314</vt:i4>
      </vt:variant>
      <vt:variant>
        <vt:i4>0</vt:i4>
      </vt:variant>
      <vt:variant>
        <vt:i4>5</vt:i4>
      </vt:variant>
      <vt:variant>
        <vt:lpwstr/>
      </vt:variant>
      <vt:variant>
        <vt:lpwstr>_Toc238866458</vt:lpwstr>
      </vt:variant>
      <vt:variant>
        <vt:i4>2031672</vt:i4>
      </vt:variant>
      <vt:variant>
        <vt:i4>308</vt:i4>
      </vt:variant>
      <vt:variant>
        <vt:i4>0</vt:i4>
      </vt:variant>
      <vt:variant>
        <vt:i4>5</vt:i4>
      </vt:variant>
      <vt:variant>
        <vt:lpwstr/>
      </vt:variant>
      <vt:variant>
        <vt:lpwstr>_Toc238866457</vt:lpwstr>
      </vt:variant>
      <vt:variant>
        <vt:i4>2031672</vt:i4>
      </vt:variant>
      <vt:variant>
        <vt:i4>302</vt:i4>
      </vt:variant>
      <vt:variant>
        <vt:i4>0</vt:i4>
      </vt:variant>
      <vt:variant>
        <vt:i4>5</vt:i4>
      </vt:variant>
      <vt:variant>
        <vt:lpwstr/>
      </vt:variant>
      <vt:variant>
        <vt:lpwstr>_Toc238866456</vt:lpwstr>
      </vt:variant>
      <vt:variant>
        <vt:i4>2031672</vt:i4>
      </vt:variant>
      <vt:variant>
        <vt:i4>296</vt:i4>
      </vt:variant>
      <vt:variant>
        <vt:i4>0</vt:i4>
      </vt:variant>
      <vt:variant>
        <vt:i4>5</vt:i4>
      </vt:variant>
      <vt:variant>
        <vt:lpwstr/>
      </vt:variant>
      <vt:variant>
        <vt:lpwstr>_Toc238866455</vt:lpwstr>
      </vt:variant>
      <vt:variant>
        <vt:i4>2031672</vt:i4>
      </vt:variant>
      <vt:variant>
        <vt:i4>290</vt:i4>
      </vt:variant>
      <vt:variant>
        <vt:i4>0</vt:i4>
      </vt:variant>
      <vt:variant>
        <vt:i4>5</vt:i4>
      </vt:variant>
      <vt:variant>
        <vt:lpwstr/>
      </vt:variant>
      <vt:variant>
        <vt:lpwstr>_Toc238866454</vt:lpwstr>
      </vt:variant>
      <vt:variant>
        <vt:i4>2031672</vt:i4>
      </vt:variant>
      <vt:variant>
        <vt:i4>284</vt:i4>
      </vt:variant>
      <vt:variant>
        <vt:i4>0</vt:i4>
      </vt:variant>
      <vt:variant>
        <vt:i4>5</vt:i4>
      </vt:variant>
      <vt:variant>
        <vt:lpwstr/>
      </vt:variant>
      <vt:variant>
        <vt:lpwstr>_Toc238866453</vt:lpwstr>
      </vt:variant>
      <vt:variant>
        <vt:i4>2031672</vt:i4>
      </vt:variant>
      <vt:variant>
        <vt:i4>278</vt:i4>
      </vt:variant>
      <vt:variant>
        <vt:i4>0</vt:i4>
      </vt:variant>
      <vt:variant>
        <vt:i4>5</vt:i4>
      </vt:variant>
      <vt:variant>
        <vt:lpwstr/>
      </vt:variant>
      <vt:variant>
        <vt:lpwstr>_Toc238866452</vt:lpwstr>
      </vt:variant>
      <vt:variant>
        <vt:i4>2031672</vt:i4>
      </vt:variant>
      <vt:variant>
        <vt:i4>272</vt:i4>
      </vt:variant>
      <vt:variant>
        <vt:i4>0</vt:i4>
      </vt:variant>
      <vt:variant>
        <vt:i4>5</vt:i4>
      </vt:variant>
      <vt:variant>
        <vt:lpwstr/>
      </vt:variant>
      <vt:variant>
        <vt:lpwstr>_Toc238866451</vt:lpwstr>
      </vt:variant>
      <vt:variant>
        <vt:i4>2031672</vt:i4>
      </vt:variant>
      <vt:variant>
        <vt:i4>266</vt:i4>
      </vt:variant>
      <vt:variant>
        <vt:i4>0</vt:i4>
      </vt:variant>
      <vt:variant>
        <vt:i4>5</vt:i4>
      </vt:variant>
      <vt:variant>
        <vt:lpwstr/>
      </vt:variant>
      <vt:variant>
        <vt:lpwstr>_Toc238866450</vt:lpwstr>
      </vt:variant>
      <vt:variant>
        <vt:i4>1966136</vt:i4>
      </vt:variant>
      <vt:variant>
        <vt:i4>260</vt:i4>
      </vt:variant>
      <vt:variant>
        <vt:i4>0</vt:i4>
      </vt:variant>
      <vt:variant>
        <vt:i4>5</vt:i4>
      </vt:variant>
      <vt:variant>
        <vt:lpwstr/>
      </vt:variant>
      <vt:variant>
        <vt:lpwstr>_Toc238866449</vt:lpwstr>
      </vt:variant>
      <vt:variant>
        <vt:i4>1966136</vt:i4>
      </vt:variant>
      <vt:variant>
        <vt:i4>254</vt:i4>
      </vt:variant>
      <vt:variant>
        <vt:i4>0</vt:i4>
      </vt:variant>
      <vt:variant>
        <vt:i4>5</vt:i4>
      </vt:variant>
      <vt:variant>
        <vt:lpwstr/>
      </vt:variant>
      <vt:variant>
        <vt:lpwstr>_Toc238866448</vt:lpwstr>
      </vt:variant>
      <vt:variant>
        <vt:i4>1966136</vt:i4>
      </vt:variant>
      <vt:variant>
        <vt:i4>248</vt:i4>
      </vt:variant>
      <vt:variant>
        <vt:i4>0</vt:i4>
      </vt:variant>
      <vt:variant>
        <vt:i4>5</vt:i4>
      </vt:variant>
      <vt:variant>
        <vt:lpwstr/>
      </vt:variant>
      <vt:variant>
        <vt:lpwstr>_Toc238866447</vt:lpwstr>
      </vt:variant>
      <vt:variant>
        <vt:i4>1966136</vt:i4>
      </vt:variant>
      <vt:variant>
        <vt:i4>242</vt:i4>
      </vt:variant>
      <vt:variant>
        <vt:i4>0</vt:i4>
      </vt:variant>
      <vt:variant>
        <vt:i4>5</vt:i4>
      </vt:variant>
      <vt:variant>
        <vt:lpwstr/>
      </vt:variant>
      <vt:variant>
        <vt:lpwstr>_Toc238866446</vt:lpwstr>
      </vt:variant>
      <vt:variant>
        <vt:i4>1966136</vt:i4>
      </vt:variant>
      <vt:variant>
        <vt:i4>236</vt:i4>
      </vt:variant>
      <vt:variant>
        <vt:i4>0</vt:i4>
      </vt:variant>
      <vt:variant>
        <vt:i4>5</vt:i4>
      </vt:variant>
      <vt:variant>
        <vt:lpwstr/>
      </vt:variant>
      <vt:variant>
        <vt:lpwstr>_Toc238866445</vt:lpwstr>
      </vt:variant>
      <vt:variant>
        <vt:i4>1966136</vt:i4>
      </vt:variant>
      <vt:variant>
        <vt:i4>230</vt:i4>
      </vt:variant>
      <vt:variant>
        <vt:i4>0</vt:i4>
      </vt:variant>
      <vt:variant>
        <vt:i4>5</vt:i4>
      </vt:variant>
      <vt:variant>
        <vt:lpwstr/>
      </vt:variant>
      <vt:variant>
        <vt:lpwstr>_Toc238866444</vt:lpwstr>
      </vt:variant>
      <vt:variant>
        <vt:i4>1966136</vt:i4>
      </vt:variant>
      <vt:variant>
        <vt:i4>224</vt:i4>
      </vt:variant>
      <vt:variant>
        <vt:i4>0</vt:i4>
      </vt:variant>
      <vt:variant>
        <vt:i4>5</vt:i4>
      </vt:variant>
      <vt:variant>
        <vt:lpwstr/>
      </vt:variant>
      <vt:variant>
        <vt:lpwstr>_Toc238866443</vt:lpwstr>
      </vt:variant>
      <vt:variant>
        <vt:i4>1966136</vt:i4>
      </vt:variant>
      <vt:variant>
        <vt:i4>218</vt:i4>
      </vt:variant>
      <vt:variant>
        <vt:i4>0</vt:i4>
      </vt:variant>
      <vt:variant>
        <vt:i4>5</vt:i4>
      </vt:variant>
      <vt:variant>
        <vt:lpwstr/>
      </vt:variant>
      <vt:variant>
        <vt:lpwstr>_Toc238866442</vt:lpwstr>
      </vt:variant>
      <vt:variant>
        <vt:i4>1966136</vt:i4>
      </vt:variant>
      <vt:variant>
        <vt:i4>212</vt:i4>
      </vt:variant>
      <vt:variant>
        <vt:i4>0</vt:i4>
      </vt:variant>
      <vt:variant>
        <vt:i4>5</vt:i4>
      </vt:variant>
      <vt:variant>
        <vt:lpwstr/>
      </vt:variant>
      <vt:variant>
        <vt:lpwstr>_Toc238866441</vt:lpwstr>
      </vt:variant>
      <vt:variant>
        <vt:i4>1966136</vt:i4>
      </vt:variant>
      <vt:variant>
        <vt:i4>206</vt:i4>
      </vt:variant>
      <vt:variant>
        <vt:i4>0</vt:i4>
      </vt:variant>
      <vt:variant>
        <vt:i4>5</vt:i4>
      </vt:variant>
      <vt:variant>
        <vt:lpwstr/>
      </vt:variant>
      <vt:variant>
        <vt:lpwstr>_Toc238866440</vt:lpwstr>
      </vt:variant>
      <vt:variant>
        <vt:i4>1638456</vt:i4>
      </vt:variant>
      <vt:variant>
        <vt:i4>200</vt:i4>
      </vt:variant>
      <vt:variant>
        <vt:i4>0</vt:i4>
      </vt:variant>
      <vt:variant>
        <vt:i4>5</vt:i4>
      </vt:variant>
      <vt:variant>
        <vt:lpwstr/>
      </vt:variant>
      <vt:variant>
        <vt:lpwstr>_Toc238866439</vt:lpwstr>
      </vt:variant>
      <vt:variant>
        <vt:i4>1638456</vt:i4>
      </vt:variant>
      <vt:variant>
        <vt:i4>194</vt:i4>
      </vt:variant>
      <vt:variant>
        <vt:i4>0</vt:i4>
      </vt:variant>
      <vt:variant>
        <vt:i4>5</vt:i4>
      </vt:variant>
      <vt:variant>
        <vt:lpwstr/>
      </vt:variant>
      <vt:variant>
        <vt:lpwstr>_Toc238866438</vt:lpwstr>
      </vt:variant>
      <vt:variant>
        <vt:i4>1638456</vt:i4>
      </vt:variant>
      <vt:variant>
        <vt:i4>188</vt:i4>
      </vt:variant>
      <vt:variant>
        <vt:i4>0</vt:i4>
      </vt:variant>
      <vt:variant>
        <vt:i4>5</vt:i4>
      </vt:variant>
      <vt:variant>
        <vt:lpwstr/>
      </vt:variant>
      <vt:variant>
        <vt:lpwstr>_Toc238866437</vt:lpwstr>
      </vt:variant>
      <vt:variant>
        <vt:i4>1638456</vt:i4>
      </vt:variant>
      <vt:variant>
        <vt:i4>182</vt:i4>
      </vt:variant>
      <vt:variant>
        <vt:i4>0</vt:i4>
      </vt:variant>
      <vt:variant>
        <vt:i4>5</vt:i4>
      </vt:variant>
      <vt:variant>
        <vt:lpwstr/>
      </vt:variant>
      <vt:variant>
        <vt:lpwstr>_Toc238866436</vt:lpwstr>
      </vt:variant>
      <vt:variant>
        <vt:i4>1638456</vt:i4>
      </vt:variant>
      <vt:variant>
        <vt:i4>176</vt:i4>
      </vt:variant>
      <vt:variant>
        <vt:i4>0</vt:i4>
      </vt:variant>
      <vt:variant>
        <vt:i4>5</vt:i4>
      </vt:variant>
      <vt:variant>
        <vt:lpwstr/>
      </vt:variant>
      <vt:variant>
        <vt:lpwstr>_Toc238866435</vt:lpwstr>
      </vt:variant>
      <vt:variant>
        <vt:i4>1638456</vt:i4>
      </vt:variant>
      <vt:variant>
        <vt:i4>170</vt:i4>
      </vt:variant>
      <vt:variant>
        <vt:i4>0</vt:i4>
      </vt:variant>
      <vt:variant>
        <vt:i4>5</vt:i4>
      </vt:variant>
      <vt:variant>
        <vt:lpwstr/>
      </vt:variant>
      <vt:variant>
        <vt:lpwstr>_Toc238866434</vt:lpwstr>
      </vt:variant>
      <vt:variant>
        <vt:i4>1638456</vt:i4>
      </vt:variant>
      <vt:variant>
        <vt:i4>164</vt:i4>
      </vt:variant>
      <vt:variant>
        <vt:i4>0</vt:i4>
      </vt:variant>
      <vt:variant>
        <vt:i4>5</vt:i4>
      </vt:variant>
      <vt:variant>
        <vt:lpwstr/>
      </vt:variant>
      <vt:variant>
        <vt:lpwstr>_Toc238866433</vt:lpwstr>
      </vt:variant>
      <vt:variant>
        <vt:i4>1638456</vt:i4>
      </vt:variant>
      <vt:variant>
        <vt:i4>158</vt:i4>
      </vt:variant>
      <vt:variant>
        <vt:i4>0</vt:i4>
      </vt:variant>
      <vt:variant>
        <vt:i4>5</vt:i4>
      </vt:variant>
      <vt:variant>
        <vt:lpwstr/>
      </vt:variant>
      <vt:variant>
        <vt:lpwstr>_Toc238866432</vt:lpwstr>
      </vt:variant>
      <vt:variant>
        <vt:i4>1638456</vt:i4>
      </vt:variant>
      <vt:variant>
        <vt:i4>152</vt:i4>
      </vt:variant>
      <vt:variant>
        <vt:i4>0</vt:i4>
      </vt:variant>
      <vt:variant>
        <vt:i4>5</vt:i4>
      </vt:variant>
      <vt:variant>
        <vt:lpwstr/>
      </vt:variant>
      <vt:variant>
        <vt:lpwstr>_Toc238866431</vt:lpwstr>
      </vt:variant>
      <vt:variant>
        <vt:i4>1638456</vt:i4>
      </vt:variant>
      <vt:variant>
        <vt:i4>146</vt:i4>
      </vt:variant>
      <vt:variant>
        <vt:i4>0</vt:i4>
      </vt:variant>
      <vt:variant>
        <vt:i4>5</vt:i4>
      </vt:variant>
      <vt:variant>
        <vt:lpwstr/>
      </vt:variant>
      <vt:variant>
        <vt:lpwstr>_Toc238866430</vt:lpwstr>
      </vt:variant>
      <vt:variant>
        <vt:i4>1572920</vt:i4>
      </vt:variant>
      <vt:variant>
        <vt:i4>140</vt:i4>
      </vt:variant>
      <vt:variant>
        <vt:i4>0</vt:i4>
      </vt:variant>
      <vt:variant>
        <vt:i4>5</vt:i4>
      </vt:variant>
      <vt:variant>
        <vt:lpwstr/>
      </vt:variant>
      <vt:variant>
        <vt:lpwstr>_Toc238866429</vt:lpwstr>
      </vt:variant>
      <vt:variant>
        <vt:i4>1572920</vt:i4>
      </vt:variant>
      <vt:variant>
        <vt:i4>134</vt:i4>
      </vt:variant>
      <vt:variant>
        <vt:i4>0</vt:i4>
      </vt:variant>
      <vt:variant>
        <vt:i4>5</vt:i4>
      </vt:variant>
      <vt:variant>
        <vt:lpwstr/>
      </vt:variant>
      <vt:variant>
        <vt:lpwstr>_Toc238866428</vt:lpwstr>
      </vt:variant>
      <vt:variant>
        <vt:i4>1572920</vt:i4>
      </vt:variant>
      <vt:variant>
        <vt:i4>128</vt:i4>
      </vt:variant>
      <vt:variant>
        <vt:i4>0</vt:i4>
      </vt:variant>
      <vt:variant>
        <vt:i4>5</vt:i4>
      </vt:variant>
      <vt:variant>
        <vt:lpwstr/>
      </vt:variant>
      <vt:variant>
        <vt:lpwstr>_Toc238866427</vt:lpwstr>
      </vt:variant>
      <vt:variant>
        <vt:i4>1572920</vt:i4>
      </vt:variant>
      <vt:variant>
        <vt:i4>122</vt:i4>
      </vt:variant>
      <vt:variant>
        <vt:i4>0</vt:i4>
      </vt:variant>
      <vt:variant>
        <vt:i4>5</vt:i4>
      </vt:variant>
      <vt:variant>
        <vt:lpwstr/>
      </vt:variant>
      <vt:variant>
        <vt:lpwstr>_Toc238866426</vt:lpwstr>
      </vt:variant>
      <vt:variant>
        <vt:i4>1572920</vt:i4>
      </vt:variant>
      <vt:variant>
        <vt:i4>116</vt:i4>
      </vt:variant>
      <vt:variant>
        <vt:i4>0</vt:i4>
      </vt:variant>
      <vt:variant>
        <vt:i4>5</vt:i4>
      </vt:variant>
      <vt:variant>
        <vt:lpwstr/>
      </vt:variant>
      <vt:variant>
        <vt:lpwstr>_Toc238866425</vt:lpwstr>
      </vt:variant>
      <vt:variant>
        <vt:i4>1572920</vt:i4>
      </vt:variant>
      <vt:variant>
        <vt:i4>110</vt:i4>
      </vt:variant>
      <vt:variant>
        <vt:i4>0</vt:i4>
      </vt:variant>
      <vt:variant>
        <vt:i4>5</vt:i4>
      </vt:variant>
      <vt:variant>
        <vt:lpwstr/>
      </vt:variant>
      <vt:variant>
        <vt:lpwstr>_Toc238866424</vt:lpwstr>
      </vt:variant>
      <vt:variant>
        <vt:i4>1572920</vt:i4>
      </vt:variant>
      <vt:variant>
        <vt:i4>104</vt:i4>
      </vt:variant>
      <vt:variant>
        <vt:i4>0</vt:i4>
      </vt:variant>
      <vt:variant>
        <vt:i4>5</vt:i4>
      </vt:variant>
      <vt:variant>
        <vt:lpwstr/>
      </vt:variant>
      <vt:variant>
        <vt:lpwstr>_Toc238866423</vt:lpwstr>
      </vt:variant>
      <vt:variant>
        <vt:i4>1572920</vt:i4>
      </vt:variant>
      <vt:variant>
        <vt:i4>98</vt:i4>
      </vt:variant>
      <vt:variant>
        <vt:i4>0</vt:i4>
      </vt:variant>
      <vt:variant>
        <vt:i4>5</vt:i4>
      </vt:variant>
      <vt:variant>
        <vt:lpwstr/>
      </vt:variant>
      <vt:variant>
        <vt:lpwstr>_Toc238866422</vt:lpwstr>
      </vt:variant>
      <vt:variant>
        <vt:i4>1572920</vt:i4>
      </vt:variant>
      <vt:variant>
        <vt:i4>92</vt:i4>
      </vt:variant>
      <vt:variant>
        <vt:i4>0</vt:i4>
      </vt:variant>
      <vt:variant>
        <vt:i4>5</vt:i4>
      </vt:variant>
      <vt:variant>
        <vt:lpwstr/>
      </vt:variant>
      <vt:variant>
        <vt:lpwstr>_Toc238866421</vt:lpwstr>
      </vt:variant>
      <vt:variant>
        <vt:i4>1572920</vt:i4>
      </vt:variant>
      <vt:variant>
        <vt:i4>86</vt:i4>
      </vt:variant>
      <vt:variant>
        <vt:i4>0</vt:i4>
      </vt:variant>
      <vt:variant>
        <vt:i4>5</vt:i4>
      </vt:variant>
      <vt:variant>
        <vt:lpwstr/>
      </vt:variant>
      <vt:variant>
        <vt:lpwstr>_Toc238866420</vt:lpwstr>
      </vt:variant>
      <vt:variant>
        <vt:i4>1769528</vt:i4>
      </vt:variant>
      <vt:variant>
        <vt:i4>80</vt:i4>
      </vt:variant>
      <vt:variant>
        <vt:i4>0</vt:i4>
      </vt:variant>
      <vt:variant>
        <vt:i4>5</vt:i4>
      </vt:variant>
      <vt:variant>
        <vt:lpwstr/>
      </vt:variant>
      <vt:variant>
        <vt:lpwstr>_Toc238866419</vt:lpwstr>
      </vt:variant>
      <vt:variant>
        <vt:i4>1769528</vt:i4>
      </vt:variant>
      <vt:variant>
        <vt:i4>74</vt:i4>
      </vt:variant>
      <vt:variant>
        <vt:i4>0</vt:i4>
      </vt:variant>
      <vt:variant>
        <vt:i4>5</vt:i4>
      </vt:variant>
      <vt:variant>
        <vt:lpwstr/>
      </vt:variant>
      <vt:variant>
        <vt:lpwstr>_Toc238866418</vt:lpwstr>
      </vt:variant>
      <vt:variant>
        <vt:i4>1769528</vt:i4>
      </vt:variant>
      <vt:variant>
        <vt:i4>68</vt:i4>
      </vt:variant>
      <vt:variant>
        <vt:i4>0</vt:i4>
      </vt:variant>
      <vt:variant>
        <vt:i4>5</vt:i4>
      </vt:variant>
      <vt:variant>
        <vt:lpwstr/>
      </vt:variant>
      <vt:variant>
        <vt:lpwstr>_Toc238866417</vt:lpwstr>
      </vt:variant>
      <vt:variant>
        <vt:i4>1769528</vt:i4>
      </vt:variant>
      <vt:variant>
        <vt:i4>62</vt:i4>
      </vt:variant>
      <vt:variant>
        <vt:i4>0</vt:i4>
      </vt:variant>
      <vt:variant>
        <vt:i4>5</vt:i4>
      </vt:variant>
      <vt:variant>
        <vt:lpwstr/>
      </vt:variant>
      <vt:variant>
        <vt:lpwstr>_Toc238866416</vt:lpwstr>
      </vt:variant>
      <vt:variant>
        <vt:i4>1769528</vt:i4>
      </vt:variant>
      <vt:variant>
        <vt:i4>56</vt:i4>
      </vt:variant>
      <vt:variant>
        <vt:i4>0</vt:i4>
      </vt:variant>
      <vt:variant>
        <vt:i4>5</vt:i4>
      </vt:variant>
      <vt:variant>
        <vt:lpwstr/>
      </vt:variant>
      <vt:variant>
        <vt:lpwstr>_Toc238866415</vt:lpwstr>
      </vt:variant>
      <vt:variant>
        <vt:i4>1769528</vt:i4>
      </vt:variant>
      <vt:variant>
        <vt:i4>50</vt:i4>
      </vt:variant>
      <vt:variant>
        <vt:i4>0</vt:i4>
      </vt:variant>
      <vt:variant>
        <vt:i4>5</vt:i4>
      </vt:variant>
      <vt:variant>
        <vt:lpwstr/>
      </vt:variant>
      <vt:variant>
        <vt:lpwstr>_Toc238866414</vt:lpwstr>
      </vt:variant>
      <vt:variant>
        <vt:i4>1769528</vt:i4>
      </vt:variant>
      <vt:variant>
        <vt:i4>44</vt:i4>
      </vt:variant>
      <vt:variant>
        <vt:i4>0</vt:i4>
      </vt:variant>
      <vt:variant>
        <vt:i4>5</vt:i4>
      </vt:variant>
      <vt:variant>
        <vt:lpwstr/>
      </vt:variant>
      <vt:variant>
        <vt:lpwstr>_Toc238866413</vt:lpwstr>
      </vt:variant>
      <vt:variant>
        <vt:i4>1769528</vt:i4>
      </vt:variant>
      <vt:variant>
        <vt:i4>38</vt:i4>
      </vt:variant>
      <vt:variant>
        <vt:i4>0</vt:i4>
      </vt:variant>
      <vt:variant>
        <vt:i4>5</vt:i4>
      </vt:variant>
      <vt:variant>
        <vt:lpwstr/>
      </vt:variant>
      <vt:variant>
        <vt:lpwstr>_Toc238866412</vt:lpwstr>
      </vt:variant>
      <vt:variant>
        <vt:i4>1769528</vt:i4>
      </vt:variant>
      <vt:variant>
        <vt:i4>32</vt:i4>
      </vt:variant>
      <vt:variant>
        <vt:i4>0</vt:i4>
      </vt:variant>
      <vt:variant>
        <vt:i4>5</vt:i4>
      </vt:variant>
      <vt:variant>
        <vt:lpwstr/>
      </vt:variant>
      <vt:variant>
        <vt:lpwstr>_Toc238866411</vt:lpwstr>
      </vt:variant>
      <vt:variant>
        <vt:i4>1769528</vt:i4>
      </vt:variant>
      <vt:variant>
        <vt:i4>26</vt:i4>
      </vt:variant>
      <vt:variant>
        <vt:i4>0</vt:i4>
      </vt:variant>
      <vt:variant>
        <vt:i4>5</vt:i4>
      </vt:variant>
      <vt:variant>
        <vt:lpwstr/>
      </vt:variant>
      <vt:variant>
        <vt:lpwstr>_Toc238866410</vt:lpwstr>
      </vt:variant>
      <vt:variant>
        <vt:i4>1703992</vt:i4>
      </vt:variant>
      <vt:variant>
        <vt:i4>20</vt:i4>
      </vt:variant>
      <vt:variant>
        <vt:i4>0</vt:i4>
      </vt:variant>
      <vt:variant>
        <vt:i4>5</vt:i4>
      </vt:variant>
      <vt:variant>
        <vt:lpwstr/>
      </vt:variant>
      <vt:variant>
        <vt:lpwstr>_Toc238866409</vt:lpwstr>
      </vt:variant>
      <vt:variant>
        <vt:i4>1703992</vt:i4>
      </vt:variant>
      <vt:variant>
        <vt:i4>14</vt:i4>
      </vt:variant>
      <vt:variant>
        <vt:i4>0</vt:i4>
      </vt:variant>
      <vt:variant>
        <vt:i4>5</vt:i4>
      </vt:variant>
      <vt:variant>
        <vt:lpwstr/>
      </vt:variant>
      <vt:variant>
        <vt:lpwstr>_Toc238866408</vt:lpwstr>
      </vt:variant>
      <vt:variant>
        <vt:i4>1703992</vt:i4>
      </vt:variant>
      <vt:variant>
        <vt:i4>8</vt:i4>
      </vt:variant>
      <vt:variant>
        <vt:i4>0</vt:i4>
      </vt:variant>
      <vt:variant>
        <vt:i4>5</vt:i4>
      </vt:variant>
      <vt:variant>
        <vt:lpwstr/>
      </vt:variant>
      <vt:variant>
        <vt:lpwstr>_Toc238866407</vt:lpwstr>
      </vt:variant>
      <vt:variant>
        <vt:i4>1703992</vt:i4>
      </vt:variant>
      <vt:variant>
        <vt:i4>2</vt:i4>
      </vt:variant>
      <vt:variant>
        <vt:i4>0</vt:i4>
      </vt:variant>
      <vt:variant>
        <vt:i4>5</vt:i4>
      </vt:variant>
      <vt:variant>
        <vt:lpwstr/>
      </vt:variant>
      <vt:variant>
        <vt:lpwstr>_Toc238866406</vt:lpwstr>
      </vt:variant>
      <vt:variant>
        <vt:i4>8323130</vt:i4>
      </vt:variant>
      <vt:variant>
        <vt:i4>0</vt:i4>
      </vt:variant>
      <vt:variant>
        <vt:i4>0</vt:i4>
      </vt:variant>
      <vt:variant>
        <vt:i4>5</vt:i4>
      </vt:variant>
      <vt:variant>
        <vt:lpwstr>http://www.nrc.uscg.mil/incident97-02.html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RENEWAL OF INFORMATION COLLECTION REQUEST FOR THE CONTINUOUS RELEASE REPORTING REQUIREMENT</dc:title>
  <dc:subject/>
  <dc:creator>MDSADM10</dc:creator>
  <cp:keywords/>
  <dc:description/>
  <cp:lastModifiedBy>Suzuki, Judy</cp:lastModifiedBy>
  <cp:revision>3</cp:revision>
  <cp:lastPrinted>2015-03-23T13:45:00Z</cp:lastPrinted>
  <dcterms:created xsi:type="dcterms:W3CDTF">2015-04-30T13:40:00Z</dcterms:created>
  <dcterms:modified xsi:type="dcterms:W3CDTF">2015-04-30T13:42:00Z</dcterms:modified>
</cp:coreProperties>
</file>