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BA290"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3EC84B99" w14:textId="77777777" w:rsidR="00A96B65" w:rsidRDefault="00E864B3" w:rsidP="00570861">
      <w:pPr>
        <w:spacing w:after="0"/>
        <w:jc w:val="center"/>
        <w:rPr>
          <w:rFonts w:ascii="Times New Roman" w:hAnsi="Times New Roman" w:cs="Times New Roman"/>
          <w:b/>
          <w:sz w:val="24"/>
          <w:szCs w:val="24"/>
        </w:rPr>
      </w:pPr>
      <w:r>
        <w:rPr>
          <w:rFonts w:ascii="Times New Roman" w:hAnsi="Times New Roman" w:cs="Times New Roman"/>
          <w:b/>
          <w:sz w:val="24"/>
          <w:szCs w:val="24"/>
        </w:rPr>
        <w:t>FERC-725</w:t>
      </w:r>
      <w:r w:rsidR="009F3297">
        <w:rPr>
          <w:rFonts w:ascii="Times New Roman" w:hAnsi="Times New Roman" w:cs="Times New Roman"/>
          <w:b/>
          <w:sz w:val="24"/>
          <w:szCs w:val="24"/>
        </w:rPr>
        <w:t>P</w:t>
      </w:r>
      <w:r w:rsidR="000E25B2">
        <w:rPr>
          <w:rFonts w:ascii="Times New Roman" w:hAnsi="Times New Roman" w:cs="Times New Roman"/>
          <w:b/>
          <w:sz w:val="24"/>
          <w:szCs w:val="24"/>
        </w:rPr>
        <w:t>1</w:t>
      </w:r>
      <w:r w:rsidR="00570861">
        <w:rPr>
          <w:rFonts w:ascii="Times New Roman" w:hAnsi="Times New Roman" w:cs="Times New Roman"/>
          <w:b/>
          <w:sz w:val="24"/>
          <w:szCs w:val="24"/>
        </w:rPr>
        <w:t>, Mandatory Reliability Sta</w:t>
      </w:r>
      <w:r w:rsidR="00BD7446">
        <w:rPr>
          <w:rFonts w:ascii="Times New Roman" w:hAnsi="Times New Roman" w:cs="Times New Roman"/>
          <w:b/>
          <w:sz w:val="24"/>
          <w:szCs w:val="24"/>
        </w:rPr>
        <w:t xml:space="preserve">ndards for </w:t>
      </w:r>
      <w:r w:rsidR="000E25B2">
        <w:rPr>
          <w:rFonts w:ascii="Times New Roman" w:hAnsi="Times New Roman" w:cs="Times New Roman"/>
          <w:b/>
          <w:sz w:val="24"/>
          <w:szCs w:val="24"/>
        </w:rPr>
        <w:t>PRC-005-4</w:t>
      </w:r>
    </w:p>
    <w:p w14:paraId="25090BE5" w14:textId="77777777" w:rsidR="00DE23E3" w:rsidRDefault="003B3B61" w:rsidP="003B3B61">
      <w:pPr>
        <w:spacing w:after="0"/>
        <w:jc w:val="center"/>
        <w:rPr>
          <w:rFonts w:ascii="Times New Roman" w:hAnsi="Times New Roman" w:cs="Times New Roman"/>
          <w:sz w:val="24"/>
          <w:szCs w:val="24"/>
        </w:rPr>
      </w:pPr>
      <w:r>
        <w:rPr>
          <w:rFonts w:ascii="Times New Roman" w:hAnsi="Times New Roman" w:cs="Times New Roman"/>
          <w:sz w:val="24"/>
          <w:szCs w:val="24"/>
        </w:rPr>
        <w:t xml:space="preserve">for the </w:t>
      </w:r>
      <w:r w:rsidR="006234A1">
        <w:rPr>
          <w:rFonts w:ascii="Times New Roman" w:hAnsi="Times New Roman" w:cs="Times New Roman"/>
          <w:sz w:val="24"/>
          <w:szCs w:val="24"/>
        </w:rPr>
        <w:t>Notice of Proposed Rulemaking (NOPR)</w:t>
      </w:r>
      <w:r w:rsidR="0002567F" w:rsidRPr="00CE2CDA">
        <w:rPr>
          <w:rFonts w:ascii="Times New Roman" w:hAnsi="Times New Roman" w:cs="Times New Roman"/>
          <w:sz w:val="24"/>
          <w:szCs w:val="24"/>
        </w:rPr>
        <w:t xml:space="preserve"> </w:t>
      </w:r>
      <w:r w:rsidR="00570861" w:rsidRPr="009430EF">
        <w:rPr>
          <w:rFonts w:ascii="Times New Roman" w:hAnsi="Times New Roman" w:cs="Times New Roman"/>
          <w:sz w:val="24"/>
          <w:szCs w:val="24"/>
        </w:rPr>
        <w:t>in</w:t>
      </w:r>
      <w:r w:rsidR="000E25B2">
        <w:rPr>
          <w:rFonts w:ascii="Times New Roman" w:hAnsi="Times New Roman" w:cs="Times New Roman"/>
          <w:sz w:val="24"/>
          <w:szCs w:val="24"/>
        </w:rPr>
        <w:t xml:space="preserve"> Docket Number RM15-9</w:t>
      </w:r>
      <w:r w:rsidR="00570861">
        <w:rPr>
          <w:rFonts w:ascii="Times New Roman" w:hAnsi="Times New Roman" w:cs="Times New Roman"/>
          <w:sz w:val="24"/>
          <w:szCs w:val="24"/>
        </w:rPr>
        <w:t>-000</w:t>
      </w:r>
      <w:r w:rsidR="00BD7446">
        <w:rPr>
          <w:rFonts w:ascii="Times New Roman" w:hAnsi="Times New Roman" w:cs="Times New Roman"/>
          <w:sz w:val="24"/>
          <w:szCs w:val="24"/>
        </w:rPr>
        <w:t xml:space="preserve"> </w:t>
      </w:r>
    </w:p>
    <w:p w14:paraId="671A0577" w14:textId="77777777" w:rsidR="003B3B61" w:rsidRDefault="00BD7446" w:rsidP="003B3B61">
      <w:pPr>
        <w:spacing w:after="0"/>
        <w:jc w:val="center"/>
        <w:rPr>
          <w:rFonts w:ascii="Times New Roman" w:hAnsi="Times New Roman" w:cs="Times New Roman"/>
          <w:sz w:val="24"/>
          <w:szCs w:val="24"/>
        </w:rPr>
      </w:pPr>
      <w:r>
        <w:rPr>
          <w:rFonts w:ascii="Times New Roman" w:hAnsi="Times New Roman" w:cs="Times New Roman"/>
          <w:sz w:val="24"/>
          <w:szCs w:val="24"/>
        </w:rPr>
        <w:t xml:space="preserve">(issued on </w:t>
      </w:r>
      <w:r w:rsidR="006234A1">
        <w:rPr>
          <w:rFonts w:ascii="Times New Roman" w:hAnsi="Times New Roman" w:cs="Times New Roman"/>
          <w:sz w:val="24"/>
          <w:szCs w:val="24"/>
        </w:rPr>
        <w:t>4</w:t>
      </w:r>
      <w:r>
        <w:rPr>
          <w:rFonts w:ascii="Times New Roman" w:hAnsi="Times New Roman" w:cs="Times New Roman"/>
          <w:sz w:val="24"/>
          <w:szCs w:val="24"/>
        </w:rPr>
        <w:t>/</w:t>
      </w:r>
      <w:r w:rsidR="006234A1">
        <w:rPr>
          <w:rFonts w:ascii="Times New Roman" w:hAnsi="Times New Roman" w:cs="Times New Roman"/>
          <w:sz w:val="24"/>
          <w:szCs w:val="24"/>
        </w:rPr>
        <w:t>16</w:t>
      </w:r>
      <w:r w:rsidR="000E25B2">
        <w:rPr>
          <w:rFonts w:ascii="Times New Roman" w:hAnsi="Times New Roman" w:cs="Times New Roman"/>
          <w:sz w:val="24"/>
          <w:szCs w:val="24"/>
        </w:rPr>
        <w:t>/2015</w:t>
      </w:r>
      <w:r w:rsidR="003B3B61">
        <w:rPr>
          <w:rFonts w:ascii="Times New Roman" w:hAnsi="Times New Roman" w:cs="Times New Roman"/>
          <w:sz w:val="24"/>
          <w:szCs w:val="24"/>
        </w:rPr>
        <w:t>)</w:t>
      </w:r>
    </w:p>
    <w:p w14:paraId="6C5085B0" w14:textId="77777777" w:rsidR="00FD66F1" w:rsidRDefault="00FD66F1" w:rsidP="00F8440A">
      <w:pPr>
        <w:spacing w:after="0"/>
        <w:rPr>
          <w:rFonts w:ascii="Times New Roman" w:hAnsi="Times New Roman" w:cs="Times New Roman"/>
          <w:sz w:val="24"/>
          <w:szCs w:val="24"/>
        </w:rPr>
      </w:pPr>
    </w:p>
    <w:p w14:paraId="68259A82"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 xml:space="preserve">nd Budget (OMB) review </w:t>
      </w:r>
      <w:r w:rsidR="00BD7446">
        <w:rPr>
          <w:rFonts w:ascii="Times New Roman" w:hAnsi="Times New Roman" w:cs="Times New Roman"/>
          <w:sz w:val="24"/>
          <w:szCs w:val="24"/>
        </w:rPr>
        <w:t>FERC-725</w:t>
      </w:r>
      <w:r w:rsidR="009F3297">
        <w:rPr>
          <w:rFonts w:ascii="Times New Roman" w:hAnsi="Times New Roman" w:cs="Times New Roman"/>
          <w:sz w:val="24"/>
          <w:szCs w:val="24"/>
        </w:rPr>
        <w:t>P</w:t>
      </w:r>
      <w:r w:rsidR="006234A1">
        <w:rPr>
          <w:rFonts w:ascii="Times New Roman" w:hAnsi="Times New Roman" w:cs="Times New Roman"/>
          <w:sz w:val="24"/>
          <w:szCs w:val="24"/>
        </w:rPr>
        <w:t>1</w:t>
      </w:r>
      <w:r w:rsidR="00570861">
        <w:rPr>
          <w:rFonts w:ascii="Times New Roman" w:hAnsi="Times New Roman" w:cs="Times New Roman"/>
          <w:sz w:val="24"/>
          <w:szCs w:val="24"/>
        </w:rPr>
        <w:t xml:space="preserve"> (Mandatory Reliability Standard</w:t>
      </w:r>
      <w:r w:rsidR="008D6E39">
        <w:rPr>
          <w:rFonts w:ascii="Times New Roman" w:hAnsi="Times New Roman" w:cs="Times New Roman"/>
          <w:sz w:val="24"/>
          <w:szCs w:val="24"/>
        </w:rPr>
        <w:t xml:space="preserve">s for the Bulk-Power System: </w:t>
      </w:r>
      <w:r w:rsidR="009F3297">
        <w:rPr>
          <w:rFonts w:ascii="Times New Roman" w:hAnsi="Times New Roman" w:cs="Times New Roman"/>
          <w:sz w:val="24"/>
          <w:szCs w:val="24"/>
        </w:rPr>
        <w:t>PRC</w:t>
      </w:r>
      <w:r w:rsidR="008D6E39" w:rsidRPr="005F0306">
        <w:rPr>
          <w:rStyle w:val="FootnoteReference"/>
          <w:rFonts w:ascii="Times New Roman" w:hAnsi="Times New Roman" w:cs="Times New Roman"/>
          <w:sz w:val="24"/>
          <w:szCs w:val="24"/>
          <w:vertAlign w:val="superscript"/>
        </w:rPr>
        <w:footnoteReference w:id="1"/>
      </w:r>
      <w:r w:rsidR="008D6E39">
        <w:rPr>
          <w:rFonts w:ascii="Times New Roman" w:hAnsi="Times New Roman" w:cs="Times New Roman"/>
          <w:sz w:val="24"/>
          <w:szCs w:val="24"/>
        </w:rPr>
        <w:t xml:space="preserve"> </w:t>
      </w:r>
      <w:r w:rsidR="00570861">
        <w:rPr>
          <w:rFonts w:ascii="Times New Roman" w:hAnsi="Times New Roman" w:cs="Times New Roman"/>
          <w:sz w:val="24"/>
          <w:szCs w:val="24"/>
        </w:rPr>
        <w:t>Reliability Standards</w:t>
      </w:r>
      <w:r w:rsidR="00B27783">
        <w:rPr>
          <w:rFonts w:ascii="Times New Roman" w:hAnsi="Times New Roman" w:cs="Times New Roman"/>
          <w:sz w:val="24"/>
          <w:szCs w:val="24"/>
        </w:rPr>
        <w:t>)</w:t>
      </w:r>
      <w:r w:rsidR="00570861">
        <w:rPr>
          <w:rFonts w:ascii="Times New Roman" w:hAnsi="Times New Roman" w:cs="Times New Roman"/>
          <w:sz w:val="24"/>
          <w:szCs w:val="24"/>
        </w:rPr>
        <w:t>.</w:t>
      </w:r>
      <w:r w:rsidRPr="00F8440A">
        <w:rPr>
          <w:rFonts w:ascii="Times New Roman" w:hAnsi="Times New Roman" w:cs="Times New Roman"/>
          <w:sz w:val="24"/>
          <w:szCs w:val="24"/>
        </w:rPr>
        <w:t xml:space="preserve"> </w:t>
      </w:r>
      <w:r w:rsidR="00570861">
        <w:rPr>
          <w:rFonts w:ascii="Times New Roman" w:hAnsi="Times New Roman" w:cs="Times New Roman"/>
          <w:sz w:val="24"/>
          <w:szCs w:val="24"/>
        </w:rPr>
        <w:t xml:space="preserve"> The requirements for this information collection are </w:t>
      </w:r>
      <w:r w:rsidR="00F55699">
        <w:rPr>
          <w:rFonts w:ascii="Times New Roman" w:hAnsi="Times New Roman" w:cs="Times New Roman"/>
          <w:sz w:val="24"/>
          <w:szCs w:val="24"/>
        </w:rPr>
        <w:t xml:space="preserve">referenced in </w:t>
      </w:r>
      <w:r w:rsidR="00570861">
        <w:rPr>
          <w:rFonts w:ascii="Times New Roman" w:hAnsi="Times New Roman" w:cs="Times New Roman"/>
          <w:sz w:val="24"/>
          <w:szCs w:val="24"/>
        </w:rPr>
        <w:t>the Commission’s regulations at 18 Code of Federal Regulations (CFR) Part 40.</w:t>
      </w:r>
    </w:p>
    <w:p w14:paraId="05A56AE3"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36022B08" w14:textId="77777777" w:rsidR="00535D48" w:rsidRDefault="00657A47" w:rsidP="00F8440A">
      <w:pPr>
        <w:spacing w:after="0"/>
        <w:rPr>
          <w:rFonts w:ascii="Times New Roman" w:hAnsi="Times New Roman" w:cs="Times New Roman"/>
          <w:sz w:val="24"/>
          <w:szCs w:val="24"/>
        </w:rPr>
      </w:pPr>
      <w:r>
        <w:rPr>
          <w:rFonts w:ascii="Times New Roman" w:hAnsi="Times New Roman" w:cs="Times New Roman"/>
          <w:sz w:val="24"/>
          <w:szCs w:val="24"/>
        </w:rPr>
        <w:t xml:space="preserve">In this </w:t>
      </w:r>
      <w:r w:rsidR="006234A1">
        <w:rPr>
          <w:rFonts w:ascii="Times New Roman" w:hAnsi="Times New Roman" w:cs="Times New Roman"/>
          <w:sz w:val="24"/>
          <w:szCs w:val="24"/>
        </w:rPr>
        <w:t>NOPR</w:t>
      </w:r>
      <w:r w:rsidR="00F8440A" w:rsidRPr="00F8440A">
        <w:rPr>
          <w:rFonts w:ascii="Times New Roman" w:hAnsi="Times New Roman" w:cs="Times New Roman"/>
          <w:sz w:val="24"/>
          <w:szCs w:val="24"/>
        </w:rPr>
        <w:t>, the Commi</w:t>
      </w:r>
      <w:r>
        <w:rPr>
          <w:rFonts w:ascii="Times New Roman" w:hAnsi="Times New Roman" w:cs="Times New Roman"/>
          <w:sz w:val="24"/>
          <w:szCs w:val="24"/>
        </w:rPr>
        <w:t xml:space="preserve">ssion </w:t>
      </w:r>
      <w:r w:rsidR="006234A1">
        <w:rPr>
          <w:rFonts w:ascii="Times New Roman" w:hAnsi="Times New Roman" w:cs="Times New Roman"/>
          <w:sz w:val="24"/>
          <w:szCs w:val="24"/>
        </w:rPr>
        <w:t>proposes</w:t>
      </w:r>
      <w:r w:rsidR="00BD7446" w:rsidRPr="00BD7446">
        <w:rPr>
          <w:rFonts w:ascii="Times New Roman" w:hAnsi="Times New Roman" w:cs="Times New Roman"/>
          <w:sz w:val="24"/>
          <w:szCs w:val="24"/>
        </w:rPr>
        <w:t xml:space="preserve"> </w:t>
      </w:r>
      <w:r w:rsidR="00367D87">
        <w:rPr>
          <w:rFonts w:ascii="Times New Roman" w:hAnsi="Times New Roman" w:cs="Times New Roman"/>
          <w:sz w:val="24"/>
          <w:szCs w:val="24"/>
        </w:rPr>
        <w:t xml:space="preserve">to approve </w:t>
      </w:r>
      <w:r w:rsidR="00047471">
        <w:rPr>
          <w:rFonts w:ascii="Times New Roman" w:hAnsi="Times New Roman" w:cs="Times New Roman"/>
          <w:sz w:val="24"/>
          <w:szCs w:val="24"/>
        </w:rPr>
        <w:t>a revised</w:t>
      </w:r>
      <w:r w:rsidR="00BD7446" w:rsidRPr="00BD7446">
        <w:rPr>
          <w:rFonts w:ascii="Times New Roman" w:hAnsi="Times New Roman" w:cs="Times New Roman"/>
          <w:sz w:val="24"/>
          <w:szCs w:val="24"/>
        </w:rPr>
        <w:t xml:space="preserve"> Reliability Standard</w:t>
      </w:r>
      <w:r w:rsidR="00047471">
        <w:rPr>
          <w:rFonts w:ascii="Times New Roman" w:hAnsi="Times New Roman" w:cs="Times New Roman"/>
          <w:sz w:val="24"/>
          <w:szCs w:val="24"/>
        </w:rPr>
        <w:t xml:space="preserve"> PRC-005-</w:t>
      </w:r>
      <w:r w:rsidR="006234A1">
        <w:rPr>
          <w:rFonts w:ascii="Times New Roman" w:hAnsi="Times New Roman" w:cs="Times New Roman"/>
          <w:sz w:val="24"/>
          <w:szCs w:val="24"/>
        </w:rPr>
        <w:t>4</w:t>
      </w:r>
      <w:r w:rsidR="00047471" w:rsidRPr="008E62C3">
        <w:rPr>
          <w:rStyle w:val="FootnoteReference"/>
          <w:rFonts w:ascii="Times New Roman" w:hAnsi="Times New Roman" w:cs="Times New Roman"/>
          <w:sz w:val="24"/>
          <w:szCs w:val="24"/>
          <w:vertAlign w:val="superscript"/>
        </w:rPr>
        <w:footnoteReference w:id="2"/>
      </w:r>
      <w:r w:rsidR="00047471">
        <w:rPr>
          <w:rFonts w:ascii="Times New Roman" w:hAnsi="Times New Roman" w:cs="Times New Roman"/>
          <w:sz w:val="24"/>
          <w:szCs w:val="24"/>
        </w:rPr>
        <w:t xml:space="preserve">.  </w:t>
      </w:r>
      <w:r w:rsidR="008E62C3">
        <w:rPr>
          <w:rFonts w:ascii="Times New Roman" w:hAnsi="Times New Roman" w:cs="Times New Roman"/>
          <w:sz w:val="24"/>
          <w:szCs w:val="24"/>
        </w:rPr>
        <w:t xml:space="preserve">Consistent with Commission Order No. 758, the Reliability Standard </w:t>
      </w:r>
      <w:r w:rsidR="00955748">
        <w:rPr>
          <w:rFonts w:ascii="Times New Roman" w:hAnsi="Times New Roman" w:cs="Times New Roman"/>
          <w:sz w:val="24"/>
          <w:szCs w:val="24"/>
        </w:rPr>
        <w:t xml:space="preserve">would </w:t>
      </w:r>
      <w:r w:rsidR="008E62C3">
        <w:rPr>
          <w:rFonts w:ascii="Times New Roman" w:hAnsi="Times New Roman" w:cs="Times New Roman"/>
          <w:sz w:val="24"/>
          <w:szCs w:val="24"/>
        </w:rPr>
        <w:t xml:space="preserve">require applicable entities to test and maintain certain </w:t>
      </w:r>
      <w:r w:rsidR="00955748">
        <w:rPr>
          <w:rFonts w:ascii="Times New Roman" w:hAnsi="Times New Roman" w:cs="Times New Roman"/>
          <w:sz w:val="24"/>
          <w:szCs w:val="24"/>
        </w:rPr>
        <w:t xml:space="preserve">sudden pressure relays as part of their protection system maintenance plan.  </w:t>
      </w:r>
      <w:r w:rsidR="00047471">
        <w:rPr>
          <w:rFonts w:ascii="Times New Roman" w:hAnsi="Times New Roman" w:cs="Times New Roman"/>
          <w:sz w:val="24"/>
          <w:szCs w:val="24"/>
        </w:rPr>
        <w:t xml:space="preserve">Additionally, the Commission approves one new definition and </w:t>
      </w:r>
      <w:r w:rsidR="00955748">
        <w:rPr>
          <w:rFonts w:ascii="Times New Roman" w:hAnsi="Times New Roman" w:cs="Times New Roman"/>
          <w:sz w:val="24"/>
          <w:szCs w:val="24"/>
        </w:rPr>
        <w:t xml:space="preserve">four </w:t>
      </w:r>
      <w:r w:rsidR="00047471">
        <w:rPr>
          <w:rFonts w:ascii="Times New Roman" w:hAnsi="Times New Roman" w:cs="Times New Roman"/>
          <w:sz w:val="24"/>
          <w:szCs w:val="24"/>
        </w:rPr>
        <w:t xml:space="preserve">revised definitions referenced in the Reliability Standard, the assigned violation risk factors/violation severity levels, and </w:t>
      </w:r>
      <w:r w:rsidR="00955748">
        <w:rPr>
          <w:rFonts w:ascii="Times New Roman" w:hAnsi="Times New Roman" w:cs="Times New Roman"/>
          <w:sz w:val="24"/>
          <w:szCs w:val="24"/>
        </w:rPr>
        <w:t xml:space="preserve">the proposed </w:t>
      </w:r>
      <w:r w:rsidR="00047471">
        <w:rPr>
          <w:rFonts w:ascii="Times New Roman" w:hAnsi="Times New Roman" w:cs="Times New Roman"/>
          <w:sz w:val="24"/>
          <w:szCs w:val="24"/>
        </w:rPr>
        <w:t xml:space="preserve">implementation plan.  </w:t>
      </w:r>
    </w:p>
    <w:p w14:paraId="0C399DF6" w14:textId="77777777" w:rsidR="008E62C3" w:rsidRDefault="008E62C3" w:rsidP="00F8440A">
      <w:pPr>
        <w:spacing w:after="0"/>
        <w:rPr>
          <w:rFonts w:ascii="Times New Roman" w:hAnsi="Times New Roman" w:cs="Times New Roman"/>
          <w:sz w:val="24"/>
          <w:szCs w:val="24"/>
        </w:rPr>
      </w:pPr>
    </w:p>
    <w:p w14:paraId="59838AD3" w14:textId="02AB98E8" w:rsidR="00654786" w:rsidRDefault="002C5F61" w:rsidP="00F8440A">
      <w:pPr>
        <w:spacing w:after="0"/>
        <w:rPr>
          <w:rFonts w:ascii="Times New Roman" w:hAnsi="Times New Roman" w:cs="Times New Roman"/>
          <w:sz w:val="24"/>
          <w:szCs w:val="24"/>
        </w:rPr>
      </w:pPr>
      <w:r w:rsidRPr="007F6A0F">
        <w:rPr>
          <w:rFonts w:ascii="Times New Roman" w:hAnsi="Times New Roman" w:cs="Times New Roman"/>
          <w:sz w:val="24"/>
          <w:szCs w:val="24"/>
        </w:rPr>
        <w:t>The</w:t>
      </w:r>
      <w:r w:rsidR="008E62C3" w:rsidRPr="002C5F61">
        <w:rPr>
          <w:rFonts w:ascii="Times New Roman" w:hAnsi="Times New Roman" w:cs="Times New Roman"/>
          <w:sz w:val="24"/>
          <w:szCs w:val="24"/>
        </w:rPr>
        <w:t xml:space="preserve"> existing information collection requirements </w:t>
      </w:r>
      <w:r w:rsidR="00414670">
        <w:rPr>
          <w:rFonts w:ascii="Times New Roman" w:hAnsi="Times New Roman" w:cs="Times New Roman"/>
          <w:sz w:val="24"/>
          <w:szCs w:val="24"/>
        </w:rPr>
        <w:t xml:space="preserve"> </w:t>
      </w:r>
      <w:r w:rsidR="008E62C3" w:rsidRPr="002C5F61">
        <w:rPr>
          <w:rFonts w:ascii="Times New Roman" w:hAnsi="Times New Roman" w:cs="Times New Roman"/>
          <w:sz w:val="24"/>
          <w:szCs w:val="24"/>
        </w:rPr>
        <w:t xml:space="preserve">in the </w:t>
      </w:r>
      <w:r w:rsidR="00955748" w:rsidRPr="002C5F61">
        <w:rPr>
          <w:rFonts w:ascii="Times New Roman" w:hAnsi="Times New Roman" w:cs="Times New Roman"/>
          <w:sz w:val="24"/>
          <w:szCs w:val="24"/>
        </w:rPr>
        <w:t>currently-</w:t>
      </w:r>
      <w:r w:rsidR="008E62C3" w:rsidRPr="002C5F61">
        <w:rPr>
          <w:rFonts w:ascii="Times New Roman" w:hAnsi="Times New Roman" w:cs="Times New Roman"/>
          <w:sz w:val="24"/>
          <w:szCs w:val="24"/>
        </w:rPr>
        <w:t xml:space="preserve">approved </w:t>
      </w:r>
      <w:r w:rsidRPr="007F6A0F">
        <w:rPr>
          <w:rFonts w:ascii="Times New Roman" w:hAnsi="Times New Roman" w:cs="Times New Roman"/>
          <w:sz w:val="24"/>
          <w:szCs w:val="24"/>
        </w:rPr>
        <w:t xml:space="preserve">family of PRC </w:t>
      </w:r>
      <w:r w:rsidR="008E62C3" w:rsidRPr="002C5F61">
        <w:rPr>
          <w:rFonts w:ascii="Times New Roman" w:hAnsi="Times New Roman" w:cs="Times New Roman"/>
          <w:sz w:val="24"/>
          <w:szCs w:val="24"/>
        </w:rPr>
        <w:t>Reliability Standard</w:t>
      </w:r>
      <w:r w:rsidRPr="007F6A0F">
        <w:rPr>
          <w:rFonts w:ascii="Times New Roman" w:hAnsi="Times New Roman" w:cs="Times New Roman"/>
          <w:sz w:val="24"/>
          <w:szCs w:val="24"/>
        </w:rPr>
        <w:t>s</w:t>
      </w:r>
      <w:r w:rsidR="005253CD">
        <w:rPr>
          <w:rFonts w:ascii="Times New Roman" w:hAnsi="Times New Roman" w:cs="Times New Roman"/>
          <w:sz w:val="24"/>
          <w:szCs w:val="24"/>
        </w:rPr>
        <w:t>,</w:t>
      </w:r>
      <w:r w:rsidR="00C233E7" w:rsidRPr="002C5F61">
        <w:rPr>
          <w:rFonts w:ascii="Times New Roman" w:hAnsi="Times New Roman" w:cs="Times New Roman"/>
          <w:sz w:val="24"/>
          <w:szCs w:val="24"/>
        </w:rPr>
        <w:t xml:space="preserve"> </w:t>
      </w:r>
      <w:r w:rsidR="00C62B0C">
        <w:rPr>
          <w:rFonts w:ascii="Times New Roman" w:hAnsi="Times New Roman" w:cs="Times New Roman"/>
          <w:sz w:val="24"/>
          <w:szCs w:val="24"/>
        </w:rPr>
        <w:t xml:space="preserve">which are </w:t>
      </w:r>
      <w:r w:rsidR="005253CD">
        <w:rPr>
          <w:rFonts w:ascii="Times New Roman" w:hAnsi="Times New Roman" w:cs="Times New Roman"/>
          <w:sz w:val="24"/>
          <w:szCs w:val="24"/>
        </w:rPr>
        <w:t xml:space="preserve">in place before </w:t>
      </w:r>
      <w:r w:rsidR="00C62B0C">
        <w:rPr>
          <w:rFonts w:ascii="Times New Roman" w:hAnsi="Times New Roman" w:cs="Times New Roman"/>
          <w:sz w:val="24"/>
          <w:szCs w:val="24"/>
        </w:rPr>
        <w:t xml:space="preserve">implementation of </w:t>
      </w:r>
      <w:r w:rsidR="005253CD">
        <w:rPr>
          <w:rFonts w:ascii="Times New Roman" w:hAnsi="Times New Roman" w:cs="Times New Roman"/>
          <w:sz w:val="24"/>
          <w:szCs w:val="24"/>
        </w:rPr>
        <w:t xml:space="preserve">this NOPR in RM15-9, </w:t>
      </w:r>
      <w:r w:rsidR="00C233E7" w:rsidRPr="002C5F61">
        <w:rPr>
          <w:rFonts w:ascii="Times New Roman" w:hAnsi="Times New Roman" w:cs="Times New Roman"/>
          <w:sz w:val="24"/>
          <w:szCs w:val="24"/>
        </w:rPr>
        <w:t>are approved by OMB under FERC-725A (OMB Control No. 1902-0244)</w:t>
      </w:r>
      <w:r w:rsidRPr="002C5F61">
        <w:rPr>
          <w:rFonts w:ascii="Times New Roman" w:hAnsi="Times New Roman" w:cs="Times New Roman"/>
          <w:sz w:val="24"/>
          <w:szCs w:val="24"/>
        </w:rPr>
        <w:t>,</w:t>
      </w:r>
      <w:r w:rsidRPr="002C5F61">
        <w:t xml:space="preserve"> </w:t>
      </w:r>
      <w:r w:rsidRPr="002C5F61">
        <w:rPr>
          <w:rFonts w:ascii="Times New Roman" w:hAnsi="Times New Roman" w:cs="Times New Roman"/>
          <w:sz w:val="24"/>
          <w:szCs w:val="24"/>
        </w:rPr>
        <w:t>FERC-725G (OMB Control No. 1902-0252),</w:t>
      </w:r>
      <w:r w:rsidR="001F0066" w:rsidRPr="002C5F61">
        <w:rPr>
          <w:rFonts w:ascii="Times New Roman" w:hAnsi="Times New Roman" w:cs="Times New Roman"/>
          <w:sz w:val="24"/>
          <w:szCs w:val="24"/>
        </w:rPr>
        <w:t xml:space="preserve"> and FERC-725P (OMB Control No. 1902-0269)</w:t>
      </w:r>
      <w:r w:rsidR="00C233E7" w:rsidRPr="002C5F61">
        <w:rPr>
          <w:rFonts w:ascii="Times New Roman" w:hAnsi="Times New Roman" w:cs="Times New Roman"/>
          <w:sz w:val="24"/>
          <w:szCs w:val="24"/>
        </w:rPr>
        <w:t>.</w:t>
      </w:r>
      <w:r w:rsidR="00955748" w:rsidRPr="002C5F61">
        <w:rPr>
          <w:rFonts w:ascii="Times New Roman" w:hAnsi="Times New Roman" w:cs="Times New Roman"/>
          <w:sz w:val="24"/>
          <w:szCs w:val="24"/>
        </w:rPr>
        <w:t xml:space="preserve">  </w:t>
      </w:r>
      <w:r w:rsidR="00414670">
        <w:rPr>
          <w:rFonts w:ascii="Times New Roman" w:hAnsi="Times New Roman" w:cs="Times New Roman"/>
          <w:sz w:val="24"/>
          <w:szCs w:val="24"/>
        </w:rPr>
        <w:t>As of 7/21/2015, there are four pending ICRs (listed in Attachment A) affecting various Reliability Standards in the PRC family</w:t>
      </w:r>
      <w:r w:rsidR="005253CD">
        <w:rPr>
          <w:rFonts w:ascii="Times New Roman" w:hAnsi="Times New Roman" w:cs="Times New Roman"/>
          <w:sz w:val="24"/>
          <w:szCs w:val="24"/>
        </w:rPr>
        <w:t xml:space="preserve">.  </w:t>
      </w:r>
      <w:r w:rsidR="00657A47" w:rsidRPr="002C5F61">
        <w:rPr>
          <w:rFonts w:ascii="Times New Roman" w:hAnsi="Times New Roman" w:cs="Times New Roman"/>
          <w:sz w:val="24"/>
          <w:szCs w:val="24"/>
        </w:rPr>
        <w:t>The Commission submits th</w:t>
      </w:r>
      <w:r w:rsidR="00F707CA" w:rsidRPr="002C5F61">
        <w:rPr>
          <w:rFonts w:ascii="Times New Roman" w:hAnsi="Times New Roman" w:cs="Times New Roman"/>
          <w:sz w:val="24"/>
          <w:szCs w:val="24"/>
        </w:rPr>
        <w:t>e changes due to th</w:t>
      </w:r>
      <w:r w:rsidR="00414670">
        <w:rPr>
          <w:rFonts w:ascii="Times New Roman" w:hAnsi="Times New Roman" w:cs="Times New Roman"/>
          <w:sz w:val="24"/>
          <w:szCs w:val="24"/>
        </w:rPr>
        <w:t>is</w:t>
      </w:r>
      <w:r w:rsidR="00657A47" w:rsidRPr="002C5F61">
        <w:rPr>
          <w:rFonts w:ascii="Times New Roman" w:hAnsi="Times New Roman" w:cs="Times New Roman"/>
          <w:sz w:val="24"/>
          <w:szCs w:val="24"/>
        </w:rPr>
        <w:t xml:space="preserve"> </w:t>
      </w:r>
      <w:r w:rsidR="000E25B2" w:rsidRPr="002C5F61">
        <w:rPr>
          <w:rFonts w:ascii="Times New Roman" w:hAnsi="Times New Roman" w:cs="Times New Roman"/>
          <w:sz w:val="24"/>
          <w:szCs w:val="24"/>
        </w:rPr>
        <w:t>NOPR</w:t>
      </w:r>
      <w:r w:rsidR="00F707CA" w:rsidRPr="002C5F61">
        <w:rPr>
          <w:rFonts w:ascii="Times New Roman" w:hAnsi="Times New Roman" w:cs="Times New Roman"/>
          <w:sz w:val="24"/>
          <w:szCs w:val="24"/>
        </w:rPr>
        <w:t xml:space="preserve"> in Docket No. </w:t>
      </w:r>
      <w:r w:rsidR="000E25B2" w:rsidRPr="002C5F61">
        <w:rPr>
          <w:rFonts w:ascii="Times New Roman" w:hAnsi="Times New Roman" w:cs="Times New Roman"/>
          <w:sz w:val="24"/>
          <w:szCs w:val="24"/>
        </w:rPr>
        <w:t>RM15-9</w:t>
      </w:r>
      <w:r w:rsidR="00BB3B2C" w:rsidRPr="002C5F61">
        <w:rPr>
          <w:rFonts w:ascii="Times New Roman" w:hAnsi="Times New Roman" w:cs="Times New Roman"/>
          <w:sz w:val="24"/>
          <w:szCs w:val="24"/>
        </w:rPr>
        <w:t xml:space="preserve">-000 </w:t>
      </w:r>
      <w:r w:rsidR="00BD7446" w:rsidRPr="002C5F61">
        <w:rPr>
          <w:rFonts w:ascii="Times New Roman" w:hAnsi="Times New Roman" w:cs="Times New Roman"/>
          <w:sz w:val="24"/>
          <w:szCs w:val="24"/>
        </w:rPr>
        <w:t>under the FERC-725</w:t>
      </w:r>
      <w:r w:rsidR="00047471" w:rsidRPr="002C5F61">
        <w:rPr>
          <w:rFonts w:ascii="Times New Roman" w:hAnsi="Times New Roman" w:cs="Times New Roman"/>
          <w:sz w:val="24"/>
          <w:szCs w:val="24"/>
        </w:rPr>
        <w:t>P</w:t>
      </w:r>
      <w:r w:rsidR="000E25B2" w:rsidRPr="002C5F61">
        <w:rPr>
          <w:rFonts w:ascii="Times New Roman" w:hAnsi="Times New Roman" w:cs="Times New Roman"/>
          <w:sz w:val="24"/>
          <w:szCs w:val="24"/>
        </w:rPr>
        <w:t>1</w:t>
      </w:r>
      <w:r w:rsidR="00657A47" w:rsidRPr="002C5F61">
        <w:rPr>
          <w:rFonts w:ascii="Times New Roman" w:hAnsi="Times New Roman" w:cs="Times New Roman"/>
          <w:sz w:val="24"/>
          <w:szCs w:val="24"/>
        </w:rPr>
        <w:t xml:space="preserve"> information colle</w:t>
      </w:r>
      <w:r w:rsidR="000E25B2" w:rsidRPr="002C5F61">
        <w:rPr>
          <w:rFonts w:ascii="Times New Roman" w:hAnsi="Times New Roman" w:cs="Times New Roman"/>
          <w:sz w:val="24"/>
          <w:szCs w:val="24"/>
        </w:rPr>
        <w:t>ction (OMB Control No. TBD</w:t>
      </w:r>
      <w:r w:rsidR="00657A47" w:rsidRPr="002C5F61">
        <w:rPr>
          <w:rFonts w:ascii="Times New Roman" w:hAnsi="Times New Roman" w:cs="Times New Roman"/>
          <w:sz w:val="24"/>
          <w:szCs w:val="24"/>
        </w:rPr>
        <w:t>)</w:t>
      </w:r>
      <w:r w:rsidR="00414670">
        <w:rPr>
          <w:rFonts w:ascii="Times New Roman" w:hAnsi="Times New Roman" w:cs="Times New Roman"/>
          <w:sz w:val="24"/>
          <w:szCs w:val="24"/>
        </w:rPr>
        <w:t xml:space="preserve"> in order to submit it timely to OMB</w:t>
      </w:r>
      <w:r w:rsidR="000E25B2" w:rsidRPr="002C5F61">
        <w:rPr>
          <w:rFonts w:ascii="Times New Roman" w:hAnsi="Times New Roman" w:cs="Times New Roman"/>
          <w:sz w:val="24"/>
          <w:szCs w:val="24"/>
        </w:rPr>
        <w:t>.</w:t>
      </w:r>
      <w:r w:rsidR="001F0066" w:rsidRPr="002C5F61">
        <w:rPr>
          <w:rFonts w:ascii="Times New Roman" w:hAnsi="Times New Roman" w:cs="Times New Roman"/>
          <w:sz w:val="24"/>
          <w:szCs w:val="24"/>
        </w:rPr>
        <w:t xml:space="preserve">  </w:t>
      </w:r>
    </w:p>
    <w:p w14:paraId="74A7BAF6" w14:textId="77777777" w:rsidR="00514D81" w:rsidRDefault="00514D81" w:rsidP="00F8440A">
      <w:pPr>
        <w:spacing w:after="0"/>
        <w:rPr>
          <w:rFonts w:ascii="Times New Roman" w:hAnsi="Times New Roman" w:cs="Times New Roman"/>
          <w:sz w:val="24"/>
          <w:szCs w:val="24"/>
        </w:rPr>
      </w:pPr>
    </w:p>
    <w:p w14:paraId="196DA7DB" w14:textId="3C188323" w:rsidR="00A72E7B" w:rsidRDefault="001F0066" w:rsidP="00F8440A">
      <w:pPr>
        <w:spacing w:after="0"/>
        <w:rPr>
          <w:rFonts w:ascii="Times New Roman" w:hAnsi="Times New Roman" w:cs="Times New Roman"/>
          <w:sz w:val="24"/>
          <w:szCs w:val="24"/>
        </w:rPr>
      </w:pPr>
      <w:r w:rsidRPr="002C5F61">
        <w:rPr>
          <w:rFonts w:ascii="Times New Roman" w:hAnsi="Times New Roman" w:cs="Times New Roman"/>
          <w:sz w:val="24"/>
          <w:szCs w:val="24"/>
        </w:rPr>
        <w:t xml:space="preserve">Although FERC-725P1 is intended as a temporary collection </w:t>
      </w:r>
      <w:r w:rsidR="00F055D8">
        <w:rPr>
          <w:rFonts w:ascii="Times New Roman" w:hAnsi="Times New Roman" w:cs="Times New Roman"/>
          <w:sz w:val="24"/>
          <w:szCs w:val="24"/>
        </w:rPr>
        <w:t xml:space="preserve">number </w:t>
      </w:r>
      <w:r w:rsidRPr="002C5F61">
        <w:rPr>
          <w:rFonts w:ascii="Times New Roman" w:hAnsi="Times New Roman" w:cs="Times New Roman"/>
          <w:sz w:val="24"/>
          <w:szCs w:val="24"/>
        </w:rPr>
        <w:t>to ensure FERC’s timely submission to OMB, all PRC reliability standards s</w:t>
      </w:r>
      <w:r w:rsidR="008B4E04" w:rsidRPr="002C5F61">
        <w:rPr>
          <w:rFonts w:ascii="Times New Roman" w:hAnsi="Times New Roman" w:cs="Times New Roman"/>
          <w:sz w:val="24"/>
          <w:szCs w:val="24"/>
        </w:rPr>
        <w:t>hould eventually be in the FERC-</w:t>
      </w:r>
      <w:r w:rsidRPr="002C5F61">
        <w:rPr>
          <w:rFonts w:ascii="Times New Roman" w:hAnsi="Times New Roman" w:cs="Times New Roman"/>
          <w:sz w:val="24"/>
          <w:szCs w:val="24"/>
        </w:rPr>
        <w:t>725G information collection (OMB Control No. 1902-0252)</w:t>
      </w:r>
      <w:r w:rsidR="008B4E04" w:rsidRPr="002C5F61">
        <w:rPr>
          <w:rFonts w:ascii="Times New Roman" w:hAnsi="Times New Roman" w:cs="Times New Roman"/>
          <w:sz w:val="24"/>
          <w:szCs w:val="24"/>
        </w:rPr>
        <w:t>.</w:t>
      </w:r>
      <w:bookmarkStart w:id="0" w:name="_Ref425256919"/>
      <w:r w:rsidR="003D05E0" w:rsidRPr="00636377">
        <w:rPr>
          <w:rStyle w:val="FootnoteReference"/>
          <w:rFonts w:ascii="Times New Roman" w:hAnsi="Times New Roman" w:cs="Times New Roman"/>
          <w:sz w:val="24"/>
          <w:szCs w:val="24"/>
          <w:vertAlign w:val="superscript"/>
        </w:rPr>
        <w:footnoteReference w:id="3"/>
      </w:r>
      <w:bookmarkEnd w:id="0"/>
    </w:p>
    <w:p w14:paraId="1ECD4CF6" w14:textId="77777777" w:rsidR="0002242D" w:rsidRDefault="0002242D" w:rsidP="00FD66F1">
      <w:pPr>
        <w:spacing w:after="0"/>
        <w:rPr>
          <w:rFonts w:ascii="Times New Roman" w:hAnsi="Times New Roman" w:cs="Times New Roman"/>
          <w:sz w:val="24"/>
          <w:szCs w:val="24"/>
        </w:rPr>
      </w:pPr>
    </w:p>
    <w:p w14:paraId="450E2906"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CIRCUMSTANCES THAT MAKE THE COLLECTION OF INFORMATION NECESSARY</w:t>
      </w:r>
    </w:p>
    <w:p w14:paraId="4B4892BC" w14:textId="77777777" w:rsidR="00A72E7B" w:rsidRDefault="00A72E7B" w:rsidP="00EB3E6F">
      <w:pPr>
        <w:spacing w:after="0"/>
        <w:rPr>
          <w:rFonts w:ascii="Times New Roman" w:hAnsi="Times New Roman" w:cs="Times New Roman"/>
          <w:sz w:val="24"/>
          <w:szCs w:val="24"/>
        </w:rPr>
      </w:pPr>
    </w:p>
    <w:p w14:paraId="3A32220B" w14:textId="77777777" w:rsidR="00255F1F" w:rsidRDefault="00255F1F" w:rsidP="00255F1F">
      <w:pPr>
        <w:spacing w:after="0"/>
        <w:rPr>
          <w:rFonts w:ascii="Times New Roman" w:hAnsi="Times New Roman" w:cs="Times New Roman"/>
          <w:sz w:val="24"/>
          <w:szCs w:val="24"/>
        </w:rPr>
      </w:pPr>
      <w:r w:rsidRPr="001C7753">
        <w:rPr>
          <w:rFonts w:ascii="Times New Roman" w:hAnsi="Times New Roman" w:cs="Times New Roman"/>
          <w:sz w:val="24"/>
          <w:szCs w:val="24"/>
        </w:rPr>
        <w:t xml:space="preserve">On August 8, 2005, The Electricity Modernization Act of 2005, which is Title XII of the Energy Policy Act of 2005 (EPAct 2005), was enacted into law.  EPAct 2005 added a new </w:t>
      </w:r>
      <w:r w:rsidR="00535D48" w:rsidRPr="001C7753">
        <w:rPr>
          <w:rFonts w:ascii="Times New Roman" w:hAnsi="Times New Roman" w:cs="Times New Roman"/>
          <w:sz w:val="24"/>
          <w:szCs w:val="24"/>
        </w:rPr>
        <w:t>S</w:t>
      </w:r>
      <w:r w:rsidRPr="001C7753">
        <w:rPr>
          <w:rFonts w:ascii="Times New Roman" w:hAnsi="Times New Roman" w:cs="Times New Roman"/>
          <w:sz w:val="24"/>
          <w:szCs w:val="24"/>
        </w:rPr>
        <w:t xml:space="preserve">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w:t>
      </w:r>
      <w:r w:rsidR="00955748" w:rsidRPr="001C7753">
        <w:rPr>
          <w:rFonts w:ascii="Times New Roman" w:hAnsi="Times New Roman" w:cs="Times New Roman"/>
          <w:sz w:val="24"/>
          <w:szCs w:val="24"/>
        </w:rPr>
        <w:t xml:space="preserve"> In 2006, the Commission certified the North American Electric Reliability Corporation (NERC) as the ERO pursuant to FPA section 215.</w:t>
      </w:r>
      <w:r w:rsidR="00955748" w:rsidRPr="001C7753">
        <w:rPr>
          <w:rStyle w:val="FootnoteReference"/>
          <w:rFonts w:ascii="Times New Roman" w:hAnsi="Times New Roman" w:cs="Times New Roman"/>
          <w:sz w:val="24"/>
          <w:szCs w:val="24"/>
          <w:vertAlign w:val="superscript"/>
        </w:rPr>
        <w:footnoteReference w:id="4"/>
      </w:r>
      <w:r w:rsidR="00955748" w:rsidRPr="001C7753">
        <w:rPr>
          <w:rFonts w:ascii="Times New Roman" w:hAnsi="Times New Roman" w:cs="Times New Roman"/>
          <w:sz w:val="24"/>
          <w:szCs w:val="24"/>
          <w:vertAlign w:val="superscript"/>
        </w:rPr>
        <w:t xml:space="preserve"> </w:t>
      </w:r>
    </w:p>
    <w:p w14:paraId="3050E17B" w14:textId="77777777" w:rsidR="00DE23E3" w:rsidRPr="001C7753" w:rsidRDefault="00DE23E3" w:rsidP="00255F1F">
      <w:pPr>
        <w:spacing w:after="0"/>
        <w:rPr>
          <w:rFonts w:ascii="Times New Roman" w:hAnsi="Times New Roman" w:cs="Times New Roman"/>
          <w:sz w:val="24"/>
          <w:szCs w:val="24"/>
        </w:rPr>
      </w:pPr>
    </w:p>
    <w:p w14:paraId="29E6EB39" w14:textId="77777777" w:rsidR="00955748" w:rsidRPr="001C7753" w:rsidRDefault="00955748" w:rsidP="00B11A9F">
      <w:pPr>
        <w:tabs>
          <w:tab w:val="num" w:pos="720"/>
        </w:tabs>
        <w:spacing w:after="240" w:line="240" w:lineRule="auto"/>
        <w:rPr>
          <w:rFonts w:ascii="Times New Roman" w:eastAsia="Times New Roman" w:hAnsi="Times New Roman" w:cs="Times New Roman"/>
          <w:sz w:val="24"/>
          <w:szCs w:val="24"/>
        </w:rPr>
      </w:pPr>
      <w:r w:rsidRPr="001C7753">
        <w:rPr>
          <w:rFonts w:ascii="Times New Roman" w:eastAsia="Times New Roman" w:hAnsi="Times New Roman" w:cs="Times New Roman"/>
          <w:sz w:val="24"/>
          <w:szCs w:val="24"/>
        </w:rPr>
        <w:t xml:space="preserve">In 2007, the Commission approved an initial set of Reliability Standards submitted by NERC, including initial versions of four protection system and load-shedding-related maintenance standards: </w:t>
      </w:r>
      <w:r w:rsidRPr="001C7753">
        <w:rPr>
          <w:rFonts w:ascii="Times New Roman" w:eastAsia="Times New Roman" w:hAnsi="Times New Roman" w:cs="Times New Roman"/>
          <w:i/>
          <w:sz w:val="24"/>
          <w:szCs w:val="24"/>
        </w:rPr>
        <w:t xml:space="preserve"> </w:t>
      </w:r>
      <w:r w:rsidRPr="001C7753">
        <w:rPr>
          <w:rFonts w:ascii="Times New Roman" w:eastAsia="Times New Roman" w:hAnsi="Times New Roman" w:cs="Times New Roman"/>
          <w:sz w:val="24"/>
          <w:szCs w:val="24"/>
        </w:rPr>
        <w:t>PRC-005-1, PRC-008-0, PRC-011-0, and PRC-017-0.</w:t>
      </w:r>
      <w:r w:rsidRPr="001C7753">
        <w:rPr>
          <w:rFonts w:ascii="Times New Roman" w:eastAsia="Times New Roman" w:hAnsi="Times New Roman" w:cs="Times New Roman"/>
          <w:b/>
          <w:sz w:val="24"/>
          <w:szCs w:val="24"/>
          <w:vertAlign w:val="superscript"/>
        </w:rPr>
        <w:footnoteReference w:id="5"/>
      </w:r>
      <w:r w:rsidRPr="001C7753">
        <w:rPr>
          <w:rFonts w:ascii="Times New Roman" w:eastAsia="Times New Roman" w:hAnsi="Times New Roman" w:cs="Times New Roman"/>
          <w:sz w:val="24"/>
          <w:szCs w:val="24"/>
        </w:rPr>
        <w:t xml:space="preserve">  In addition, the Commission directed NERC to develop a revision to PRC-005-1 incorporating a maximum time interval during which to conduct maintenance and testing of protection systems, and to consider combining into one standard the various maintenance and testing requirements for all of the maintenance and testing-related standards for protection systems, under</w:t>
      </w:r>
      <w:r w:rsidR="00DE23E3">
        <w:rPr>
          <w:rFonts w:ascii="Times New Roman" w:eastAsia="Times New Roman" w:hAnsi="Times New Roman" w:cs="Times New Roman"/>
          <w:sz w:val="24"/>
          <w:szCs w:val="24"/>
        </w:rPr>
        <w:t xml:space="preserve"> </w:t>
      </w:r>
      <w:r w:rsidRPr="001C7753">
        <w:rPr>
          <w:rFonts w:ascii="Times New Roman" w:eastAsia="Times New Roman" w:hAnsi="Times New Roman" w:cs="Times New Roman"/>
          <w:sz w:val="24"/>
          <w:szCs w:val="24"/>
        </w:rPr>
        <w:t>frequency load shedding (UFLS) equipment and under</w:t>
      </w:r>
      <w:r w:rsidR="00DE23E3">
        <w:rPr>
          <w:rFonts w:ascii="Times New Roman" w:eastAsia="Times New Roman" w:hAnsi="Times New Roman" w:cs="Times New Roman"/>
          <w:sz w:val="24"/>
          <w:szCs w:val="24"/>
        </w:rPr>
        <w:t xml:space="preserve"> </w:t>
      </w:r>
      <w:r w:rsidRPr="001C7753">
        <w:rPr>
          <w:rFonts w:ascii="Times New Roman" w:eastAsia="Times New Roman" w:hAnsi="Times New Roman" w:cs="Times New Roman"/>
          <w:sz w:val="24"/>
          <w:szCs w:val="24"/>
        </w:rPr>
        <w:t xml:space="preserve">voltage load shedding (UVLS) equipment. </w:t>
      </w:r>
    </w:p>
    <w:p w14:paraId="1ADAC4BF" w14:textId="77777777" w:rsidR="00955748" w:rsidRPr="001C7753" w:rsidRDefault="00955748" w:rsidP="00B11A9F">
      <w:pPr>
        <w:tabs>
          <w:tab w:val="num" w:pos="720"/>
        </w:tabs>
        <w:spacing w:after="240" w:line="240" w:lineRule="auto"/>
        <w:rPr>
          <w:rFonts w:ascii="Times New Roman" w:eastAsia="Times New Roman" w:hAnsi="Times New Roman" w:cs="Times New Roman"/>
          <w:b/>
          <w:sz w:val="24"/>
          <w:szCs w:val="24"/>
        </w:rPr>
      </w:pPr>
      <w:r w:rsidRPr="001C7753">
        <w:rPr>
          <w:rFonts w:ascii="Times New Roman" w:eastAsia="Times New Roman" w:hAnsi="Times New Roman" w:cs="Times New Roman"/>
          <w:sz w:val="24"/>
          <w:szCs w:val="24"/>
        </w:rPr>
        <w:t>In February 2012, the Commission issued Order No. 758 in response to NERC’s request for approval of its interpretation of Requirement R1 of the then-current version of the protection system maintenance standard, Reliability Standard PRC-005-1.  In that order, the Commission accepted NERC’s proposed interpretation of Requirement R1, which interpretation provided guidance on the types of protection system equipment to which the Reliability Standard did or did not apply.  In reviewing NERC’s interpretation, the Commission raised several concerns about potential gaps in the coverage of PRC-005-1, including a concern that the standard as written may not include all components that serve in some protective capacity.</w:t>
      </w:r>
      <w:r w:rsidRPr="001C7753">
        <w:rPr>
          <w:rFonts w:ascii="Times New Roman" w:eastAsia="Times New Roman" w:hAnsi="Times New Roman" w:cs="Times New Roman"/>
          <w:b/>
          <w:sz w:val="24"/>
          <w:szCs w:val="24"/>
          <w:vertAlign w:val="superscript"/>
        </w:rPr>
        <w:footnoteReference w:id="6"/>
      </w:r>
      <w:r w:rsidRPr="001C7753">
        <w:rPr>
          <w:rFonts w:ascii="Times New Roman" w:eastAsia="Times New Roman" w:hAnsi="Times New Roman" w:cs="Times New Roman"/>
          <w:sz w:val="24"/>
          <w:szCs w:val="24"/>
        </w:rPr>
        <w:t xml:space="preserve">  </w:t>
      </w:r>
    </w:p>
    <w:p w14:paraId="55BAA176" w14:textId="77777777" w:rsidR="00955748" w:rsidRPr="001C7753" w:rsidRDefault="00955748" w:rsidP="00255F1F">
      <w:pPr>
        <w:spacing w:after="0"/>
        <w:rPr>
          <w:rFonts w:ascii="Times New Roman" w:hAnsi="Times New Roman" w:cs="Times New Roman"/>
          <w:sz w:val="24"/>
          <w:szCs w:val="24"/>
        </w:rPr>
      </w:pPr>
    </w:p>
    <w:p w14:paraId="73D1100B" w14:textId="77777777" w:rsidR="00733F7E" w:rsidRPr="001C7753" w:rsidRDefault="00733F7E" w:rsidP="00B837BA">
      <w:pPr>
        <w:spacing w:after="0"/>
        <w:rPr>
          <w:rFonts w:ascii="Times New Roman" w:hAnsi="Times New Roman" w:cs="Times New Roman"/>
          <w:sz w:val="24"/>
          <w:szCs w:val="24"/>
        </w:rPr>
      </w:pPr>
      <w:r w:rsidRPr="001C7753">
        <w:rPr>
          <w:rFonts w:ascii="Times New Roman" w:hAnsi="Times New Roman" w:cs="Times New Roman"/>
          <w:sz w:val="24"/>
          <w:szCs w:val="24"/>
        </w:rPr>
        <w:lastRenderedPageBreak/>
        <w:t>On December 18, 2014, NERC submitted a petition seeking approval of proposed Reliability Standard PRC-005-4, which would add to the applicability of Reliability Standard PRC-005-3 those sudden pressure relays that NERC has identified as having a potential effect on the reliable operation of the Bulk-Power System.</w:t>
      </w:r>
      <w:r w:rsidRPr="001C7753">
        <w:rPr>
          <w:rFonts w:ascii="Times New Roman" w:hAnsi="Times New Roman" w:cs="Times New Roman"/>
          <w:b/>
          <w:sz w:val="24"/>
          <w:szCs w:val="24"/>
          <w:vertAlign w:val="superscript"/>
        </w:rPr>
        <w:footnoteReference w:id="7"/>
      </w:r>
      <w:r w:rsidRPr="001C7753">
        <w:rPr>
          <w:rFonts w:ascii="Times New Roman" w:hAnsi="Times New Roman" w:cs="Times New Roman"/>
          <w:sz w:val="24"/>
          <w:szCs w:val="24"/>
        </w:rPr>
        <w:t xml:space="preserve">  NERC states that these revisions were developed to satisfy NERC’s commitment to develop modifications to PRC-005 that would address the Commission’s concerns, as set out in Order No. 758, regarding the lack of maintenance requirements for non-electrical sensing relays (such as sudden pressure relays) that could affect the reliable operation of the Bulk-Power System.</w:t>
      </w:r>
      <w:r w:rsidRPr="001C7753">
        <w:rPr>
          <w:rFonts w:ascii="Times New Roman" w:hAnsi="Times New Roman" w:cs="Times New Roman"/>
          <w:b/>
          <w:sz w:val="24"/>
          <w:szCs w:val="24"/>
          <w:vertAlign w:val="superscript"/>
        </w:rPr>
        <w:footnoteReference w:id="8"/>
      </w:r>
    </w:p>
    <w:p w14:paraId="36617094" w14:textId="77777777" w:rsidR="00EB3E6F" w:rsidRPr="00EB3E6F" w:rsidRDefault="00EB3E6F" w:rsidP="00EB3E6F">
      <w:pPr>
        <w:spacing w:after="0"/>
        <w:rPr>
          <w:rFonts w:ascii="Times New Roman" w:hAnsi="Times New Roman" w:cs="Times New Roman"/>
          <w:sz w:val="24"/>
          <w:szCs w:val="24"/>
        </w:rPr>
      </w:pPr>
    </w:p>
    <w:p w14:paraId="5328BDE6"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5D09FC1E" w14:textId="77777777" w:rsidR="00EB3E6F" w:rsidRDefault="00EB3E6F" w:rsidP="00EB3E6F">
      <w:pPr>
        <w:spacing w:after="0"/>
        <w:rPr>
          <w:rFonts w:ascii="Times New Roman" w:hAnsi="Times New Roman" w:cs="Times New Roman"/>
          <w:sz w:val="24"/>
          <w:szCs w:val="24"/>
        </w:rPr>
      </w:pPr>
    </w:p>
    <w:p w14:paraId="6319E363" w14:textId="77777777" w:rsidR="00885CD4" w:rsidRPr="001C7753" w:rsidRDefault="00885CD4" w:rsidP="00B11A9F">
      <w:pPr>
        <w:pStyle w:val="StyleFERCparanumberLinespacingDouble"/>
        <w:numPr>
          <w:ilvl w:val="0"/>
          <w:numId w:val="0"/>
        </w:numPr>
        <w:autoSpaceDE w:val="0"/>
        <w:autoSpaceDN w:val="0"/>
        <w:adjustRightInd w:val="0"/>
        <w:spacing w:after="240" w:line="240" w:lineRule="auto"/>
        <w:rPr>
          <w:sz w:val="24"/>
          <w:szCs w:val="24"/>
        </w:rPr>
      </w:pPr>
      <w:r w:rsidRPr="001C7753">
        <w:rPr>
          <w:sz w:val="24"/>
          <w:szCs w:val="24"/>
        </w:rPr>
        <w:t xml:space="preserve">The Commission proposes to approve Reliability Standard PRC-005-4, which will replace PRC-005-3 (Protection System and Automatic Reclosing Maintenance).  The proposed Reliability Standard expands the existing standard to cover sudden pressure relays that meet certain criteria, thereby imposing mandatory minimum maintenance activities and maximum maintenance intervals for the applicable relays.  Because the specific requirements were designed to reflect common industry practice, entities are not expected to experience a meaningful change in actual maintenance and documentation practices.  However, each applicable entity will have to perform a one-time review of sudden pressure relays that detect rapid changes in gas pressure, oil pressure, or oil flow that are indicative of faults within transformer equipment, and, if it has applicable sudden pressure relay devices, review current maintenance programs to ensure that they meet the requirements of proposed standard PRC-005-4.  Accordingly, all additional </w:t>
      </w:r>
      <w:r w:rsidRPr="001425BA">
        <w:rPr>
          <w:sz w:val="24"/>
          <w:szCs w:val="24"/>
        </w:rPr>
        <w:t>information collection</w:t>
      </w:r>
      <w:r w:rsidRPr="001C7753">
        <w:rPr>
          <w:sz w:val="24"/>
          <w:szCs w:val="24"/>
        </w:rPr>
        <w:t xml:space="preserve"> costs are expected to be limited to the first year of implementation of the revised standard. </w:t>
      </w:r>
    </w:p>
    <w:p w14:paraId="73353AA8" w14:textId="77777777" w:rsidR="00885CD4" w:rsidRPr="001C7753" w:rsidRDefault="00885CD4" w:rsidP="00B11A9F">
      <w:pPr>
        <w:pStyle w:val="StyleFERCparanumberLinespacingDouble"/>
        <w:numPr>
          <w:ilvl w:val="0"/>
          <w:numId w:val="0"/>
        </w:numPr>
        <w:autoSpaceDE w:val="0"/>
        <w:autoSpaceDN w:val="0"/>
        <w:adjustRightInd w:val="0"/>
        <w:spacing w:line="240" w:lineRule="auto"/>
        <w:rPr>
          <w:sz w:val="24"/>
          <w:szCs w:val="24"/>
        </w:rPr>
      </w:pPr>
      <w:r w:rsidRPr="001C7753">
        <w:rPr>
          <w:sz w:val="24"/>
          <w:szCs w:val="24"/>
        </w:rPr>
        <w:t>Proposed Reliability Standard PRC-005-4 reduces the evidence retention requirements approved in previously-approved versions of the standard, and now requires entities to maintain documentation of maintenance activities for only one maintenance cycle (a maximum of twelve years) if the maintenance interval is longer than the audit cycle.  For maintenance activities where the interval is shorter than the audit cycle, documentation is to be retained for all maintenance activities since the previous audit.  While the potential data retention requirement exceeds the three-year period that is routinely allowed for regulations requiring record retention under the OMB regulations implementing the PRA,</w:t>
      </w:r>
      <w:r w:rsidRPr="001C7753">
        <w:rPr>
          <w:rStyle w:val="FootnoteReference"/>
          <w:sz w:val="24"/>
          <w:szCs w:val="24"/>
          <w:vertAlign w:val="superscript"/>
        </w:rPr>
        <w:footnoteReference w:id="9"/>
      </w:r>
      <w:r w:rsidRPr="001C7753">
        <w:rPr>
          <w:sz w:val="24"/>
          <w:szCs w:val="24"/>
        </w:rPr>
        <w:t xml:space="preserve"> the maximum evidence retention period has been reduced from 24 years to a maximum of 12 years as a result of the Commission’s prior request for comment on the reasonableness of the evidence retention period in earlier versions of </w:t>
      </w:r>
      <w:r w:rsidRPr="001C7753">
        <w:rPr>
          <w:sz w:val="24"/>
          <w:szCs w:val="24"/>
        </w:rPr>
        <w:lastRenderedPageBreak/>
        <w:t xml:space="preserve">the standard, and appears to reflect the </w:t>
      </w:r>
      <w:r w:rsidR="00C2559A">
        <w:rPr>
          <w:sz w:val="24"/>
          <w:szCs w:val="24"/>
        </w:rPr>
        <w:t>maximum</w:t>
      </w:r>
      <w:r w:rsidRPr="001C7753">
        <w:rPr>
          <w:sz w:val="24"/>
          <w:szCs w:val="24"/>
        </w:rPr>
        <w:t xml:space="preserve"> time needed to ensure compliance with maintenance requirements.</w:t>
      </w:r>
      <w:r w:rsidRPr="001C7753">
        <w:rPr>
          <w:rStyle w:val="FootnoteReference"/>
          <w:sz w:val="24"/>
          <w:szCs w:val="24"/>
          <w:vertAlign w:val="superscript"/>
        </w:rPr>
        <w:footnoteReference w:id="10"/>
      </w:r>
    </w:p>
    <w:p w14:paraId="5C183C3C" w14:textId="77777777" w:rsidR="00C233E7" w:rsidRPr="001C7753" w:rsidRDefault="00C233E7" w:rsidP="00995C70">
      <w:pPr>
        <w:spacing w:after="0"/>
        <w:rPr>
          <w:rFonts w:ascii="Times New Roman" w:hAnsi="Times New Roman" w:cs="Times New Roman"/>
          <w:sz w:val="24"/>
          <w:szCs w:val="24"/>
        </w:rPr>
      </w:pPr>
    </w:p>
    <w:p w14:paraId="28CBB7B8" w14:textId="77777777" w:rsidR="003410FA" w:rsidRPr="001C7753" w:rsidRDefault="00C233E7" w:rsidP="00995C70">
      <w:pPr>
        <w:spacing w:after="0"/>
        <w:rPr>
          <w:rFonts w:ascii="Times New Roman" w:hAnsi="Times New Roman" w:cs="Times New Roman"/>
          <w:sz w:val="24"/>
          <w:szCs w:val="24"/>
        </w:rPr>
      </w:pPr>
      <w:r w:rsidRPr="001C7753">
        <w:rPr>
          <w:rFonts w:ascii="Times New Roman" w:hAnsi="Times New Roman" w:cs="Times New Roman"/>
          <w:sz w:val="24"/>
          <w:szCs w:val="24"/>
        </w:rPr>
        <w:t>The new information collection requirements in PRC-005-</w:t>
      </w:r>
      <w:r w:rsidR="00650212" w:rsidRPr="001C7753">
        <w:rPr>
          <w:rFonts w:ascii="Times New Roman" w:hAnsi="Times New Roman" w:cs="Times New Roman"/>
          <w:sz w:val="24"/>
          <w:szCs w:val="24"/>
        </w:rPr>
        <w:t>4</w:t>
      </w:r>
      <w:r w:rsidRPr="001C7753">
        <w:rPr>
          <w:rFonts w:ascii="Times New Roman" w:hAnsi="Times New Roman" w:cs="Times New Roman"/>
          <w:sz w:val="24"/>
          <w:szCs w:val="24"/>
        </w:rPr>
        <w:t xml:space="preserve"> help to ensure that protection systems are well maintained and tested.  Without these new requirements there is an increased chance of protection systems not functioning properly</w:t>
      </w:r>
      <w:r w:rsidR="003410FA" w:rsidRPr="001C7753">
        <w:rPr>
          <w:rFonts w:ascii="Times New Roman" w:hAnsi="Times New Roman" w:cs="Times New Roman"/>
          <w:sz w:val="24"/>
          <w:szCs w:val="24"/>
        </w:rPr>
        <w:t>.</w:t>
      </w:r>
    </w:p>
    <w:p w14:paraId="2A53D33B" w14:textId="77777777" w:rsidR="004276A5" w:rsidRDefault="004276A5" w:rsidP="004276A5">
      <w:pPr>
        <w:spacing w:after="0"/>
        <w:rPr>
          <w:rFonts w:ascii="Times New Roman" w:hAnsi="Times New Roman" w:cs="Times New Roman"/>
          <w:sz w:val="24"/>
          <w:szCs w:val="24"/>
        </w:rPr>
      </w:pPr>
    </w:p>
    <w:p w14:paraId="6CDB398D" w14:textId="77777777" w:rsidR="00DE23E3" w:rsidRPr="00EB3E6F" w:rsidRDefault="00DE23E3" w:rsidP="004276A5">
      <w:pPr>
        <w:spacing w:after="0"/>
        <w:rPr>
          <w:rFonts w:ascii="Times New Roman" w:hAnsi="Times New Roman" w:cs="Times New Roman"/>
          <w:sz w:val="24"/>
          <w:szCs w:val="24"/>
        </w:rPr>
      </w:pPr>
    </w:p>
    <w:p w14:paraId="313BBC20"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5BACF2A9" w14:textId="77777777" w:rsidR="00EB3E6F" w:rsidRDefault="00EB3E6F" w:rsidP="00EB3E6F">
      <w:pPr>
        <w:spacing w:after="0"/>
        <w:rPr>
          <w:rFonts w:ascii="Times New Roman" w:hAnsi="Times New Roman" w:cs="Times New Roman"/>
          <w:sz w:val="24"/>
          <w:szCs w:val="24"/>
        </w:rPr>
      </w:pPr>
    </w:p>
    <w:p w14:paraId="14E631D6" w14:textId="77777777" w:rsidR="0045480C" w:rsidRDefault="0045480C" w:rsidP="0045480C">
      <w:pPr>
        <w:spacing w:after="0"/>
        <w:rPr>
          <w:rFonts w:ascii="Times New Roman" w:hAnsi="Times New Roman" w:cs="Times New Roman"/>
          <w:sz w:val="24"/>
          <w:szCs w:val="24"/>
        </w:rPr>
      </w:pPr>
      <w:r w:rsidRPr="00AD5F12">
        <w:rPr>
          <w:rFonts w:ascii="Times New Roman" w:hAnsi="Times New Roman" w:cs="Times New Roman"/>
          <w:sz w:val="24"/>
          <w:szCs w:val="24"/>
        </w:rPr>
        <w:t xml:space="preserve">The use of current or improved technology and the medium are not covered in Reliability Standards, and are therefore left to the discretion of each </w:t>
      </w:r>
      <w:r>
        <w:rPr>
          <w:rFonts w:ascii="Times New Roman" w:hAnsi="Times New Roman" w:cs="Times New Roman"/>
          <w:sz w:val="24"/>
          <w:szCs w:val="24"/>
        </w:rPr>
        <w:t>respondent</w:t>
      </w:r>
      <w:r w:rsidRPr="00AD5F12">
        <w:rPr>
          <w:rFonts w:ascii="Times New Roman" w:hAnsi="Times New Roman" w:cs="Times New Roman"/>
          <w:sz w:val="24"/>
          <w:szCs w:val="24"/>
        </w:rPr>
        <w:t>.</w:t>
      </w:r>
    </w:p>
    <w:p w14:paraId="5E129C8E" w14:textId="77777777" w:rsidR="007A04A8" w:rsidRDefault="007A04A8" w:rsidP="0045480C">
      <w:pPr>
        <w:spacing w:after="0"/>
        <w:rPr>
          <w:rFonts w:ascii="Times New Roman" w:hAnsi="Times New Roman" w:cs="Times New Roman"/>
          <w:sz w:val="24"/>
          <w:szCs w:val="24"/>
        </w:rPr>
      </w:pPr>
    </w:p>
    <w:p w14:paraId="0B0CEE2C" w14:textId="77777777" w:rsidR="007A04A8" w:rsidRDefault="007A04A8" w:rsidP="0045480C">
      <w:pPr>
        <w:spacing w:after="0"/>
        <w:rPr>
          <w:rFonts w:ascii="Times New Roman" w:hAnsi="Times New Roman" w:cs="Times New Roman"/>
          <w:sz w:val="24"/>
          <w:szCs w:val="24"/>
        </w:rPr>
      </w:pPr>
      <w:r>
        <w:rPr>
          <w:rFonts w:ascii="Times New Roman" w:hAnsi="Times New Roman" w:cs="Times New Roman"/>
          <w:sz w:val="24"/>
          <w:szCs w:val="24"/>
        </w:rPr>
        <w:t>In general, the Commission supports the use of information technology to reduce burden.</w:t>
      </w:r>
    </w:p>
    <w:p w14:paraId="0A19C7C2" w14:textId="77777777" w:rsidR="00466C57" w:rsidRPr="00EB3E6F" w:rsidRDefault="00466C57" w:rsidP="00EB3E6F">
      <w:pPr>
        <w:spacing w:after="0"/>
        <w:rPr>
          <w:rFonts w:ascii="Times New Roman" w:hAnsi="Times New Roman" w:cs="Times New Roman"/>
          <w:sz w:val="24"/>
          <w:szCs w:val="24"/>
        </w:rPr>
      </w:pPr>
    </w:p>
    <w:p w14:paraId="1A1112AE"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1C064F57" w14:textId="77777777" w:rsidR="00EB3E6F" w:rsidRDefault="00EB3E6F" w:rsidP="00EB3E6F">
      <w:pPr>
        <w:spacing w:after="0"/>
        <w:rPr>
          <w:rFonts w:ascii="Times New Roman" w:hAnsi="Times New Roman" w:cs="Times New Roman"/>
          <w:sz w:val="24"/>
          <w:szCs w:val="24"/>
        </w:rPr>
      </w:pPr>
    </w:p>
    <w:p w14:paraId="391E83F0" w14:textId="77777777" w:rsidR="00EB3E6F" w:rsidRDefault="0045480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Under this proceeding, Reliability Standard </w:t>
      </w:r>
      <w:r w:rsidR="007A04A8">
        <w:rPr>
          <w:rFonts w:ascii="Times New Roman" w:hAnsi="Times New Roman" w:cs="Times New Roman"/>
          <w:sz w:val="24"/>
          <w:szCs w:val="24"/>
        </w:rPr>
        <w:t>PRC-005-</w:t>
      </w:r>
      <w:r w:rsidR="00733F7E">
        <w:rPr>
          <w:rFonts w:ascii="Times New Roman" w:hAnsi="Times New Roman" w:cs="Times New Roman"/>
          <w:sz w:val="24"/>
          <w:szCs w:val="24"/>
        </w:rPr>
        <w:t>4</w:t>
      </w:r>
      <w:r w:rsidR="00731C22">
        <w:rPr>
          <w:rFonts w:ascii="Times New Roman" w:hAnsi="Times New Roman" w:cs="Times New Roman"/>
          <w:sz w:val="24"/>
          <w:szCs w:val="24"/>
        </w:rPr>
        <w:t xml:space="preserve"> does not duplicate any filing requirements since the </w:t>
      </w:r>
      <w:r w:rsidR="00C2559A">
        <w:rPr>
          <w:rFonts w:ascii="Times New Roman" w:hAnsi="Times New Roman" w:cs="Times New Roman"/>
          <w:sz w:val="24"/>
          <w:szCs w:val="24"/>
        </w:rPr>
        <w:t>NOPR</w:t>
      </w:r>
      <w:r w:rsidR="00731C22">
        <w:rPr>
          <w:rFonts w:ascii="Times New Roman" w:hAnsi="Times New Roman" w:cs="Times New Roman"/>
          <w:sz w:val="24"/>
          <w:szCs w:val="24"/>
        </w:rPr>
        <w:t xml:space="preserve"> </w:t>
      </w:r>
      <w:r w:rsidR="003410FA">
        <w:rPr>
          <w:rFonts w:ascii="Times New Roman" w:hAnsi="Times New Roman" w:cs="Times New Roman"/>
          <w:sz w:val="24"/>
          <w:szCs w:val="24"/>
        </w:rPr>
        <w:t xml:space="preserve">revises an existing standard </w:t>
      </w:r>
      <w:r w:rsidR="009A19ED">
        <w:rPr>
          <w:rFonts w:ascii="Times New Roman" w:hAnsi="Times New Roman" w:cs="Times New Roman"/>
          <w:sz w:val="24"/>
          <w:szCs w:val="24"/>
        </w:rPr>
        <w:t>to improve</w:t>
      </w:r>
      <w:r w:rsidR="003410FA">
        <w:rPr>
          <w:rFonts w:ascii="Times New Roman" w:hAnsi="Times New Roman" w:cs="Times New Roman"/>
          <w:sz w:val="24"/>
          <w:szCs w:val="24"/>
        </w:rPr>
        <w:t xml:space="preserve"> clarity and efficiency</w:t>
      </w:r>
      <w:r w:rsidR="00731C22">
        <w:rPr>
          <w:rFonts w:ascii="Times New Roman" w:hAnsi="Times New Roman" w:cs="Times New Roman"/>
          <w:sz w:val="24"/>
          <w:szCs w:val="24"/>
        </w:rPr>
        <w:t xml:space="preserve">.  </w:t>
      </w:r>
    </w:p>
    <w:p w14:paraId="62B86507" w14:textId="77777777" w:rsidR="00466C57" w:rsidRPr="00EB3E6F" w:rsidRDefault="00466C57" w:rsidP="00EB3E6F">
      <w:pPr>
        <w:spacing w:after="0"/>
        <w:rPr>
          <w:rFonts w:ascii="Times New Roman" w:hAnsi="Times New Roman" w:cs="Times New Roman"/>
          <w:sz w:val="24"/>
          <w:szCs w:val="24"/>
        </w:rPr>
      </w:pPr>
    </w:p>
    <w:p w14:paraId="5708AB63"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02A3D9BF" w14:textId="77777777" w:rsidR="00EB3E6F" w:rsidRDefault="00EB3E6F" w:rsidP="00EB3E6F">
      <w:pPr>
        <w:spacing w:after="0"/>
        <w:rPr>
          <w:rFonts w:ascii="Times New Roman" w:hAnsi="Times New Roman" w:cs="Times New Roman"/>
          <w:sz w:val="24"/>
          <w:szCs w:val="24"/>
        </w:rPr>
      </w:pPr>
    </w:p>
    <w:p w14:paraId="62E533A0" w14:textId="5CF8D059" w:rsidR="00EB3E6F" w:rsidRDefault="001348AC" w:rsidP="00EB3E6F">
      <w:pPr>
        <w:spacing w:after="0"/>
        <w:rPr>
          <w:rFonts w:ascii="Times New Roman" w:hAnsi="Times New Roman" w:cs="Times New Roman"/>
          <w:sz w:val="24"/>
          <w:szCs w:val="24"/>
        </w:rPr>
      </w:pPr>
      <w:r w:rsidRPr="001348AC">
        <w:rPr>
          <w:rFonts w:ascii="Times New Roman" w:hAnsi="Times New Roman" w:cs="Times New Roman"/>
          <w:sz w:val="24"/>
          <w:szCs w:val="24"/>
        </w:rPr>
        <w:t>FE</w:t>
      </w:r>
      <w:r w:rsidR="00736047">
        <w:rPr>
          <w:rFonts w:ascii="Times New Roman" w:hAnsi="Times New Roman" w:cs="Times New Roman"/>
          <w:sz w:val="24"/>
          <w:szCs w:val="24"/>
        </w:rPr>
        <w:t xml:space="preserve">RC estimates that there are </w:t>
      </w:r>
      <w:r w:rsidR="00733F7E">
        <w:rPr>
          <w:rFonts w:ascii="Times New Roman" w:hAnsi="Times New Roman" w:cs="Times New Roman"/>
          <w:sz w:val="24"/>
          <w:szCs w:val="24"/>
        </w:rPr>
        <w:t>789</w:t>
      </w:r>
      <w:r w:rsidR="00CF759C" w:rsidRPr="00CF759C">
        <w:rPr>
          <w:rStyle w:val="FootnoteReference"/>
          <w:rFonts w:ascii="Times New Roman" w:hAnsi="Times New Roman" w:cs="Times New Roman"/>
          <w:sz w:val="24"/>
          <w:szCs w:val="24"/>
          <w:vertAlign w:val="superscript"/>
        </w:rPr>
        <w:footnoteReference w:id="11"/>
      </w:r>
      <w:r w:rsidR="00736047">
        <w:rPr>
          <w:rFonts w:ascii="Times New Roman" w:hAnsi="Times New Roman" w:cs="Times New Roman"/>
          <w:sz w:val="24"/>
          <w:szCs w:val="24"/>
        </w:rPr>
        <w:t xml:space="preserve"> small entities</w:t>
      </w:r>
      <w:r w:rsidRPr="001348AC">
        <w:rPr>
          <w:rFonts w:ascii="Times New Roman" w:hAnsi="Times New Roman" w:cs="Times New Roman"/>
          <w:sz w:val="24"/>
          <w:szCs w:val="24"/>
        </w:rPr>
        <w:t xml:space="preserve"> </w:t>
      </w:r>
      <w:r w:rsidR="00650212">
        <w:rPr>
          <w:rFonts w:ascii="Times New Roman" w:hAnsi="Times New Roman" w:cs="Times New Roman"/>
          <w:sz w:val="24"/>
          <w:szCs w:val="24"/>
        </w:rPr>
        <w:t xml:space="preserve">to which the proposed standard would apply.  </w:t>
      </w:r>
      <w:r w:rsidRPr="001348AC">
        <w:rPr>
          <w:rFonts w:ascii="Times New Roman" w:hAnsi="Times New Roman" w:cs="Times New Roman"/>
          <w:sz w:val="24"/>
          <w:szCs w:val="24"/>
        </w:rPr>
        <w:t xml:space="preserve">FERC considers the impact of the rule to be very minimal.  </w:t>
      </w:r>
      <w:r w:rsidR="00736047">
        <w:rPr>
          <w:rFonts w:ascii="Times New Roman" w:hAnsi="Times New Roman" w:cs="Times New Roman"/>
          <w:sz w:val="24"/>
          <w:szCs w:val="24"/>
        </w:rPr>
        <w:t xml:space="preserve">In general, small entities may reduce their burden by taking part in a joint organization </w:t>
      </w:r>
      <w:r w:rsidR="00DE23E3">
        <w:rPr>
          <w:rFonts w:ascii="Times New Roman" w:hAnsi="Times New Roman" w:cs="Times New Roman"/>
          <w:sz w:val="24"/>
          <w:szCs w:val="24"/>
        </w:rPr>
        <w:t xml:space="preserve">registration </w:t>
      </w:r>
      <w:r w:rsidR="00736047">
        <w:rPr>
          <w:rFonts w:ascii="Times New Roman" w:hAnsi="Times New Roman" w:cs="Times New Roman"/>
          <w:sz w:val="24"/>
          <w:szCs w:val="24"/>
        </w:rPr>
        <w:t>or a coordinated functional registration.  These options allow a small entity to share the compliance burden with other entities and, thus, to minimize their own compliance burden.</w:t>
      </w:r>
      <w:r w:rsidR="0093102B">
        <w:rPr>
          <w:rFonts w:ascii="Times New Roman" w:hAnsi="Times New Roman" w:cs="Times New Roman"/>
          <w:sz w:val="24"/>
          <w:szCs w:val="24"/>
        </w:rPr>
        <w:t xml:space="preserve"> Detailed information regarding these options is available in NERC’s Rule of Procedure at Sections 507 and 508</w:t>
      </w:r>
      <w:r w:rsidR="0093102B" w:rsidRPr="00DD79FB">
        <w:rPr>
          <w:rStyle w:val="FootnoteReference"/>
          <w:rFonts w:ascii="Times New Roman" w:hAnsi="Times New Roman" w:cs="Times New Roman"/>
          <w:sz w:val="24"/>
          <w:szCs w:val="24"/>
          <w:vertAlign w:val="superscript"/>
        </w:rPr>
        <w:footnoteReference w:id="12"/>
      </w:r>
      <w:r w:rsidR="0093102B">
        <w:rPr>
          <w:rFonts w:ascii="Times New Roman" w:hAnsi="Times New Roman" w:cs="Times New Roman"/>
          <w:sz w:val="24"/>
          <w:szCs w:val="24"/>
        </w:rPr>
        <w:t>.</w:t>
      </w:r>
    </w:p>
    <w:p w14:paraId="0DFA66A9" w14:textId="77777777" w:rsidR="007A04A8" w:rsidRDefault="007A04A8" w:rsidP="00EB3E6F">
      <w:pPr>
        <w:spacing w:after="0"/>
        <w:rPr>
          <w:rFonts w:ascii="Times New Roman" w:hAnsi="Times New Roman" w:cs="Times New Roman"/>
          <w:sz w:val="24"/>
          <w:szCs w:val="24"/>
        </w:rPr>
      </w:pPr>
    </w:p>
    <w:p w14:paraId="5A410A3B" w14:textId="36665E44" w:rsidR="007A04A8" w:rsidRDefault="007A04A8" w:rsidP="00EB3E6F">
      <w:pPr>
        <w:spacing w:after="0"/>
        <w:rPr>
          <w:rFonts w:ascii="Times New Roman" w:hAnsi="Times New Roman" w:cs="Times New Roman"/>
          <w:sz w:val="24"/>
          <w:szCs w:val="24"/>
        </w:rPr>
      </w:pPr>
      <w:r>
        <w:rPr>
          <w:rFonts w:ascii="Times New Roman" w:hAnsi="Times New Roman" w:cs="Times New Roman"/>
          <w:sz w:val="24"/>
          <w:szCs w:val="24"/>
        </w:rPr>
        <w:t xml:space="preserve">In this </w:t>
      </w:r>
      <w:r w:rsidR="00C2559A">
        <w:rPr>
          <w:rFonts w:ascii="Times New Roman" w:hAnsi="Times New Roman" w:cs="Times New Roman"/>
          <w:sz w:val="24"/>
          <w:szCs w:val="24"/>
        </w:rPr>
        <w:t>NOPR</w:t>
      </w:r>
      <w:r>
        <w:rPr>
          <w:rFonts w:ascii="Times New Roman" w:hAnsi="Times New Roman" w:cs="Times New Roman"/>
          <w:sz w:val="24"/>
          <w:szCs w:val="24"/>
        </w:rPr>
        <w:t xml:space="preserve">, the approved changes are estimated to cost </w:t>
      </w:r>
      <w:r w:rsidR="00CB04FF">
        <w:rPr>
          <w:rFonts w:ascii="Times New Roman" w:hAnsi="Times New Roman" w:cs="Times New Roman"/>
          <w:sz w:val="24"/>
          <w:szCs w:val="24"/>
        </w:rPr>
        <w:t xml:space="preserve">small entities approximately </w:t>
      </w:r>
      <w:r w:rsidR="007E6BD9">
        <w:rPr>
          <w:rFonts w:ascii="Times New Roman" w:hAnsi="Times New Roman" w:cs="Times New Roman"/>
          <w:sz w:val="24"/>
          <w:szCs w:val="24"/>
        </w:rPr>
        <w:t xml:space="preserve">$523 </w:t>
      </w:r>
      <w:r>
        <w:rPr>
          <w:rFonts w:ascii="Times New Roman" w:hAnsi="Times New Roman" w:cs="Times New Roman"/>
          <w:sz w:val="24"/>
          <w:szCs w:val="24"/>
        </w:rPr>
        <w:t>which Commission staff considers minimal.</w:t>
      </w:r>
    </w:p>
    <w:p w14:paraId="0C32530D" w14:textId="77777777" w:rsidR="001348AC" w:rsidRDefault="001348AC" w:rsidP="00EB3E6F">
      <w:pPr>
        <w:spacing w:after="0"/>
        <w:rPr>
          <w:rFonts w:ascii="Times New Roman" w:hAnsi="Times New Roman" w:cs="Times New Roman"/>
          <w:sz w:val="24"/>
          <w:szCs w:val="24"/>
        </w:rPr>
      </w:pPr>
    </w:p>
    <w:p w14:paraId="5CC8FA34" w14:textId="2881A22D"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2533784E" w14:textId="77777777" w:rsidR="00EB3E6F" w:rsidRDefault="00EB3E6F" w:rsidP="00EB3E6F">
      <w:pPr>
        <w:spacing w:after="0"/>
        <w:rPr>
          <w:rFonts w:ascii="Times New Roman" w:hAnsi="Times New Roman" w:cs="Times New Roman"/>
          <w:sz w:val="24"/>
          <w:szCs w:val="24"/>
        </w:rPr>
      </w:pPr>
    </w:p>
    <w:p w14:paraId="429B12E4" w14:textId="77777777" w:rsidR="00937A89" w:rsidRDefault="007A04A8" w:rsidP="00937A89">
      <w:pPr>
        <w:spacing w:after="0"/>
        <w:rPr>
          <w:rFonts w:ascii="Times New Roman" w:hAnsi="Times New Roman" w:cs="Times New Roman"/>
          <w:sz w:val="24"/>
          <w:szCs w:val="24"/>
        </w:rPr>
      </w:pPr>
      <w:r>
        <w:rPr>
          <w:rFonts w:ascii="Times New Roman" w:hAnsi="Times New Roman" w:cs="Times New Roman"/>
          <w:sz w:val="24"/>
          <w:szCs w:val="24"/>
        </w:rPr>
        <w:t xml:space="preserve">The additional burden imposed by this </w:t>
      </w:r>
      <w:r w:rsidR="00C2559A">
        <w:rPr>
          <w:rFonts w:ascii="Times New Roman" w:hAnsi="Times New Roman" w:cs="Times New Roman"/>
          <w:sz w:val="24"/>
          <w:szCs w:val="24"/>
        </w:rPr>
        <w:t>NOPR</w:t>
      </w:r>
      <w:r>
        <w:rPr>
          <w:rFonts w:ascii="Times New Roman" w:hAnsi="Times New Roman" w:cs="Times New Roman"/>
          <w:sz w:val="24"/>
          <w:szCs w:val="24"/>
        </w:rPr>
        <w:t xml:space="preserve"> is one-time only and cannot be conducted less frequently.  The record retention requirements are either existing </w:t>
      </w:r>
      <w:r w:rsidR="009B43F8">
        <w:rPr>
          <w:rFonts w:ascii="Times New Roman" w:hAnsi="Times New Roman" w:cs="Times New Roman"/>
          <w:sz w:val="24"/>
          <w:szCs w:val="24"/>
        </w:rPr>
        <w:t>requirements or considered usua</w:t>
      </w:r>
      <w:r>
        <w:rPr>
          <w:rFonts w:ascii="Times New Roman" w:hAnsi="Times New Roman" w:cs="Times New Roman"/>
          <w:sz w:val="24"/>
          <w:szCs w:val="24"/>
        </w:rPr>
        <w:t xml:space="preserve">l business practice.  The record retention requirements are not modified by this </w:t>
      </w:r>
      <w:r w:rsidR="00C2559A">
        <w:rPr>
          <w:rFonts w:ascii="Times New Roman" w:hAnsi="Times New Roman" w:cs="Times New Roman"/>
          <w:sz w:val="24"/>
          <w:szCs w:val="24"/>
        </w:rPr>
        <w:t>NOPR</w:t>
      </w:r>
      <w:r>
        <w:rPr>
          <w:rFonts w:ascii="Times New Roman" w:hAnsi="Times New Roman" w:cs="Times New Roman"/>
          <w:sz w:val="24"/>
          <w:szCs w:val="24"/>
        </w:rPr>
        <w:t>.</w:t>
      </w:r>
    </w:p>
    <w:p w14:paraId="52308467" w14:textId="77777777" w:rsidR="00297631" w:rsidRPr="00EB3E6F" w:rsidRDefault="00297631" w:rsidP="00EB3E6F">
      <w:pPr>
        <w:spacing w:after="0"/>
        <w:rPr>
          <w:rFonts w:ascii="Times New Roman" w:hAnsi="Times New Roman" w:cs="Times New Roman"/>
          <w:sz w:val="24"/>
          <w:szCs w:val="24"/>
        </w:rPr>
      </w:pPr>
    </w:p>
    <w:p w14:paraId="2A543983"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7C2F251D" w14:textId="77777777" w:rsidR="00EB3E6F" w:rsidRDefault="00EB3E6F" w:rsidP="00EB3E6F">
      <w:pPr>
        <w:spacing w:after="0"/>
        <w:rPr>
          <w:rFonts w:ascii="Times New Roman" w:hAnsi="Times New Roman" w:cs="Times New Roman"/>
          <w:sz w:val="24"/>
          <w:szCs w:val="24"/>
        </w:rPr>
      </w:pPr>
    </w:p>
    <w:p w14:paraId="37AFB129" w14:textId="77777777" w:rsidR="00E954EE" w:rsidRPr="001C7753" w:rsidRDefault="00E954EE" w:rsidP="00E954EE">
      <w:pPr>
        <w:spacing w:after="0" w:line="240" w:lineRule="auto"/>
        <w:rPr>
          <w:rFonts w:ascii="Times New Roman" w:hAnsi="Times New Roman"/>
          <w:sz w:val="24"/>
          <w:szCs w:val="24"/>
        </w:rPr>
      </w:pPr>
      <w:r w:rsidRPr="001C7753">
        <w:rPr>
          <w:rFonts w:ascii="Times New Roman" w:hAnsi="Times New Roman"/>
          <w:sz w:val="24"/>
          <w:szCs w:val="24"/>
        </w:rPr>
        <w:t>There is one special circumstances as described in 5 CFR 1320.5(d)(2) related to this information collection:</w:t>
      </w:r>
    </w:p>
    <w:p w14:paraId="6A2C53D3" w14:textId="77777777" w:rsidR="002E3B48" w:rsidRPr="001C7753" w:rsidRDefault="002E3B48" w:rsidP="00E954EE">
      <w:pPr>
        <w:spacing w:after="0" w:line="240" w:lineRule="auto"/>
        <w:rPr>
          <w:rFonts w:ascii="Times New Roman" w:hAnsi="Times New Roman"/>
          <w:sz w:val="24"/>
          <w:szCs w:val="24"/>
        </w:rPr>
      </w:pPr>
    </w:p>
    <w:p w14:paraId="4198AF00" w14:textId="77777777" w:rsidR="00E954EE" w:rsidRPr="001C7753" w:rsidRDefault="00E954EE" w:rsidP="00E954EE">
      <w:pPr>
        <w:spacing w:after="0" w:line="240" w:lineRule="auto"/>
        <w:rPr>
          <w:rFonts w:ascii="Times New Roman" w:hAnsi="Times New Roman"/>
          <w:sz w:val="24"/>
          <w:szCs w:val="24"/>
        </w:rPr>
      </w:pPr>
      <w:r w:rsidRPr="001C7753">
        <w:rPr>
          <w:rFonts w:ascii="Times New Roman" w:hAnsi="Times New Roman"/>
          <w:sz w:val="24"/>
          <w:szCs w:val="24"/>
        </w:rPr>
        <w:t xml:space="preserve">The data retention requirement in the Reliability Standard </w:t>
      </w:r>
      <w:r w:rsidR="007A04A8" w:rsidRPr="001C7753">
        <w:rPr>
          <w:rFonts w:ascii="Times New Roman" w:hAnsi="Times New Roman"/>
          <w:sz w:val="24"/>
          <w:szCs w:val="24"/>
        </w:rPr>
        <w:t>PRC-005-</w:t>
      </w:r>
      <w:r w:rsidR="00733F7E" w:rsidRPr="001C7753">
        <w:rPr>
          <w:rFonts w:ascii="Times New Roman" w:hAnsi="Times New Roman"/>
          <w:sz w:val="24"/>
          <w:szCs w:val="24"/>
        </w:rPr>
        <w:t>4</w:t>
      </w:r>
      <w:r w:rsidRPr="001C7753">
        <w:rPr>
          <w:rFonts w:ascii="Times New Roman" w:hAnsi="Times New Roman"/>
          <w:sz w:val="24"/>
          <w:szCs w:val="24"/>
        </w:rPr>
        <w:t xml:space="preserve"> says:</w:t>
      </w:r>
    </w:p>
    <w:p w14:paraId="197E7BAD" w14:textId="77777777" w:rsidR="00E954EE" w:rsidRPr="001C7753" w:rsidRDefault="00E954EE" w:rsidP="00E954EE">
      <w:pPr>
        <w:spacing w:after="0" w:line="240" w:lineRule="auto"/>
        <w:rPr>
          <w:rFonts w:ascii="Times New Roman" w:hAnsi="Times New Roman"/>
          <w:sz w:val="24"/>
          <w:szCs w:val="24"/>
        </w:rPr>
      </w:pPr>
    </w:p>
    <w:p w14:paraId="245B6C2C" w14:textId="77777777" w:rsidR="007A04A8" w:rsidRPr="001C7753" w:rsidRDefault="007A04A8" w:rsidP="007A04A8">
      <w:pPr>
        <w:autoSpaceDE w:val="0"/>
        <w:autoSpaceDN w:val="0"/>
        <w:adjustRightInd w:val="0"/>
        <w:spacing w:after="0" w:line="240" w:lineRule="auto"/>
        <w:ind w:left="720"/>
        <w:rPr>
          <w:rFonts w:ascii="Times New Roman" w:hAnsi="Times New Roman" w:cs="Times New Roman"/>
          <w:b/>
          <w:sz w:val="24"/>
          <w:szCs w:val="24"/>
        </w:rPr>
      </w:pPr>
      <w:r w:rsidRPr="001C7753">
        <w:rPr>
          <w:rFonts w:ascii="Times New Roman" w:hAnsi="Times New Roman" w:cs="Times New Roman"/>
          <w:sz w:val="24"/>
          <w:szCs w:val="24"/>
        </w:rPr>
        <w:t xml:space="preserve">For </w:t>
      </w:r>
      <w:r w:rsidR="00C40D9E" w:rsidRPr="001C7753">
        <w:rPr>
          <w:rFonts w:ascii="Times New Roman" w:hAnsi="Times New Roman" w:cs="Times New Roman"/>
          <w:sz w:val="24"/>
          <w:szCs w:val="24"/>
        </w:rPr>
        <w:t>Requirement R2, Requirement R3, and Requirement R4, in cases where the interval of the maintenance activity is longer than the audit cycle, the Transmission Owner, Generator Owner, and Distribution Provider shall each keep documentation of the most recent performance of that maintenance activity for the Protection System, Automatic Reclosing, or Sudden Pressure Relaying Component.  In cases where the interval of the maintenance activity is shorter than the audit cycle, documentation of all performances (in accordance with the tables) of that maintenance activity for the Protection System, Automatic Reclosing, or Sudden Pressure Relaying Component since the previous schedule audit date shall be retained.</w:t>
      </w:r>
    </w:p>
    <w:p w14:paraId="6251A308" w14:textId="77777777" w:rsidR="007A04A8" w:rsidRPr="001C7753" w:rsidRDefault="007A04A8" w:rsidP="00461AD2">
      <w:pPr>
        <w:autoSpaceDE w:val="0"/>
        <w:autoSpaceDN w:val="0"/>
        <w:adjustRightInd w:val="0"/>
        <w:spacing w:after="0" w:line="240" w:lineRule="auto"/>
        <w:rPr>
          <w:rFonts w:ascii="Times New Roman" w:hAnsi="Times New Roman" w:cs="Times New Roman"/>
          <w:sz w:val="24"/>
          <w:szCs w:val="24"/>
        </w:rPr>
      </w:pPr>
    </w:p>
    <w:p w14:paraId="70E85BF2" w14:textId="77777777" w:rsidR="00650212" w:rsidRPr="001C7753" w:rsidRDefault="007A04A8" w:rsidP="00650212">
      <w:pPr>
        <w:pStyle w:val="StyleFERCparanumberLinespacingDouble"/>
        <w:numPr>
          <w:ilvl w:val="0"/>
          <w:numId w:val="0"/>
        </w:numPr>
        <w:autoSpaceDE w:val="0"/>
        <w:autoSpaceDN w:val="0"/>
        <w:adjustRightInd w:val="0"/>
        <w:spacing w:line="240" w:lineRule="auto"/>
        <w:rPr>
          <w:sz w:val="24"/>
          <w:szCs w:val="24"/>
        </w:rPr>
      </w:pPr>
      <w:r w:rsidRPr="001C7753">
        <w:rPr>
          <w:sz w:val="24"/>
          <w:szCs w:val="24"/>
        </w:rPr>
        <w:t xml:space="preserve">Based on the above passage, entities </w:t>
      </w:r>
      <w:r w:rsidRPr="00EE52C5">
        <w:rPr>
          <w:sz w:val="24"/>
          <w:szCs w:val="24"/>
        </w:rPr>
        <w:t xml:space="preserve">may have to retain some documentation for as long as </w:t>
      </w:r>
      <w:r w:rsidR="00650212" w:rsidRPr="00EE52C5">
        <w:rPr>
          <w:sz w:val="24"/>
          <w:szCs w:val="24"/>
        </w:rPr>
        <w:t xml:space="preserve">12 </w:t>
      </w:r>
      <w:r w:rsidRPr="00EE52C5">
        <w:rPr>
          <w:sz w:val="24"/>
          <w:szCs w:val="24"/>
        </w:rPr>
        <w:t>years which is longer than the 3-year maximum period allowed by OMB</w:t>
      </w:r>
      <w:r w:rsidRPr="00F15461">
        <w:rPr>
          <w:sz w:val="24"/>
          <w:szCs w:val="24"/>
        </w:rPr>
        <w:t>.</w:t>
      </w:r>
      <w:r w:rsidR="00E817F8" w:rsidRPr="001C7753">
        <w:rPr>
          <w:sz w:val="24"/>
          <w:szCs w:val="24"/>
        </w:rPr>
        <w:t xml:space="preserve">  </w:t>
      </w:r>
      <w:r w:rsidR="00650212" w:rsidRPr="001C7753">
        <w:rPr>
          <w:sz w:val="24"/>
          <w:szCs w:val="24"/>
        </w:rPr>
        <w:t xml:space="preserve">As noted above, however, Proposed Reliability Standard PRC-005-4 reduces the evidence retention requirements approved in previously-approved versions of the standard, and now requires entities to maintain documentation of maintenance activities for only one maintenance cycle (a maximum of twelve years) if the maintenance interval is longer than the audit cycle.  For maintenance activities where the interval is shorter than the audit cycle, documentation is to be retained for all maintenance activities since the previous audit.  While the potential data retention requirement exceeds the </w:t>
      </w:r>
      <w:r w:rsidR="00650212" w:rsidRPr="00EE52C5">
        <w:rPr>
          <w:sz w:val="24"/>
          <w:szCs w:val="24"/>
        </w:rPr>
        <w:t>three-year</w:t>
      </w:r>
      <w:r w:rsidR="00650212" w:rsidRPr="001C7753">
        <w:rPr>
          <w:sz w:val="24"/>
          <w:szCs w:val="24"/>
        </w:rPr>
        <w:t xml:space="preserve"> period that is routinely allowed for regulations requiring record retention </w:t>
      </w:r>
      <w:r w:rsidR="00650212" w:rsidRPr="001C7753">
        <w:rPr>
          <w:sz w:val="24"/>
          <w:szCs w:val="24"/>
        </w:rPr>
        <w:lastRenderedPageBreak/>
        <w:t xml:space="preserve">under the OMB regulations implementing the PRA, the maximum evidence retention period has been reduced from 24 years to a maximum of 12 years as a result of the Commission’s prior request for comment on the reasonableness of the evidence retention period in earlier versions of the standard, and appears to reflect the </w:t>
      </w:r>
      <w:r w:rsidR="008B4E04">
        <w:rPr>
          <w:sz w:val="24"/>
          <w:szCs w:val="24"/>
        </w:rPr>
        <w:t>maximum</w:t>
      </w:r>
      <w:r w:rsidR="00650212" w:rsidRPr="001C7753">
        <w:rPr>
          <w:sz w:val="24"/>
          <w:szCs w:val="24"/>
        </w:rPr>
        <w:t xml:space="preserve"> time needed to ensure compliance with maintenance requirements.  </w:t>
      </w:r>
    </w:p>
    <w:p w14:paraId="1D1C3E4A" w14:textId="77777777" w:rsidR="00650212" w:rsidRPr="001C7753" w:rsidRDefault="00650212" w:rsidP="00461AD2">
      <w:pPr>
        <w:autoSpaceDE w:val="0"/>
        <w:autoSpaceDN w:val="0"/>
        <w:adjustRightInd w:val="0"/>
        <w:spacing w:after="0" w:line="240" w:lineRule="auto"/>
        <w:rPr>
          <w:rFonts w:ascii="Times New Roman" w:hAnsi="Times New Roman" w:cs="Times New Roman"/>
          <w:sz w:val="24"/>
          <w:szCs w:val="24"/>
        </w:rPr>
      </w:pPr>
    </w:p>
    <w:p w14:paraId="5F8E5B99" w14:textId="77777777" w:rsidR="008D310F" w:rsidRDefault="008D310F" w:rsidP="009B43F8">
      <w:pPr>
        <w:autoSpaceDE w:val="0"/>
        <w:autoSpaceDN w:val="0"/>
        <w:adjustRightInd w:val="0"/>
        <w:spacing w:after="0" w:line="240" w:lineRule="auto"/>
        <w:rPr>
          <w:rFonts w:ascii="Times New Roman" w:hAnsi="Times New Roman"/>
          <w:sz w:val="24"/>
          <w:szCs w:val="24"/>
        </w:rPr>
      </w:pPr>
    </w:p>
    <w:p w14:paraId="735CD7B1" w14:textId="77777777" w:rsidR="00F15461" w:rsidRPr="001C7753" w:rsidRDefault="00F15461" w:rsidP="009B43F8">
      <w:pPr>
        <w:autoSpaceDE w:val="0"/>
        <w:autoSpaceDN w:val="0"/>
        <w:adjustRightInd w:val="0"/>
        <w:spacing w:after="0" w:line="240" w:lineRule="auto"/>
        <w:rPr>
          <w:rFonts w:ascii="Times New Roman" w:hAnsi="Times New Roman"/>
          <w:sz w:val="24"/>
          <w:szCs w:val="24"/>
        </w:rPr>
      </w:pPr>
    </w:p>
    <w:p w14:paraId="4BCB9CB5"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5D47ABE3" w14:textId="77777777" w:rsidR="00EB3E6F" w:rsidRDefault="00EB3E6F" w:rsidP="00EB3E6F">
      <w:pPr>
        <w:spacing w:after="0"/>
        <w:rPr>
          <w:rFonts w:ascii="Times New Roman" w:hAnsi="Times New Roman" w:cs="Times New Roman"/>
          <w:sz w:val="24"/>
          <w:szCs w:val="24"/>
        </w:rPr>
      </w:pPr>
    </w:p>
    <w:p w14:paraId="2199FF08" w14:textId="77777777" w:rsidR="001F1AD9" w:rsidRDefault="002C1BFB" w:rsidP="00EB3E6F">
      <w:pPr>
        <w:spacing w:after="0"/>
        <w:rPr>
          <w:rFonts w:ascii="Times New Roman" w:hAnsi="Times New Roman" w:cs="Times New Roman"/>
          <w:sz w:val="24"/>
          <w:szCs w:val="24"/>
        </w:rPr>
      </w:pPr>
      <w:r w:rsidRPr="002C1BFB">
        <w:rPr>
          <w:rFonts w:ascii="Times New Roman" w:hAnsi="Times New Roman" w:cs="Times New Roman"/>
          <w:sz w:val="24"/>
          <w:szCs w:val="24"/>
        </w:rPr>
        <w:t>The ERO process to establish Reliability Standards is a collaborative process with the ERO, Regional Entities</w:t>
      </w:r>
      <w:r>
        <w:rPr>
          <w:rFonts w:ascii="Times New Roman" w:hAnsi="Times New Roman" w:cs="Times New Roman"/>
          <w:sz w:val="24"/>
          <w:szCs w:val="24"/>
        </w:rPr>
        <w:t>,</w:t>
      </w:r>
      <w:r w:rsidRPr="002C1BFB">
        <w:rPr>
          <w:rFonts w:ascii="Times New Roman" w:hAnsi="Times New Roman" w:cs="Times New Roman"/>
          <w:sz w:val="24"/>
          <w:szCs w:val="24"/>
        </w:rPr>
        <w:t xml:space="preserve"> and other stakeholders </w:t>
      </w:r>
      <w:r>
        <w:rPr>
          <w:rFonts w:ascii="Times New Roman" w:hAnsi="Times New Roman" w:cs="Times New Roman"/>
          <w:sz w:val="24"/>
          <w:szCs w:val="24"/>
        </w:rPr>
        <w:t>developing and reviewing drafts</w:t>
      </w:r>
      <w:r w:rsidRPr="002C1BFB">
        <w:rPr>
          <w:rFonts w:ascii="Times New Roman" w:hAnsi="Times New Roman" w:cs="Times New Roman"/>
          <w:sz w:val="24"/>
          <w:szCs w:val="24"/>
        </w:rPr>
        <w:t xml:space="preserve"> and providing </w:t>
      </w:r>
      <w:r>
        <w:rPr>
          <w:rFonts w:ascii="Times New Roman" w:hAnsi="Times New Roman" w:cs="Times New Roman"/>
          <w:sz w:val="24"/>
          <w:szCs w:val="24"/>
        </w:rPr>
        <w:t>comments.  T</w:t>
      </w:r>
      <w:r w:rsidR="0045446A">
        <w:rPr>
          <w:rFonts w:ascii="Times New Roman" w:hAnsi="Times New Roman" w:cs="Times New Roman"/>
          <w:sz w:val="24"/>
          <w:szCs w:val="24"/>
        </w:rPr>
        <w:t>he</w:t>
      </w:r>
      <w:r w:rsidRPr="002C1BFB">
        <w:rPr>
          <w:rFonts w:ascii="Times New Roman" w:hAnsi="Times New Roman" w:cs="Times New Roman"/>
          <w:sz w:val="24"/>
          <w:szCs w:val="24"/>
        </w:rPr>
        <w:t xml:space="preserve"> </w:t>
      </w:r>
      <w:r>
        <w:rPr>
          <w:rFonts w:ascii="Times New Roman" w:hAnsi="Times New Roman" w:cs="Times New Roman"/>
          <w:sz w:val="24"/>
          <w:szCs w:val="24"/>
        </w:rPr>
        <w:t xml:space="preserve">reliability </w:t>
      </w:r>
      <w:r w:rsidRPr="002C1BFB">
        <w:rPr>
          <w:rFonts w:ascii="Times New Roman" w:hAnsi="Times New Roman" w:cs="Times New Roman"/>
          <w:sz w:val="24"/>
          <w:szCs w:val="24"/>
        </w:rPr>
        <w:t xml:space="preserve">standard </w:t>
      </w:r>
      <w:r w:rsidR="007E3C37">
        <w:rPr>
          <w:rFonts w:ascii="Times New Roman" w:hAnsi="Times New Roman" w:cs="Times New Roman"/>
          <w:sz w:val="24"/>
          <w:szCs w:val="24"/>
        </w:rPr>
        <w:t xml:space="preserve">was </w:t>
      </w:r>
      <w:r w:rsidRPr="002C1BFB">
        <w:rPr>
          <w:rFonts w:ascii="Times New Roman" w:hAnsi="Times New Roman" w:cs="Times New Roman"/>
          <w:sz w:val="24"/>
          <w:szCs w:val="24"/>
        </w:rPr>
        <w:t>submitted to the FERC for review and approval.   In addition, each FERC rulemaking (both proposed and final rules) is pu</w:t>
      </w:r>
      <w:r>
        <w:rPr>
          <w:rFonts w:ascii="Times New Roman" w:hAnsi="Times New Roman" w:cs="Times New Roman"/>
          <w:sz w:val="24"/>
          <w:szCs w:val="24"/>
        </w:rPr>
        <w:t>blished in the Federal Register</w:t>
      </w:r>
      <w:r w:rsidRPr="002C1BFB">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w:t>
      </w:r>
      <w:r w:rsidR="0045446A">
        <w:rPr>
          <w:rFonts w:ascii="Times New Roman" w:hAnsi="Times New Roman" w:cs="Times New Roman"/>
          <w:sz w:val="24"/>
          <w:szCs w:val="24"/>
        </w:rPr>
        <w:t>gestions concerning the approved</w:t>
      </w:r>
      <w:r w:rsidRPr="002C1BFB">
        <w:rPr>
          <w:rFonts w:ascii="Times New Roman" w:hAnsi="Times New Roman" w:cs="Times New Roman"/>
          <w:sz w:val="24"/>
          <w:szCs w:val="24"/>
        </w:rPr>
        <w:t xml:space="preserve"> collection of data.  The </w:t>
      </w:r>
      <w:r w:rsidR="00CF78E6">
        <w:rPr>
          <w:rFonts w:ascii="Times New Roman" w:hAnsi="Times New Roman" w:cs="Times New Roman"/>
          <w:sz w:val="24"/>
          <w:szCs w:val="24"/>
        </w:rPr>
        <w:t>NOPR</w:t>
      </w:r>
      <w:r w:rsidRPr="002C1BFB">
        <w:rPr>
          <w:rFonts w:ascii="Times New Roman" w:hAnsi="Times New Roman" w:cs="Times New Roman"/>
          <w:sz w:val="24"/>
          <w:szCs w:val="24"/>
        </w:rPr>
        <w:t xml:space="preserve"> was published</w:t>
      </w:r>
      <w:r>
        <w:rPr>
          <w:rFonts w:ascii="Times New Roman" w:hAnsi="Times New Roman" w:cs="Times New Roman"/>
          <w:sz w:val="24"/>
          <w:szCs w:val="24"/>
        </w:rPr>
        <w:t xml:space="preserve"> in the Federal Register </w:t>
      </w:r>
      <w:r w:rsidRPr="00236674">
        <w:rPr>
          <w:rFonts w:ascii="Times New Roman" w:hAnsi="Times New Roman" w:cs="Times New Roman"/>
          <w:sz w:val="24"/>
          <w:szCs w:val="24"/>
        </w:rPr>
        <w:t xml:space="preserve">on </w:t>
      </w:r>
      <w:r w:rsidR="00CF78E6">
        <w:rPr>
          <w:rFonts w:ascii="Times New Roman" w:hAnsi="Times New Roman" w:cs="Times New Roman"/>
          <w:sz w:val="24"/>
          <w:szCs w:val="24"/>
        </w:rPr>
        <w:t>4</w:t>
      </w:r>
      <w:r w:rsidR="005E2146" w:rsidRPr="00236674">
        <w:rPr>
          <w:rFonts w:ascii="Times New Roman" w:hAnsi="Times New Roman" w:cs="Times New Roman"/>
          <w:sz w:val="24"/>
          <w:szCs w:val="24"/>
        </w:rPr>
        <w:t>/</w:t>
      </w:r>
      <w:r w:rsidR="00CF78E6">
        <w:rPr>
          <w:rFonts w:ascii="Times New Roman" w:hAnsi="Times New Roman" w:cs="Times New Roman"/>
          <w:sz w:val="24"/>
          <w:szCs w:val="24"/>
        </w:rPr>
        <w:t>2</w:t>
      </w:r>
      <w:r w:rsidR="00C9414F">
        <w:rPr>
          <w:rFonts w:ascii="Times New Roman" w:hAnsi="Times New Roman" w:cs="Times New Roman"/>
          <w:sz w:val="24"/>
          <w:szCs w:val="24"/>
        </w:rPr>
        <w:t>2</w:t>
      </w:r>
      <w:r w:rsidR="00236674" w:rsidRPr="00236674">
        <w:rPr>
          <w:rFonts w:ascii="Times New Roman" w:hAnsi="Times New Roman" w:cs="Times New Roman"/>
          <w:sz w:val="24"/>
          <w:szCs w:val="24"/>
        </w:rPr>
        <w:t>/201</w:t>
      </w:r>
      <w:r w:rsidR="00E817F8">
        <w:rPr>
          <w:rFonts w:ascii="Times New Roman" w:hAnsi="Times New Roman" w:cs="Times New Roman"/>
          <w:sz w:val="24"/>
          <w:szCs w:val="24"/>
        </w:rPr>
        <w:t>5</w:t>
      </w:r>
      <w:r w:rsidR="00236674" w:rsidRPr="00236674">
        <w:rPr>
          <w:rFonts w:ascii="Times New Roman" w:hAnsi="Times New Roman" w:cs="Times New Roman"/>
          <w:sz w:val="24"/>
          <w:szCs w:val="24"/>
        </w:rPr>
        <w:t xml:space="preserve"> (</w:t>
      </w:r>
      <w:r w:rsidR="00E817F8">
        <w:rPr>
          <w:rFonts w:ascii="Times New Roman" w:hAnsi="Times New Roman" w:cs="Times New Roman"/>
          <w:sz w:val="24"/>
          <w:szCs w:val="24"/>
        </w:rPr>
        <w:t>80</w:t>
      </w:r>
      <w:r w:rsidR="00236674" w:rsidRPr="00236674">
        <w:rPr>
          <w:rFonts w:ascii="Times New Roman" w:hAnsi="Times New Roman" w:cs="Times New Roman"/>
          <w:sz w:val="24"/>
          <w:szCs w:val="24"/>
        </w:rPr>
        <w:t xml:space="preserve"> FR</w:t>
      </w:r>
      <w:r w:rsidR="00C9414F">
        <w:rPr>
          <w:rFonts w:ascii="Times New Roman" w:hAnsi="Times New Roman" w:cs="Times New Roman"/>
          <w:sz w:val="24"/>
          <w:szCs w:val="24"/>
        </w:rPr>
        <w:t xml:space="preserve"> 22444</w:t>
      </w:r>
      <w:r w:rsidRPr="00236674">
        <w:rPr>
          <w:rFonts w:ascii="Times New Roman" w:hAnsi="Times New Roman" w:cs="Times New Roman"/>
          <w:sz w:val="24"/>
          <w:szCs w:val="24"/>
        </w:rPr>
        <w:t>).</w:t>
      </w:r>
    </w:p>
    <w:p w14:paraId="2BD98809" w14:textId="77777777" w:rsidR="00D64890" w:rsidRPr="00D64890" w:rsidRDefault="00D64890" w:rsidP="00D64890">
      <w:pPr>
        <w:spacing w:after="0"/>
        <w:rPr>
          <w:rFonts w:ascii="Times New Roman" w:hAnsi="Times New Roman" w:cs="Times New Roman"/>
          <w:sz w:val="24"/>
          <w:szCs w:val="24"/>
        </w:rPr>
      </w:pPr>
    </w:p>
    <w:p w14:paraId="5344889A"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073952CA" w14:textId="77777777" w:rsidR="00D80FBD" w:rsidRDefault="00D80FBD" w:rsidP="00D80FBD">
      <w:pPr>
        <w:spacing w:after="0"/>
        <w:rPr>
          <w:rFonts w:ascii="Times New Roman" w:hAnsi="Times New Roman" w:cs="Times New Roman"/>
          <w:sz w:val="24"/>
          <w:szCs w:val="24"/>
        </w:rPr>
      </w:pPr>
    </w:p>
    <w:p w14:paraId="3D29D6DD" w14:textId="77777777"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14:paraId="0924C111" w14:textId="77777777" w:rsidR="008D310F" w:rsidRPr="00D80FBD" w:rsidRDefault="008D310F" w:rsidP="00D80FBD">
      <w:pPr>
        <w:spacing w:after="0"/>
        <w:rPr>
          <w:rFonts w:ascii="Times New Roman" w:hAnsi="Times New Roman" w:cs="Times New Roman"/>
          <w:sz w:val="24"/>
          <w:szCs w:val="24"/>
        </w:rPr>
      </w:pPr>
    </w:p>
    <w:p w14:paraId="620F686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0425900A" w14:textId="77777777" w:rsidR="00D80FBD" w:rsidRDefault="00D80FBD" w:rsidP="00D80FBD">
      <w:pPr>
        <w:spacing w:after="0"/>
        <w:rPr>
          <w:rFonts w:ascii="Times New Roman" w:hAnsi="Times New Roman" w:cs="Times New Roman"/>
          <w:sz w:val="24"/>
          <w:szCs w:val="24"/>
        </w:rPr>
      </w:pPr>
    </w:p>
    <w:p w14:paraId="301387D5"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w:t>
      </w:r>
      <w:r w:rsidR="001A4B2D">
        <w:rPr>
          <w:rFonts w:ascii="Times New Roman" w:hAnsi="Times New Roman" w:cs="Times New Roman"/>
          <w:sz w:val="24"/>
          <w:szCs w:val="24"/>
        </w:rPr>
        <w:t>s</w:t>
      </w:r>
      <w:r w:rsidRPr="00147F3A">
        <w:rPr>
          <w:rFonts w:ascii="Times New Roman" w:hAnsi="Times New Roman" w:cs="Times New Roman"/>
          <w:sz w:val="24"/>
          <w:szCs w:val="24"/>
        </w:rPr>
        <w:t xml:space="preserve"> of Procedure</w:t>
      </w:r>
      <w:r w:rsidR="0031788D">
        <w:rPr>
          <w:rFonts w:ascii="Times New Roman" w:hAnsi="Times New Roman" w:cs="Times New Roman"/>
          <w:sz w:val="24"/>
          <w:szCs w:val="24"/>
        </w:rPr>
        <w:t xml:space="preserve"> 1502,</w:t>
      </w:r>
      <w:r w:rsidRPr="001507E4">
        <w:rPr>
          <w:rStyle w:val="FootnoteReference"/>
          <w:rFonts w:ascii="Times New Roman" w:hAnsi="Times New Roman" w:cs="Times New Roman"/>
          <w:sz w:val="24"/>
          <w:szCs w:val="24"/>
          <w:vertAlign w:val="superscript"/>
        </w:rPr>
        <w:footnoteReference w:id="13"/>
      </w:r>
      <w:r w:rsidR="0061165E">
        <w:rPr>
          <w:rFonts w:ascii="Times New Roman" w:hAnsi="Times New Roman" w:cs="Times New Roman"/>
          <w:sz w:val="24"/>
          <w:szCs w:val="24"/>
        </w:rPr>
        <w:t xml:space="preserve"> </w:t>
      </w:r>
      <w:r w:rsidRPr="00147F3A">
        <w:rPr>
          <w:rFonts w:ascii="Times New Roman" w:hAnsi="Times New Roman" w:cs="Times New Roman"/>
          <w:sz w:val="24"/>
          <w:szCs w:val="24"/>
        </w:rPr>
        <w:t>“</w:t>
      </w:r>
      <w:r w:rsidR="001C7753">
        <w:rPr>
          <w:rFonts w:ascii="Times New Roman" w:hAnsi="Times New Roman" w:cs="Times New Roman"/>
          <w:sz w:val="24"/>
          <w:szCs w:val="24"/>
        </w:rPr>
        <w:t>….</w:t>
      </w:r>
      <w:r w:rsidRPr="00147F3A">
        <w:rPr>
          <w:rFonts w:ascii="Times New Roman" w:hAnsi="Times New Roman" w:cs="Times New Roman"/>
          <w:sz w:val="24"/>
          <w:szCs w:val="24"/>
        </w:rPr>
        <w:t>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784EB2B1" w14:textId="77777777" w:rsidR="002C1BFB" w:rsidRDefault="002C1BFB" w:rsidP="002C1BFB">
      <w:pPr>
        <w:spacing w:after="0"/>
        <w:rPr>
          <w:rFonts w:ascii="Times New Roman" w:hAnsi="Times New Roman" w:cs="Times New Roman"/>
          <w:sz w:val="24"/>
          <w:szCs w:val="24"/>
        </w:rPr>
      </w:pPr>
    </w:p>
    <w:p w14:paraId="7E2A38F7"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w:t>
      </w:r>
      <w:r w:rsidR="009B43F8">
        <w:rPr>
          <w:rFonts w:ascii="Times New Roman" w:hAnsi="Times New Roman" w:cs="Times New Roman"/>
          <w:sz w:val="24"/>
          <w:szCs w:val="24"/>
        </w:rPr>
        <w:t>ion collected under the approved</w:t>
      </w:r>
      <w:r>
        <w:rPr>
          <w:rFonts w:ascii="Times New Roman" w:hAnsi="Times New Roman" w:cs="Times New Roman"/>
          <w:sz w:val="24"/>
          <w:szCs w:val="24"/>
        </w:rPr>
        <w:t xml:space="preserve"> Reliability Standard to FERC.  Rather, they maintain it internally.  Since there are no submissions made to FERC, FERC provides no specific provisions in order to protect confidentiality</w:t>
      </w:r>
      <w:r w:rsidR="0031788D">
        <w:rPr>
          <w:rFonts w:ascii="Times New Roman" w:hAnsi="Times New Roman" w:cs="Times New Roman"/>
          <w:sz w:val="24"/>
          <w:szCs w:val="24"/>
        </w:rPr>
        <w:t xml:space="preserve"> unless and until any such information is submitted to FERC as part of an enforcement action or other compliance process</w:t>
      </w:r>
      <w:r>
        <w:rPr>
          <w:rFonts w:ascii="Times New Roman" w:hAnsi="Times New Roman" w:cs="Times New Roman"/>
          <w:sz w:val="24"/>
          <w:szCs w:val="24"/>
        </w:rPr>
        <w:t xml:space="preserve">. </w:t>
      </w:r>
    </w:p>
    <w:p w14:paraId="34D867EC" w14:textId="77777777" w:rsidR="008D310F" w:rsidRPr="00D80FBD" w:rsidRDefault="008D310F" w:rsidP="00D80FBD">
      <w:pPr>
        <w:spacing w:after="0"/>
        <w:rPr>
          <w:rFonts w:ascii="Times New Roman" w:hAnsi="Times New Roman" w:cs="Times New Roman"/>
          <w:sz w:val="24"/>
          <w:szCs w:val="24"/>
        </w:rPr>
      </w:pPr>
    </w:p>
    <w:p w14:paraId="6D179CE0"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3DEA3CE7" w14:textId="77777777" w:rsidR="00D80FBD" w:rsidRDefault="00D80FBD" w:rsidP="00D80FBD">
      <w:pPr>
        <w:spacing w:after="0"/>
        <w:rPr>
          <w:rFonts w:ascii="Times New Roman" w:hAnsi="Times New Roman" w:cs="Times New Roman"/>
          <w:sz w:val="24"/>
          <w:szCs w:val="24"/>
        </w:rPr>
      </w:pPr>
    </w:p>
    <w:p w14:paraId="5E2F49C0"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572D30CD" w14:textId="77777777" w:rsidR="00447718" w:rsidRDefault="00447718" w:rsidP="00D80FBD">
      <w:pPr>
        <w:spacing w:after="0"/>
        <w:rPr>
          <w:rFonts w:ascii="Times New Roman" w:hAnsi="Times New Roman" w:cs="Times New Roman"/>
          <w:sz w:val="24"/>
          <w:szCs w:val="24"/>
        </w:rPr>
      </w:pPr>
    </w:p>
    <w:p w14:paraId="7BB61172" w14:textId="77777777" w:rsidR="0074195A" w:rsidRPr="00D80FBD" w:rsidRDefault="0074195A" w:rsidP="00D80FBD">
      <w:pPr>
        <w:spacing w:after="0"/>
        <w:rPr>
          <w:rFonts w:ascii="Times New Roman" w:hAnsi="Times New Roman" w:cs="Times New Roman"/>
          <w:sz w:val="24"/>
          <w:szCs w:val="24"/>
        </w:rPr>
      </w:pPr>
    </w:p>
    <w:p w14:paraId="12C82E9D"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24B0FB9A" w14:textId="77777777" w:rsidR="00D80FBD" w:rsidRDefault="00D80FBD" w:rsidP="00D80FBD">
      <w:pPr>
        <w:spacing w:after="0"/>
        <w:rPr>
          <w:rFonts w:ascii="Times New Roman" w:hAnsi="Times New Roman" w:cs="Times New Roman"/>
          <w:sz w:val="24"/>
          <w:szCs w:val="24"/>
        </w:rPr>
      </w:pPr>
    </w:p>
    <w:p w14:paraId="34B1101F" w14:textId="25CE0A03" w:rsidR="00247B75" w:rsidRDefault="00E954EE" w:rsidP="00E954EE">
      <w:pPr>
        <w:spacing w:after="0"/>
        <w:rPr>
          <w:rFonts w:ascii="Times New Roman" w:hAnsi="Times New Roman" w:cs="Times New Roman"/>
          <w:sz w:val="24"/>
          <w:szCs w:val="24"/>
        </w:rPr>
      </w:pPr>
      <w:r w:rsidRPr="00E954EE">
        <w:rPr>
          <w:rFonts w:ascii="Times New Roman" w:hAnsi="Times New Roman" w:cs="Times New Roman"/>
          <w:sz w:val="24"/>
          <w:szCs w:val="24"/>
        </w:rPr>
        <w:t>According to the NERC Compliance Registry</w:t>
      </w:r>
      <w:r w:rsidR="00417400">
        <w:rPr>
          <w:rFonts w:ascii="Times New Roman" w:hAnsi="Times New Roman" w:cs="Times New Roman"/>
          <w:sz w:val="24"/>
          <w:szCs w:val="24"/>
        </w:rPr>
        <w:t xml:space="preserve"> as of </w:t>
      </w:r>
      <w:r w:rsidR="00CF78E6">
        <w:rPr>
          <w:rFonts w:ascii="Times New Roman" w:hAnsi="Times New Roman" w:cs="Times New Roman"/>
          <w:sz w:val="24"/>
          <w:szCs w:val="24"/>
        </w:rPr>
        <w:t>2</w:t>
      </w:r>
      <w:r w:rsidR="00E45F58">
        <w:rPr>
          <w:rFonts w:ascii="Times New Roman" w:hAnsi="Times New Roman" w:cs="Times New Roman"/>
          <w:sz w:val="24"/>
          <w:szCs w:val="24"/>
        </w:rPr>
        <w:t>/</w:t>
      </w:r>
      <w:r w:rsidR="00CF78E6">
        <w:rPr>
          <w:rFonts w:ascii="Times New Roman" w:hAnsi="Times New Roman" w:cs="Times New Roman"/>
          <w:sz w:val="24"/>
          <w:szCs w:val="24"/>
        </w:rPr>
        <w:t>27</w:t>
      </w:r>
      <w:r w:rsidR="002E3C5B">
        <w:rPr>
          <w:rFonts w:ascii="Times New Roman" w:hAnsi="Times New Roman" w:cs="Times New Roman"/>
          <w:sz w:val="24"/>
          <w:szCs w:val="24"/>
        </w:rPr>
        <w:t>/201</w:t>
      </w:r>
      <w:r w:rsidR="00CF78E6">
        <w:rPr>
          <w:rFonts w:ascii="Times New Roman" w:hAnsi="Times New Roman" w:cs="Times New Roman"/>
          <w:sz w:val="24"/>
          <w:szCs w:val="24"/>
        </w:rPr>
        <w:t>5</w:t>
      </w:r>
      <w:r w:rsidR="00E45F58">
        <w:rPr>
          <w:rFonts w:ascii="Times New Roman" w:hAnsi="Times New Roman" w:cs="Times New Roman"/>
          <w:sz w:val="24"/>
          <w:szCs w:val="24"/>
        </w:rPr>
        <w:t xml:space="preserve">, there are </w:t>
      </w:r>
      <w:r w:rsidR="00CF78E6">
        <w:rPr>
          <w:rFonts w:ascii="Times New Roman" w:hAnsi="Times New Roman" w:cs="Times New Roman"/>
          <w:sz w:val="24"/>
          <w:szCs w:val="24"/>
        </w:rPr>
        <w:t>1,287</w:t>
      </w:r>
      <w:r w:rsidR="00E45F58">
        <w:rPr>
          <w:rFonts w:ascii="Times New Roman" w:hAnsi="Times New Roman" w:cs="Times New Roman"/>
          <w:sz w:val="24"/>
          <w:szCs w:val="24"/>
        </w:rPr>
        <w:t xml:space="preserve"> </w:t>
      </w:r>
      <w:r w:rsidR="0031788D">
        <w:rPr>
          <w:rFonts w:ascii="Times New Roman" w:hAnsi="Times New Roman" w:cs="Times New Roman"/>
          <w:sz w:val="24"/>
          <w:szCs w:val="24"/>
        </w:rPr>
        <w:t xml:space="preserve">unique entities </w:t>
      </w:r>
      <w:r w:rsidR="005A409F">
        <w:rPr>
          <w:rFonts w:ascii="Times New Roman" w:hAnsi="Times New Roman" w:cs="Times New Roman"/>
          <w:sz w:val="24"/>
          <w:szCs w:val="24"/>
        </w:rPr>
        <w:t>required to comply with this reliability standard</w:t>
      </w:r>
      <w:r w:rsidR="0031788D">
        <w:rPr>
          <w:rFonts w:ascii="Times New Roman" w:hAnsi="Times New Roman" w:cs="Times New Roman"/>
          <w:sz w:val="24"/>
          <w:szCs w:val="24"/>
        </w:rPr>
        <w:t xml:space="preserve"> (distribution providers, generator owners and transmission owners, or a combination of those)</w:t>
      </w:r>
      <w:r w:rsidR="005A409F">
        <w:rPr>
          <w:rFonts w:ascii="Times New Roman" w:hAnsi="Times New Roman" w:cs="Times New Roman"/>
          <w:sz w:val="24"/>
          <w:szCs w:val="24"/>
        </w:rPr>
        <w:t>.</w:t>
      </w:r>
      <w:r w:rsidRPr="00E954EE">
        <w:rPr>
          <w:rFonts w:ascii="Times New Roman" w:hAnsi="Times New Roman" w:cs="Times New Roman"/>
          <w:sz w:val="24"/>
          <w:szCs w:val="24"/>
        </w:rPr>
        <w:t xml:space="preserve"> </w:t>
      </w:r>
      <w:r w:rsidR="0031788D">
        <w:rPr>
          <w:rFonts w:ascii="Times New Roman" w:hAnsi="Times New Roman" w:cs="Times New Roman"/>
          <w:sz w:val="24"/>
          <w:szCs w:val="24"/>
        </w:rPr>
        <w:t xml:space="preserve"> </w:t>
      </w:r>
      <w:r w:rsidRPr="00E954EE">
        <w:rPr>
          <w:rFonts w:ascii="Times New Roman" w:hAnsi="Times New Roman" w:cs="Times New Roman"/>
          <w:sz w:val="24"/>
          <w:szCs w:val="24"/>
        </w:rPr>
        <w:t xml:space="preserve">The Commission bases individual burden estimates on the time needed </w:t>
      </w:r>
      <w:r w:rsidR="001425BA">
        <w:rPr>
          <w:rFonts w:ascii="Times New Roman" w:hAnsi="Times New Roman" w:cs="Times New Roman"/>
          <w:sz w:val="24"/>
          <w:szCs w:val="24"/>
        </w:rPr>
        <w:t xml:space="preserve">(8 hours) </w:t>
      </w:r>
      <w:r w:rsidRPr="00E954EE">
        <w:rPr>
          <w:rFonts w:ascii="Times New Roman" w:hAnsi="Times New Roman" w:cs="Times New Roman"/>
          <w:sz w:val="24"/>
          <w:szCs w:val="24"/>
        </w:rPr>
        <w:t>for</w:t>
      </w:r>
      <w:r w:rsidR="005A409F">
        <w:rPr>
          <w:rFonts w:ascii="Times New Roman" w:hAnsi="Times New Roman" w:cs="Times New Roman"/>
          <w:sz w:val="24"/>
          <w:szCs w:val="24"/>
        </w:rPr>
        <w:t xml:space="preserve"> </w:t>
      </w:r>
      <w:r w:rsidR="00D26CCF">
        <w:rPr>
          <w:rFonts w:ascii="Times New Roman" w:hAnsi="Times New Roman" w:cs="Times New Roman"/>
          <w:sz w:val="24"/>
          <w:szCs w:val="24"/>
        </w:rPr>
        <w:t xml:space="preserve">an entity to conduct a </w:t>
      </w:r>
      <w:r w:rsidR="00DD54DC">
        <w:rPr>
          <w:rFonts w:ascii="Times New Roman" w:hAnsi="Times New Roman" w:cs="Times New Roman"/>
          <w:sz w:val="24"/>
          <w:szCs w:val="24"/>
        </w:rPr>
        <w:t>one-time</w:t>
      </w:r>
      <w:r w:rsidR="00D26CCF">
        <w:rPr>
          <w:rFonts w:ascii="Times New Roman" w:hAnsi="Times New Roman" w:cs="Times New Roman"/>
          <w:sz w:val="24"/>
          <w:szCs w:val="24"/>
        </w:rPr>
        <w:t xml:space="preserve"> </w:t>
      </w:r>
      <w:r w:rsidR="00DD54DC">
        <w:rPr>
          <w:rFonts w:ascii="Times New Roman" w:hAnsi="Times New Roman" w:cs="Times New Roman"/>
          <w:sz w:val="24"/>
          <w:szCs w:val="24"/>
        </w:rPr>
        <w:t xml:space="preserve">review </w:t>
      </w:r>
      <w:r w:rsidR="00DD54DC" w:rsidRPr="00DD54DC">
        <w:rPr>
          <w:rFonts w:ascii="Times New Roman" w:hAnsi="Times New Roman" w:cs="Times New Roman"/>
          <w:sz w:val="24"/>
          <w:szCs w:val="24"/>
        </w:rPr>
        <w:t xml:space="preserve">of </w:t>
      </w:r>
      <w:r w:rsidR="0031788D">
        <w:rPr>
          <w:rFonts w:ascii="Times New Roman" w:hAnsi="Times New Roman" w:cs="Times New Roman"/>
          <w:sz w:val="24"/>
          <w:szCs w:val="24"/>
        </w:rPr>
        <w:t xml:space="preserve">sudden pressure relay schemes and associated maintenance programs to ensure that the programs contain at a minimum the activities required by </w:t>
      </w:r>
      <w:r w:rsidR="00DD54DC" w:rsidRPr="00DD54DC">
        <w:rPr>
          <w:rFonts w:ascii="Times New Roman" w:hAnsi="Times New Roman" w:cs="Times New Roman"/>
          <w:sz w:val="24"/>
          <w:szCs w:val="24"/>
        </w:rPr>
        <w:t>PRC-005-</w:t>
      </w:r>
      <w:r w:rsidR="00CF78E6">
        <w:rPr>
          <w:rFonts w:ascii="Times New Roman" w:hAnsi="Times New Roman" w:cs="Times New Roman"/>
          <w:sz w:val="24"/>
          <w:szCs w:val="24"/>
        </w:rPr>
        <w:t>4</w:t>
      </w:r>
      <w:r w:rsidR="00DD54DC">
        <w:rPr>
          <w:rFonts w:ascii="Times New Roman" w:hAnsi="Times New Roman" w:cs="Times New Roman"/>
          <w:sz w:val="24"/>
          <w:szCs w:val="24"/>
        </w:rPr>
        <w:t>.</w:t>
      </w:r>
      <w:r w:rsidRPr="00E954EE">
        <w:rPr>
          <w:rFonts w:ascii="Times New Roman" w:hAnsi="Times New Roman" w:cs="Times New Roman"/>
          <w:sz w:val="24"/>
          <w:szCs w:val="24"/>
        </w:rPr>
        <w:t xml:space="preserve">  These burden estimates are consistent with estimates for similar tasks in other Commission-approved Reliability </w:t>
      </w:r>
      <w:r w:rsidR="005A409F">
        <w:rPr>
          <w:rFonts w:ascii="Times New Roman" w:hAnsi="Times New Roman" w:cs="Times New Roman"/>
          <w:sz w:val="24"/>
          <w:szCs w:val="24"/>
        </w:rPr>
        <w:t>Standards.</w:t>
      </w:r>
    </w:p>
    <w:p w14:paraId="07C4528D" w14:textId="77777777" w:rsidR="00720C5A" w:rsidRDefault="00720C5A" w:rsidP="00E954EE">
      <w:pPr>
        <w:spacing w:after="0"/>
        <w:rPr>
          <w:rFonts w:ascii="Times New Roman" w:hAnsi="Times New Roman" w:cs="Times New Roman"/>
          <w:sz w:val="24"/>
          <w:szCs w:val="24"/>
        </w:rPr>
      </w:pPr>
    </w:p>
    <w:p w14:paraId="119FA42C" w14:textId="7FD01CDB" w:rsidR="00EA5C58" w:rsidRPr="00B11A9F" w:rsidRDefault="00F2786B" w:rsidP="00636377">
      <w:pPr>
        <w:spacing w:after="0"/>
        <w:ind w:left="360"/>
        <w:rPr>
          <w:rFonts w:ascii="Times New Roman" w:hAnsi="Times New Roman" w:cs="Times New Roman"/>
          <w:b/>
          <w:sz w:val="24"/>
          <w:szCs w:val="24"/>
        </w:rPr>
      </w:pPr>
      <w:r>
        <w:rPr>
          <w:rFonts w:ascii="Times New Roman" w:hAnsi="Times New Roman" w:cs="Times New Roman"/>
          <w:sz w:val="24"/>
          <w:szCs w:val="24"/>
        </w:rPr>
        <w:t>There is no</w:t>
      </w:r>
      <w:r w:rsidR="00CF78E6">
        <w:rPr>
          <w:rFonts w:ascii="Times New Roman" w:hAnsi="Times New Roman" w:cs="Times New Roman"/>
          <w:sz w:val="24"/>
          <w:szCs w:val="24"/>
        </w:rPr>
        <w:t xml:space="preserve"> information collection </w:t>
      </w:r>
      <w:r>
        <w:rPr>
          <w:rFonts w:ascii="Times New Roman" w:hAnsi="Times New Roman" w:cs="Times New Roman"/>
          <w:sz w:val="24"/>
          <w:szCs w:val="24"/>
        </w:rPr>
        <w:t>burden</w:t>
      </w:r>
      <w:r w:rsidR="001C7753">
        <w:rPr>
          <w:rFonts w:ascii="Times New Roman" w:hAnsi="Times New Roman" w:cs="Times New Roman"/>
          <w:sz w:val="24"/>
          <w:szCs w:val="24"/>
        </w:rPr>
        <w:t xml:space="preserve"> currently</w:t>
      </w:r>
      <w:r>
        <w:rPr>
          <w:rFonts w:ascii="Times New Roman" w:hAnsi="Times New Roman" w:cs="Times New Roman"/>
          <w:sz w:val="24"/>
          <w:szCs w:val="24"/>
        </w:rPr>
        <w:t xml:space="preserve"> </w:t>
      </w:r>
      <w:r w:rsidR="00CF78E6">
        <w:rPr>
          <w:rFonts w:ascii="Times New Roman" w:hAnsi="Times New Roman" w:cs="Times New Roman"/>
          <w:sz w:val="24"/>
          <w:szCs w:val="24"/>
        </w:rPr>
        <w:t xml:space="preserve">associated with </w:t>
      </w:r>
      <w:r>
        <w:rPr>
          <w:rFonts w:ascii="Times New Roman" w:hAnsi="Times New Roman" w:cs="Times New Roman"/>
          <w:sz w:val="24"/>
          <w:szCs w:val="24"/>
        </w:rPr>
        <w:t>FERC-725P1</w:t>
      </w:r>
      <w:r w:rsidR="004A2342">
        <w:rPr>
          <w:rFonts w:ascii="Times New Roman" w:hAnsi="Times New Roman" w:cs="Times New Roman"/>
          <w:sz w:val="24"/>
          <w:szCs w:val="24"/>
        </w:rPr>
        <w:t xml:space="preserve"> (before implementation of ths NOPR)</w:t>
      </w:r>
      <w:r>
        <w:rPr>
          <w:rFonts w:ascii="Times New Roman" w:hAnsi="Times New Roman" w:cs="Times New Roman"/>
          <w:sz w:val="24"/>
          <w:szCs w:val="24"/>
        </w:rPr>
        <w:t xml:space="preserve">.  </w:t>
      </w:r>
      <w:r w:rsidR="001E60F0">
        <w:rPr>
          <w:rFonts w:ascii="Times New Roman" w:hAnsi="Times New Roman" w:cs="Times New Roman"/>
          <w:sz w:val="24"/>
          <w:szCs w:val="24"/>
        </w:rPr>
        <w:t xml:space="preserve">FERC-725P1 </w:t>
      </w:r>
      <w:r>
        <w:rPr>
          <w:rFonts w:ascii="Times New Roman" w:hAnsi="Times New Roman" w:cs="Times New Roman"/>
          <w:sz w:val="24"/>
          <w:szCs w:val="24"/>
        </w:rPr>
        <w:t xml:space="preserve">is </w:t>
      </w:r>
      <w:r w:rsidRPr="00597D22">
        <w:rPr>
          <w:rFonts w:ascii="Times New Roman" w:hAnsi="Times New Roman" w:cs="Times New Roman"/>
          <w:sz w:val="24"/>
          <w:szCs w:val="24"/>
        </w:rPr>
        <w:t xml:space="preserve"> a </w:t>
      </w:r>
      <w:r w:rsidRPr="001425BA">
        <w:rPr>
          <w:rFonts w:ascii="Times New Roman" w:hAnsi="Times New Roman" w:cs="Times New Roman"/>
          <w:sz w:val="24"/>
          <w:szCs w:val="24"/>
        </w:rPr>
        <w:t>temporary collection</w:t>
      </w:r>
      <w:r>
        <w:rPr>
          <w:rFonts w:ascii="Times New Roman" w:hAnsi="Times New Roman" w:cs="Times New Roman"/>
          <w:sz w:val="24"/>
          <w:szCs w:val="24"/>
        </w:rPr>
        <w:t xml:space="preserve"> </w:t>
      </w:r>
      <w:r w:rsidR="001E60F0">
        <w:rPr>
          <w:rFonts w:ascii="Times New Roman" w:hAnsi="Times New Roman" w:cs="Times New Roman"/>
          <w:sz w:val="24"/>
          <w:szCs w:val="24"/>
        </w:rPr>
        <w:t xml:space="preserve">number </w:t>
      </w:r>
      <w:r>
        <w:rPr>
          <w:rFonts w:ascii="Times New Roman" w:hAnsi="Times New Roman" w:cs="Times New Roman"/>
          <w:sz w:val="24"/>
          <w:szCs w:val="24"/>
        </w:rPr>
        <w:t xml:space="preserve">to </w:t>
      </w:r>
      <w:r w:rsidR="001E60F0">
        <w:rPr>
          <w:rFonts w:ascii="Times New Roman" w:hAnsi="Times New Roman" w:cs="Times New Roman"/>
          <w:sz w:val="24"/>
          <w:szCs w:val="24"/>
        </w:rPr>
        <w:t xml:space="preserve">enable </w:t>
      </w:r>
      <w:r>
        <w:rPr>
          <w:rFonts w:ascii="Times New Roman" w:hAnsi="Times New Roman" w:cs="Times New Roman"/>
          <w:sz w:val="24"/>
          <w:szCs w:val="24"/>
        </w:rPr>
        <w:t xml:space="preserve">FERC staff </w:t>
      </w:r>
      <w:r w:rsidR="001E60F0">
        <w:rPr>
          <w:rFonts w:ascii="Times New Roman" w:hAnsi="Times New Roman" w:cs="Times New Roman"/>
          <w:sz w:val="24"/>
          <w:szCs w:val="24"/>
        </w:rPr>
        <w:t xml:space="preserve">to submit </w:t>
      </w:r>
      <w:r>
        <w:rPr>
          <w:rFonts w:ascii="Times New Roman" w:hAnsi="Times New Roman" w:cs="Times New Roman"/>
          <w:sz w:val="24"/>
          <w:szCs w:val="24"/>
        </w:rPr>
        <w:t xml:space="preserve">timely </w:t>
      </w:r>
      <w:r w:rsidR="001E60F0">
        <w:rPr>
          <w:rFonts w:ascii="Times New Roman" w:hAnsi="Times New Roman" w:cs="Times New Roman"/>
          <w:sz w:val="24"/>
          <w:szCs w:val="24"/>
        </w:rPr>
        <w:t>to OMB, for PRA review, this NOPR in RM15-9 with its corresponding proposed information collection requirements</w:t>
      </w:r>
      <w:r>
        <w:rPr>
          <w:rFonts w:ascii="Times New Roman" w:hAnsi="Times New Roman" w:cs="Times New Roman"/>
          <w:sz w:val="24"/>
          <w:szCs w:val="24"/>
        </w:rPr>
        <w:t xml:space="preserve"> </w:t>
      </w:r>
      <w:r w:rsidR="004A2342" w:rsidRPr="00636377">
        <w:rPr>
          <w:rFonts w:ascii="Times New Roman" w:hAnsi="Times New Roman" w:cs="Times New Roman"/>
          <w:sz w:val="24"/>
          <w:szCs w:val="24"/>
          <w:vertAlign w:val="superscript"/>
        </w:rPr>
        <w:fldChar w:fldCharType="begin"/>
      </w:r>
      <w:r w:rsidR="004A2342" w:rsidRPr="00636377">
        <w:rPr>
          <w:rFonts w:ascii="Times New Roman" w:hAnsi="Times New Roman" w:cs="Times New Roman"/>
          <w:sz w:val="24"/>
          <w:szCs w:val="24"/>
          <w:vertAlign w:val="superscript"/>
        </w:rPr>
        <w:instrText xml:space="preserve"> NOTEREF _Ref425256919 \h </w:instrText>
      </w:r>
      <w:r w:rsidR="004A2342">
        <w:rPr>
          <w:rFonts w:ascii="Times New Roman" w:hAnsi="Times New Roman" w:cs="Times New Roman"/>
          <w:sz w:val="24"/>
          <w:szCs w:val="24"/>
          <w:vertAlign w:val="superscript"/>
        </w:rPr>
        <w:instrText xml:space="preserve"> \* MERGEFORMAT </w:instrText>
      </w:r>
      <w:r w:rsidR="004A2342" w:rsidRPr="00636377">
        <w:rPr>
          <w:rFonts w:ascii="Times New Roman" w:hAnsi="Times New Roman" w:cs="Times New Roman"/>
          <w:sz w:val="24"/>
          <w:szCs w:val="24"/>
          <w:vertAlign w:val="superscript"/>
        </w:rPr>
      </w:r>
      <w:r w:rsidR="004A2342" w:rsidRPr="00636377">
        <w:rPr>
          <w:rFonts w:ascii="Times New Roman" w:hAnsi="Times New Roman" w:cs="Times New Roman"/>
          <w:sz w:val="24"/>
          <w:szCs w:val="24"/>
          <w:vertAlign w:val="superscript"/>
        </w:rPr>
        <w:fldChar w:fldCharType="separate"/>
      </w:r>
      <w:r w:rsidR="004A2342" w:rsidRPr="00636377">
        <w:rPr>
          <w:rFonts w:ascii="Times New Roman" w:hAnsi="Times New Roman" w:cs="Times New Roman"/>
          <w:sz w:val="24"/>
          <w:szCs w:val="24"/>
          <w:vertAlign w:val="superscript"/>
        </w:rPr>
        <w:t>3</w:t>
      </w:r>
      <w:r w:rsidR="004A2342" w:rsidRPr="00636377">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Currently, other FERC activities are </w:t>
      </w:r>
      <w:r w:rsidR="001E60F0">
        <w:rPr>
          <w:rFonts w:ascii="Times New Roman" w:hAnsi="Times New Roman" w:cs="Times New Roman"/>
          <w:sz w:val="24"/>
          <w:szCs w:val="24"/>
        </w:rPr>
        <w:t xml:space="preserve">pending OMB review of </w:t>
      </w:r>
      <w:r w:rsidR="001C7753">
        <w:rPr>
          <w:rFonts w:ascii="Times New Roman" w:hAnsi="Times New Roman" w:cs="Times New Roman"/>
          <w:sz w:val="24"/>
          <w:szCs w:val="24"/>
        </w:rPr>
        <w:t>the</w:t>
      </w:r>
      <w:r>
        <w:rPr>
          <w:rFonts w:ascii="Times New Roman" w:hAnsi="Times New Roman" w:cs="Times New Roman"/>
          <w:sz w:val="24"/>
          <w:szCs w:val="24"/>
        </w:rPr>
        <w:t xml:space="preserve"> FERC-725P</w:t>
      </w:r>
      <w:r w:rsidR="001C7753">
        <w:rPr>
          <w:rFonts w:ascii="Times New Roman" w:hAnsi="Times New Roman" w:cs="Times New Roman"/>
          <w:sz w:val="24"/>
          <w:szCs w:val="24"/>
        </w:rPr>
        <w:t xml:space="preserve"> information collection (OMB Control No. 1902-0269)</w:t>
      </w:r>
      <w:r w:rsidR="001E60F0">
        <w:rPr>
          <w:rFonts w:ascii="Times New Roman" w:hAnsi="Times New Roman" w:cs="Times New Roman"/>
          <w:sz w:val="24"/>
          <w:szCs w:val="24"/>
        </w:rPr>
        <w:t xml:space="preserve"> and FERC-725G information collection (OMB Control No. </w:t>
      </w:r>
      <w:r w:rsidR="001E60F0" w:rsidRPr="001E60F0">
        <w:rPr>
          <w:rFonts w:ascii="Times New Roman" w:hAnsi="Times New Roman" w:cs="Times New Roman"/>
          <w:sz w:val="24"/>
          <w:szCs w:val="24"/>
        </w:rPr>
        <w:t>1902-0252</w:t>
      </w:r>
      <w:r w:rsidR="001E60F0">
        <w:rPr>
          <w:rFonts w:ascii="Times New Roman" w:hAnsi="Times New Roman" w:cs="Times New Roman"/>
          <w:sz w:val="24"/>
          <w:szCs w:val="24"/>
        </w:rPr>
        <w:t>)</w:t>
      </w:r>
      <w:r w:rsidR="00B11A9F">
        <w:rPr>
          <w:rFonts w:ascii="Times New Roman" w:hAnsi="Times New Roman" w:cs="Times New Roman"/>
          <w:sz w:val="24"/>
          <w:szCs w:val="24"/>
        </w:rPr>
        <w:t>.</w:t>
      </w:r>
      <w:r w:rsidR="001E60F0">
        <w:rPr>
          <w:rFonts w:ascii="Times New Roman" w:hAnsi="Times New Roman" w:cs="Times New Roman"/>
          <w:sz w:val="24"/>
          <w:szCs w:val="24"/>
        </w:rPr>
        <w:t xml:space="preserve">  [An updated list of ICRs, related to the PRC family of Rel. Standards and pending review at OMB as of 7/21/2015, is available at Attachment A.]</w:t>
      </w:r>
    </w:p>
    <w:p w14:paraId="3469E142" w14:textId="77777777" w:rsidR="00CF78E6" w:rsidRDefault="00CF78E6" w:rsidP="008D310F">
      <w:pPr>
        <w:spacing w:after="0"/>
        <w:rPr>
          <w:rFonts w:ascii="Times New Roman" w:hAnsi="Times New Roman" w:cs="Times New Roman"/>
          <w:sz w:val="24"/>
          <w:szCs w:val="24"/>
        </w:rPr>
      </w:pPr>
    </w:p>
    <w:p w14:paraId="3F875CFF" w14:textId="0849BCF3" w:rsidR="00AF5630" w:rsidRDefault="00AF5630" w:rsidP="00AF5630">
      <w:pPr>
        <w:spacing w:after="0"/>
        <w:rPr>
          <w:rFonts w:ascii="Times New Roman" w:hAnsi="Times New Roman" w:cs="Times New Roman"/>
          <w:sz w:val="24"/>
          <w:szCs w:val="24"/>
        </w:rPr>
      </w:pPr>
      <w:r>
        <w:rPr>
          <w:rFonts w:ascii="Times New Roman" w:hAnsi="Times New Roman" w:cs="Times New Roman"/>
          <w:sz w:val="24"/>
          <w:szCs w:val="24"/>
        </w:rPr>
        <w:t>The total cost of the annualized burden for this collection is based upon the number of responses (1,287 respondents) times the estimated time it will take per response (8 hours) which equals 10,296 hours.  To calculate the cost for this collection we used the current wage figure</w:t>
      </w:r>
      <w:r w:rsidRPr="0005513A">
        <w:rPr>
          <w:vertAlign w:val="superscript"/>
        </w:rPr>
        <w:footnoteReference w:id="14"/>
      </w:r>
      <w:r>
        <w:rPr>
          <w:rFonts w:ascii="Times New Roman" w:hAnsi="Times New Roman" w:cs="Times New Roman"/>
          <w:sz w:val="24"/>
          <w:szCs w:val="24"/>
        </w:rPr>
        <w:t xml:space="preserve"> of $65.34 per hour times 8 hours ($523), then we multiply the total estimated cost per respondent by the total number of responses. The total annualized cost for this collection is </w:t>
      </w:r>
      <w:r w:rsidRPr="00706840">
        <w:rPr>
          <w:rFonts w:ascii="Times New Roman" w:hAnsi="Times New Roman" w:cs="Times New Roman"/>
          <w:sz w:val="24"/>
          <w:szCs w:val="24"/>
        </w:rPr>
        <w:t>$673,101</w:t>
      </w:r>
      <w:r>
        <w:rPr>
          <w:rFonts w:ascii="Times New Roman" w:hAnsi="Times New Roman" w:cs="Times New Roman"/>
          <w:sz w:val="24"/>
          <w:szCs w:val="24"/>
        </w:rPr>
        <w:t xml:space="preserve"> [rounded]. (See table below.)</w:t>
      </w:r>
    </w:p>
    <w:p w14:paraId="47077C8D" w14:textId="77777777" w:rsidR="00AF5630" w:rsidRPr="0074195A" w:rsidRDefault="00AF5630" w:rsidP="00AF5630">
      <w:pPr>
        <w:spacing w:after="0"/>
        <w:rPr>
          <w:rFonts w:ascii="Times New Roman" w:hAnsi="Times New Roman" w:cs="Times New Roman"/>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35"/>
        <w:gridCol w:w="1350"/>
        <w:gridCol w:w="1348"/>
        <w:gridCol w:w="1264"/>
      </w:tblGrid>
      <w:tr w:rsidR="00AF5630" w:rsidRPr="0005513A" w14:paraId="666C4A2F" w14:textId="77777777" w:rsidTr="00AF5630">
        <w:trPr>
          <w:cantSplit/>
        </w:trPr>
        <w:tc>
          <w:tcPr>
            <w:tcW w:w="5000" w:type="pct"/>
            <w:gridSpan w:val="7"/>
            <w:tcBorders>
              <w:bottom w:val="single" w:sz="4" w:space="0" w:color="auto"/>
            </w:tcBorders>
            <w:shd w:val="clear" w:color="auto" w:fill="D9D9D9"/>
          </w:tcPr>
          <w:p w14:paraId="6DDCA766" w14:textId="68BAA55C" w:rsidR="00AF5630" w:rsidRDefault="00AF5630" w:rsidP="00AF5630">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 xml:space="preserve">Estimated annual burden and costs (rounded) for NOPR in </w:t>
            </w:r>
            <w:r w:rsidRPr="0005513A">
              <w:rPr>
                <w:rFonts w:ascii="Times New Roman" w:eastAsia="Calibri" w:hAnsi="Times New Roman" w:cs="Times New Roman"/>
                <w:b/>
                <w:sz w:val="20"/>
                <w:szCs w:val="20"/>
              </w:rPr>
              <w:t xml:space="preserve">RM15-9-000 </w:t>
            </w:r>
          </w:p>
          <w:p w14:paraId="50E7C48E" w14:textId="450EED83" w:rsidR="00AF5630" w:rsidRPr="0005513A" w:rsidRDefault="00AF5630" w:rsidP="00AF5630">
            <w:pPr>
              <w:spacing w:after="0" w:line="240" w:lineRule="auto"/>
              <w:jc w:val="center"/>
              <w:rPr>
                <w:rFonts w:ascii="Times New Roman" w:eastAsia="Calibri" w:hAnsi="Times New Roman" w:cs="Times New Roman"/>
                <w:b/>
                <w:sz w:val="20"/>
                <w:szCs w:val="20"/>
              </w:rPr>
            </w:pPr>
            <w:r w:rsidRPr="0005513A">
              <w:rPr>
                <w:rFonts w:ascii="Times New Roman" w:eastAsia="Calibri" w:hAnsi="Times New Roman" w:cs="Times New Roman"/>
                <w:b/>
                <w:sz w:val="20"/>
                <w:szCs w:val="20"/>
              </w:rPr>
              <w:t>(Mandatory Reliability Standards: Reliability Standard PRC-005-4)</w:t>
            </w:r>
          </w:p>
        </w:tc>
      </w:tr>
      <w:tr w:rsidR="00AF5630" w:rsidRPr="0005513A" w14:paraId="1A82857B" w14:textId="77777777" w:rsidTr="00AF5630">
        <w:trPr>
          <w:cantSplit/>
        </w:trPr>
        <w:tc>
          <w:tcPr>
            <w:tcW w:w="878" w:type="pct"/>
            <w:shd w:val="clear" w:color="auto" w:fill="D9D9D9"/>
          </w:tcPr>
          <w:p w14:paraId="6366DBAB" w14:textId="77777777" w:rsidR="00AF5630" w:rsidRPr="0005513A" w:rsidRDefault="00AF5630" w:rsidP="00AF5630">
            <w:pPr>
              <w:spacing w:after="0" w:line="240" w:lineRule="auto"/>
              <w:jc w:val="center"/>
              <w:rPr>
                <w:rFonts w:ascii="Times New Roman" w:eastAsia="Calibri" w:hAnsi="Times New Roman" w:cs="Times New Roman"/>
                <w:b/>
                <w:sz w:val="20"/>
                <w:szCs w:val="20"/>
              </w:rPr>
            </w:pPr>
          </w:p>
        </w:tc>
        <w:tc>
          <w:tcPr>
            <w:tcW w:w="746" w:type="pct"/>
            <w:shd w:val="clear" w:color="auto" w:fill="D9D9D9"/>
            <w:vAlign w:val="bottom"/>
          </w:tcPr>
          <w:p w14:paraId="7C060CDA" w14:textId="77777777" w:rsidR="00AF5630" w:rsidRPr="0005513A" w:rsidRDefault="00AF5630" w:rsidP="00AF5630">
            <w:pPr>
              <w:spacing w:after="0" w:line="240" w:lineRule="auto"/>
              <w:jc w:val="center"/>
              <w:rPr>
                <w:rFonts w:ascii="Times New Roman" w:eastAsia="Calibri" w:hAnsi="Times New Roman" w:cs="Times New Roman"/>
                <w:b/>
                <w:sz w:val="20"/>
                <w:szCs w:val="20"/>
              </w:rPr>
            </w:pPr>
            <w:r w:rsidRPr="0005513A">
              <w:rPr>
                <w:rFonts w:ascii="Times New Roman" w:eastAsia="Calibri" w:hAnsi="Times New Roman" w:cs="Times New Roman"/>
                <w:b/>
                <w:sz w:val="20"/>
                <w:szCs w:val="20"/>
              </w:rPr>
              <w:t>Number of Respondents</w:t>
            </w:r>
            <w:r w:rsidRPr="0005513A">
              <w:rPr>
                <w:rFonts w:ascii="Times New Roman" w:eastAsia="Calibri" w:hAnsi="Times New Roman" w:cs="Times New Roman"/>
                <w:b/>
                <w:sz w:val="20"/>
                <w:szCs w:val="20"/>
              </w:rPr>
              <w:br/>
              <w:t>(1)</w:t>
            </w:r>
          </w:p>
        </w:tc>
        <w:tc>
          <w:tcPr>
            <w:tcW w:w="746" w:type="pct"/>
            <w:shd w:val="clear" w:color="auto" w:fill="D9D9D9"/>
            <w:vAlign w:val="bottom"/>
          </w:tcPr>
          <w:p w14:paraId="0F281051" w14:textId="77777777" w:rsidR="00AF5630" w:rsidRPr="0005513A" w:rsidRDefault="00AF5630" w:rsidP="00AF5630">
            <w:pPr>
              <w:spacing w:after="0" w:line="240" w:lineRule="auto"/>
              <w:jc w:val="center"/>
              <w:rPr>
                <w:rFonts w:ascii="Times New Roman" w:eastAsia="Calibri" w:hAnsi="Times New Roman" w:cs="Times New Roman"/>
                <w:b/>
                <w:sz w:val="20"/>
                <w:szCs w:val="20"/>
              </w:rPr>
            </w:pPr>
            <w:r w:rsidRPr="0005513A">
              <w:rPr>
                <w:rFonts w:ascii="Times New Roman" w:eastAsia="Calibri" w:hAnsi="Times New Roman" w:cs="Times New Roman"/>
                <w:b/>
                <w:sz w:val="20"/>
                <w:szCs w:val="20"/>
              </w:rPr>
              <w:t>Annual Number of Responses per Respondent</w:t>
            </w:r>
          </w:p>
          <w:p w14:paraId="0F06B657" w14:textId="77777777" w:rsidR="00AF5630" w:rsidRPr="0005513A" w:rsidRDefault="00AF5630" w:rsidP="00AF5630">
            <w:pPr>
              <w:spacing w:after="0" w:line="240" w:lineRule="auto"/>
              <w:jc w:val="center"/>
              <w:rPr>
                <w:rFonts w:ascii="Times New Roman" w:eastAsia="Calibri" w:hAnsi="Times New Roman" w:cs="Times New Roman"/>
                <w:b/>
                <w:sz w:val="20"/>
                <w:szCs w:val="20"/>
              </w:rPr>
            </w:pPr>
            <w:r w:rsidRPr="0005513A">
              <w:rPr>
                <w:rFonts w:ascii="Times New Roman" w:eastAsia="Calibri" w:hAnsi="Times New Roman" w:cs="Times New Roman"/>
                <w:b/>
                <w:sz w:val="20"/>
                <w:szCs w:val="20"/>
              </w:rPr>
              <w:t>(2)</w:t>
            </w:r>
          </w:p>
        </w:tc>
        <w:tc>
          <w:tcPr>
            <w:tcW w:w="699" w:type="pct"/>
            <w:shd w:val="clear" w:color="auto" w:fill="D9D9D9"/>
            <w:vAlign w:val="bottom"/>
          </w:tcPr>
          <w:p w14:paraId="0F8DE2F4" w14:textId="77777777" w:rsidR="00AF5630" w:rsidRPr="0005513A" w:rsidRDefault="00AF5630" w:rsidP="00AF5630">
            <w:pPr>
              <w:spacing w:after="0" w:line="240" w:lineRule="auto"/>
              <w:jc w:val="center"/>
              <w:rPr>
                <w:rFonts w:ascii="Times New Roman" w:eastAsia="Calibri" w:hAnsi="Times New Roman" w:cs="Times New Roman"/>
                <w:b/>
                <w:sz w:val="20"/>
                <w:szCs w:val="20"/>
              </w:rPr>
            </w:pPr>
            <w:r w:rsidRPr="0005513A">
              <w:rPr>
                <w:rFonts w:ascii="Times New Roman" w:eastAsia="Calibri" w:hAnsi="Times New Roman" w:cs="Times New Roman"/>
                <w:b/>
                <w:sz w:val="20"/>
                <w:szCs w:val="20"/>
              </w:rPr>
              <w:t>Total Number of Responses (1)*(2)=(3)</w:t>
            </w:r>
          </w:p>
        </w:tc>
        <w:tc>
          <w:tcPr>
            <w:tcW w:w="658" w:type="pct"/>
            <w:shd w:val="clear" w:color="auto" w:fill="D9D9D9"/>
            <w:vAlign w:val="bottom"/>
          </w:tcPr>
          <w:p w14:paraId="514858B9" w14:textId="77777777" w:rsidR="00AF5630" w:rsidRPr="0005513A" w:rsidRDefault="00AF5630" w:rsidP="00AF5630">
            <w:pPr>
              <w:spacing w:after="0" w:line="240" w:lineRule="auto"/>
              <w:jc w:val="center"/>
              <w:rPr>
                <w:rFonts w:ascii="Times New Roman" w:eastAsia="Calibri" w:hAnsi="Times New Roman" w:cs="Times New Roman"/>
                <w:b/>
                <w:sz w:val="20"/>
                <w:szCs w:val="20"/>
              </w:rPr>
            </w:pPr>
            <w:r w:rsidRPr="0005513A">
              <w:rPr>
                <w:rFonts w:ascii="Times New Roman" w:eastAsia="Calibri" w:hAnsi="Times New Roman" w:cs="Times New Roman"/>
                <w:b/>
                <w:sz w:val="20"/>
                <w:szCs w:val="20"/>
              </w:rPr>
              <w:t>Average Burden (Hours) &amp; Cost Per Response</w:t>
            </w:r>
          </w:p>
          <w:p w14:paraId="5F807FE1" w14:textId="77777777" w:rsidR="00AF5630" w:rsidRPr="0005513A" w:rsidRDefault="00AF5630" w:rsidP="00AF5630">
            <w:pPr>
              <w:spacing w:after="0" w:line="240" w:lineRule="auto"/>
              <w:jc w:val="center"/>
              <w:rPr>
                <w:rFonts w:ascii="Times New Roman" w:eastAsia="Calibri" w:hAnsi="Times New Roman" w:cs="Times New Roman"/>
                <w:b/>
                <w:sz w:val="20"/>
                <w:szCs w:val="20"/>
              </w:rPr>
            </w:pPr>
            <w:r w:rsidRPr="0005513A">
              <w:rPr>
                <w:rFonts w:ascii="Times New Roman" w:eastAsia="Calibri" w:hAnsi="Times New Roman" w:cs="Times New Roman"/>
                <w:b/>
                <w:sz w:val="20"/>
                <w:szCs w:val="20"/>
              </w:rPr>
              <w:t>(4)</w:t>
            </w:r>
          </w:p>
        </w:tc>
        <w:tc>
          <w:tcPr>
            <w:tcW w:w="657" w:type="pct"/>
            <w:shd w:val="clear" w:color="auto" w:fill="D9D9D9"/>
            <w:vAlign w:val="bottom"/>
          </w:tcPr>
          <w:p w14:paraId="5FB6D04D" w14:textId="77777777" w:rsidR="00AF5630" w:rsidRPr="0005513A" w:rsidRDefault="00AF5630" w:rsidP="00AF5630">
            <w:pPr>
              <w:spacing w:after="0" w:line="240" w:lineRule="auto"/>
              <w:jc w:val="center"/>
              <w:rPr>
                <w:rFonts w:ascii="Times New Roman" w:eastAsia="Calibri" w:hAnsi="Times New Roman" w:cs="Times New Roman"/>
                <w:b/>
                <w:sz w:val="20"/>
                <w:szCs w:val="20"/>
              </w:rPr>
            </w:pPr>
            <w:r w:rsidRPr="0005513A">
              <w:rPr>
                <w:rFonts w:ascii="Times New Roman" w:eastAsia="Calibri" w:hAnsi="Times New Roman" w:cs="Times New Roman"/>
                <w:b/>
                <w:sz w:val="20"/>
                <w:szCs w:val="20"/>
              </w:rPr>
              <w:t>Total Annual Burden Hours &amp; Total Annual Cost</w:t>
            </w:r>
          </w:p>
          <w:p w14:paraId="0361F397" w14:textId="77777777" w:rsidR="00AF5630" w:rsidRPr="0005513A" w:rsidRDefault="00AF5630" w:rsidP="00AF5630">
            <w:pPr>
              <w:spacing w:after="0" w:line="240" w:lineRule="auto"/>
              <w:jc w:val="center"/>
              <w:rPr>
                <w:rFonts w:ascii="Times New Roman" w:eastAsia="Calibri" w:hAnsi="Times New Roman" w:cs="Times New Roman"/>
                <w:b/>
                <w:sz w:val="20"/>
                <w:szCs w:val="20"/>
              </w:rPr>
            </w:pPr>
            <w:r w:rsidRPr="0005513A">
              <w:rPr>
                <w:rFonts w:ascii="Times New Roman" w:eastAsia="Calibri" w:hAnsi="Times New Roman" w:cs="Times New Roman"/>
                <w:b/>
                <w:sz w:val="20"/>
                <w:szCs w:val="20"/>
              </w:rPr>
              <w:t>(3)*(4)=(5)</w:t>
            </w:r>
          </w:p>
        </w:tc>
        <w:tc>
          <w:tcPr>
            <w:tcW w:w="616" w:type="pct"/>
            <w:shd w:val="clear" w:color="auto" w:fill="D9D9D9"/>
            <w:vAlign w:val="bottom"/>
          </w:tcPr>
          <w:p w14:paraId="5FCAA49F" w14:textId="77777777" w:rsidR="00AF5630" w:rsidRPr="0005513A" w:rsidRDefault="00AF5630" w:rsidP="00AF5630">
            <w:pPr>
              <w:spacing w:after="0" w:line="240" w:lineRule="auto"/>
              <w:jc w:val="center"/>
              <w:rPr>
                <w:rFonts w:ascii="Times New Roman" w:eastAsia="Calibri" w:hAnsi="Times New Roman" w:cs="Times New Roman"/>
                <w:b/>
                <w:sz w:val="20"/>
                <w:szCs w:val="20"/>
              </w:rPr>
            </w:pPr>
            <w:r w:rsidRPr="0005513A">
              <w:rPr>
                <w:rFonts w:ascii="Times New Roman" w:eastAsia="Calibri" w:hAnsi="Times New Roman" w:cs="Times New Roman"/>
                <w:b/>
                <w:sz w:val="20"/>
                <w:szCs w:val="20"/>
              </w:rPr>
              <w:t>Cost per Respondent</w:t>
            </w:r>
          </w:p>
          <w:p w14:paraId="7C1A4D83" w14:textId="77777777" w:rsidR="00AF5630" w:rsidRPr="0005513A" w:rsidRDefault="00AF5630" w:rsidP="00AF5630">
            <w:pPr>
              <w:spacing w:after="0" w:line="240" w:lineRule="auto"/>
              <w:jc w:val="center"/>
              <w:rPr>
                <w:rFonts w:ascii="Times New Roman" w:eastAsia="Calibri" w:hAnsi="Times New Roman" w:cs="Times New Roman"/>
                <w:b/>
                <w:sz w:val="20"/>
                <w:szCs w:val="20"/>
              </w:rPr>
            </w:pPr>
            <w:r w:rsidRPr="0005513A">
              <w:rPr>
                <w:rFonts w:ascii="Times New Roman" w:eastAsia="Calibri" w:hAnsi="Times New Roman" w:cs="Times New Roman"/>
                <w:b/>
                <w:sz w:val="20"/>
                <w:szCs w:val="20"/>
              </w:rPr>
              <w:t xml:space="preserve"> ($)</w:t>
            </w:r>
          </w:p>
          <w:p w14:paraId="181C8E0F" w14:textId="77777777" w:rsidR="00AF5630" w:rsidRPr="0005513A" w:rsidRDefault="00AF5630" w:rsidP="00AF5630">
            <w:pPr>
              <w:spacing w:after="0" w:line="240" w:lineRule="auto"/>
              <w:jc w:val="center"/>
              <w:rPr>
                <w:rFonts w:ascii="Times New Roman" w:eastAsia="Calibri" w:hAnsi="Times New Roman" w:cs="Times New Roman"/>
                <w:b/>
                <w:sz w:val="20"/>
                <w:szCs w:val="20"/>
              </w:rPr>
            </w:pPr>
            <w:r w:rsidRPr="0005513A">
              <w:rPr>
                <w:rFonts w:ascii="Times New Roman" w:eastAsia="Calibri" w:hAnsi="Times New Roman" w:cs="Times New Roman"/>
                <w:b/>
                <w:sz w:val="20"/>
                <w:szCs w:val="20"/>
              </w:rPr>
              <w:t>(5)÷(1)</w:t>
            </w:r>
          </w:p>
        </w:tc>
      </w:tr>
      <w:tr w:rsidR="00AF5630" w:rsidRPr="0005513A" w14:paraId="3B07B1A3" w14:textId="77777777" w:rsidTr="00636377">
        <w:trPr>
          <w:cantSplit/>
        </w:trPr>
        <w:tc>
          <w:tcPr>
            <w:tcW w:w="878" w:type="pct"/>
          </w:tcPr>
          <w:p w14:paraId="1C4783B9" w14:textId="77777777" w:rsidR="00AF5630" w:rsidRPr="0005513A" w:rsidRDefault="00AF5630" w:rsidP="00AF5630">
            <w:pPr>
              <w:spacing w:after="0" w:line="240" w:lineRule="auto"/>
              <w:rPr>
                <w:rFonts w:ascii="Times New Roman" w:eastAsia="Calibri" w:hAnsi="Times New Roman" w:cs="Times New Roman"/>
                <w:sz w:val="20"/>
                <w:szCs w:val="20"/>
              </w:rPr>
            </w:pPr>
            <w:r w:rsidRPr="0005513A">
              <w:rPr>
                <w:rFonts w:ascii="Times New Roman" w:eastAsia="Calibri" w:hAnsi="Times New Roman" w:cs="Times New Roman"/>
                <w:sz w:val="20"/>
                <w:szCs w:val="20"/>
              </w:rPr>
              <w:t>One-time review of sudden pressure relay maintenance program and adjustment</w:t>
            </w:r>
          </w:p>
        </w:tc>
        <w:tc>
          <w:tcPr>
            <w:tcW w:w="746" w:type="pct"/>
            <w:vAlign w:val="bottom"/>
          </w:tcPr>
          <w:p w14:paraId="3553A6E7" w14:textId="729EA1D4" w:rsidR="00AF5630" w:rsidRPr="0005513A" w:rsidRDefault="00AF5630" w:rsidP="00AF5630">
            <w:pPr>
              <w:spacing w:after="0" w:line="240" w:lineRule="auto"/>
              <w:jc w:val="right"/>
              <w:rPr>
                <w:rFonts w:ascii="Times New Roman" w:eastAsia="Calibri" w:hAnsi="Times New Roman" w:cs="Times New Roman"/>
                <w:sz w:val="20"/>
                <w:szCs w:val="20"/>
              </w:rPr>
            </w:pPr>
            <w:r w:rsidRPr="0005513A">
              <w:rPr>
                <w:rFonts w:ascii="Times New Roman" w:eastAsia="Calibri" w:hAnsi="Times New Roman" w:cs="Times New Roman"/>
                <w:sz w:val="20"/>
                <w:szCs w:val="20"/>
              </w:rPr>
              <w:t>1,287</w:t>
            </w:r>
          </w:p>
        </w:tc>
        <w:tc>
          <w:tcPr>
            <w:tcW w:w="746" w:type="pct"/>
            <w:vAlign w:val="bottom"/>
          </w:tcPr>
          <w:p w14:paraId="6536C036" w14:textId="77777777" w:rsidR="00AF5630" w:rsidRPr="0005513A" w:rsidRDefault="00AF5630" w:rsidP="00EF32DF">
            <w:pPr>
              <w:spacing w:after="0" w:line="240" w:lineRule="auto"/>
              <w:jc w:val="right"/>
              <w:rPr>
                <w:rFonts w:ascii="Times New Roman" w:eastAsia="Calibri" w:hAnsi="Times New Roman" w:cs="Times New Roman"/>
                <w:sz w:val="20"/>
                <w:szCs w:val="20"/>
              </w:rPr>
            </w:pPr>
            <w:r w:rsidRPr="0005513A">
              <w:rPr>
                <w:rFonts w:ascii="Times New Roman" w:eastAsia="Calibri" w:hAnsi="Times New Roman" w:cs="Times New Roman"/>
                <w:sz w:val="20"/>
                <w:szCs w:val="20"/>
              </w:rPr>
              <w:t>1</w:t>
            </w:r>
          </w:p>
        </w:tc>
        <w:tc>
          <w:tcPr>
            <w:tcW w:w="699" w:type="pct"/>
            <w:vAlign w:val="bottom"/>
          </w:tcPr>
          <w:p w14:paraId="0078BEB9" w14:textId="77777777" w:rsidR="00AF5630" w:rsidRPr="0005513A" w:rsidRDefault="00AF5630" w:rsidP="002F22E2">
            <w:pPr>
              <w:spacing w:after="0" w:line="240" w:lineRule="auto"/>
              <w:jc w:val="right"/>
              <w:rPr>
                <w:rFonts w:ascii="Times New Roman" w:eastAsia="Calibri" w:hAnsi="Times New Roman" w:cs="Times New Roman"/>
                <w:sz w:val="20"/>
                <w:szCs w:val="20"/>
              </w:rPr>
            </w:pPr>
            <w:r w:rsidRPr="0005513A">
              <w:rPr>
                <w:rFonts w:ascii="Times New Roman" w:eastAsia="Calibri" w:hAnsi="Times New Roman" w:cs="Times New Roman"/>
                <w:sz w:val="20"/>
                <w:szCs w:val="20"/>
              </w:rPr>
              <w:t>1,287</w:t>
            </w:r>
          </w:p>
        </w:tc>
        <w:tc>
          <w:tcPr>
            <w:tcW w:w="658" w:type="pct"/>
            <w:vAlign w:val="bottom"/>
          </w:tcPr>
          <w:p w14:paraId="33397049" w14:textId="5B66B467" w:rsidR="00AF5630" w:rsidRPr="0005513A" w:rsidRDefault="00AF5630" w:rsidP="00BA05FB">
            <w:pPr>
              <w:spacing w:after="0" w:line="240" w:lineRule="auto"/>
              <w:jc w:val="right"/>
              <w:rPr>
                <w:rFonts w:ascii="Times New Roman" w:eastAsia="Calibri" w:hAnsi="Times New Roman" w:cs="Times New Roman"/>
                <w:sz w:val="20"/>
                <w:szCs w:val="20"/>
              </w:rPr>
            </w:pPr>
            <w:r w:rsidRPr="0005513A">
              <w:rPr>
                <w:rFonts w:ascii="Times New Roman" w:eastAsia="Calibri" w:hAnsi="Times New Roman" w:cs="Times New Roman"/>
                <w:sz w:val="20"/>
                <w:szCs w:val="20"/>
              </w:rPr>
              <w:t>8</w:t>
            </w:r>
            <w:r>
              <w:rPr>
                <w:rFonts w:ascii="Times New Roman" w:eastAsia="Calibri" w:hAnsi="Times New Roman" w:cs="Times New Roman"/>
                <w:sz w:val="20"/>
                <w:szCs w:val="20"/>
              </w:rPr>
              <w:t xml:space="preserve"> hrs.; </w:t>
            </w:r>
            <w:r w:rsidRPr="0005513A">
              <w:rPr>
                <w:rFonts w:ascii="Times New Roman" w:eastAsia="Calibri" w:hAnsi="Times New Roman" w:cs="Times New Roman"/>
                <w:sz w:val="20"/>
                <w:szCs w:val="20"/>
              </w:rPr>
              <w:t xml:space="preserve"> </w:t>
            </w:r>
          </w:p>
          <w:p w14:paraId="3D957963" w14:textId="77777777" w:rsidR="00AF5630" w:rsidRPr="0005513A" w:rsidRDefault="00AF5630" w:rsidP="004D061F">
            <w:pPr>
              <w:spacing w:after="0" w:line="240" w:lineRule="auto"/>
              <w:jc w:val="right"/>
              <w:rPr>
                <w:rFonts w:ascii="Times New Roman" w:eastAsia="Calibri" w:hAnsi="Times New Roman" w:cs="Times New Roman"/>
                <w:sz w:val="20"/>
                <w:szCs w:val="20"/>
              </w:rPr>
            </w:pPr>
            <w:r w:rsidRPr="0005513A">
              <w:rPr>
                <w:rFonts w:ascii="Times New Roman" w:eastAsia="Calibri" w:hAnsi="Times New Roman" w:cs="Times New Roman"/>
                <w:sz w:val="20"/>
                <w:szCs w:val="20"/>
              </w:rPr>
              <w:t>$523</w:t>
            </w:r>
          </w:p>
        </w:tc>
        <w:tc>
          <w:tcPr>
            <w:tcW w:w="657" w:type="pct"/>
            <w:vAlign w:val="bottom"/>
          </w:tcPr>
          <w:p w14:paraId="2A5E9A47" w14:textId="0E23C889" w:rsidR="00AF5630" w:rsidRPr="0005513A" w:rsidRDefault="00AF5630" w:rsidP="001E5E6C">
            <w:pPr>
              <w:spacing w:after="0" w:line="240" w:lineRule="auto"/>
              <w:jc w:val="right"/>
              <w:rPr>
                <w:rFonts w:ascii="Times New Roman" w:eastAsia="Calibri" w:hAnsi="Times New Roman" w:cs="Times New Roman"/>
                <w:sz w:val="20"/>
                <w:szCs w:val="20"/>
              </w:rPr>
            </w:pPr>
            <w:r w:rsidRPr="0005513A">
              <w:rPr>
                <w:rFonts w:ascii="Times New Roman" w:eastAsia="Calibri" w:hAnsi="Times New Roman" w:cs="Times New Roman"/>
                <w:sz w:val="20"/>
                <w:szCs w:val="20"/>
              </w:rPr>
              <w:t xml:space="preserve"> 10,296</w:t>
            </w:r>
            <w:r>
              <w:rPr>
                <w:rFonts w:ascii="Times New Roman" w:eastAsia="Calibri" w:hAnsi="Times New Roman" w:cs="Times New Roman"/>
                <w:sz w:val="20"/>
                <w:szCs w:val="20"/>
              </w:rPr>
              <w:t xml:space="preserve"> hrs.; </w:t>
            </w:r>
          </w:p>
          <w:p w14:paraId="0A5166B8" w14:textId="77777777" w:rsidR="00AF5630" w:rsidRPr="0005513A" w:rsidRDefault="00AF5630" w:rsidP="00DD1771">
            <w:pPr>
              <w:spacing w:after="0" w:line="240" w:lineRule="auto"/>
              <w:jc w:val="right"/>
              <w:rPr>
                <w:rFonts w:ascii="Times New Roman" w:eastAsia="Calibri" w:hAnsi="Times New Roman" w:cs="Times New Roman"/>
                <w:sz w:val="20"/>
                <w:szCs w:val="20"/>
              </w:rPr>
            </w:pPr>
            <w:r w:rsidRPr="0005513A">
              <w:rPr>
                <w:rFonts w:ascii="Times New Roman" w:eastAsia="Calibri" w:hAnsi="Times New Roman" w:cs="Times New Roman"/>
                <w:sz w:val="20"/>
                <w:szCs w:val="20"/>
              </w:rPr>
              <w:t xml:space="preserve">$673,101 </w:t>
            </w:r>
          </w:p>
        </w:tc>
        <w:tc>
          <w:tcPr>
            <w:tcW w:w="616" w:type="pct"/>
            <w:vAlign w:val="bottom"/>
          </w:tcPr>
          <w:p w14:paraId="40529415" w14:textId="5645DB07" w:rsidR="00AF5630" w:rsidRPr="0005513A" w:rsidRDefault="00AF5630" w:rsidP="00CC680A">
            <w:pPr>
              <w:spacing w:after="0" w:line="240" w:lineRule="auto"/>
              <w:jc w:val="right"/>
              <w:rPr>
                <w:rFonts w:ascii="Times New Roman" w:eastAsia="Calibri" w:hAnsi="Times New Roman" w:cs="Times New Roman"/>
                <w:sz w:val="20"/>
                <w:szCs w:val="20"/>
              </w:rPr>
            </w:pPr>
            <w:r w:rsidRPr="0005513A">
              <w:rPr>
                <w:rFonts w:ascii="Times New Roman" w:eastAsia="Calibri" w:hAnsi="Times New Roman" w:cs="Times New Roman"/>
                <w:sz w:val="20"/>
                <w:szCs w:val="20"/>
              </w:rPr>
              <w:t>$523</w:t>
            </w:r>
          </w:p>
        </w:tc>
      </w:tr>
    </w:tbl>
    <w:p w14:paraId="7D415569" w14:textId="2CA4B676" w:rsidR="00AF5630" w:rsidRDefault="00AF5630" w:rsidP="008D310F">
      <w:pPr>
        <w:spacing w:after="0"/>
        <w:rPr>
          <w:rFonts w:ascii="Times New Roman" w:hAnsi="Times New Roman" w:cs="Times New Roman"/>
          <w:sz w:val="24"/>
          <w:szCs w:val="24"/>
        </w:rPr>
      </w:pPr>
    </w:p>
    <w:p w14:paraId="68E17725" w14:textId="77777777" w:rsidR="00AF5630" w:rsidRPr="00D80FBD" w:rsidRDefault="00AF5630" w:rsidP="008D310F">
      <w:pPr>
        <w:spacing w:after="0"/>
        <w:rPr>
          <w:rFonts w:ascii="Times New Roman" w:hAnsi="Times New Roman" w:cs="Times New Roman"/>
          <w:sz w:val="24"/>
          <w:szCs w:val="24"/>
        </w:rPr>
      </w:pPr>
    </w:p>
    <w:p w14:paraId="5CF3806F"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04930BE7" w14:textId="77777777" w:rsidR="00E636D7" w:rsidRDefault="00E636D7" w:rsidP="00E636D7">
      <w:pPr>
        <w:spacing w:after="0"/>
        <w:rPr>
          <w:rFonts w:ascii="Times New Roman" w:hAnsi="Times New Roman" w:cs="Times New Roman"/>
          <w:sz w:val="24"/>
          <w:szCs w:val="24"/>
        </w:rPr>
      </w:pPr>
    </w:p>
    <w:p w14:paraId="1D749B89" w14:textId="6DF009F9" w:rsidR="00706840"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There are no non-labor costs currently associated with </w:t>
      </w:r>
      <w:r w:rsidR="00520617">
        <w:rPr>
          <w:rFonts w:ascii="Times New Roman" w:hAnsi="Times New Roman" w:cs="Times New Roman"/>
          <w:sz w:val="24"/>
          <w:szCs w:val="24"/>
        </w:rPr>
        <w:t>either FERC-725P</w:t>
      </w:r>
      <w:r w:rsidR="00F2786B">
        <w:rPr>
          <w:rFonts w:ascii="Times New Roman" w:hAnsi="Times New Roman" w:cs="Times New Roman"/>
          <w:sz w:val="24"/>
          <w:szCs w:val="24"/>
        </w:rPr>
        <w:t>1</w:t>
      </w:r>
      <w:r w:rsidR="00520617">
        <w:rPr>
          <w:rFonts w:ascii="Times New Roman" w:hAnsi="Times New Roman" w:cs="Times New Roman"/>
          <w:sz w:val="24"/>
          <w:szCs w:val="24"/>
        </w:rPr>
        <w:t xml:space="preserve"> or this rulemaking.  Commission staff assumes that the information collection </w:t>
      </w:r>
      <w:r w:rsidR="00706840">
        <w:rPr>
          <w:rFonts w:ascii="Times New Roman" w:hAnsi="Times New Roman" w:cs="Times New Roman"/>
          <w:sz w:val="24"/>
          <w:szCs w:val="24"/>
        </w:rPr>
        <w:t xml:space="preserve">requirement </w:t>
      </w:r>
      <w:r w:rsidR="00520617">
        <w:rPr>
          <w:rFonts w:ascii="Times New Roman" w:hAnsi="Times New Roman" w:cs="Times New Roman"/>
          <w:sz w:val="24"/>
          <w:szCs w:val="24"/>
        </w:rPr>
        <w:t xml:space="preserve">associated with this rulemaking </w:t>
      </w:r>
      <w:r w:rsidR="00706840">
        <w:rPr>
          <w:rFonts w:ascii="Times New Roman" w:hAnsi="Times New Roman" w:cs="Times New Roman"/>
          <w:sz w:val="24"/>
          <w:szCs w:val="24"/>
        </w:rPr>
        <w:t xml:space="preserve">is </w:t>
      </w:r>
      <w:r w:rsidR="00706840" w:rsidRPr="00706840">
        <w:rPr>
          <w:rFonts w:ascii="Times New Roman" w:hAnsi="Times New Roman" w:cs="Times New Roman"/>
          <w:sz w:val="24"/>
          <w:szCs w:val="24"/>
        </w:rPr>
        <w:t>consistent with estimates for similar tasks in other Commission-approved Reliability Standards</w:t>
      </w:r>
      <w:r w:rsidR="00706840">
        <w:rPr>
          <w:rFonts w:ascii="Times New Roman" w:hAnsi="Times New Roman" w:cs="Times New Roman"/>
          <w:sz w:val="24"/>
          <w:szCs w:val="24"/>
        </w:rPr>
        <w:t xml:space="preserve"> and </w:t>
      </w:r>
      <w:r w:rsidR="00520617">
        <w:rPr>
          <w:rFonts w:ascii="Times New Roman" w:hAnsi="Times New Roman" w:cs="Times New Roman"/>
          <w:sz w:val="24"/>
          <w:szCs w:val="24"/>
        </w:rPr>
        <w:t>can be completed by entities using existing hardware and/or software.</w:t>
      </w:r>
      <w:r w:rsidR="0005513A">
        <w:rPr>
          <w:rFonts w:ascii="Times New Roman" w:hAnsi="Times New Roman" w:cs="Times New Roman"/>
          <w:sz w:val="24"/>
          <w:szCs w:val="24"/>
        </w:rPr>
        <w:t xml:space="preserve"> </w:t>
      </w:r>
    </w:p>
    <w:p w14:paraId="40E17451" w14:textId="77777777" w:rsidR="00706840" w:rsidRDefault="00706840" w:rsidP="0074195A">
      <w:pPr>
        <w:spacing w:after="0"/>
        <w:rPr>
          <w:rFonts w:ascii="Times New Roman" w:hAnsi="Times New Roman" w:cs="Times New Roman"/>
          <w:sz w:val="24"/>
          <w:szCs w:val="24"/>
        </w:rPr>
      </w:pPr>
    </w:p>
    <w:p w14:paraId="5C8068E3" w14:textId="77777777" w:rsidR="0074195A" w:rsidRPr="0074195A" w:rsidRDefault="0074195A" w:rsidP="0074195A">
      <w:pPr>
        <w:spacing w:after="0"/>
        <w:rPr>
          <w:rFonts w:ascii="Times New Roman" w:hAnsi="Times New Roman" w:cs="Times New Roman"/>
          <w:sz w:val="24"/>
          <w:szCs w:val="24"/>
        </w:rPr>
      </w:pPr>
    </w:p>
    <w:p w14:paraId="4544C300" w14:textId="49560761" w:rsidR="00E636D7" w:rsidRPr="00B11A9F" w:rsidRDefault="0074195A" w:rsidP="0074195A">
      <w:pPr>
        <w:spacing w:after="0"/>
        <w:rPr>
          <w:rFonts w:ascii="Times New Roman" w:hAnsi="Times New Roman" w:cs="Times New Roman"/>
          <w:b/>
          <w:sz w:val="24"/>
          <w:szCs w:val="24"/>
        </w:rPr>
      </w:pPr>
      <w:r w:rsidRPr="0074195A">
        <w:rPr>
          <w:rFonts w:ascii="Times New Roman" w:hAnsi="Times New Roman" w:cs="Times New Roman"/>
          <w:sz w:val="24"/>
          <w:szCs w:val="24"/>
        </w:rPr>
        <w:t xml:space="preserve">All of the costs in the </w:t>
      </w:r>
      <w:r w:rsidR="00C2559A">
        <w:rPr>
          <w:rFonts w:ascii="Times New Roman" w:hAnsi="Times New Roman" w:cs="Times New Roman"/>
          <w:sz w:val="24"/>
          <w:szCs w:val="24"/>
        </w:rPr>
        <w:t>NOPR</w:t>
      </w:r>
      <w:r w:rsidRPr="0074195A">
        <w:rPr>
          <w:rFonts w:ascii="Times New Roman" w:hAnsi="Times New Roman" w:cs="Times New Roman"/>
          <w:sz w:val="24"/>
          <w:szCs w:val="24"/>
        </w:rPr>
        <w:t xml:space="preserve">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r w:rsidR="00250EAE">
        <w:rPr>
          <w:rFonts w:ascii="Times New Roman" w:hAnsi="Times New Roman" w:cs="Times New Roman"/>
          <w:sz w:val="24"/>
          <w:szCs w:val="24"/>
        </w:rPr>
        <w:t xml:space="preserve"> </w:t>
      </w:r>
    </w:p>
    <w:p w14:paraId="79F9BE79" w14:textId="77777777" w:rsidR="0074195A" w:rsidRPr="00E636D7" w:rsidRDefault="0074195A" w:rsidP="0074195A">
      <w:pPr>
        <w:spacing w:after="0"/>
        <w:rPr>
          <w:rFonts w:ascii="Times New Roman" w:hAnsi="Times New Roman" w:cs="Times New Roman"/>
          <w:sz w:val="24"/>
          <w:szCs w:val="24"/>
        </w:rPr>
      </w:pPr>
    </w:p>
    <w:p w14:paraId="7D0D223D"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7BE768C8" w14:textId="77777777" w:rsidR="00A276F5" w:rsidRDefault="00A276F5" w:rsidP="00A276F5">
      <w:pPr>
        <w:spacing w:after="0"/>
        <w:rPr>
          <w:rFonts w:ascii="Times New Roman" w:hAnsi="Times New Roman" w:cs="Times New Roman"/>
          <w:sz w:val="24"/>
          <w:szCs w:val="24"/>
        </w:rPr>
      </w:pPr>
    </w:p>
    <w:p w14:paraId="77ABACC6" w14:textId="77777777" w:rsidR="002A41B5" w:rsidRDefault="002A41B5" w:rsidP="00A276F5">
      <w:pPr>
        <w:spacing w:after="0"/>
        <w:rPr>
          <w:rFonts w:ascii="Times New Roman" w:hAnsi="Times New Roman" w:cs="Times New Roman"/>
          <w:sz w:val="24"/>
          <w:szCs w:val="24"/>
        </w:rPr>
      </w:pPr>
      <w:r w:rsidRPr="00077FB9">
        <w:rPr>
          <w:rFonts w:ascii="Times New Roman" w:hAnsi="Times New Roman"/>
          <w:sz w:val="24"/>
          <w:szCs w:val="24"/>
        </w:rPr>
        <w:t>The Regional Entities and NERC do most of the data processing, monitoring and compliance work for Reliability Standards.  Any involvement by the Commission is covered under the FERC-725 collection (</w:t>
      </w:r>
      <w:r>
        <w:rPr>
          <w:rFonts w:ascii="Times New Roman" w:hAnsi="Times New Roman"/>
          <w:sz w:val="24"/>
          <w:szCs w:val="24"/>
        </w:rPr>
        <w:t xml:space="preserve">OMB Control No. </w:t>
      </w:r>
      <w:r w:rsidRPr="00077FB9">
        <w:rPr>
          <w:rFonts w:ascii="Times New Roman" w:hAnsi="Times New Roman"/>
          <w:sz w:val="24"/>
          <w:szCs w:val="24"/>
        </w:rPr>
        <w:t>1902-0225) and is not part of this request or package</w:t>
      </w:r>
      <w:r>
        <w:rPr>
          <w:rFonts w:ascii="Times New Roman" w:hAnsi="Times New Roman"/>
          <w:sz w:val="24"/>
          <w:szCs w:val="24"/>
        </w:rPr>
        <w:t>.</w:t>
      </w:r>
    </w:p>
    <w:p w14:paraId="10102C55" w14:textId="77777777" w:rsidR="002A41B5" w:rsidRDefault="002A41B5" w:rsidP="00A276F5">
      <w:pPr>
        <w:spacing w:after="0"/>
        <w:rPr>
          <w:rFonts w:ascii="Times New Roman" w:hAnsi="Times New Roman" w:cs="Times New Roman"/>
          <w:sz w:val="24"/>
          <w:szCs w:val="24"/>
        </w:rPr>
      </w:pPr>
    </w:p>
    <w:p w14:paraId="57816ADB" w14:textId="77777777"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AD16A3">
        <w:rPr>
          <w:rFonts w:ascii="Times New Roman" w:hAnsi="Times New Roman" w:cs="Times New Roman"/>
          <w:sz w:val="24"/>
          <w:szCs w:val="24"/>
        </w:rPr>
        <w:t>ment for FERC-725</w:t>
      </w:r>
      <w:r w:rsidR="0045446A">
        <w:rPr>
          <w:rFonts w:ascii="Times New Roman" w:hAnsi="Times New Roman" w:cs="Times New Roman"/>
          <w:sz w:val="24"/>
          <w:szCs w:val="24"/>
        </w:rPr>
        <w:t>P</w:t>
      </w:r>
      <w:r w:rsidR="00F2786B">
        <w:rPr>
          <w:rFonts w:ascii="Times New Roman" w:hAnsi="Times New Roman" w:cs="Times New Roman"/>
          <w:sz w:val="24"/>
          <w:szCs w:val="24"/>
        </w:rPr>
        <w:t>1</w:t>
      </w:r>
      <w:r w:rsidRPr="00630A34">
        <w:rPr>
          <w:rFonts w:ascii="Times New Roman" w:hAnsi="Times New Roman" w:cs="Times New Roman"/>
          <w:sz w:val="24"/>
          <w:szCs w:val="24"/>
        </w:rPr>
        <w:t xml:space="preserve"> as related to the requirements in the </w:t>
      </w:r>
      <w:r w:rsidR="00C2559A">
        <w:rPr>
          <w:rFonts w:ascii="Times New Roman" w:hAnsi="Times New Roman" w:cs="Times New Roman"/>
          <w:sz w:val="24"/>
          <w:szCs w:val="24"/>
        </w:rPr>
        <w:t>NOPR</w:t>
      </w:r>
      <w:r w:rsidRPr="00630A34">
        <w:rPr>
          <w:rFonts w:ascii="Times New Roman" w:hAnsi="Times New Roman" w:cs="Times New Roman"/>
          <w:sz w:val="24"/>
          <w:szCs w:val="24"/>
        </w:rPr>
        <w:t xml:space="preserve"> in </w:t>
      </w:r>
      <w:r w:rsidR="00AD16A3">
        <w:rPr>
          <w:rFonts w:ascii="Times New Roman" w:hAnsi="Times New Roman" w:cs="Times New Roman"/>
          <w:sz w:val="24"/>
          <w:szCs w:val="24"/>
        </w:rPr>
        <w:t>RM1</w:t>
      </w:r>
      <w:r w:rsidR="00F2786B">
        <w:rPr>
          <w:rFonts w:ascii="Times New Roman" w:hAnsi="Times New Roman" w:cs="Times New Roman"/>
          <w:sz w:val="24"/>
          <w:szCs w:val="24"/>
        </w:rPr>
        <w:t>5</w:t>
      </w:r>
      <w:r w:rsidR="00AD16A3">
        <w:rPr>
          <w:rFonts w:ascii="Times New Roman" w:hAnsi="Times New Roman" w:cs="Times New Roman"/>
          <w:sz w:val="24"/>
          <w:szCs w:val="24"/>
        </w:rPr>
        <w:t>-</w:t>
      </w:r>
      <w:r w:rsidR="00F2786B">
        <w:rPr>
          <w:rFonts w:ascii="Times New Roman" w:hAnsi="Times New Roman" w:cs="Times New Roman"/>
          <w:sz w:val="24"/>
          <w:szCs w:val="24"/>
        </w:rPr>
        <w:t>9</w:t>
      </w:r>
      <w:r w:rsidR="00AD16A3">
        <w:rPr>
          <w:rFonts w:ascii="Times New Roman" w:hAnsi="Times New Roman" w:cs="Times New Roman"/>
          <w:sz w:val="24"/>
          <w:szCs w:val="24"/>
        </w:rPr>
        <w:t>-000</w:t>
      </w:r>
      <w:r w:rsidRPr="00630A34">
        <w:rPr>
          <w:rFonts w:ascii="Times New Roman" w:hAnsi="Times New Roman" w:cs="Times New Roman"/>
          <w:sz w:val="24"/>
          <w:szCs w:val="24"/>
        </w:rPr>
        <w:t xml:space="preserve"> follows:</w:t>
      </w:r>
    </w:p>
    <w:p w14:paraId="1AED3352"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049CDF33" w14:textId="77777777" w:rsidTr="002C63E1">
        <w:tc>
          <w:tcPr>
            <w:tcW w:w="3182" w:type="dxa"/>
            <w:tcBorders>
              <w:top w:val="single" w:sz="4" w:space="0" w:color="auto"/>
              <w:left w:val="single" w:sz="4" w:space="0" w:color="auto"/>
              <w:bottom w:val="single" w:sz="4" w:space="0" w:color="auto"/>
              <w:right w:val="single" w:sz="4" w:space="0" w:color="auto"/>
            </w:tcBorders>
            <w:shd w:val="clear" w:color="auto" w:fill="CCCCCC"/>
          </w:tcPr>
          <w:p w14:paraId="18D68983"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79662D52" w14:textId="2A7CC4FE"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 xml:space="preserve">Number of </w:t>
            </w:r>
            <w:r w:rsidR="00706840">
              <w:rPr>
                <w:rFonts w:ascii="Times New Roman" w:hAnsi="Times New Roman" w:cs="Times New Roman"/>
                <w:b/>
                <w:sz w:val="24"/>
                <w:szCs w:val="24"/>
              </w:rPr>
              <w:t xml:space="preserve">Federal </w:t>
            </w:r>
            <w:r w:rsidRPr="00630A34">
              <w:rPr>
                <w:rFonts w:ascii="Times New Roman" w:hAnsi="Times New Roman" w:cs="Times New Roman"/>
                <w:b/>
                <w:sz w:val="24"/>
                <w:szCs w:val="24"/>
              </w:rPr>
              <w:t>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5FE58E9C"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294422F9"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112B69EB" w14:textId="77777777" w:rsidR="00630A34" w:rsidRPr="00630A34" w:rsidRDefault="00AD16A3" w:rsidP="007E220F">
            <w:pPr>
              <w:spacing w:after="0"/>
              <w:rPr>
                <w:rFonts w:ascii="Times New Roman" w:hAnsi="Times New Roman" w:cs="Times New Roman"/>
                <w:sz w:val="24"/>
                <w:szCs w:val="24"/>
              </w:rPr>
            </w:pPr>
            <w:r>
              <w:rPr>
                <w:rFonts w:ascii="Times New Roman" w:hAnsi="Times New Roman" w:cs="Times New Roman"/>
                <w:sz w:val="24"/>
                <w:szCs w:val="24"/>
              </w:rPr>
              <w:t>FERC-725</w:t>
            </w:r>
            <w:r w:rsidR="0045446A">
              <w:rPr>
                <w:rFonts w:ascii="Times New Roman" w:hAnsi="Times New Roman" w:cs="Times New Roman"/>
                <w:sz w:val="24"/>
                <w:szCs w:val="24"/>
              </w:rPr>
              <w:t>P</w:t>
            </w:r>
            <w:r w:rsidR="00F2786B">
              <w:rPr>
                <w:rFonts w:ascii="Times New Roman" w:hAnsi="Times New Roman" w:cs="Times New Roman"/>
                <w:sz w:val="24"/>
                <w:szCs w:val="24"/>
              </w:rPr>
              <w:t>1</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498B0D4D" w14:textId="77777777" w:rsidR="00630A34" w:rsidRPr="00630A34" w:rsidRDefault="007B193F" w:rsidP="00630A34">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768A0DE6" w14:textId="77777777" w:rsidR="00630A34" w:rsidRPr="00630A34" w:rsidRDefault="00630A34"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rsidR="00AD16A3" w:rsidRPr="00630A34" w14:paraId="298FAF77" w14:textId="77777777" w:rsidTr="002C63E1">
        <w:tc>
          <w:tcPr>
            <w:tcW w:w="3182" w:type="dxa"/>
            <w:tcBorders>
              <w:top w:val="single" w:sz="4" w:space="0" w:color="auto"/>
              <w:left w:val="single" w:sz="4" w:space="0" w:color="auto"/>
              <w:bottom w:val="single" w:sz="4" w:space="0" w:color="auto"/>
              <w:right w:val="single" w:sz="4" w:space="0" w:color="auto"/>
            </w:tcBorders>
          </w:tcPr>
          <w:p w14:paraId="35FE6C05" w14:textId="77777777" w:rsidR="00AD16A3"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lastRenderedPageBreak/>
              <w:t>PRA</w:t>
            </w:r>
            <w:r w:rsidRPr="00630A34">
              <w:rPr>
                <w:rFonts w:ascii="Times New Roman" w:hAnsi="Times New Roman" w:cs="Times New Roman"/>
                <w:sz w:val="24"/>
                <w:szCs w:val="24"/>
                <w:vertAlign w:val="superscript"/>
              </w:rPr>
              <w:footnoteReference w:id="15"/>
            </w:r>
            <w:r w:rsidRPr="00630A34">
              <w:rPr>
                <w:rFonts w:ascii="Times New Roman" w:hAnsi="Times New Roman" w:cs="Times New Roman"/>
                <w:sz w:val="24"/>
                <w:szCs w:val="24"/>
              </w:rPr>
              <w:t xml:space="preserve"> Administrative Cost</w:t>
            </w:r>
            <w:r w:rsidR="00247B75" w:rsidRPr="00896F4D">
              <w:rPr>
                <w:rStyle w:val="FootnoteReference"/>
                <w:rFonts w:ascii="Times New Roman" w:hAnsi="Times New Roman" w:cs="Times New Roman"/>
                <w:sz w:val="24"/>
                <w:szCs w:val="24"/>
                <w:vertAlign w:val="superscript"/>
              </w:rPr>
              <w:footnoteReference w:id="16"/>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7C82D32E"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41EC83F9"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$5</w:t>
            </w:r>
            <w:r w:rsidR="00B11A9F">
              <w:rPr>
                <w:rFonts w:ascii="Times New Roman" w:hAnsi="Times New Roman" w:cs="Times New Roman"/>
                <w:sz w:val="24"/>
                <w:szCs w:val="24"/>
              </w:rPr>
              <w:t>,193</w:t>
            </w:r>
          </w:p>
        </w:tc>
      </w:tr>
      <w:tr w:rsidR="00AD16A3" w:rsidRPr="00630A34" w14:paraId="2B6E77ED"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084B3111"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47A5FB91"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45B0D1D3"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5,</w:t>
            </w:r>
            <w:r w:rsidR="00B11A9F">
              <w:rPr>
                <w:rFonts w:ascii="Times New Roman" w:hAnsi="Times New Roman" w:cs="Times New Roman"/>
                <w:sz w:val="24"/>
                <w:szCs w:val="24"/>
              </w:rPr>
              <w:t>193</w:t>
            </w:r>
          </w:p>
        </w:tc>
      </w:tr>
    </w:tbl>
    <w:p w14:paraId="47FB84A2" w14:textId="77777777" w:rsidR="006B437C" w:rsidRDefault="006B437C" w:rsidP="006B437C">
      <w:pPr>
        <w:spacing w:after="0"/>
        <w:rPr>
          <w:rFonts w:ascii="Times New Roman" w:hAnsi="Times New Roman" w:cs="Times New Roman"/>
          <w:sz w:val="24"/>
          <w:szCs w:val="24"/>
        </w:rPr>
      </w:pPr>
    </w:p>
    <w:p w14:paraId="171C03E9"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28CEB8F1" w14:textId="77777777" w:rsidR="00CB04FF" w:rsidRDefault="00CB04FF" w:rsidP="00CE1CCD">
      <w:pPr>
        <w:spacing w:after="0"/>
        <w:rPr>
          <w:rFonts w:ascii="Times New Roman" w:hAnsi="Times New Roman" w:cs="Times New Roman"/>
          <w:sz w:val="24"/>
          <w:szCs w:val="24"/>
        </w:rPr>
      </w:pPr>
    </w:p>
    <w:p w14:paraId="773ED61E" w14:textId="1B71742E" w:rsidR="002573FC" w:rsidRDefault="00B072DD" w:rsidP="00CE1CCD">
      <w:pPr>
        <w:spacing w:after="0"/>
        <w:rPr>
          <w:rFonts w:ascii="Times New Roman" w:hAnsi="Times New Roman" w:cs="Times New Roman"/>
          <w:sz w:val="24"/>
          <w:szCs w:val="24"/>
        </w:rPr>
      </w:pPr>
      <w:r>
        <w:rPr>
          <w:rFonts w:ascii="Times New Roman" w:hAnsi="Times New Roman" w:cs="Times New Roman"/>
          <w:sz w:val="24"/>
          <w:szCs w:val="24"/>
        </w:rPr>
        <w:t>FERC-725P1</w:t>
      </w:r>
      <w:r w:rsidR="002573FC">
        <w:rPr>
          <w:rFonts w:ascii="Times New Roman" w:hAnsi="Times New Roman" w:cs="Times New Roman"/>
          <w:sz w:val="24"/>
          <w:szCs w:val="24"/>
        </w:rPr>
        <w:t xml:space="preserve"> is a new collection</w:t>
      </w:r>
      <w:r w:rsidR="001E5E6C">
        <w:rPr>
          <w:rFonts w:ascii="Times New Roman" w:hAnsi="Times New Roman" w:cs="Times New Roman"/>
          <w:sz w:val="24"/>
          <w:szCs w:val="24"/>
        </w:rPr>
        <w:t xml:space="preserve"> number</w:t>
      </w:r>
      <w:r>
        <w:rPr>
          <w:rFonts w:ascii="Times New Roman" w:hAnsi="Times New Roman" w:cs="Times New Roman"/>
          <w:sz w:val="24"/>
          <w:szCs w:val="24"/>
        </w:rPr>
        <w:t xml:space="preserve"> for the proposed revised Reliability Standard </w:t>
      </w:r>
      <w:r w:rsidRPr="00B072DD">
        <w:rPr>
          <w:rFonts w:ascii="Times New Roman" w:hAnsi="Times New Roman" w:cs="Times New Roman"/>
          <w:sz w:val="24"/>
          <w:szCs w:val="24"/>
        </w:rPr>
        <w:t>PRC-005-4 (Protection System, Automatic Reclosing and Sudden Pressure Relaying Maintenance</w:t>
      </w:r>
      <w:r>
        <w:rPr>
          <w:rFonts w:ascii="Times New Roman" w:hAnsi="Times New Roman" w:cs="Times New Roman"/>
          <w:sz w:val="24"/>
          <w:szCs w:val="24"/>
        </w:rPr>
        <w:t>)</w:t>
      </w:r>
      <w:r w:rsidR="002573FC">
        <w:rPr>
          <w:rFonts w:ascii="Times New Roman" w:hAnsi="Times New Roman" w:cs="Times New Roman"/>
          <w:sz w:val="24"/>
          <w:szCs w:val="24"/>
        </w:rPr>
        <w:t xml:space="preserve">. </w:t>
      </w:r>
      <w:r w:rsidR="00653001" w:rsidRPr="00636377">
        <w:rPr>
          <w:rFonts w:ascii="Times New Roman" w:hAnsi="Times New Roman" w:cs="Times New Roman"/>
          <w:sz w:val="24"/>
          <w:szCs w:val="24"/>
          <w:vertAlign w:val="superscript"/>
        </w:rPr>
        <w:fldChar w:fldCharType="begin"/>
      </w:r>
      <w:r w:rsidR="00653001" w:rsidRPr="00636377">
        <w:rPr>
          <w:rFonts w:ascii="Times New Roman" w:hAnsi="Times New Roman" w:cs="Times New Roman"/>
          <w:sz w:val="24"/>
          <w:szCs w:val="24"/>
          <w:vertAlign w:val="superscript"/>
        </w:rPr>
        <w:instrText xml:space="preserve"> NOTEREF _Ref425256919 \h </w:instrText>
      </w:r>
      <w:r w:rsidR="00653001">
        <w:rPr>
          <w:rFonts w:ascii="Times New Roman" w:hAnsi="Times New Roman" w:cs="Times New Roman"/>
          <w:sz w:val="24"/>
          <w:szCs w:val="24"/>
          <w:vertAlign w:val="superscript"/>
        </w:rPr>
        <w:instrText xml:space="preserve"> \* MERGEFORMAT </w:instrText>
      </w:r>
      <w:r w:rsidR="00653001" w:rsidRPr="00636377">
        <w:rPr>
          <w:rFonts w:ascii="Times New Roman" w:hAnsi="Times New Roman" w:cs="Times New Roman"/>
          <w:sz w:val="24"/>
          <w:szCs w:val="24"/>
          <w:vertAlign w:val="superscript"/>
        </w:rPr>
      </w:r>
      <w:r w:rsidR="00653001" w:rsidRPr="00636377">
        <w:rPr>
          <w:rFonts w:ascii="Times New Roman" w:hAnsi="Times New Roman" w:cs="Times New Roman"/>
          <w:sz w:val="24"/>
          <w:szCs w:val="24"/>
          <w:vertAlign w:val="superscript"/>
        </w:rPr>
        <w:fldChar w:fldCharType="separate"/>
      </w:r>
      <w:r w:rsidR="00653001" w:rsidRPr="00636377">
        <w:rPr>
          <w:rFonts w:ascii="Times New Roman" w:hAnsi="Times New Roman" w:cs="Times New Roman"/>
          <w:sz w:val="24"/>
          <w:szCs w:val="24"/>
          <w:vertAlign w:val="superscript"/>
        </w:rPr>
        <w:t>3</w:t>
      </w:r>
      <w:r w:rsidR="00653001" w:rsidRPr="00636377">
        <w:rPr>
          <w:rFonts w:ascii="Times New Roman" w:hAnsi="Times New Roman" w:cs="Times New Roman"/>
          <w:sz w:val="24"/>
          <w:szCs w:val="24"/>
          <w:vertAlign w:val="superscript"/>
        </w:rPr>
        <w:fldChar w:fldCharType="end"/>
      </w:r>
    </w:p>
    <w:p w14:paraId="387C0E40" w14:textId="77777777" w:rsidR="00B072DD" w:rsidRDefault="00B072DD" w:rsidP="00CE1CCD">
      <w:pPr>
        <w:spacing w:after="0"/>
        <w:rPr>
          <w:rFonts w:ascii="Times New Roman" w:hAnsi="Times New Roman" w:cs="Times New Roman"/>
          <w:sz w:val="24"/>
          <w:szCs w:val="24"/>
        </w:rPr>
      </w:pPr>
    </w:p>
    <w:p w14:paraId="54E73737" w14:textId="3526C75A" w:rsidR="00B072DD" w:rsidRDefault="00DF64B2" w:rsidP="00CE1CCD">
      <w:pPr>
        <w:spacing w:after="0"/>
        <w:rPr>
          <w:rFonts w:ascii="Times New Roman" w:hAnsi="Times New Roman" w:cs="Times New Roman"/>
          <w:sz w:val="24"/>
          <w:szCs w:val="24"/>
        </w:rPr>
      </w:pPr>
      <w:r w:rsidRPr="00DF64B2">
        <w:rPr>
          <w:rFonts w:ascii="Times New Roman" w:hAnsi="Times New Roman" w:cs="Times New Roman"/>
          <w:sz w:val="24"/>
          <w:szCs w:val="24"/>
        </w:rPr>
        <w:t xml:space="preserve">Pursuant to section 215 of the Federal Power Act (FPA),  </w:t>
      </w:r>
      <w:r w:rsidR="00B072DD">
        <w:rPr>
          <w:rFonts w:ascii="Times New Roman" w:hAnsi="Times New Roman" w:cs="Times New Roman"/>
          <w:sz w:val="24"/>
          <w:szCs w:val="24"/>
        </w:rPr>
        <w:t>FERC</w:t>
      </w:r>
      <w:r w:rsidRPr="00DF64B2">
        <w:rPr>
          <w:rFonts w:ascii="Times New Roman" w:hAnsi="Times New Roman" w:cs="Times New Roman"/>
          <w:sz w:val="24"/>
          <w:szCs w:val="24"/>
        </w:rPr>
        <w:t xml:space="preserve"> proposes to approve a revised Reliability Standard, PRC-005-4, developed and submitted by the North American Electric Reliability Corporation (NERC), the Commission-certified Electric Reliability Organization (ERO).  In addition, the Commission proposes to approve one new definition and four revised definitions referenced in the proposed Reliability Standard, as well as NERC’s proposed violation risk factors, violation severity levels, and implementation plan.  Consistent with Order No. 758,  the proposed Reliability Standard requires applicable entities to test and maintain certain sudden pressure relays as part of a protection system maintenance program.  </w:t>
      </w:r>
    </w:p>
    <w:p w14:paraId="1B4B72B3" w14:textId="77777777" w:rsidR="00B072DD" w:rsidRDefault="00B072DD" w:rsidP="00CE1CCD">
      <w:pPr>
        <w:spacing w:after="0"/>
        <w:rPr>
          <w:rFonts w:ascii="Times New Roman" w:hAnsi="Times New Roman" w:cs="Times New Roman"/>
          <w:sz w:val="24"/>
          <w:szCs w:val="24"/>
        </w:rPr>
      </w:pPr>
    </w:p>
    <w:p w14:paraId="00C73F24" w14:textId="77777777" w:rsidR="005457EC" w:rsidRDefault="005457EC" w:rsidP="00CE1CCD">
      <w:pPr>
        <w:spacing w:after="0"/>
        <w:rPr>
          <w:rFonts w:ascii="Times New Roman" w:hAnsi="Times New Roman" w:cs="Times New Roman"/>
          <w:sz w:val="24"/>
          <w:szCs w:val="24"/>
        </w:rPr>
      </w:pPr>
    </w:p>
    <w:p w14:paraId="76CDFFBF" w14:textId="77777777" w:rsidR="00D76508" w:rsidRDefault="00E85D85" w:rsidP="003316E0">
      <w:pPr>
        <w:spacing w:after="0"/>
        <w:rPr>
          <w:rFonts w:ascii="Times New Roman" w:hAnsi="Times New Roman" w:cs="Times New Roman"/>
          <w:sz w:val="24"/>
          <w:szCs w:val="24"/>
        </w:rPr>
      </w:pPr>
      <w:r>
        <w:rPr>
          <w:rFonts w:ascii="Times New Roman" w:hAnsi="Times New Roman" w:cs="Times New Roman"/>
          <w:sz w:val="24"/>
          <w:szCs w:val="24"/>
        </w:rPr>
        <w:t xml:space="preserve">The estimated revised totals after the one-time changes in </w:t>
      </w:r>
      <w:r w:rsidR="00CB04FF">
        <w:rPr>
          <w:rFonts w:ascii="Times New Roman" w:hAnsi="Times New Roman" w:cs="Times New Roman"/>
          <w:sz w:val="24"/>
          <w:szCs w:val="24"/>
        </w:rPr>
        <w:t>FERC-725P</w:t>
      </w:r>
      <w:r w:rsidR="008B4E04">
        <w:rPr>
          <w:rFonts w:ascii="Times New Roman" w:hAnsi="Times New Roman" w:cs="Times New Roman"/>
          <w:sz w:val="24"/>
          <w:szCs w:val="24"/>
        </w:rPr>
        <w:t>1</w:t>
      </w:r>
      <w:r w:rsidR="00CB04FF">
        <w:rPr>
          <w:rFonts w:ascii="Times New Roman" w:hAnsi="Times New Roman" w:cs="Times New Roman"/>
          <w:sz w:val="24"/>
          <w:szCs w:val="24"/>
        </w:rPr>
        <w:t xml:space="preserve"> (</w:t>
      </w:r>
      <w:r>
        <w:rPr>
          <w:rFonts w:ascii="Times New Roman" w:hAnsi="Times New Roman" w:cs="Times New Roman"/>
          <w:sz w:val="24"/>
          <w:szCs w:val="24"/>
        </w:rPr>
        <w:t>RM1</w:t>
      </w:r>
      <w:r w:rsidR="00C86724">
        <w:rPr>
          <w:rFonts w:ascii="Times New Roman" w:hAnsi="Times New Roman" w:cs="Times New Roman"/>
          <w:sz w:val="24"/>
          <w:szCs w:val="24"/>
        </w:rPr>
        <w:t>5-9</w:t>
      </w:r>
      <w:r>
        <w:rPr>
          <w:rFonts w:ascii="Times New Roman" w:hAnsi="Times New Roman" w:cs="Times New Roman"/>
          <w:sz w:val="24"/>
          <w:szCs w:val="24"/>
        </w:rPr>
        <w:t>-000</w:t>
      </w:r>
      <w:r w:rsidR="00CB04FF">
        <w:rPr>
          <w:rFonts w:ascii="Times New Roman" w:hAnsi="Times New Roman" w:cs="Times New Roman"/>
          <w:sz w:val="24"/>
          <w:szCs w:val="24"/>
        </w:rPr>
        <w:t>)</w:t>
      </w:r>
      <w:r>
        <w:rPr>
          <w:rFonts w:ascii="Times New Roman" w:hAnsi="Times New Roman" w:cs="Times New Roman"/>
          <w:sz w:val="24"/>
          <w:szCs w:val="24"/>
        </w:rPr>
        <w:t xml:space="preserve"> follow:</w:t>
      </w:r>
    </w:p>
    <w:p w14:paraId="57D94104" w14:textId="77777777" w:rsidR="00E85D85" w:rsidRDefault="00E85D85"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2768B56B" w14:textId="77777777" w:rsidTr="002C63E1">
        <w:trPr>
          <w:trHeight w:val="870"/>
        </w:trPr>
        <w:tc>
          <w:tcPr>
            <w:tcW w:w="2589" w:type="dxa"/>
            <w:shd w:val="clear" w:color="auto" w:fill="D9D9D9"/>
            <w:vAlign w:val="bottom"/>
          </w:tcPr>
          <w:p w14:paraId="44A01AC8" w14:textId="77777777" w:rsidR="003316E0" w:rsidRPr="003316E0" w:rsidRDefault="007B193F" w:rsidP="003316E0">
            <w:pPr>
              <w:spacing w:after="0"/>
              <w:rPr>
                <w:rFonts w:ascii="Times New Roman" w:hAnsi="Times New Roman" w:cs="Times New Roman"/>
                <w:b/>
                <w:sz w:val="24"/>
                <w:szCs w:val="24"/>
              </w:rPr>
            </w:pPr>
            <w:r>
              <w:rPr>
                <w:rFonts w:ascii="Times New Roman" w:hAnsi="Times New Roman" w:cs="Times New Roman"/>
                <w:b/>
                <w:sz w:val="24"/>
                <w:szCs w:val="24"/>
              </w:rPr>
              <w:t>FERC-725</w:t>
            </w:r>
            <w:r w:rsidR="00CE1CCD">
              <w:rPr>
                <w:rFonts w:ascii="Times New Roman" w:hAnsi="Times New Roman" w:cs="Times New Roman"/>
                <w:b/>
                <w:sz w:val="24"/>
                <w:szCs w:val="24"/>
              </w:rPr>
              <w:t>P</w:t>
            </w:r>
            <w:r w:rsidR="00C86724">
              <w:rPr>
                <w:rFonts w:ascii="Times New Roman" w:hAnsi="Times New Roman" w:cs="Times New Roman"/>
                <w:b/>
                <w:sz w:val="24"/>
                <w:szCs w:val="24"/>
              </w:rPr>
              <w:t>1</w:t>
            </w:r>
          </w:p>
        </w:tc>
        <w:tc>
          <w:tcPr>
            <w:tcW w:w="1779" w:type="dxa"/>
            <w:shd w:val="clear" w:color="auto" w:fill="D9D9D9"/>
            <w:vAlign w:val="bottom"/>
          </w:tcPr>
          <w:p w14:paraId="4D304CD0"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50FF9F74"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7995017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64659096"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4880980A" w14:textId="77777777" w:rsidTr="002C63E1">
        <w:trPr>
          <w:trHeight w:val="591"/>
        </w:trPr>
        <w:tc>
          <w:tcPr>
            <w:tcW w:w="2589" w:type="dxa"/>
          </w:tcPr>
          <w:p w14:paraId="77048510"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0371A3B0" w14:textId="77777777" w:rsidR="003316E0" w:rsidRPr="003316E0" w:rsidRDefault="00C9414F" w:rsidP="003316E0">
            <w:pPr>
              <w:spacing w:after="0"/>
              <w:rPr>
                <w:rFonts w:ascii="Times New Roman" w:hAnsi="Times New Roman" w:cs="Times New Roman"/>
                <w:sz w:val="24"/>
                <w:szCs w:val="24"/>
              </w:rPr>
            </w:pPr>
            <w:r>
              <w:rPr>
                <w:rFonts w:ascii="Times New Roman" w:hAnsi="Times New Roman" w:cs="Times New Roman"/>
                <w:sz w:val="24"/>
                <w:szCs w:val="24"/>
              </w:rPr>
              <w:t>1,287</w:t>
            </w:r>
          </w:p>
        </w:tc>
        <w:tc>
          <w:tcPr>
            <w:tcW w:w="1959" w:type="dxa"/>
            <w:vAlign w:val="center"/>
          </w:tcPr>
          <w:p w14:paraId="39A14791" w14:textId="77777777" w:rsidR="003316E0" w:rsidRPr="003316E0" w:rsidRDefault="00C9414F" w:rsidP="003316E0">
            <w:pPr>
              <w:spacing w:after="0"/>
              <w:rPr>
                <w:rFonts w:ascii="Times New Roman" w:hAnsi="Times New Roman" w:cs="Times New Roman"/>
                <w:sz w:val="24"/>
                <w:szCs w:val="24"/>
              </w:rPr>
            </w:pPr>
            <w:r>
              <w:rPr>
                <w:rFonts w:ascii="Times New Roman" w:hAnsi="Times New Roman" w:cs="Times New Roman"/>
                <w:sz w:val="24"/>
                <w:szCs w:val="24"/>
              </w:rPr>
              <w:t>0</w:t>
            </w:r>
          </w:p>
        </w:tc>
        <w:tc>
          <w:tcPr>
            <w:tcW w:w="1683" w:type="dxa"/>
            <w:vAlign w:val="center"/>
          </w:tcPr>
          <w:p w14:paraId="7B435B17"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620A8441" w14:textId="580D5F69" w:rsidR="003316E0" w:rsidRPr="003316E0" w:rsidRDefault="001E5E6C" w:rsidP="003316E0">
            <w:pPr>
              <w:spacing w:after="0"/>
              <w:rPr>
                <w:rFonts w:ascii="Times New Roman" w:hAnsi="Times New Roman" w:cs="Times New Roman"/>
                <w:sz w:val="24"/>
                <w:szCs w:val="24"/>
              </w:rPr>
            </w:pPr>
            <w:r>
              <w:rPr>
                <w:rFonts w:ascii="Times New Roman" w:hAnsi="Times New Roman" w:cs="Times New Roman"/>
                <w:sz w:val="24"/>
                <w:szCs w:val="24"/>
              </w:rPr>
              <w:t>+</w:t>
            </w:r>
            <w:r w:rsidR="00C9414F">
              <w:rPr>
                <w:rFonts w:ascii="Times New Roman" w:hAnsi="Times New Roman" w:cs="Times New Roman"/>
                <w:sz w:val="24"/>
                <w:szCs w:val="24"/>
              </w:rPr>
              <w:t>1,287</w:t>
            </w:r>
          </w:p>
        </w:tc>
      </w:tr>
      <w:tr w:rsidR="003316E0" w:rsidRPr="003316E0" w14:paraId="5A9100AC" w14:textId="77777777" w:rsidTr="002C63E1">
        <w:trPr>
          <w:trHeight w:val="575"/>
        </w:trPr>
        <w:tc>
          <w:tcPr>
            <w:tcW w:w="2589" w:type="dxa"/>
          </w:tcPr>
          <w:p w14:paraId="08559D17"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EF487F">
              <w:rPr>
                <w:rFonts w:ascii="Times New Roman" w:hAnsi="Times New Roman" w:cs="Times New Roman"/>
                <w:sz w:val="24"/>
                <w:szCs w:val="24"/>
              </w:rPr>
              <w:t>.</w:t>
            </w:r>
            <w:r w:rsidRPr="003316E0">
              <w:rPr>
                <w:rFonts w:ascii="Times New Roman" w:hAnsi="Times New Roman" w:cs="Times New Roman"/>
                <w:sz w:val="24"/>
                <w:szCs w:val="24"/>
              </w:rPr>
              <w:t>)</w:t>
            </w:r>
            <w:r w:rsidR="00125F57">
              <w:rPr>
                <w:rFonts w:ascii="Times New Roman" w:hAnsi="Times New Roman" w:cs="Times New Roman"/>
                <w:sz w:val="24"/>
                <w:szCs w:val="24"/>
              </w:rPr>
              <w:t xml:space="preserve"> </w:t>
            </w:r>
            <w:r w:rsidR="00125F57" w:rsidRPr="00932C2D">
              <w:rPr>
                <w:rStyle w:val="FootnoteReference"/>
                <w:rFonts w:ascii="Times New Roman" w:hAnsi="Times New Roman" w:cs="Times New Roman"/>
                <w:sz w:val="24"/>
                <w:szCs w:val="24"/>
                <w:vertAlign w:val="superscript"/>
              </w:rPr>
              <w:footnoteReference w:id="17"/>
            </w:r>
          </w:p>
        </w:tc>
        <w:tc>
          <w:tcPr>
            <w:tcW w:w="1779" w:type="dxa"/>
            <w:vAlign w:val="center"/>
          </w:tcPr>
          <w:p w14:paraId="57782C95" w14:textId="77777777" w:rsidR="003316E0" w:rsidRPr="003316E0" w:rsidRDefault="00C9414F" w:rsidP="003316E0">
            <w:pPr>
              <w:spacing w:after="0"/>
              <w:rPr>
                <w:rFonts w:ascii="Times New Roman" w:hAnsi="Times New Roman" w:cs="Times New Roman"/>
                <w:sz w:val="24"/>
                <w:szCs w:val="24"/>
              </w:rPr>
            </w:pPr>
            <w:r>
              <w:rPr>
                <w:rFonts w:ascii="Times New Roman" w:hAnsi="Times New Roman" w:cs="Times New Roman"/>
                <w:sz w:val="24"/>
                <w:szCs w:val="24"/>
              </w:rPr>
              <w:t>10,296</w:t>
            </w:r>
          </w:p>
        </w:tc>
        <w:tc>
          <w:tcPr>
            <w:tcW w:w="1959" w:type="dxa"/>
            <w:vAlign w:val="center"/>
          </w:tcPr>
          <w:p w14:paraId="385336EE" w14:textId="77777777" w:rsidR="003316E0" w:rsidRPr="003316E0" w:rsidRDefault="00C9414F" w:rsidP="003316E0">
            <w:pPr>
              <w:spacing w:after="0"/>
              <w:rPr>
                <w:rFonts w:ascii="Times New Roman" w:hAnsi="Times New Roman" w:cs="Times New Roman"/>
                <w:sz w:val="24"/>
                <w:szCs w:val="24"/>
              </w:rPr>
            </w:pPr>
            <w:r>
              <w:rPr>
                <w:rFonts w:ascii="Times New Roman" w:hAnsi="Times New Roman" w:cs="Times New Roman"/>
                <w:sz w:val="24"/>
                <w:szCs w:val="24"/>
              </w:rPr>
              <w:t>0</w:t>
            </w:r>
          </w:p>
        </w:tc>
        <w:tc>
          <w:tcPr>
            <w:tcW w:w="1683" w:type="dxa"/>
            <w:vAlign w:val="center"/>
          </w:tcPr>
          <w:p w14:paraId="6B6F2A64"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22BA27AE" w14:textId="35056530" w:rsidR="003316E0" w:rsidRPr="003316E0" w:rsidRDefault="001E5E6C" w:rsidP="003316E0">
            <w:pPr>
              <w:spacing w:after="0"/>
              <w:rPr>
                <w:rFonts w:ascii="Times New Roman" w:hAnsi="Times New Roman" w:cs="Times New Roman"/>
                <w:sz w:val="24"/>
                <w:szCs w:val="24"/>
              </w:rPr>
            </w:pPr>
            <w:r>
              <w:rPr>
                <w:rFonts w:ascii="Times New Roman" w:hAnsi="Times New Roman" w:cs="Times New Roman"/>
                <w:sz w:val="24"/>
                <w:szCs w:val="24"/>
              </w:rPr>
              <w:t>+</w:t>
            </w:r>
            <w:r w:rsidR="00C9414F">
              <w:rPr>
                <w:rFonts w:ascii="Times New Roman" w:hAnsi="Times New Roman" w:cs="Times New Roman"/>
                <w:sz w:val="24"/>
                <w:szCs w:val="24"/>
              </w:rPr>
              <w:t>10,296</w:t>
            </w:r>
          </w:p>
        </w:tc>
      </w:tr>
      <w:tr w:rsidR="003316E0" w:rsidRPr="003316E0" w14:paraId="40FFC153" w14:textId="77777777" w:rsidTr="002C63E1">
        <w:trPr>
          <w:trHeight w:val="295"/>
        </w:trPr>
        <w:tc>
          <w:tcPr>
            <w:tcW w:w="2589" w:type="dxa"/>
          </w:tcPr>
          <w:p w14:paraId="07D3A4BF"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5D63FA31"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5F821C97"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1D8FB130"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2C8D3A3B"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r>
    </w:tbl>
    <w:p w14:paraId="2EA86977" w14:textId="77777777" w:rsidR="003316E0" w:rsidRDefault="003316E0" w:rsidP="003316E0">
      <w:pPr>
        <w:spacing w:after="0"/>
        <w:rPr>
          <w:rFonts w:ascii="Times New Roman" w:hAnsi="Times New Roman" w:cs="Times New Roman"/>
          <w:sz w:val="24"/>
          <w:szCs w:val="24"/>
        </w:rPr>
      </w:pPr>
    </w:p>
    <w:p w14:paraId="0DE2CBAE" w14:textId="77777777" w:rsidR="003316E0" w:rsidRPr="00A276F5" w:rsidRDefault="003316E0" w:rsidP="003316E0">
      <w:pPr>
        <w:spacing w:after="0"/>
        <w:rPr>
          <w:rFonts w:ascii="Times New Roman" w:hAnsi="Times New Roman" w:cs="Times New Roman"/>
          <w:sz w:val="24"/>
          <w:szCs w:val="24"/>
        </w:rPr>
      </w:pPr>
    </w:p>
    <w:p w14:paraId="50AC96B2"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lastRenderedPageBreak/>
        <w:t>TIME SCHEDULE FOR PUBLICATION OF DATA</w:t>
      </w:r>
    </w:p>
    <w:p w14:paraId="081E0542" w14:textId="77777777" w:rsidR="00414F32" w:rsidRDefault="00414F32" w:rsidP="00414F32">
      <w:pPr>
        <w:spacing w:after="0"/>
        <w:rPr>
          <w:rFonts w:ascii="Times New Roman" w:hAnsi="Times New Roman" w:cs="Times New Roman"/>
          <w:sz w:val="24"/>
          <w:szCs w:val="24"/>
        </w:rPr>
      </w:pPr>
    </w:p>
    <w:p w14:paraId="02BC593F" w14:textId="77777777"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 xml:space="preserve">FERC does not publish any data associated with </w:t>
      </w:r>
      <w:r w:rsidR="0039318D">
        <w:rPr>
          <w:rFonts w:ascii="Times New Roman" w:hAnsi="Times New Roman" w:cs="Times New Roman"/>
          <w:sz w:val="24"/>
          <w:szCs w:val="24"/>
        </w:rPr>
        <w:t xml:space="preserve">this </w:t>
      </w:r>
      <w:r>
        <w:rPr>
          <w:rFonts w:ascii="Times New Roman" w:hAnsi="Times New Roman" w:cs="Times New Roman"/>
          <w:sz w:val="24"/>
          <w:szCs w:val="24"/>
        </w:rPr>
        <w:t>collection.</w:t>
      </w:r>
    </w:p>
    <w:p w14:paraId="0EB87612" w14:textId="77777777" w:rsidR="00197A36" w:rsidRPr="00414F32" w:rsidRDefault="00197A36" w:rsidP="00414F32">
      <w:pPr>
        <w:spacing w:after="0"/>
        <w:rPr>
          <w:rFonts w:ascii="Times New Roman" w:hAnsi="Times New Roman" w:cs="Times New Roman"/>
          <w:sz w:val="24"/>
          <w:szCs w:val="24"/>
        </w:rPr>
      </w:pPr>
    </w:p>
    <w:p w14:paraId="55963C26" w14:textId="77777777" w:rsidR="00414F32" w:rsidRPr="00AD6C5B" w:rsidRDefault="00414F32" w:rsidP="00414F32">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7F8E63B4" w14:textId="77777777" w:rsidR="00414F32" w:rsidRDefault="00197A36" w:rsidP="00414F32">
      <w:pPr>
        <w:spacing w:after="0"/>
        <w:rPr>
          <w:rFonts w:ascii="Times New Roman" w:hAnsi="Times New Roman" w:cs="Times New Roman"/>
          <w:sz w:val="24"/>
          <w:szCs w:val="24"/>
        </w:rPr>
      </w:pPr>
      <w:r w:rsidRPr="00197A36">
        <w:rPr>
          <w:rFonts w:ascii="Times New Roman" w:hAnsi="Times New Roman" w:cs="Times New Roman"/>
          <w:sz w:val="24"/>
          <w:szCs w:val="24"/>
        </w:rPr>
        <w:t xml:space="preserve">It is not appropriate to display the expiration date for OMB approval of the information collected pursuant to this rulemaking </w:t>
      </w:r>
      <w:r w:rsidR="00DB55F4">
        <w:rPr>
          <w:rFonts w:ascii="Times New Roman" w:hAnsi="Times New Roman" w:cs="Times New Roman"/>
          <w:sz w:val="24"/>
          <w:szCs w:val="24"/>
        </w:rPr>
        <w:t>affecting FERC-725</w:t>
      </w:r>
      <w:r w:rsidR="00461AD2">
        <w:rPr>
          <w:rFonts w:ascii="Times New Roman" w:hAnsi="Times New Roman" w:cs="Times New Roman"/>
          <w:sz w:val="24"/>
          <w:szCs w:val="24"/>
        </w:rPr>
        <w:t>P</w:t>
      </w:r>
      <w:r w:rsidR="002A7C8C">
        <w:rPr>
          <w:rFonts w:ascii="Times New Roman" w:hAnsi="Times New Roman" w:cs="Times New Roman"/>
          <w:sz w:val="24"/>
          <w:szCs w:val="24"/>
        </w:rPr>
        <w:t>1</w:t>
      </w:r>
      <w:r w:rsidR="00674FD8">
        <w:rPr>
          <w:rFonts w:ascii="Times New Roman" w:hAnsi="Times New Roman" w:cs="Times New Roman"/>
          <w:sz w:val="24"/>
          <w:szCs w:val="24"/>
        </w:rPr>
        <w:t xml:space="preserve"> because there are no specific instruments used in the collection</w:t>
      </w:r>
      <w:r w:rsidRPr="00197A36">
        <w:rPr>
          <w:rFonts w:ascii="Times New Roman" w:hAnsi="Times New Roman" w:cs="Times New Roman"/>
          <w:sz w:val="24"/>
          <w:szCs w:val="24"/>
        </w:rPr>
        <w:t xml:space="preserve">. </w:t>
      </w:r>
    </w:p>
    <w:p w14:paraId="1493F1CB" w14:textId="77777777" w:rsidR="00C27D56" w:rsidRDefault="00C27D56" w:rsidP="00414F32">
      <w:pPr>
        <w:spacing w:after="0"/>
        <w:rPr>
          <w:rFonts w:ascii="Times New Roman" w:hAnsi="Times New Roman" w:cs="Times New Roman"/>
          <w:sz w:val="24"/>
          <w:szCs w:val="24"/>
        </w:rPr>
      </w:pPr>
    </w:p>
    <w:p w14:paraId="0AAFC6E6" w14:textId="77777777"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3"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146E2A58" w14:textId="77777777" w:rsidR="00197A36" w:rsidRPr="00414F32" w:rsidRDefault="00197A36" w:rsidP="00414F32">
      <w:pPr>
        <w:spacing w:after="0"/>
        <w:rPr>
          <w:rFonts w:ascii="Times New Roman" w:hAnsi="Times New Roman" w:cs="Times New Roman"/>
          <w:sz w:val="24"/>
          <w:szCs w:val="24"/>
        </w:rPr>
      </w:pPr>
    </w:p>
    <w:p w14:paraId="615B1BB4"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7F42A8E5" w14:textId="77777777" w:rsidR="00970FE4" w:rsidRDefault="00EE52C5" w:rsidP="0057700F">
      <w:pPr>
        <w:spacing w:after="0"/>
        <w:rPr>
          <w:rFonts w:ascii="Times New Roman" w:hAnsi="Times New Roman" w:cs="Times New Roman"/>
          <w:sz w:val="24"/>
          <w:szCs w:val="24"/>
        </w:rPr>
      </w:pPr>
      <w:r>
        <w:rPr>
          <w:rFonts w:ascii="Times New Roman" w:hAnsi="Times New Roman" w:cs="Times New Roman"/>
          <w:sz w:val="24"/>
          <w:szCs w:val="24"/>
        </w:rPr>
        <w:t xml:space="preserve">There are no exceptions. </w:t>
      </w:r>
    </w:p>
    <w:p w14:paraId="3B565799" w14:textId="77777777" w:rsidR="00EE52C5" w:rsidRDefault="00EE52C5" w:rsidP="0057700F">
      <w:pPr>
        <w:spacing w:after="0"/>
        <w:rPr>
          <w:rFonts w:ascii="Times New Roman" w:hAnsi="Times New Roman" w:cs="Times New Roman"/>
          <w:sz w:val="24"/>
          <w:szCs w:val="24"/>
        </w:rPr>
      </w:pPr>
    </w:p>
    <w:p w14:paraId="016440AC" w14:textId="528F53EE" w:rsidR="004B45D2" w:rsidRDefault="004B45D2" w:rsidP="004B45D2">
      <w:pPr>
        <w:spacing w:after="0"/>
        <w:rPr>
          <w:rFonts w:ascii="Times New Roman" w:hAnsi="Times New Roman" w:cs="Aharoni"/>
          <w:sz w:val="24"/>
          <w:szCs w:val="24"/>
        </w:rPr>
      </w:pPr>
      <w:bookmarkStart w:id="1" w:name="_GoBack"/>
      <w:bookmarkEnd w:id="1"/>
    </w:p>
    <w:p w14:paraId="737B0A21" w14:textId="00B959E3" w:rsidR="004B45D2" w:rsidRDefault="004B45D2" w:rsidP="004B45D2">
      <w:pPr>
        <w:rPr>
          <w:rFonts w:ascii="Times New Roman" w:hAnsi="Times New Roman" w:cs="Aharoni"/>
          <w:sz w:val="24"/>
          <w:szCs w:val="24"/>
        </w:rPr>
      </w:pPr>
    </w:p>
    <w:p w14:paraId="61BA0B4A" w14:textId="39500E12" w:rsidR="004B45D2" w:rsidRDefault="004B45D2">
      <w:pPr>
        <w:rPr>
          <w:rFonts w:ascii="Times New Roman" w:hAnsi="Times New Roman" w:cs="Aharoni"/>
          <w:sz w:val="24"/>
          <w:szCs w:val="24"/>
        </w:rPr>
      </w:pPr>
      <w:r>
        <w:rPr>
          <w:rFonts w:ascii="Times New Roman" w:hAnsi="Times New Roman" w:cs="Aharoni"/>
          <w:sz w:val="24"/>
          <w:szCs w:val="24"/>
        </w:rPr>
        <w:br w:type="page"/>
      </w:r>
    </w:p>
    <w:p w14:paraId="3FC243FD" w14:textId="7F89B266" w:rsidR="004B45D2" w:rsidRPr="00636377" w:rsidRDefault="004B45D2" w:rsidP="00636377">
      <w:pPr>
        <w:spacing w:after="0" w:line="240" w:lineRule="auto"/>
        <w:jc w:val="right"/>
        <w:rPr>
          <w:rFonts w:ascii="Arial" w:hAnsi="Arial" w:cs="Arial"/>
          <w:b/>
        </w:rPr>
      </w:pPr>
      <w:r w:rsidRPr="00636377">
        <w:rPr>
          <w:rFonts w:ascii="Arial" w:hAnsi="Arial" w:cs="Arial"/>
          <w:b/>
        </w:rPr>
        <w:lastRenderedPageBreak/>
        <w:t>ATTACHMENT A</w:t>
      </w:r>
    </w:p>
    <w:p w14:paraId="1AB72817" w14:textId="77777777" w:rsidR="004B45D2" w:rsidRDefault="004B45D2" w:rsidP="004B45D2">
      <w:pPr>
        <w:spacing w:after="0" w:line="240" w:lineRule="auto"/>
        <w:rPr>
          <w:rFonts w:ascii="Arial" w:hAnsi="Arial" w:cs="Arial"/>
        </w:rPr>
      </w:pPr>
    </w:p>
    <w:p w14:paraId="4465A7FE" w14:textId="77777777" w:rsidR="004B45D2" w:rsidRDefault="004B45D2" w:rsidP="004B45D2">
      <w:pPr>
        <w:spacing w:after="0" w:line="240" w:lineRule="auto"/>
        <w:rPr>
          <w:rFonts w:ascii="Arial" w:hAnsi="Arial" w:cs="Arial"/>
        </w:rPr>
      </w:pPr>
    </w:p>
    <w:p w14:paraId="18F4D9C6" w14:textId="44B70013" w:rsidR="004B45D2" w:rsidRPr="0002389C" w:rsidRDefault="004B45D2" w:rsidP="004B45D2">
      <w:pPr>
        <w:spacing w:after="0" w:line="240" w:lineRule="auto"/>
        <w:rPr>
          <w:rFonts w:ascii="Arial" w:hAnsi="Arial" w:cs="Arial"/>
        </w:rPr>
      </w:pPr>
      <w:r w:rsidRPr="0002389C">
        <w:rPr>
          <w:rFonts w:ascii="Arial" w:hAnsi="Arial" w:cs="Arial"/>
        </w:rPr>
        <w:t>As of 7/21/2015, the following FERC items</w:t>
      </w:r>
      <w:r>
        <w:rPr>
          <w:rFonts w:ascii="Arial" w:hAnsi="Arial" w:cs="Arial"/>
        </w:rPr>
        <w:t>,</w:t>
      </w:r>
      <w:r w:rsidRPr="0002389C">
        <w:rPr>
          <w:rFonts w:ascii="Arial" w:hAnsi="Arial" w:cs="Arial"/>
        </w:rPr>
        <w:t xml:space="preserve"> affecting </w:t>
      </w:r>
      <w:r>
        <w:rPr>
          <w:rFonts w:ascii="Arial" w:hAnsi="Arial" w:cs="Arial"/>
        </w:rPr>
        <w:t xml:space="preserve">part of </w:t>
      </w:r>
      <w:r w:rsidRPr="0002389C">
        <w:rPr>
          <w:rFonts w:ascii="Arial" w:hAnsi="Arial" w:cs="Arial"/>
        </w:rPr>
        <w:t>the PRC family of Reliability Standards</w:t>
      </w:r>
      <w:r>
        <w:rPr>
          <w:rFonts w:ascii="Arial" w:hAnsi="Arial" w:cs="Arial"/>
        </w:rPr>
        <w:t>,</w:t>
      </w:r>
      <w:r w:rsidRPr="0002389C">
        <w:rPr>
          <w:rFonts w:ascii="Arial" w:hAnsi="Arial" w:cs="Arial"/>
        </w:rPr>
        <w:t xml:space="preserve"> are pending OMB</w:t>
      </w:r>
      <w:r>
        <w:rPr>
          <w:rFonts w:ascii="Arial" w:hAnsi="Arial" w:cs="Arial"/>
        </w:rPr>
        <w:t>’s PRA</w:t>
      </w:r>
      <w:r w:rsidRPr="0002389C">
        <w:rPr>
          <w:rFonts w:ascii="Arial" w:hAnsi="Arial" w:cs="Arial"/>
        </w:rPr>
        <w:t xml:space="preserve"> review.  </w:t>
      </w:r>
      <w:r>
        <w:rPr>
          <w:rFonts w:ascii="Arial" w:hAnsi="Arial" w:cs="Arial"/>
        </w:rPr>
        <w:t>I</w:t>
      </w:r>
      <w:r w:rsidRPr="0002389C">
        <w:rPr>
          <w:rFonts w:ascii="Arial" w:hAnsi="Arial" w:cs="Arial"/>
        </w:rPr>
        <w:t xml:space="preserve">n the future when there are not </w:t>
      </w:r>
      <w:r>
        <w:rPr>
          <w:rFonts w:ascii="Arial" w:hAnsi="Arial" w:cs="Arial"/>
        </w:rPr>
        <w:t xml:space="preserve">multiple </w:t>
      </w:r>
      <w:r w:rsidRPr="0002389C">
        <w:rPr>
          <w:rFonts w:ascii="Arial" w:hAnsi="Arial" w:cs="Arial"/>
        </w:rPr>
        <w:t xml:space="preserve">pending </w:t>
      </w:r>
      <w:r>
        <w:rPr>
          <w:rFonts w:ascii="Arial" w:hAnsi="Arial" w:cs="Arial"/>
        </w:rPr>
        <w:t xml:space="preserve">PRC-related </w:t>
      </w:r>
      <w:r w:rsidRPr="0002389C">
        <w:rPr>
          <w:rFonts w:ascii="Arial" w:hAnsi="Arial" w:cs="Arial"/>
        </w:rPr>
        <w:t>activities</w:t>
      </w:r>
      <w:r>
        <w:rPr>
          <w:rFonts w:ascii="Arial" w:hAnsi="Arial" w:cs="Arial"/>
        </w:rPr>
        <w:t xml:space="preserve"> (such as pending docket activities at FERC or ICRs at OMB), </w:t>
      </w:r>
      <w:r w:rsidRPr="0002389C">
        <w:rPr>
          <w:rFonts w:ascii="Arial" w:hAnsi="Arial" w:cs="Arial"/>
        </w:rPr>
        <w:t xml:space="preserve">FERC Staff plans to </w:t>
      </w:r>
      <w:r>
        <w:rPr>
          <w:rFonts w:ascii="Arial" w:hAnsi="Arial" w:cs="Arial"/>
        </w:rPr>
        <w:t xml:space="preserve">try to </w:t>
      </w:r>
      <w:r w:rsidRPr="0002389C">
        <w:rPr>
          <w:rFonts w:ascii="Arial" w:hAnsi="Arial" w:cs="Arial"/>
        </w:rPr>
        <w:t xml:space="preserve">move the PRC Standards </w:t>
      </w:r>
      <w:r>
        <w:rPr>
          <w:rFonts w:ascii="Arial" w:hAnsi="Arial" w:cs="Arial"/>
        </w:rPr>
        <w:t xml:space="preserve">and burden </w:t>
      </w:r>
      <w:r w:rsidRPr="0002389C">
        <w:rPr>
          <w:rFonts w:ascii="Arial" w:hAnsi="Arial" w:cs="Arial"/>
        </w:rPr>
        <w:t>(e.g., in the following FERC-725G4, FERC-725G2, and FERC-725P1</w:t>
      </w:r>
      <w:r w:rsidR="00EB7966">
        <w:rPr>
          <w:rFonts w:ascii="Arial" w:hAnsi="Arial" w:cs="Arial"/>
        </w:rPr>
        <w:t xml:space="preserve"> [the proposed requirements discussed in this supporting statement]</w:t>
      </w:r>
      <w:r w:rsidRPr="0002389C">
        <w:rPr>
          <w:rFonts w:ascii="Arial" w:hAnsi="Arial" w:cs="Arial"/>
        </w:rPr>
        <w:t xml:space="preserve">) to the FERC-725G </w:t>
      </w:r>
      <w:r>
        <w:rPr>
          <w:rFonts w:ascii="Arial" w:hAnsi="Arial" w:cs="Arial"/>
        </w:rPr>
        <w:t xml:space="preserve">collection to consolidate the PRC requirements. </w:t>
      </w:r>
    </w:p>
    <w:p w14:paraId="045349D7" w14:textId="77777777" w:rsidR="004B45D2" w:rsidRDefault="004B45D2" w:rsidP="004B45D2">
      <w:pPr>
        <w:spacing w:after="0" w:line="240" w:lineRule="auto"/>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530"/>
        <w:gridCol w:w="1620"/>
        <w:gridCol w:w="1800"/>
        <w:gridCol w:w="4050"/>
      </w:tblGrid>
      <w:tr w:rsidR="004B45D2" w14:paraId="4DBE5293" w14:textId="77777777" w:rsidTr="00636377">
        <w:trPr>
          <w:trHeight w:val="79"/>
        </w:trPr>
        <w:tc>
          <w:tcPr>
            <w:tcW w:w="1440" w:type="dxa"/>
            <w:vAlign w:val="bottom"/>
          </w:tcPr>
          <w:p w14:paraId="0A446678" w14:textId="77777777" w:rsidR="004B45D2" w:rsidRPr="00636377" w:rsidRDefault="004B45D2" w:rsidP="00636377">
            <w:pPr>
              <w:spacing w:after="0" w:line="240" w:lineRule="auto"/>
              <w:jc w:val="center"/>
              <w:rPr>
                <w:rFonts w:ascii="Arial" w:hAnsi="Arial" w:cs="Arial"/>
                <w:b/>
                <w:sz w:val="24"/>
                <w:szCs w:val="24"/>
              </w:rPr>
            </w:pPr>
            <w:r w:rsidRPr="00636377">
              <w:rPr>
                <w:rFonts w:ascii="Arial" w:hAnsi="Arial" w:cs="Arial"/>
                <w:b/>
                <w:sz w:val="24"/>
                <w:szCs w:val="24"/>
              </w:rPr>
              <w:t>OMB Control No.</w:t>
            </w:r>
          </w:p>
        </w:tc>
        <w:tc>
          <w:tcPr>
            <w:tcW w:w="1530" w:type="dxa"/>
            <w:vAlign w:val="bottom"/>
          </w:tcPr>
          <w:p w14:paraId="7D1BC742" w14:textId="77777777" w:rsidR="004B45D2" w:rsidRPr="00636377" w:rsidRDefault="004B45D2" w:rsidP="00EB7966">
            <w:pPr>
              <w:spacing w:after="0" w:line="240" w:lineRule="auto"/>
              <w:jc w:val="center"/>
              <w:rPr>
                <w:rFonts w:ascii="Arial" w:hAnsi="Arial" w:cs="Arial"/>
                <w:b/>
                <w:sz w:val="24"/>
                <w:szCs w:val="24"/>
              </w:rPr>
            </w:pPr>
            <w:r w:rsidRPr="00636377">
              <w:rPr>
                <w:rFonts w:ascii="Arial" w:hAnsi="Arial" w:cs="Arial"/>
                <w:b/>
                <w:sz w:val="24"/>
                <w:szCs w:val="24"/>
              </w:rPr>
              <w:t>ICR No.</w:t>
            </w:r>
          </w:p>
        </w:tc>
        <w:tc>
          <w:tcPr>
            <w:tcW w:w="1620" w:type="dxa"/>
            <w:vAlign w:val="bottom"/>
          </w:tcPr>
          <w:p w14:paraId="2DB81BA0" w14:textId="77777777" w:rsidR="004B45D2" w:rsidRPr="00636377" w:rsidRDefault="004B45D2" w:rsidP="00636377">
            <w:pPr>
              <w:spacing w:after="0" w:line="240" w:lineRule="auto"/>
              <w:jc w:val="center"/>
              <w:rPr>
                <w:rFonts w:ascii="Arial" w:hAnsi="Arial" w:cs="Arial"/>
                <w:b/>
                <w:sz w:val="24"/>
                <w:szCs w:val="24"/>
              </w:rPr>
            </w:pPr>
            <w:r w:rsidRPr="00636377">
              <w:rPr>
                <w:rFonts w:ascii="Arial" w:hAnsi="Arial" w:cs="Arial"/>
                <w:b/>
                <w:sz w:val="24"/>
                <w:szCs w:val="24"/>
              </w:rPr>
              <w:t>Date Submitted to OMB for PRA Review</w:t>
            </w:r>
          </w:p>
        </w:tc>
        <w:tc>
          <w:tcPr>
            <w:tcW w:w="1800" w:type="dxa"/>
            <w:vAlign w:val="bottom"/>
          </w:tcPr>
          <w:p w14:paraId="0B088B24" w14:textId="77777777" w:rsidR="004B45D2" w:rsidRPr="00636377" w:rsidRDefault="004B45D2" w:rsidP="00636377">
            <w:pPr>
              <w:spacing w:after="0" w:line="240" w:lineRule="auto"/>
              <w:jc w:val="center"/>
              <w:rPr>
                <w:rFonts w:ascii="Arial" w:hAnsi="Arial" w:cs="Arial"/>
                <w:b/>
                <w:sz w:val="24"/>
                <w:szCs w:val="24"/>
              </w:rPr>
            </w:pPr>
            <w:r w:rsidRPr="00636377">
              <w:rPr>
                <w:rFonts w:ascii="Arial" w:hAnsi="Arial" w:cs="Arial"/>
                <w:b/>
                <w:sz w:val="24"/>
                <w:szCs w:val="24"/>
              </w:rPr>
              <w:t>FERC ‘Form’ No.</w:t>
            </w:r>
          </w:p>
        </w:tc>
        <w:tc>
          <w:tcPr>
            <w:tcW w:w="4050" w:type="dxa"/>
            <w:vAlign w:val="bottom"/>
          </w:tcPr>
          <w:p w14:paraId="61CE9887" w14:textId="77777777" w:rsidR="004B45D2" w:rsidRPr="00636377" w:rsidRDefault="004B45D2" w:rsidP="00636377">
            <w:pPr>
              <w:spacing w:after="0" w:line="240" w:lineRule="auto"/>
              <w:jc w:val="center"/>
              <w:rPr>
                <w:rFonts w:ascii="Arial" w:hAnsi="Arial" w:cs="Arial"/>
                <w:b/>
                <w:sz w:val="24"/>
                <w:szCs w:val="24"/>
              </w:rPr>
            </w:pPr>
            <w:r w:rsidRPr="00636377">
              <w:rPr>
                <w:rFonts w:ascii="Arial" w:hAnsi="Arial" w:cs="Arial"/>
                <w:b/>
                <w:sz w:val="24"/>
                <w:szCs w:val="24"/>
              </w:rPr>
              <w:t>FERC Collection Title</w:t>
            </w:r>
          </w:p>
        </w:tc>
      </w:tr>
      <w:tr w:rsidR="004B45D2" w14:paraId="757615EC" w14:textId="77777777" w:rsidTr="00AF5630">
        <w:trPr>
          <w:trHeight w:val="76"/>
        </w:trPr>
        <w:tc>
          <w:tcPr>
            <w:tcW w:w="1440" w:type="dxa"/>
          </w:tcPr>
          <w:p w14:paraId="1972C1F3" w14:textId="77777777" w:rsidR="004B45D2" w:rsidRDefault="004B45D2" w:rsidP="00AF5630">
            <w:pPr>
              <w:spacing w:after="0" w:line="240" w:lineRule="auto"/>
            </w:pPr>
          </w:p>
        </w:tc>
        <w:tc>
          <w:tcPr>
            <w:tcW w:w="1530" w:type="dxa"/>
          </w:tcPr>
          <w:p w14:paraId="62873402" w14:textId="77777777" w:rsidR="004B45D2" w:rsidRPr="00DD0F81" w:rsidRDefault="004B45D2" w:rsidP="00AF5630">
            <w:pPr>
              <w:spacing w:after="0" w:line="240" w:lineRule="auto"/>
              <w:rPr>
                <w:rFonts w:ascii="Arial" w:eastAsia="Times New Roman" w:hAnsi="Arial" w:cs="Arial"/>
                <w:color w:val="000000"/>
                <w:sz w:val="24"/>
                <w:szCs w:val="24"/>
              </w:rPr>
            </w:pPr>
            <w:hyperlink r:id="rId14" w:tooltip="View Submitted ICR" w:history="1">
              <w:r w:rsidRPr="00DD0F81">
                <w:rPr>
                  <w:rFonts w:ascii="Arial" w:eastAsia="Times New Roman" w:hAnsi="Arial" w:cs="Arial"/>
                  <w:color w:val="153870"/>
                  <w:sz w:val="24"/>
                  <w:szCs w:val="24"/>
                  <w:u w:val="single"/>
                </w:rPr>
                <w:t>201507-1902-005</w:t>
              </w:r>
            </w:hyperlink>
          </w:p>
        </w:tc>
        <w:tc>
          <w:tcPr>
            <w:tcW w:w="1620" w:type="dxa"/>
          </w:tcPr>
          <w:p w14:paraId="77E31B6C" w14:textId="77777777" w:rsidR="004B45D2" w:rsidRPr="00DD0F81" w:rsidRDefault="004B45D2" w:rsidP="00AF5630">
            <w:pPr>
              <w:spacing w:after="0" w:line="240" w:lineRule="auto"/>
              <w:rPr>
                <w:rFonts w:ascii="Arial" w:eastAsia="Times New Roman" w:hAnsi="Arial" w:cs="Arial"/>
                <w:color w:val="000000"/>
                <w:sz w:val="24"/>
                <w:szCs w:val="24"/>
              </w:rPr>
            </w:pPr>
            <w:r w:rsidRPr="00DD0F81">
              <w:rPr>
                <w:rFonts w:ascii="Arial" w:eastAsia="Times New Roman" w:hAnsi="Arial" w:cs="Arial"/>
                <w:color w:val="000000"/>
                <w:sz w:val="24"/>
                <w:szCs w:val="24"/>
              </w:rPr>
              <w:t>07/20/2015</w:t>
            </w:r>
          </w:p>
        </w:tc>
        <w:tc>
          <w:tcPr>
            <w:tcW w:w="1800" w:type="dxa"/>
          </w:tcPr>
          <w:p w14:paraId="5E9FF13F" w14:textId="77777777" w:rsidR="004B45D2" w:rsidRPr="00DD0F81" w:rsidRDefault="004B45D2" w:rsidP="00AF5630">
            <w:pPr>
              <w:spacing w:after="0" w:line="240" w:lineRule="auto"/>
              <w:rPr>
                <w:rFonts w:ascii="Arial" w:eastAsia="Times New Roman" w:hAnsi="Arial" w:cs="Arial"/>
                <w:color w:val="000000"/>
                <w:sz w:val="24"/>
                <w:szCs w:val="24"/>
              </w:rPr>
            </w:pPr>
            <w:r w:rsidRPr="00DD0F81">
              <w:rPr>
                <w:rFonts w:ascii="Arial" w:eastAsia="Times New Roman" w:hAnsi="Arial" w:cs="Arial"/>
                <w:color w:val="000000"/>
                <w:sz w:val="24"/>
                <w:szCs w:val="24"/>
              </w:rPr>
              <w:t>FERC-725G4</w:t>
            </w:r>
          </w:p>
        </w:tc>
        <w:tc>
          <w:tcPr>
            <w:tcW w:w="4050" w:type="dxa"/>
          </w:tcPr>
          <w:p w14:paraId="38F6F732" w14:textId="77777777" w:rsidR="004B45D2" w:rsidRPr="00DD0F81" w:rsidRDefault="004B45D2" w:rsidP="00AF5630">
            <w:pPr>
              <w:spacing w:after="0" w:line="240" w:lineRule="auto"/>
              <w:rPr>
                <w:rFonts w:ascii="Arial" w:eastAsia="Times New Roman" w:hAnsi="Arial" w:cs="Arial"/>
                <w:color w:val="000000"/>
                <w:sz w:val="24"/>
                <w:szCs w:val="24"/>
              </w:rPr>
            </w:pPr>
            <w:r w:rsidRPr="00DD0F81">
              <w:rPr>
                <w:rFonts w:ascii="Arial" w:eastAsia="Times New Roman" w:hAnsi="Arial" w:cs="Arial"/>
                <w:color w:val="000000"/>
                <w:sz w:val="24"/>
                <w:szCs w:val="24"/>
              </w:rPr>
              <w:t>FERC-725G4, (NOPR in RM15-7, RM15-12, &amp; RM15-13) Mandatory Reliability Standards: Reliability Standard PRC-010-1 (Undervoltage Load Shedding)</w:t>
            </w:r>
          </w:p>
        </w:tc>
      </w:tr>
      <w:tr w:rsidR="004B45D2" w14:paraId="061AD0BD" w14:textId="77777777" w:rsidTr="00AF5630">
        <w:trPr>
          <w:trHeight w:val="76"/>
        </w:trPr>
        <w:tc>
          <w:tcPr>
            <w:tcW w:w="1440" w:type="dxa"/>
          </w:tcPr>
          <w:p w14:paraId="4E33F9FE" w14:textId="77777777" w:rsidR="004B45D2" w:rsidRPr="00DD0F81" w:rsidRDefault="004B45D2" w:rsidP="00AF5630">
            <w:pPr>
              <w:spacing w:after="0" w:line="240" w:lineRule="auto"/>
              <w:rPr>
                <w:rFonts w:ascii="Arial" w:eastAsia="Times New Roman" w:hAnsi="Arial" w:cs="Arial"/>
                <w:color w:val="000000"/>
                <w:sz w:val="24"/>
                <w:szCs w:val="24"/>
              </w:rPr>
            </w:pPr>
            <w:hyperlink r:id="rId15" w:tooltip="OMB Control Number History" w:history="1">
              <w:r w:rsidRPr="00DD0F81">
                <w:rPr>
                  <w:rFonts w:ascii="Arial" w:eastAsia="Times New Roman" w:hAnsi="Arial" w:cs="Arial"/>
                  <w:color w:val="153870"/>
                  <w:sz w:val="24"/>
                  <w:szCs w:val="24"/>
                  <w:u w:val="single"/>
                </w:rPr>
                <w:t>1902-0252</w:t>
              </w:r>
            </w:hyperlink>
          </w:p>
        </w:tc>
        <w:tc>
          <w:tcPr>
            <w:tcW w:w="1530" w:type="dxa"/>
          </w:tcPr>
          <w:p w14:paraId="3B0A5778" w14:textId="77777777" w:rsidR="004B45D2" w:rsidRPr="00DD0F81" w:rsidRDefault="004B45D2" w:rsidP="00AF5630">
            <w:pPr>
              <w:spacing w:after="0" w:line="240" w:lineRule="auto"/>
              <w:rPr>
                <w:rFonts w:ascii="Arial" w:eastAsia="Times New Roman" w:hAnsi="Arial" w:cs="Arial"/>
                <w:color w:val="000000"/>
                <w:sz w:val="24"/>
                <w:szCs w:val="24"/>
              </w:rPr>
            </w:pPr>
            <w:hyperlink r:id="rId16" w:tooltip="View Submitted ICR" w:history="1">
              <w:r w:rsidRPr="00DD0F81">
                <w:rPr>
                  <w:rFonts w:ascii="Arial" w:eastAsia="Times New Roman" w:hAnsi="Arial" w:cs="Arial"/>
                  <w:color w:val="153870"/>
                  <w:sz w:val="24"/>
                  <w:szCs w:val="24"/>
                  <w:u w:val="single"/>
                </w:rPr>
                <w:t>201502-1902-004</w:t>
              </w:r>
            </w:hyperlink>
          </w:p>
        </w:tc>
        <w:tc>
          <w:tcPr>
            <w:tcW w:w="1620" w:type="dxa"/>
          </w:tcPr>
          <w:p w14:paraId="16CA7A67" w14:textId="77777777" w:rsidR="004B45D2" w:rsidRPr="00DD0F81" w:rsidRDefault="004B45D2" w:rsidP="00AF5630">
            <w:pPr>
              <w:spacing w:after="0" w:line="240" w:lineRule="auto"/>
              <w:rPr>
                <w:rFonts w:ascii="Arial" w:eastAsia="Times New Roman" w:hAnsi="Arial" w:cs="Arial"/>
                <w:color w:val="000000"/>
                <w:sz w:val="24"/>
                <w:szCs w:val="24"/>
              </w:rPr>
            </w:pPr>
            <w:r w:rsidRPr="00DD0F81">
              <w:rPr>
                <w:rFonts w:ascii="Arial" w:eastAsia="Times New Roman" w:hAnsi="Arial" w:cs="Arial"/>
                <w:color w:val="000000"/>
                <w:sz w:val="24"/>
                <w:szCs w:val="24"/>
              </w:rPr>
              <w:t>05/28/2015</w:t>
            </w:r>
          </w:p>
        </w:tc>
        <w:tc>
          <w:tcPr>
            <w:tcW w:w="1800" w:type="dxa"/>
          </w:tcPr>
          <w:p w14:paraId="70C672CB" w14:textId="77777777" w:rsidR="004B45D2" w:rsidRPr="00DD0F81" w:rsidRDefault="004B45D2" w:rsidP="00AF5630">
            <w:pPr>
              <w:spacing w:after="0" w:line="240" w:lineRule="auto"/>
              <w:rPr>
                <w:rFonts w:ascii="Arial" w:eastAsia="Times New Roman" w:hAnsi="Arial" w:cs="Arial"/>
                <w:color w:val="000000"/>
                <w:sz w:val="24"/>
                <w:szCs w:val="24"/>
              </w:rPr>
            </w:pPr>
            <w:r w:rsidRPr="00DD0F81">
              <w:rPr>
                <w:rFonts w:ascii="Arial" w:eastAsia="Times New Roman" w:hAnsi="Arial" w:cs="Arial"/>
                <w:color w:val="000000"/>
                <w:sz w:val="24"/>
                <w:szCs w:val="24"/>
              </w:rPr>
              <w:t>FERC-725G</w:t>
            </w:r>
          </w:p>
        </w:tc>
        <w:tc>
          <w:tcPr>
            <w:tcW w:w="4050" w:type="dxa"/>
          </w:tcPr>
          <w:p w14:paraId="082ECA7D" w14:textId="77777777" w:rsidR="004B45D2" w:rsidRPr="00DD0F81" w:rsidRDefault="004B45D2" w:rsidP="00AF5630">
            <w:pPr>
              <w:spacing w:after="0" w:line="240" w:lineRule="auto"/>
              <w:rPr>
                <w:rFonts w:ascii="Arial" w:eastAsia="Times New Roman" w:hAnsi="Arial" w:cs="Arial"/>
                <w:color w:val="000000"/>
                <w:sz w:val="24"/>
                <w:szCs w:val="24"/>
              </w:rPr>
            </w:pPr>
            <w:r w:rsidRPr="00DD0F81">
              <w:rPr>
                <w:rFonts w:ascii="Arial" w:eastAsia="Times New Roman" w:hAnsi="Arial" w:cs="Arial"/>
                <w:color w:val="000000"/>
                <w:sz w:val="24"/>
                <w:szCs w:val="24"/>
              </w:rPr>
              <w:t>FERC-725G (Order in RD15-2; on PRC-006-2 ) Mandatory Reliability Standards for the Bulk-Power System: PRC Standards</w:t>
            </w:r>
          </w:p>
        </w:tc>
      </w:tr>
      <w:tr w:rsidR="004B45D2" w14:paraId="01EF5E1C" w14:textId="77777777" w:rsidTr="00AF5630">
        <w:trPr>
          <w:trHeight w:val="76"/>
        </w:trPr>
        <w:tc>
          <w:tcPr>
            <w:tcW w:w="1440" w:type="dxa"/>
          </w:tcPr>
          <w:p w14:paraId="4DC6A665" w14:textId="77777777" w:rsidR="004B45D2" w:rsidRDefault="004B45D2" w:rsidP="00AF5630">
            <w:pPr>
              <w:spacing w:after="0" w:line="240" w:lineRule="auto"/>
            </w:pPr>
          </w:p>
        </w:tc>
        <w:tc>
          <w:tcPr>
            <w:tcW w:w="1530" w:type="dxa"/>
          </w:tcPr>
          <w:p w14:paraId="58EA5252" w14:textId="77777777" w:rsidR="004B45D2" w:rsidRPr="00DD0F81" w:rsidRDefault="004B45D2" w:rsidP="00AF5630">
            <w:pPr>
              <w:spacing w:after="0" w:line="240" w:lineRule="auto"/>
              <w:rPr>
                <w:rFonts w:ascii="Arial" w:eastAsia="Times New Roman" w:hAnsi="Arial" w:cs="Arial"/>
                <w:color w:val="000000"/>
                <w:sz w:val="24"/>
                <w:szCs w:val="24"/>
              </w:rPr>
            </w:pPr>
            <w:hyperlink r:id="rId17" w:tooltip="View Submitted ICR" w:history="1">
              <w:r w:rsidRPr="00DD0F81">
                <w:rPr>
                  <w:rFonts w:ascii="Arial" w:eastAsia="Times New Roman" w:hAnsi="Arial" w:cs="Arial"/>
                  <w:color w:val="153870"/>
                  <w:sz w:val="24"/>
                  <w:szCs w:val="24"/>
                  <w:u w:val="single"/>
                </w:rPr>
                <w:t>201505-1902-003</w:t>
              </w:r>
            </w:hyperlink>
          </w:p>
        </w:tc>
        <w:tc>
          <w:tcPr>
            <w:tcW w:w="1620" w:type="dxa"/>
          </w:tcPr>
          <w:p w14:paraId="306507A1" w14:textId="77777777" w:rsidR="004B45D2" w:rsidRPr="00DD0F81" w:rsidRDefault="004B45D2" w:rsidP="00AF5630">
            <w:pPr>
              <w:spacing w:after="0" w:line="240" w:lineRule="auto"/>
              <w:rPr>
                <w:rFonts w:ascii="Arial" w:eastAsia="Times New Roman" w:hAnsi="Arial" w:cs="Arial"/>
                <w:color w:val="000000"/>
                <w:sz w:val="24"/>
                <w:szCs w:val="24"/>
              </w:rPr>
            </w:pPr>
            <w:r w:rsidRPr="00DD0F81">
              <w:rPr>
                <w:rFonts w:ascii="Arial" w:eastAsia="Times New Roman" w:hAnsi="Arial" w:cs="Arial"/>
                <w:color w:val="000000"/>
                <w:sz w:val="24"/>
                <w:szCs w:val="24"/>
              </w:rPr>
              <w:t>05/27/2015</w:t>
            </w:r>
          </w:p>
        </w:tc>
        <w:tc>
          <w:tcPr>
            <w:tcW w:w="1800" w:type="dxa"/>
          </w:tcPr>
          <w:p w14:paraId="2EE27E49" w14:textId="77777777" w:rsidR="004B45D2" w:rsidRPr="00DD0F81" w:rsidRDefault="004B45D2" w:rsidP="00AF5630">
            <w:pPr>
              <w:spacing w:after="0" w:line="240" w:lineRule="auto"/>
              <w:rPr>
                <w:rFonts w:ascii="Arial" w:eastAsia="Times New Roman" w:hAnsi="Arial" w:cs="Arial"/>
                <w:color w:val="000000"/>
                <w:sz w:val="24"/>
                <w:szCs w:val="24"/>
              </w:rPr>
            </w:pPr>
            <w:r w:rsidRPr="00DD0F81">
              <w:rPr>
                <w:rFonts w:ascii="Arial" w:eastAsia="Times New Roman" w:hAnsi="Arial" w:cs="Arial"/>
                <w:color w:val="000000"/>
                <w:sz w:val="24"/>
                <w:szCs w:val="24"/>
              </w:rPr>
              <w:t>FERC-725G2</w:t>
            </w:r>
          </w:p>
        </w:tc>
        <w:tc>
          <w:tcPr>
            <w:tcW w:w="4050" w:type="dxa"/>
          </w:tcPr>
          <w:p w14:paraId="42138558" w14:textId="77777777" w:rsidR="004B45D2" w:rsidRPr="00DD0F81" w:rsidRDefault="004B45D2" w:rsidP="00AF5630">
            <w:pPr>
              <w:spacing w:after="0" w:line="240" w:lineRule="auto"/>
              <w:rPr>
                <w:rFonts w:ascii="Arial" w:eastAsia="Times New Roman" w:hAnsi="Arial" w:cs="Arial"/>
                <w:color w:val="000000"/>
                <w:sz w:val="24"/>
                <w:szCs w:val="24"/>
              </w:rPr>
            </w:pPr>
            <w:r w:rsidRPr="00DD0F81">
              <w:rPr>
                <w:rFonts w:ascii="Arial" w:eastAsia="Times New Roman" w:hAnsi="Arial" w:cs="Arial"/>
                <w:color w:val="000000"/>
                <w:sz w:val="24"/>
                <w:szCs w:val="24"/>
              </w:rPr>
              <w:t>FERC-725G2, [NOPR in RM15-4] Reliability Standard: Disturbance Monitoring and Reporting Requirements</w:t>
            </w:r>
          </w:p>
        </w:tc>
      </w:tr>
      <w:tr w:rsidR="004B45D2" w14:paraId="139B4B82" w14:textId="77777777" w:rsidTr="00AF5630">
        <w:trPr>
          <w:trHeight w:val="76"/>
        </w:trPr>
        <w:tc>
          <w:tcPr>
            <w:tcW w:w="1440" w:type="dxa"/>
          </w:tcPr>
          <w:p w14:paraId="56FA032E" w14:textId="77777777" w:rsidR="004B45D2" w:rsidRDefault="004B45D2" w:rsidP="00AF5630">
            <w:pPr>
              <w:spacing w:after="0" w:line="240" w:lineRule="auto"/>
            </w:pPr>
          </w:p>
        </w:tc>
        <w:tc>
          <w:tcPr>
            <w:tcW w:w="1530" w:type="dxa"/>
          </w:tcPr>
          <w:p w14:paraId="5058DF98" w14:textId="77777777" w:rsidR="004B45D2" w:rsidRPr="00DD0F81" w:rsidRDefault="004B45D2" w:rsidP="00AF5630">
            <w:pPr>
              <w:spacing w:after="0" w:line="240" w:lineRule="auto"/>
              <w:rPr>
                <w:rFonts w:ascii="Arial" w:eastAsia="Times New Roman" w:hAnsi="Arial" w:cs="Arial"/>
                <w:color w:val="000000"/>
                <w:sz w:val="24"/>
                <w:szCs w:val="24"/>
              </w:rPr>
            </w:pPr>
            <w:hyperlink r:id="rId18" w:tooltip="View Submitted ICR" w:history="1">
              <w:r w:rsidRPr="00DD0F81">
                <w:rPr>
                  <w:rFonts w:ascii="Arial" w:eastAsia="Times New Roman" w:hAnsi="Arial" w:cs="Arial"/>
                  <w:color w:val="153870"/>
                  <w:sz w:val="24"/>
                  <w:szCs w:val="24"/>
                  <w:u w:val="single"/>
                </w:rPr>
                <w:t>201504-1902-006</w:t>
              </w:r>
            </w:hyperlink>
          </w:p>
        </w:tc>
        <w:tc>
          <w:tcPr>
            <w:tcW w:w="1620" w:type="dxa"/>
          </w:tcPr>
          <w:p w14:paraId="7C869990" w14:textId="77777777" w:rsidR="004B45D2" w:rsidRPr="00DD0F81" w:rsidRDefault="004B45D2" w:rsidP="00AF5630">
            <w:pPr>
              <w:spacing w:after="0" w:line="240" w:lineRule="auto"/>
              <w:rPr>
                <w:rFonts w:ascii="Arial" w:eastAsia="Times New Roman" w:hAnsi="Arial" w:cs="Arial"/>
                <w:color w:val="000000"/>
                <w:sz w:val="24"/>
                <w:szCs w:val="24"/>
              </w:rPr>
            </w:pPr>
            <w:r w:rsidRPr="00DD0F81">
              <w:rPr>
                <w:rFonts w:ascii="Arial" w:eastAsia="Times New Roman" w:hAnsi="Arial" w:cs="Arial"/>
                <w:color w:val="000000"/>
                <w:sz w:val="24"/>
                <w:szCs w:val="24"/>
              </w:rPr>
              <w:t>04/28/2015</w:t>
            </w:r>
          </w:p>
        </w:tc>
        <w:tc>
          <w:tcPr>
            <w:tcW w:w="1800" w:type="dxa"/>
          </w:tcPr>
          <w:p w14:paraId="52BE373A" w14:textId="77777777" w:rsidR="004B45D2" w:rsidRPr="00DD0F81" w:rsidRDefault="004B45D2" w:rsidP="00AF5630">
            <w:pPr>
              <w:spacing w:after="0" w:line="240" w:lineRule="auto"/>
              <w:rPr>
                <w:rFonts w:ascii="Arial" w:eastAsia="Times New Roman" w:hAnsi="Arial" w:cs="Arial"/>
                <w:color w:val="000000"/>
                <w:sz w:val="24"/>
                <w:szCs w:val="24"/>
              </w:rPr>
            </w:pPr>
            <w:r w:rsidRPr="00DD0F81">
              <w:rPr>
                <w:rFonts w:ascii="Arial" w:eastAsia="Times New Roman" w:hAnsi="Arial" w:cs="Arial"/>
                <w:color w:val="000000"/>
                <w:sz w:val="24"/>
                <w:szCs w:val="24"/>
              </w:rPr>
              <w:t>FERC-725P1</w:t>
            </w:r>
          </w:p>
        </w:tc>
        <w:tc>
          <w:tcPr>
            <w:tcW w:w="4050" w:type="dxa"/>
          </w:tcPr>
          <w:p w14:paraId="665986F5" w14:textId="77777777" w:rsidR="004B45D2" w:rsidRPr="00DD0F81" w:rsidRDefault="004B45D2" w:rsidP="00AF5630">
            <w:pPr>
              <w:spacing w:after="0" w:line="240" w:lineRule="auto"/>
              <w:rPr>
                <w:rFonts w:ascii="Arial" w:eastAsia="Times New Roman" w:hAnsi="Arial" w:cs="Arial"/>
                <w:color w:val="000000"/>
                <w:sz w:val="24"/>
                <w:szCs w:val="24"/>
              </w:rPr>
            </w:pPr>
            <w:r w:rsidRPr="00DD0F81">
              <w:rPr>
                <w:rFonts w:ascii="Arial" w:eastAsia="Times New Roman" w:hAnsi="Arial" w:cs="Arial"/>
                <w:color w:val="000000"/>
                <w:sz w:val="24"/>
                <w:szCs w:val="24"/>
              </w:rPr>
              <w:t>FERC-725P1 (RM15-9-000, NOPR) Mandatory Reliability Standards, PRC-005-4 Reliability Standard</w:t>
            </w:r>
          </w:p>
        </w:tc>
      </w:tr>
    </w:tbl>
    <w:p w14:paraId="47AC8049" w14:textId="77777777" w:rsidR="004B45D2" w:rsidRDefault="004B45D2" w:rsidP="004B45D2"/>
    <w:p w14:paraId="4F3894F7" w14:textId="77777777" w:rsidR="00414F32" w:rsidRPr="004B45D2" w:rsidRDefault="00414F32" w:rsidP="00636377">
      <w:pPr>
        <w:rPr>
          <w:rFonts w:ascii="Times New Roman" w:hAnsi="Times New Roman" w:cs="Aharoni"/>
          <w:sz w:val="24"/>
          <w:szCs w:val="24"/>
        </w:rPr>
      </w:pPr>
    </w:p>
    <w:sectPr w:rsidR="00414F32" w:rsidRPr="004B45D2" w:rsidSect="0078612A">
      <w:headerReference w:type="default" r:id="rId19"/>
      <w:footerReference w:type="default" r:id="rId2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2B29E3" w15:done="0"/>
  <w15:commentEx w15:paraId="24F68A93" w15:done="0"/>
  <w15:commentEx w15:paraId="2545CDAB" w15:done="0"/>
  <w15:commentEx w15:paraId="4F3C66DE" w15:done="0"/>
  <w15:commentEx w15:paraId="38473A39" w15:done="0"/>
  <w15:commentEx w15:paraId="3E8196EE" w15:done="0"/>
  <w15:commentEx w15:paraId="3D460D11" w15:done="0"/>
  <w15:commentEx w15:paraId="4D10B4D5" w15:done="0"/>
  <w15:commentEx w15:paraId="190D8CD2" w15:done="0"/>
  <w15:commentEx w15:paraId="144081A6" w15:done="0"/>
  <w15:commentEx w15:paraId="4B4A9F2B" w15:done="0"/>
  <w15:commentEx w15:paraId="08C8FF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1BDFB" w14:textId="77777777" w:rsidR="00AF5630" w:rsidRDefault="00AF5630" w:rsidP="00FD66F1">
      <w:pPr>
        <w:spacing w:after="0" w:line="240" w:lineRule="auto"/>
      </w:pPr>
      <w:r>
        <w:separator/>
      </w:r>
    </w:p>
  </w:endnote>
  <w:endnote w:type="continuationSeparator" w:id="0">
    <w:p w14:paraId="673EC287" w14:textId="77777777" w:rsidR="00AF5630" w:rsidRDefault="00AF5630"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077B4598" w14:textId="77777777" w:rsidR="00AF5630" w:rsidRPr="00DD79FB" w:rsidRDefault="00AF5630">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636377">
          <w:rPr>
            <w:rFonts w:ascii="Times New Roman" w:hAnsi="Times New Roman" w:cs="Times New Roman"/>
            <w:noProof/>
          </w:rPr>
          <w:t>1</w:t>
        </w:r>
        <w:r w:rsidRPr="00DD79FB">
          <w:rPr>
            <w:rFonts w:ascii="Times New Roman" w:hAnsi="Times New Roman" w:cs="Times New Roman"/>
            <w:noProof/>
          </w:rPr>
          <w:fldChar w:fldCharType="end"/>
        </w:r>
      </w:p>
    </w:sdtContent>
  </w:sdt>
  <w:p w14:paraId="1F299883" w14:textId="77777777" w:rsidR="00AF5630" w:rsidRDefault="00AF5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6A44A" w14:textId="77777777" w:rsidR="00AF5630" w:rsidRDefault="00AF5630" w:rsidP="00FD66F1">
      <w:pPr>
        <w:spacing w:after="0" w:line="240" w:lineRule="auto"/>
      </w:pPr>
      <w:r>
        <w:separator/>
      </w:r>
    </w:p>
  </w:footnote>
  <w:footnote w:type="continuationSeparator" w:id="0">
    <w:p w14:paraId="4A5165EF" w14:textId="77777777" w:rsidR="00AF5630" w:rsidRDefault="00AF5630" w:rsidP="00FD66F1">
      <w:pPr>
        <w:spacing w:after="0" w:line="240" w:lineRule="auto"/>
      </w:pPr>
      <w:r>
        <w:continuationSeparator/>
      </w:r>
    </w:p>
  </w:footnote>
  <w:footnote w:id="1">
    <w:p w14:paraId="477823EE" w14:textId="77777777" w:rsidR="00AF5630" w:rsidRPr="00E85D85" w:rsidRDefault="00AF5630" w:rsidP="00E85D85">
      <w:pPr>
        <w:pStyle w:val="FootnoteText"/>
      </w:pPr>
      <w:r w:rsidRPr="00E85D85">
        <w:rPr>
          <w:rStyle w:val="FootnoteReference"/>
        </w:rPr>
        <w:footnoteRef/>
      </w:r>
      <w:r w:rsidRPr="00E85D85">
        <w:t xml:space="preserve"> PRC is not an acronym. Rather, it is a prefix that denotes reliability standards related to “Protection and Control”.</w:t>
      </w:r>
    </w:p>
  </w:footnote>
  <w:footnote w:id="2">
    <w:p w14:paraId="6707469D" w14:textId="77777777" w:rsidR="00AF5630" w:rsidRPr="00E85D85" w:rsidRDefault="00AF5630" w:rsidP="00E85D85">
      <w:pPr>
        <w:pStyle w:val="FootnoteText"/>
      </w:pPr>
      <w:r w:rsidRPr="00E85D85">
        <w:rPr>
          <w:rStyle w:val="FootnoteReference"/>
        </w:rPr>
        <w:footnoteRef/>
      </w:r>
      <w:r w:rsidRPr="00E85D85">
        <w:t xml:space="preserve"> Protection System and Automatic Reclosing Maintenance</w:t>
      </w:r>
    </w:p>
  </w:footnote>
  <w:footnote w:id="3">
    <w:p w14:paraId="593FF4FA" w14:textId="73836583" w:rsidR="00AF5630" w:rsidRDefault="00AF5630">
      <w:pPr>
        <w:pStyle w:val="FootnoteText"/>
      </w:pPr>
      <w:r>
        <w:rPr>
          <w:rStyle w:val="FootnoteReference"/>
        </w:rPr>
        <w:footnoteRef/>
      </w:r>
      <w:r>
        <w:t xml:space="preserve"> The collection itself is not temporary; rather the collection number (FERC-725P1) is a temporary identifier.  The requirements would normally be included in FERC-725G.  However FERC-725G is currently pending OMB review, and only one item per OMB Control No. can be pending OMB review at a time.  Attachment A provides additional information on the four ICRs, affecting various components of the PRC family of Rel. Standards, which are pending OMB review at this time.</w:t>
      </w:r>
    </w:p>
  </w:footnote>
  <w:footnote w:id="4">
    <w:p w14:paraId="1D2CD71E" w14:textId="77777777" w:rsidR="00AF5630" w:rsidRDefault="00AF5630" w:rsidP="00955748">
      <w:pPr>
        <w:pStyle w:val="FootnoteText"/>
      </w:pPr>
      <w:r>
        <w:rPr>
          <w:rStyle w:val="FootnoteReference"/>
        </w:rPr>
        <w:footnoteRef/>
      </w:r>
      <w:r>
        <w:t xml:space="preserve"> </w:t>
      </w:r>
      <w:r>
        <w:rPr>
          <w:i/>
          <w:iCs/>
          <w:szCs w:val="26"/>
        </w:rPr>
        <w:t>North American Electric Reliability Corp.</w:t>
      </w:r>
      <w:r>
        <w:rPr>
          <w:szCs w:val="26"/>
        </w:rPr>
        <w:t xml:space="preserve">, 116 FERC ¶ 61,062, </w:t>
      </w:r>
      <w:r>
        <w:rPr>
          <w:i/>
          <w:iCs/>
          <w:szCs w:val="26"/>
        </w:rPr>
        <w:t>order on reh’g &amp; compliance</w:t>
      </w:r>
      <w:r>
        <w:rPr>
          <w:szCs w:val="26"/>
        </w:rPr>
        <w:t xml:space="preserve">, 117 FERC ¶ 61,126 (2006), </w:t>
      </w:r>
      <w:r>
        <w:rPr>
          <w:i/>
          <w:szCs w:val="26"/>
        </w:rPr>
        <w:t xml:space="preserve">aff’d </w:t>
      </w:r>
      <w:r>
        <w:rPr>
          <w:i/>
          <w:iCs/>
          <w:szCs w:val="26"/>
        </w:rPr>
        <w:t>sub nom. Alcoa, Inc. v. FERC</w:t>
      </w:r>
      <w:r>
        <w:rPr>
          <w:szCs w:val="26"/>
        </w:rPr>
        <w:t xml:space="preserve">, 564 F.3d 1342 (D.C. Cir. 2009). </w:t>
      </w:r>
      <w:r>
        <w:t xml:space="preserve"> </w:t>
      </w:r>
    </w:p>
  </w:footnote>
  <w:footnote w:id="5">
    <w:p w14:paraId="5C456AD2" w14:textId="77777777" w:rsidR="00AF5630" w:rsidRDefault="00AF5630" w:rsidP="00955748">
      <w:pPr>
        <w:pStyle w:val="FootnoteText"/>
        <w:rPr>
          <w:b/>
          <w:szCs w:val="26"/>
        </w:rPr>
      </w:pPr>
      <w:r>
        <w:rPr>
          <w:rStyle w:val="FootnoteReference"/>
        </w:rPr>
        <w:footnoteRef/>
      </w:r>
      <w:r>
        <w:rPr>
          <w:szCs w:val="26"/>
        </w:rPr>
        <w:t xml:space="preserve"> </w:t>
      </w:r>
      <w:r>
        <w:rPr>
          <w:i/>
          <w:szCs w:val="26"/>
        </w:rPr>
        <w:t>Mandatory Reliability Standards for the Bulk Power System</w:t>
      </w:r>
      <w:r>
        <w:rPr>
          <w:szCs w:val="26"/>
        </w:rPr>
        <w:t xml:space="preserve">, Order No. 693, FERC Stats. &amp; Regs. ¶ 31,242 at PP 1474, 1492, 1497, and 1514, </w:t>
      </w:r>
      <w:r>
        <w:rPr>
          <w:i/>
          <w:szCs w:val="26"/>
        </w:rPr>
        <w:t>order on reh’g</w:t>
      </w:r>
      <w:r>
        <w:rPr>
          <w:szCs w:val="26"/>
        </w:rPr>
        <w:t xml:space="preserve">, Order No. 693-A, 120 FERC ¶ 61,053 (2007).  </w:t>
      </w:r>
    </w:p>
  </w:footnote>
  <w:footnote w:id="6">
    <w:p w14:paraId="6E1FDAB8" w14:textId="77777777" w:rsidR="00AF5630" w:rsidRPr="00120FA4" w:rsidRDefault="00AF5630" w:rsidP="00955748">
      <w:pPr>
        <w:pStyle w:val="FootnoteText"/>
      </w:pPr>
      <w:r>
        <w:rPr>
          <w:rStyle w:val="FootnoteReference"/>
        </w:rPr>
        <w:footnoteRef/>
      </w:r>
      <w:r>
        <w:t xml:space="preserve"> </w:t>
      </w:r>
      <w:r>
        <w:rPr>
          <w:i/>
        </w:rPr>
        <w:t xml:space="preserve">See </w:t>
      </w:r>
      <w:r>
        <w:t xml:space="preserve">Order No. 758, 138 FERC ¶ 61,094 at P 12.  NERC has addressed the Commission’s concerns stated in Order No. 758 through a series of projects modifying the PRC-005 standard.  </w:t>
      </w:r>
      <w:r w:rsidRPr="00634F19">
        <w:rPr>
          <w:i/>
        </w:rPr>
        <w:t xml:space="preserve">See </w:t>
      </w:r>
      <w:r>
        <w:rPr>
          <w:i/>
        </w:rPr>
        <w:t xml:space="preserve">Protection System Maintenance Reliability Standard, </w:t>
      </w:r>
      <w:r>
        <w:t xml:space="preserve">Order No. 793, 145 FERC ¶ 61,253 (2013) (approving Reliability Standard PRC-005-2, which incorporated specific minimum maintenance activities and maximum time intervals for maintenance of individual components of the protection systems and load shedding equipment affecting the bulk electric system); </w:t>
      </w:r>
      <w:r>
        <w:rPr>
          <w:i/>
        </w:rPr>
        <w:t xml:space="preserve">Protection System Maintenance Reliability Standard, </w:t>
      </w:r>
      <w:r>
        <w:t xml:space="preserve">Order No. 803,150 FERC ¶ 61,039 (2015) (approving PRC-005-3 and directing NERC to develop a modification to include maintenance and testing of supervisory relays associated with relevant autoreclosing relay schemes).    </w:t>
      </w:r>
    </w:p>
  </w:footnote>
  <w:footnote w:id="7">
    <w:p w14:paraId="5716BC47" w14:textId="77777777" w:rsidR="00AF5630" w:rsidRDefault="00AF5630" w:rsidP="00733F7E">
      <w:pPr>
        <w:pStyle w:val="FootnoteText"/>
      </w:pPr>
      <w:r>
        <w:rPr>
          <w:rStyle w:val="FootnoteReference"/>
        </w:rPr>
        <w:footnoteRef/>
      </w:r>
      <w:r>
        <w:t xml:space="preserve"> Proposed </w:t>
      </w:r>
      <w:r>
        <w:rPr>
          <w:szCs w:val="26"/>
        </w:rPr>
        <w:t xml:space="preserve">Reliability Standard PRC-005-4 is not attached to the NOPR; however, the complete text of the proposed Reliability Standard is available on the Commission’s eLibrary document retrieval system in Docket No. RM15-9-000 and is posted on NERC’s web site, </w:t>
      </w:r>
      <w:r>
        <w:rPr>
          <w:i/>
          <w:iCs/>
          <w:szCs w:val="26"/>
        </w:rPr>
        <w:t>available at</w:t>
      </w:r>
      <w:r>
        <w:rPr>
          <w:szCs w:val="26"/>
        </w:rPr>
        <w:t xml:space="preserve">: </w:t>
      </w:r>
      <w:hyperlink r:id="rId1" w:history="1">
        <w:r>
          <w:rPr>
            <w:rStyle w:val="Hyperlink"/>
            <w:szCs w:val="26"/>
          </w:rPr>
          <w:t>http://www.nerc.com</w:t>
        </w:r>
      </w:hyperlink>
      <w:r>
        <w:rPr>
          <w:szCs w:val="26"/>
        </w:rPr>
        <w:t>.</w:t>
      </w:r>
    </w:p>
  </w:footnote>
  <w:footnote w:id="8">
    <w:p w14:paraId="1E41DE51" w14:textId="77777777" w:rsidR="00AF5630" w:rsidRDefault="00AF5630" w:rsidP="00733F7E">
      <w:pPr>
        <w:pStyle w:val="FootnoteText"/>
      </w:pPr>
      <w:r>
        <w:rPr>
          <w:rStyle w:val="FootnoteReference"/>
        </w:rPr>
        <w:footnoteRef/>
      </w:r>
      <w:r>
        <w:t xml:space="preserve"> </w:t>
      </w:r>
      <w:r>
        <w:rPr>
          <w:i/>
        </w:rPr>
        <w:t xml:space="preserve">See </w:t>
      </w:r>
      <w:r>
        <w:t xml:space="preserve">NERC Petition at 3, 9. </w:t>
      </w:r>
    </w:p>
  </w:footnote>
  <w:footnote w:id="9">
    <w:p w14:paraId="5FFA79D4" w14:textId="77777777" w:rsidR="00AF5630" w:rsidRPr="004E2084" w:rsidRDefault="00AF5630" w:rsidP="00885CD4">
      <w:pPr>
        <w:pStyle w:val="FootnoteText"/>
      </w:pPr>
      <w:r>
        <w:rPr>
          <w:rStyle w:val="FootnoteReference"/>
        </w:rPr>
        <w:footnoteRef/>
      </w:r>
      <w:r>
        <w:t xml:space="preserve"> </w:t>
      </w:r>
      <w:r>
        <w:rPr>
          <w:i/>
        </w:rPr>
        <w:t xml:space="preserve">See </w:t>
      </w:r>
      <w:r>
        <w:t>5 CFR 1320.5(d)(2)(iv).</w:t>
      </w:r>
    </w:p>
  </w:footnote>
  <w:footnote w:id="10">
    <w:p w14:paraId="2720A0E5" w14:textId="77777777" w:rsidR="00AF5630" w:rsidRPr="005E4EC7" w:rsidRDefault="00AF5630" w:rsidP="00885CD4">
      <w:pPr>
        <w:pStyle w:val="FootnoteText"/>
        <w:rPr>
          <w:b/>
        </w:rPr>
      </w:pPr>
      <w:r>
        <w:rPr>
          <w:rStyle w:val="FootnoteReference"/>
        </w:rPr>
        <w:footnoteRef/>
      </w:r>
      <w:r>
        <w:t xml:space="preserve"> </w:t>
      </w:r>
      <w:r>
        <w:rPr>
          <w:i/>
        </w:rPr>
        <w:t xml:space="preserve">See </w:t>
      </w:r>
      <w:r>
        <w:t xml:space="preserve">Order No. 803, 150 FERC ¶ 61,039 at PP 37-38.  </w:t>
      </w:r>
    </w:p>
  </w:footnote>
  <w:footnote w:id="11">
    <w:p w14:paraId="29C933BB" w14:textId="77777777" w:rsidR="00AF5630" w:rsidRPr="00E85D85" w:rsidRDefault="00AF5630" w:rsidP="00E85D85">
      <w:pPr>
        <w:pStyle w:val="FootnoteText"/>
      </w:pPr>
      <w:r w:rsidRPr="00E85D85">
        <w:rPr>
          <w:rStyle w:val="FootnoteReference"/>
        </w:rPr>
        <w:footnoteRef/>
      </w:r>
      <w:r w:rsidRPr="00E85D85">
        <w:t xml:space="preserve"> </w:t>
      </w:r>
      <w:r>
        <w:t>61.3</w:t>
      </w:r>
      <w:r w:rsidRPr="00E85D85">
        <w:t>% of affected entities</w:t>
      </w:r>
    </w:p>
  </w:footnote>
  <w:footnote w:id="12">
    <w:p w14:paraId="26D24BCD" w14:textId="43190CDD" w:rsidR="00AF5630" w:rsidRPr="00E85D85" w:rsidRDefault="00AF5630" w:rsidP="009F41FF">
      <w:pPr>
        <w:pStyle w:val="FootnoteText"/>
      </w:pPr>
      <w:r w:rsidRPr="00E85D85">
        <w:rPr>
          <w:rStyle w:val="FootnoteReference"/>
        </w:rPr>
        <w:footnoteRef/>
      </w:r>
      <w:r w:rsidRPr="00E85D85">
        <w:t xml:space="preserve"> </w:t>
      </w:r>
      <w:r>
        <w:t xml:space="preserve">These options are detailed in NERC’s Rules of Procedure (Section 507, Provisions Relating to Joint Registration Organizations (JRO) and Section 508. Provisions Relating to Coordinated Functional Registration (CFR) Entities) on NERC’s website at </w:t>
      </w:r>
      <w:hyperlink r:id="rId2" w:history="1">
        <w:r w:rsidRPr="00E85D85">
          <w:rPr>
            <w:rStyle w:val="Hyperlink"/>
          </w:rPr>
          <w:t>http://www.nerc.com/FilingsOrders/us/RuleOfProcedureDL/NERC_ROP_Effective_20140701_updated_20140602%20(updated).pdf</w:t>
        </w:r>
      </w:hyperlink>
      <w:r>
        <w:rPr>
          <w:rStyle w:val="Hyperlink"/>
        </w:rPr>
        <w:t>.</w:t>
      </w:r>
    </w:p>
  </w:footnote>
  <w:footnote w:id="13">
    <w:p w14:paraId="6CB2BA28" w14:textId="77777777" w:rsidR="00AF5630" w:rsidRPr="00E85D85" w:rsidRDefault="00AF5630" w:rsidP="00E85D85">
      <w:pPr>
        <w:pStyle w:val="FootnoteText"/>
      </w:pPr>
      <w:r w:rsidRPr="00E85D85">
        <w:rPr>
          <w:rStyle w:val="FootnoteReference"/>
          <w:vertAlign w:val="superscript"/>
        </w:rPr>
        <w:footnoteRef/>
      </w:r>
      <w:r w:rsidRPr="00E85D85">
        <w:t xml:space="preserve"> Section 1502, Paragraph 2, available at NERC</w:t>
      </w:r>
      <w:r>
        <w:t>’</w:t>
      </w:r>
      <w:r w:rsidRPr="00E85D85">
        <w:t>s website.</w:t>
      </w:r>
    </w:p>
  </w:footnote>
  <w:footnote w:id="14">
    <w:p w14:paraId="3136830C" w14:textId="77777777" w:rsidR="00AF5630" w:rsidRPr="000B29B5" w:rsidRDefault="00AF5630" w:rsidP="00AF5630">
      <w:pPr>
        <w:pStyle w:val="FootnoteText"/>
        <w:rPr>
          <w:b/>
        </w:rPr>
      </w:pPr>
      <w:r w:rsidRPr="007F6A0F">
        <w:rPr>
          <w:rStyle w:val="FootnoteReference"/>
        </w:rPr>
        <w:footnoteRef/>
      </w:r>
      <w:r w:rsidRPr="007F6A0F">
        <w:t xml:space="preserve"> </w:t>
      </w:r>
      <w:r>
        <w:t xml:space="preserve">The $523 cost per response is based on the following calculation: $65.34/hour * 8 hours = $523.  </w:t>
      </w:r>
      <w:r w:rsidRPr="007F6A0F">
        <w:t xml:space="preserve">The </w:t>
      </w:r>
      <w:r>
        <w:t xml:space="preserve">wage </w:t>
      </w:r>
      <w:r w:rsidRPr="007F6A0F">
        <w:t>figure</w:t>
      </w:r>
      <w:r>
        <w:t xml:space="preserve"> of $65.34/hour</w:t>
      </w:r>
      <w:r w:rsidRPr="007F6A0F">
        <w:t xml:space="preserve"> is</w:t>
      </w:r>
      <w:r>
        <w:t xml:space="preserve"> for electrical engineers and is</w:t>
      </w:r>
      <w:r w:rsidRPr="007F6A0F">
        <w:t xml:space="preserve"> taken from the Bureau of Labor Statistics at </w:t>
      </w:r>
      <w:hyperlink r:id="rId3" w:history="1">
        <w:r w:rsidRPr="007F6A0F">
          <w:rPr>
            <w:rStyle w:val="Hyperlink"/>
            <w:szCs w:val="26"/>
          </w:rPr>
          <w:t>http://www.bls.gov/oes/current/naics2_22.htm</w:t>
        </w:r>
      </w:hyperlink>
      <w:r w:rsidRPr="007F6A0F">
        <w:rPr>
          <w:szCs w:val="26"/>
        </w:rPr>
        <w:t>; Occupation Code: 17-2071).</w:t>
      </w:r>
      <w:r w:rsidRPr="00393DA7" w:rsidDel="00657E72">
        <w:rPr>
          <w:szCs w:val="26"/>
        </w:rPr>
        <w:t xml:space="preserve"> </w:t>
      </w:r>
      <w:r>
        <w:rPr>
          <w:szCs w:val="26"/>
        </w:rPr>
        <w:t xml:space="preserve">.  </w:t>
      </w:r>
      <w:r w:rsidRPr="00D44CE6">
        <w:t>The</w:t>
      </w:r>
      <w:r>
        <w:t xml:space="preserve"> estimated hourly costs</w:t>
      </w:r>
      <w:r w:rsidRPr="00D44CE6">
        <w:t xml:space="preserve"> </w:t>
      </w:r>
      <w:r>
        <w:t>are adjusted to include benefits by assuming that salary accounts for 69.40 percent of total compensation)</w:t>
      </w:r>
      <w:r>
        <w:rPr>
          <w:szCs w:val="26"/>
        </w:rPr>
        <w:t xml:space="preserve">.  </w:t>
      </w:r>
      <w:r>
        <w:rPr>
          <w:i/>
          <w:szCs w:val="26"/>
        </w:rPr>
        <w:t>See</w:t>
      </w:r>
      <w:r>
        <w:rPr>
          <w:szCs w:val="26"/>
        </w:rPr>
        <w:t xml:space="preserve"> </w:t>
      </w:r>
      <w:hyperlink r:id="rId4" w:history="1">
        <w:r w:rsidRPr="00BA1FF9">
          <w:rPr>
            <w:rStyle w:val="Hyperlink"/>
            <w:szCs w:val="26"/>
          </w:rPr>
          <w:t>http://www.bls.gov/news.release/ecec.nr0.htm</w:t>
        </w:r>
      </w:hyperlink>
      <w:r>
        <w:rPr>
          <w:szCs w:val="26"/>
        </w:rPr>
        <w:t>.</w:t>
      </w:r>
    </w:p>
  </w:footnote>
  <w:footnote w:id="15">
    <w:p w14:paraId="1F9C83B3" w14:textId="77777777" w:rsidR="00AF5630" w:rsidRPr="00E85D85" w:rsidRDefault="00AF5630" w:rsidP="00E85D85">
      <w:pPr>
        <w:pStyle w:val="FootnoteText"/>
      </w:pPr>
      <w:r w:rsidRPr="00E85D85">
        <w:rPr>
          <w:rStyle w:val="FootnoteReference"/>
          <w:vertAlign w:val="superscript"/>
        </w:rPr>
        <w:footnoteRef/>
      </w:r>
      <w:r w:rsidRPr="00E85D85">
        <w:rPr>
          <w:vertAlign w:val="superscript"/>
        </w:rPr>
        <w:t xml:space="preserve"> </w:t>
      </w:r>
      <w:r w:rsidRPr="00E85D85">
        <w:t>Paperwork Reduction Act of 1995 (PRA)</w:t>
      </w:r>
    </w:p>
  </w:footnote>
  <w:footnote w:id="16">
    <w:p w14:paraId="5275248C" w14:textId="77777777" w:rsidR="00AF5630" w:rsidRPr="00E85D85" w:rsidRDefault="00AF5630" w:rsidP="00E85D85">
      <w:pPr>
        <w:pStyle w:val="FootnoteText"/>
      </w:pPr>
      <w:r w:rsidRPr="00E85D85">
        <w:rPr>
          <w:rStyle w:val="FootnoteReference"/>
          <w:vertAlign w:val="superscript"/>
        </w:rPr>
        <w:footnoteRef/>
      </w:r>
      <w:r w:rsidRPr="00E85D85">
        <w:rPr>
          <w:vertAlign w:val="superscript"/>
        </w:rPr>
        <w:t xml:space="preserve"> </w:t>
      </w:r>
      <w:r w:rsidRPr="00E85D85">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w:t>
      </w:r>
      <w:r>
        <w:t>d rulemakings (not just the NOPR</w:t>
      </w:r>
      <w:r w:rsidRPr="00E85D85">
        <w:t xml:space="preserve"> in</w:t>
      </w:r>
      <w:r>
        <w:t xml:space="preserve"> Docket No. RM15-9-000</w:t>
      </w:r>
      <w:r w:rsidRPr="00E85D85">
        <w:t>), and ot</w:t>
      </w:r>
      <w:r>
        <w:t>her changes to the collection.</w:t>
      </w:r>
    </w:p>
  </w:footnote>
  <w:footnote w:id="17">
    <w:p w14:paraId="10AAD5E2" w14:textId="77777777" w:rsidR="00AF5630" w:rsidRDefault="00AF5630">
      <w:pPr>
        <w:pStyle w:val="FootnoteText"/>
      </w:pPr>
      <w:r w:rsidRPr="00932C2D">
        <w:rPr>
          <w:rStyle w:val="FootnoteReference"/>
          <w:vertAlign w:val="superscript"/>
        </w:rPr>
        <w:footnoteRef/>
      </w:r>
      <w:r w:rsidRPr="00932C2D">
        <w:rPr>
          <w:vertAlign w:val="superscript"/>
        </w:rPr>
        <w:t xml:space="preserve"> </w:t>
      </w:r>
      <w:r>
        <w:t>The new, additional, one-time burden discussed in this supporting statement and imposed by Reliability Standard PRC-005-4 (in Docket No. RM15-9</w:t>
      </w:r>
      <w:r w:rsidRPr="00125F57">
        <w:t>-000</w:t>
      </w:r>
      <w:r>
        <w:t>)</w:t>
      </w:r>
      <w:r w:rsidRPr="00125F57">
        <w:t xml:space="preserve"> </w:t>
      </w:r>
      <w:r>
        <w:t xml:space="preserve">is 10,296 hours.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FDED1" w14:textId="77777777" w:rsidR="00AF5630" w:rsidRDefault="00AF5630" w:rsidP="00963609">
    <w:pPr>
      <w:pStyle w:val="Header"/>
      <w:rPr>
        <w:rFonts w:ascii="Times New Roman" w:hAnsi="Times New Roman" w:cs="Times New Roman"/>
        <w:sz w:val="24"/>
        <w:szCs w:val="24"/>
      </w:rPr>
    </w:pPr>
    <w:r>
      <w:rPr>
        <w:rFonts w:ascii="Times New Roman" w:hAnsi="Times New Roman" w:cs="Times New Roman"/>
        <w:sz w:val="24"/>
        <w:szCs w:val="24"/>
      </w:rPr>
      <w:t>OMB Control Number: To be decided (FERC-725P1)</w:t>
    </w:r>
  </w:p>
  <w:p w14:paraId="3DF3B418" w14:textId="77777777" w:rsidR="00AF5630" w:rsidRDefault="00AF5630" w:rsidP="00AD3DE5">
    <w:pPr>
      <w:pStyle w:val="Header"/>
      <w:rPr>
        <w:rFonts w:ascii="Times New Roman" w:hAnsi="Times New Roman" w:cs="Times New Roman"/>
        <w:sz w:val="24"/>
        <w:szCs w:val="24"/>
      </w:rPr>
    </w:pPr>
    <w:r>
      <w:rPr>
        <w:rFonts w:ascii="Times New Roman" w:hAnsi="Times New Roman" w:cs="Times New Roman"/>
        <w:sz w:val="24"/>
        <w:szCs w:val="24"/>
      </w:rPr>
      <w:t>RM15-9</w:t>
    </w:r>
    <w:r w:rsidRPr="00CE2CDA">
      <w:rPr>
        <w:rFonts w:ascii="Times New Roman" w:hAnsi="Times New Roman" w:cs="Times New Roman"/>
        <w:sz w:val="24"/>
        <w:szCs w:val="24"/>
      </w:rPr>
      <w:t xml:space="preserve">-000, </w:t>
    </w:r>
    <w:r>
      <w:rPr>
        <w:rFonts w:ascii="Times New Roman" w:hAnsi="Times New Roman" w:cs="Times New Roman"/>
        <w:sz w:val="24"/>
        <w:szCs w:val="24"/>
      </w:rPr>
      <w:t>NOPR</w:t>
    </w:r>
  </w:p>
  <w:p w14:paraId="4950D116" w14:textId="77777777" w:rsidR="00AF5630" w:rsidRDefault="00AF5630" w:rsidP="00AD3DE5">
    <w:pPr>
      <w:pStyle w:val="Header"/>
      <w:rPr>
        <w:rFonts w:ascii="Times New Roman" w:hAnsi="Times New Roman" w:cs="Times New Roman"/>
        <w:sz w:val="24"/>
        <w:szCs w:val="24"/>
      </w:rPr>
    </w:pPr>
    <w:r w:rsidRPr="00AC274E">
      <w:rPr>
        <w:rFonts w:ascii="Times New Roman" w:hAnsi="Times New Roman" w:cs="Times New Roman"/>
        <w:sz w:val="24"/>
        <w:szCs w:val="24"/>
      </w:rPr>
      <w:t>RIN: 1902-A</w:t>
    </w:r>
    <w:r>
      <w:rPr>
        <w:rFonts w:ascii="Times New Roman" w:hAnsi="Times New Roman" w:cs="Times New Roman"/>
        <w:sz w:val="24"/>
        <w:szCs w:val="24"/>
      </w:rPr>
      <w:t>F03</w:t>
    </w:r>
  </w:p>
  <w:p w14:paraId="3ED3F7E5" w14:textId="3F49C985" w:rsidR="00AF5630" w:rsidRDefault="00AF5630" w:rsidP="00AD3DE5">
    <w:pPr>
      <w:pStyle w:val="Header"/>
      <w:rPr>
        <w:rFonts w:ascii="Times New Roman" w:hAnsi="Times New Roman" w:cs="Times New Roman"/>
        <w:sz w:val="24"/>
        <w:szCs w:val="24"/>
      </w:rPr>
    </w:pPr>
    <w:r>
      <w:rPr>
        <w:rFonts w:ascii="Times New Roman" w:hAnsi="Times New Roman" w:cs="Times New Roman"/>
        <w:sz w:val="24"/>
        <w:szCs w:val="24"/>
      </w:rPr>
      <w:t>(updated 7/21/2015)</w:t>
    </w:r>
  </w:p>
  <w:p w14:paraId="3C722710" w14:textId="77777777" w:rsidR="00AF5630" w:rsidRDefault="00AF56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705"/>
    <w:multiLevelType w:val="hybridMultilevel"/>
    <w:tmpl w:val="7FB2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6110F"/>
    <w:multiLevelType w:val="hybridMultilevel"/>
    <w:tmpl w:val="647446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E07376D"/>
    <w:multiLevelType w:val="hybridMultilevel"/>
    <w:tmpl w:val="1EE0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4E4DD3"/>
    <w:multiLevelType w:val="hybridMultilevel"/>
    <w:tmpl w:val="D1BA6EBA"/>
    <w:lvl w:ilvl="0" w:tplc="6EAEAA46">
      <w:start w:val="1"/>
      <w:numFmt w:val="decimal"/>
      <w:pStyle w:val="FERCparanumber"/>
      <w:lvlText w:val="%1."/>
      <w:lvlJc w:val="left"/>
      <w:pPr>
        <w:tabs>
          <w:tab w:val="num" w:pos="990"/>
        </w:tabs>
        <w:ind w:left="270" w:firstLine="0"/>
      </w:pPr>
      <w:rPr>
        <w:rFonts w:hint="default"/>
        <w:b w:val="0"/>
        <w:i w:val="0"/>
        <w:sz w:val="26"/>
        <w:szCs w:val="26"/>
      </w:rPr>
    </w:lvl>
    <w:lvl w:ilvl="1" w:tplc="04090019">
      <w:start w:val="3"/>
      <w:numFmt w:val="upperLetter"/>
      <w:lvlText w:val="%2."/>
      <w:lvlJc w:val="left"/>
      <w:pPr>
        <w:tabs>
          <w:tab w:val="num" w:pos="830"/>
        </w:tabs>
        <w:ind w:left="830" w:hanging="660"/>
      </w:pPr>
      <w:rPr>
        <w:rFonts w:hint="default"/>
        <w:b w:val="0"/>
        <w:color w:val="auto"/>
        <w:u w:val="none"/>
      </w:rPr>
    </w:lvl>
    <w:lvl w:ilvl="2" w:tplc="0409001B">
      <w:start w:val="1"/>
      <w:numFmt w:val="lowerRoman"/>
      <w:lvlText w:val="%3."/>
      <w:lvlJc w:val="right"/>
      <w:pPr>
        <w:tabs>
          <w:tab w:val="num" w:pos="1250"/>
        </w:tabs>
        <w:ind w:left="1250" w:hanging="180"/>
      </w:pPr>
      <w:rPr>
        <w:rFonts w:hint="default"/>
      </w:rPr>
    </w:lvl>
    <w:lvl w:ilvl="3" w:tplc="0409000F">
      <w:start w:val="1"/>
      <w:numFmt w:val="decimal"/>
      <w:lvlText w:val="%4."/>
      <w:lvlJc w:val="left"/>
      <w:pPr>
        <w:tabs>
          <w:tab w:val="num" w:pos="1970"/>
        </w:tabs>
        <w:ind w:left="1970" w:hanging="360"/>
      </w:pPr>
    </w:lvl>
    <w:lvl w:ilvl="4" w:tplc="04090019" w:tentative="1">
      <w:start w:val="1"/>
      <w:numFmt w:val="lowerLetter"/>
      <w:lvlText w:val="%5."/>
      <w:lvlJc w:val="left"/>
      <w:pPr>
        <w:tabs>
          <w:tab w:val="num" w:pos="2690"/>
        </w:tabs>
        <w:ind w:left="2690" w:hanging="360"/>
      </w:pPr>
    </w:lvl>
    <w:lvl w:ilvl="5" w:tplc="0409001B" w:tentative="1">
      <w:start w:val="1"/>
      <w:numFmt w:val="lowerRoman"/>
      <w:lvlText w:val="%6."/>
      <w:lvlJc w:val="right"/>
      <w:pPr>
        <w:tabs>
          <w:tab w:val="num" w:pos="3410"/>
        </w:tabs>
        <w:ind w:left="3410" w:hanging="180"/>
      </w:pPr>
    </w:lvl>
    <w:lvl w:ilvl="6" w:tplc="0409000F" w:tentative="1">
      <w:start w:val="1"/>
      <w:numFmt w:val="decimal"/>
      <w:lvlText w:val="%7."/>
      <w:lvlJc w:val="left"/>
      <w:pPr>
        <w:tabs>
          <w:tab w:val="num" w:pos="4130"/>
        </w:tabs>
        <w:ind w:left="4130" w:hanging="360"/>
      </w:pPr>
    </w:lvl>
    <w:lvl w:ilvl="7" w:tplc="04090019" w:tentative="1">
      <w:start w:val="1"/>
      <w:numFmt w:val="lowerLetter"/>
      <w:lvlText w:val="%8."/>
      <w:lvlJc w:val="left"/>
      <w:pPr>
        <w:tabs>
          <w:tab w:val="num" w:pos="4850"/>
        </w:tabs>
        <w:ind w:left="4850" w:hanging="360"/>
      </w:pPr>
    </w:lvl>
    <w:lvl w:ilvl="8" w:tplc="0409001B" w:tentative="1">
      <w:start w:val="1"/>
      <w:numFmt w:val="lowerRoman"/>
      <w:lvlText w:val="%9."/>
      <w:lvlJc w:val="right"/>
      <w:pPr>
        <w:tabs>
          <w:tab w:val="num" w:pos="5570"/>
        </w:tabs>
        <w:ind w:left="5570" w:hanging="180"/>
      </w:pPr>
    </w:lvl>
  </w:abstractNum>
  <w:num w:numId="1">
    <w:abstractNumId w:val="6"/>
  </w:num>
  <w:num w:numId="2">
    <w:abstractNumId w:val="4"/>
  </w:num>
  <w:num w:numId="3">
    <w:abstractNumId w:val="8"/>
  </w:num>
  <w:num w:numId="4">
    <w:abstractNumId w:val="9"/>
  </w:num>
  <w:num w:numId="5">
    <w:abstractNumId w:val="7"/>
  </w:num>
  <w:num w:numId="6">
    <w:abstractNumId w:val="0"/>
  </w:num>
  <w:num w:numId="7">
    <w:abstractNumId w:val="3"/>
  </w:num>
  <w:num w:numId="8">
    <w:abstractNumId w:val="5"/>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removePersonalInformation/>
  <w:removeDateAndTime/>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2DA4"/>
    <w:rsid w:val="00004742"/>
    <w:rsid w:val="0002242D"/>
    <w:rsid w:val="0002567F"/>
    <w:rsid w:val="000259B7"/>
    <w:rsid w:val="00035845"/>
    <w:rsid w:val="000361A7"/>
    <w:rsid w:val="00041041"/>
    <w:rsid w:val="000431EF"/>
    <w:rsid w:val="00047471"/>
    <w:rsid w:val="00053BD8"/>
    <w:rsid w:val="0005513A"/>
    <w:rsid w:val="000603A1"/>
    <w:rsid w:val="00074DC8"/>
    <w:rsid w:val="0007636B"/>
    <w:rsid w:val="0008710E"/>
    <w:rsid w:val="000872A7"/>
    <w:rsid w:val="000B0C37"/>
    <w:rsid w:val="000C4988"/>
    <w:rsid w:val="000D2315"/>
    <w:rsid w:val="000D58F6"/>
    <w:rsid w:val="000E25B2"/>
    <w:rsid w:val="000E5772"/>
    <w:rsid w:val="000E5F6B"/>
    <w:rsid w:val="000F24CD"/>
    <w:rsid w:val="000F34E5"/>
    <w:rsid w:val="000F4112"/>
    <w:rsid w:val="000F41C9"/>
    <w:rsid w:val="00101C17"/>
    <w:rsid w:val="001063A3"/>
    <w:rsid w:val="00107705"/>
    <w:rsid w:val="00125F57"/>
    <w:rsid w:val="00133334"/>
    <w:rsid w:val="001348AC"/>
    <w:rsid w:val="00137DB4"/>
    <w:rsid w:val="00140903"/>
    <w:rsid w:val="001425BA"/>
    <w:rsid w:val="00143103"/>
    <w:rsid w:val="0015129F"/>
    <w:rsid w:val="001700DE"/>
    <w:rsid w:val="00172386"/>
    <w:rsid w:val="0017533A"/>
    <w:rsid w:val="00176AA0"/>
    <w:rsid w:val="00177B9B"/>
    <w:rsid w:val="00177BBE"/>
    <w:rsid w:val="001800C1"/>
    <w:rsid w:val="00181727"/>
    <w:rsid w:val="00185730"/>
    <w:rsid w:val="00193ADB"/>
    <w:rsid w:val="00197A36"/>
    <w:rsid w:val="001A05A0"/>
    <w:rsid w:val="001A4B2D"/>
    <w:rsid w:val="001A4FC2"/>
    <w:rsid w:val="001B3BF0"/>
    <w:rsid w:val="001C1170"/>
    <w:rsid w:val="001C1E51"/>
    <w:rsid w:val="001C5284"/>
    <w:rsid w:val="001C7753"/>
    <w:rsid w:val="001E5E6C"/>
    <w:rsid w:val="001E60F0"/>
    <w:rsid w:val="001F0066"/>
    <w:rsid w:val="001F1AD9"/>
    <w:rsid w:val="001F7BC2"/>
    <w:rsid w:val="00215F2D"/>
    <w:rsid w:val="00221269"/>
    <w:rsid w:val="00235E83"/>
    <w:rsid w:val="00236674"/>
    <w:rsid w:val="00243F92"/>
    <w:rsid w:val="00247B75"/>
    <w:rsid w:val="00250EAE"/>
    <w:rsid w:val="00251D43"/>
    <w:rsid w:val="00255F1F"/>
    <w:rsid w:val="00256836"/>
    <w:rsid w:val="002573FC"/>
    <w:rsid w:val="0026674D"/>
    <w:rsid w:val="00271304"/>
    <w:rsid w:val="00272108"/>
    <w:rsid w:val="002779D9"/>
    <w:rsid w:val="00283F78"/>
    <w:rsid w:val="00296233"/>
    <w:rsid w:val="00297631"/>
    <w:rsid w:val="002A0D26"/>
    <w:rsid w:val="002A1294"/>
    <w:rsid w:val="002A40A7"/>
    <w:rsid w:val="002A41B5"/>
    <w:rsid w:val="002A7C8C"/>
    <w:rsid w:val="002B13E2"/>
    <w:rsid w:val="002C1BFB"/>
    <w:rsid w:val="002C5F61"/>
    <w:rsid w:val="002C63E1"/>
    <w:rsid w:val="002E1085"/>
    <w:rsid w:val="002E1B73"/>
    <w:rsid w:val="002E3B48"/>
    <w:rsid w:val="002E3C5B"/>
    <w:rsid w:val="002E3DCD"/>
    <w:rsid w:val="002F22E2"/>
    <w:rsid w:val="003014A7"/>
    <w:rsid w:val="00316C42"/>
    <w:rsid w:val="0031788D"/>
    <w:rsid w:val="003316E0"/>
    <w:rsid w:val="00331EB7"/>
    <w:rsid w:val="003410FA"/>
    <w:rsid w:val="00362710"/>
    <w:rsid w:val="00363B01"/>
    <w:rsid w:val="00364674"/>
    <w:rsid w:val="00367D87"/>
    <w:rsid w:val="003800E6"/>
    <w:rsid w:val="0039318D"/>
    <w:rsid w:val="003967A4"/>
    <w:rsid w:val="003A17AE"/>
    <w:rsid w:val="003B0249"/>
    <w:rsid w:val="003B3B61"/>
    <w:rsid w:val="003D05E0"/>
    <w:rsid w:val="003D5A4D"/>
    <w:rsid w:val="003E465C"/>
    <w:rsid w:val="00414670"/>
    <w:rsid w:val="00414F32"/>
    <w:rsid w:val="00417400"/>
    <w:rsid w:val="00423651"/>
    <w:rsid w:val="004276A5"/>
    <w:rsid w:val="0044163A"/>
    <w:rsid w:val="00443588"/>
    <w:rsid w:val="00447718"/>
    <w:rsid w:val="0045446A"/>
    <w:rsid w:val="0045480C"/>
    <w:rsid w:val="0045680D"/>
    <w:rsid w:val="00461AD2"/>
    <w:rsid w:val="00466C57"/>
    <w:rsid w:val="004A2342"/>
    <w:rsid w:val="004A3AE2"/>
    <w:rsid w:val="004B286D"/>
    <w:rsid w:val="004B45D2"/>
    <w:rsid w:val="004C4C89"/>
    <w:rsid w:val="004C5E0E"/>
    <w:rsid w:val="004D061F"/>
    <w:rsid w:val="004D19E1"/>
    <w:rsid w:val="004D31AA"/>
    <w:rsid w:val="004E651C"/>
    <w:rsid w:val="004F459B"/>
    <w:rsid w:val="004F6977"/>
    <w:rsid w:val="00514D81"/>
    <w:rsid w:val="00520617"/>
    <w:rsid w:val="00522F69"/>
    <w:rsid w:val="005253CD"/>
    <w:rsid w:val="0053287C"/>
    <w:rsid w:val="00535D48"/>
    <w:rsid w:val="00540572"/>
    <w:rsid w:val="00541B4E"/>
    <w:rsid w:val="00541FBD"/>
    <w:rsid w:val="005457EC"/>
    <w:rsid w:val="005462B6"/>
    <w:rsid w:val="00546959"/>
    <w:rsid w:val="00565307"/>
    <w:rsid w:val="00565CB1"/>
    <w:rsid w:val="00566CB0"/>
    <w:rsid w:val="0057031F"/>
    <w:rsid w:val="00570861"/>
    <w:rsid w:val="00571C5E"/>
    <w:rsid w:val="00576FDE"/>
    <w:rsid w:val="0057700F"/>
    <w:rsid w:val="00582E7E"/>
    <w:rsid w:val="00591BAD"/>
    <w:rsid w:val="00594634"/>
    <w:rsid w:val="00597D22"/>
    <w:rsid w:val="005A2792"/>
    <w:rsid w:val="005A29F9"/>
    <w:rsid w:val="005A409F"/>
    <w:rsid w:val="005A649D"/>
    <w:rsid w:val="005B77CE"/>
    <w:rsid w:val="005C18F6"/>
    <w:rsid w:val="005C6509"/>
    <w:rsid w:val="005E2146"/>
    <w:rsid w:val="005F0306"/>
    <w:rsid w:val="005F1C3C"/>
    <w:rsid w:val="0061165E"/>
    <w:rsid w:val="006132D8"/>
    <w:rsid w:val="006166FA"/>
    <w:rsid w:val="006234A1"/>
    <w:rsid w:val="00630A34"/>
    <w:rsid w:val="00634566"/>
    <w:rsid w:val="00636377"/>
    <w:rsid w:val="00637CE1"/>
    <w:rsid w:val="00650212"/>
    <w:rsid w:val="00653001"/>
    <w:rsid w:val="00654786"/>
    <w:rsid w:val="00657790"/>
    <w:rsid w:val="00657A47"/>
    <w:rsid w:val="00664BC0"/>
    <w:rsid w:val="00674FD8"/>
    <w:rsid w:val="00684049"/>
    <w:rsid w:val="0068619C"/>
    <w:rsid w:val="0068681F"/>
    <w:rsid w:val="00690136"/>
    <w:rsid w:val="0069237F"/>
    <w:rsid w:val="0069693D"/>
    <w:rsid w:val="006A199A"/>
    <w:rsid w:val="006B437C"/>
    <w:rsid w:val="006B6D60"/>
    <w:rsid w:val="006C10F1"/>
    <w:rsid w:val="006C3598"/>
    <w:rsid w:val="006C5826"/>
    <w:rsid w:val="006C66D3"/>
    <w:rsid w:val="006D5BA6"/>
    <w:rsid w:val="006E3CFD"/>
    <w:rsid w:val="006E54CC"/>
    <w:rsid w:val="006F750C"/>
    <w:rsid w:val="00706840"/>
    <w:rsid w:val="00707ECD"/>
    <w:rsid w:val="00711903"/>
    <w:rsid w:val="00716469"/>
    <w:rsid w:val="007175D4"/>
    <w:rsid w:val="00720C5A"/>
    <w:rsid w:val="00731C22"/>
    <w:rsid w:val="00733F7E"/>
    <w:rsid w:val="007353C5"/>
    <w:rsid w:val="00736047"/>
    <w:rsid w:val="0074195A"/>
    <w:rsid w:val="007439F7"/>
    <w:rsid w:val="00761A02"/>
    <w:rsid w:val="007658E1"/>
    <w:rsid w:val="00773AEB"/>
    <w:rsid w:val="007849C5"/>
    <w:rsid w:val="0078612A"/>
    <w:rsid w:val="00787670"/>
    <w:rsid w:val="00797054"/>
    <w:rsid w:val="007A04A8"/>
    <w:rsid w:val="007A2F92"/>
    <w:rsid w:val="007A6142"/>
    <w:rsid w:val="007B193F"/>
    <w:rsid w:val="007D2A3B"/>
    <w:rsid w:val="007E1F0A"/>
    <w:rsid w:val="007E220F"/>
    <w:rsid w:val="007E3C37"/>
    <w:rsid w:val="007E6BD9"/>
    <w:rsid w:val="007E7C0F"/>
    <w:rsid w:val="007F1A06"/>
    <w:rsid w:val="007F6A0F"/>
    <w:rsid w:val="00815A84"/>
    <w:rsid w:val="00834C7F"/>
    <w:rsid w:val="008361D9"/>
    <w:rsid w:val="00855EC8"/>
    <w:rsid w:val="00856C0A"/>
    <w:rsid w:val="008619E1"/>
    <w:rsid w:val="00876F75"/>
    <w:rsid w:val="00885CD4"/>
    <w:rsid w:val="00896C01"/>
    <w:rsid w:val="008A21A4"/>
    <w:rsid w:val="008A2EF6"/>
    <w:rsid w:val="008A52E9"/>
    <w:rsid w:val="008A6B3F"/>
    <w:rsid w:val="008A7624"/>
    <w:rsid w:val="008B1419"/>
    <w:rsid w:val="008B4E04"/>
    <w:rsid w:val="008B5B66"/>
    <w:rsid w:val="008B703B"/>
    <w:rsid w:val="008B7610"/>
    <w:rsid w:val="008C1600"/>
    <w:rsid w:val="008C238C"/>
    <w:rsid w:val="008C288D"/>
    <w:rsid w:val="008C2F02"/>
    <w:rsid w:val="008D310F"/>
    <w:rsid w:val="008D54F0"/>
    <w:rsid w:val="008D6E39"/>
    <w:rsid w:val="008E62C3"/>
    <w:rsid w:val="008E70CD"/>
    <w:rsid w:val="008E7BD0"/>
    <w:rsid w:val="00911FF4"/>
    <w:rsid w:val="00913A8B"/>
    <w:rsid w:val="00916C2F"/>
    <w:rsid w:val="00925502"/>
    <w:rsid w:val="00926EC5"/>
    <w:rsid w:val="0093102B"/>
    <w:rsid w:val="00932C2D"/>
    <w:rsid w:val="00935C6E"/>
    <w:rsid w:val="00937A89"/>
    <w:rsid w:val="009430EF"/>
    <w:rsid w:val="00943B95"/>
    <w:rsid w:val="00950ECA"/>
    <w:rsid w:val="00955748"/>
    <w:rsid w:val="00956A0B"/>
    <w:rsid w:val="00963609"/>
    <w:rsid w:val="00967D28"/>
    <w:rsid w:val="00970FE4"/>
    <w:rsid w:val="00971AB3"/>
    <w:rsid w:val="009771DA"/>
    <w:rsid w:val="00987269"/>
    <w:rsid w:val="009917DB"/>
    <w:rsid w:val="0099336E"/>
    <w:rsid w:val="009942F8"/>
    <w:rsid w:val="009944BE"/>
    <w:rsid w:val="009947BB"/>
    <w:rsid w:val="00995C70"/>
    <w:rsid w:val="009A19ED"/>
    <w:rsid w:val="009B43F8"/>
    <w:rsid w:val="009D1251"/>
    <w:rsid w:val="009D6BD3"/>
    <w:rsid w:val="009E1190"/>
    <w:rsid w:val="009E5E4D"/>
    <w:rsid w:val="009F3297"/>
    <w:rsid w:val="009F41FF"/>
    <w:rsid w:val="009F7934"/>
    <w:rsid w:val="00A1360C"/>
    <w:rsid w:val="00A276F5"/>
    <w:rsid w:val="00A27EBA"/>
    <w:rsid w:val="00A35926"/>
    <w:rsid w:val="00A5648B"/>
    <w:rsid w:val="00A61802"/>
    <w:rsid w:val="00A62953"/>
    <w:rsid w:val="00A72E7B"/>
    <w:rsid w:val="00A9186C"/>
    <w:rsid w:val="00A93F1B"/>
    <w:rsid w:val="00A96B65"/>
    <w:rsid w:val="00AB02E0"/>
    <w:rsid w:val="00AB791E"/>
    <w:rsid w:val="00AC274E"/>
    <w:rsid w:val="00AC4C0B"/>
    <w:rsid w:val="00AD1544"/>
    <w:rsid w:val="00AD16A3"/>
    <w:rsid w:val="00AD3DE5"/>
    <w:rsid w:val="00AD50EA"/>
    <w:rsid w:val="00AD6C5B"/>
    <w:rsid w:val="00AF19D9"/>
    <w:rsid w:val="00AF5630"/>
    <w:rsid w:val="00AF5F21"/>
    <w:rsid w:val="00B01AC9"/>
    <w:rsid w:val="00B072DD"/>
    <w:rsid w:val="00B11A9F"/>
    <w:rsid w:val="00B169FF"/>
    <w:rsid w:val="00B27783"/>
    <w:rsid w:val="00B67D38"/>
    <w:rsid w:val="00B7200D"/>
    <w:rsid w:val="00B81CD0"/>
    <w:rsid w:val="00B837BA"/>
    <w:rsid w:val="00B9413E"/>
    <w:rsid w:val="00BA05FB"/>
    <w:rsid w:val="00BA1C7D"/>
    <w:rsid w:val="00BA7C56"/>
    <w:rsid w:val="00BB1263"/>
    <w:rsid w:val="00BB3B2C"/>
    <w:rsid w:val="00BC31A2"/>
    <w:rsid w:val="00BD7446"/>
    <w:rsid w:val="00BE2C9F"/>
    <w:rsid w:val="00BF2816"/>
    <w:rsid w:val="00C01698"/>
    <w:rsid w:val="00C15DF2"/>
    <w:rsid w:val="00C17BDC"/>
    <w:rsid w:val="00C233E7"/>
    <w:rsid w:val="00C2559A"/>
    <w:rsid w:val="00C27D56"/>
    <w:rsid w:val="00C35DFC"/>
    <w:rsid w:val="00C40D9E"/>
    <w:rsid w:val="00C47527"/>
    <w:rsid w:val="00C50ED1"/>
    <w:rsid w:val="00C510DD"/>
    <w:rsid w:val="00C61E8F"/>
    <w:rsid w:val="00C62B0C"/>
    <w:rsid w:val="00C86724"/>
    <w:rsid w:val="00C9414F"/>
    <w:rsid w:val="00C96C91"/>
    <w:rsid w:val="00CA495F"/>
    <w:rsid w:val="00CA59C3"/>
    <w:rsid w:val="00CB04FF"/>
    <w:rsid w:val="00CB26E8"/>
    <w:rsid w:val="00CB6CC6"/>
    <w:rsid w:val="00CC0D08"/>
    <w:rsid w:val="00CC3078"/>
    <w:rsid w:val="00CC680A"/>
    <w:rsid w:val="00CD2BD0"/>
    <w:rsid w:val="00CE1CCD"/>
    <w:rsid w:val="00CE2CDA"/>
    <w:rsid w:val="00CF1BFB"/>
    <w:rsid w:val="00CF759C"/>
    <w:rsid w:val="00CF78E6"/>
    <w:rsid w:val="00D023D4"/>
    <w:rsid w:val="00D039DA"/>
    <w:rsid w:val="00D04F87"/>
    <w:rsid w:val="00D075A0"/>
    <w:rsid w:val="00D077EC"/>
    <w:rsid w:val="00D21D86"/>
    <w:rsid w:val="00D24BF7"/>
    <w:rsid w:val="00D269B1"/>
    <w:rsid w:val="00D26CCF"/>
    <w:rsid w:val="00D27336"/>
    <w:rsid w:val="00D27373"/>
    <w:rsid w:val="00D31413"/>
    <w:rsid w:val="00D32964"/>
    <w:rsid w:val="00D60147"/>
    <w:rsid w:val="00D63739"/>
    <w:rsid w:val="00D64890"/>
    <w:rsid w:val="00D750E8"/>
    <w:rsid w:val="00D76508"/>
    <w:rsid w:val="00D80FBD"/>
    <w:rsid w:val="00D83445"/>
    <w:rsid w:val="00D83746"/>
    <w:rsid w:val="00D86DD2"/>
    <w:rsid w:val="00D87A60"/>
    <w:rsid w:val="00D87A76"/>
    <w:rsid w:val="00D9209B"/>
    <w:rsid w:val="00DA06F4"/>
    <w:rsid w:val="00DB55F4"/>
    <w:rsid w:val="00DB58D2"/>
    <w:rsid w:val="00DB6DC8"/>
    <w:rsid w:val="00DB7311"/>
    <w:rsid w:val="00DC4E36"/>
    <w:rsid w:val="00DD1771"/>
    <w:rsid w:val="00DD54DC"/>
    <w:rsid w:val="00DD79FB"/>
    <w:rsid w:val="00DE23E3"/>
    <w:rsid w:val="00DF64B2"/>
    <w:rsid w:val="00E1127D"/>
    <w:rsid w:val="00E113EA"/>
    <w:rsid w:val="00E11CA6"/>
    <w:rsid w:val="00E12A4B"/>
    <w:rsid w:val="00E13D58"/>
    <w:rsid w:val="00E14565"/>
    <w:rsid w:val="00E20612"/>
    <w:rsid w:val="00E23E64"/>
    <w:rsid w:val="00E25243"/>
    <w:rsid w:val="00E36246"/>
    <w:rsid w:val="00E423CF"/>
    <w:rsid w:val="00E45F58"/>
    <w:rsid w:val="00E5251E"/>
    <w:rsid w:val="00E52D63"/>
    <w:rsid w:val="00E636D7"/>
    <w:rsid w:val="00E71223"/>
    <w:rsid w:val="00E807E4"/>
    <w:rsid w:val="00E817F8"/>
    <w:rsid w:val="00E85D85"/>
    <w:rsid w:val="00E864B3"/>
    <w:rsid w:val="00E87A4F"/>
    <w:rsid w:val="00E90D10"/>
    <w:rsid w:val="00E954EE"/>
    <w:rsid w:val="00EA5C58"/>
    <w:rsid w:val="00EB3E6F"/>
    <w:rsid w:val="00EB7966"/>
    <w:rsid w:val="00EC0DF4"/>
    <w:rsid w:val="00ED5560"/>
    <w:rsid w:val="00ED711C"/>
    <w:rsid w:val="00EE1B97"/>
    <w:rsid w:val="00EE52C5"/>
    <w:rsid w:val="00EF2D36"/>
    <w:rsid w:val="00EF2DF0"/>
    <w:rsid w:val="00EF32DF"/>
    <w:rsid w:val="00EF3400"/>
    <w:rsid w:val="00EF487F"/>
    <w:rsid w:val="00F055D8"/>
    <w:rsid w:val="00F05A6A"/>
    <w:rsid w:val="00F075B6"/>
    <w:rsid w:val="00F12DC2"/>
    <w:rsid w:val="00F13461"/>
    <w:rsid w:val="00F14038"/>
    <w:rsid w:val="00F152DF"/>
    <w:rsid w:val="00F15461"/>
    <w:rsid w:val="00F2786B"/>
    <w:rsid w:val="00F50B1B"/>
    <w:rsid w:val="00F55699"/>
    <w:rsid w:val="00F62674"/>
    <w:rsid w:val="00F707CA"/>
    <w:rsid w:val="00F76B02"/>
    <w:rsid w:val="00F77257"/>
    <w:rsid w:val="00F81142"/>
    <w:rsid w:val="00F8440A"/>
    <w:rsid w:val="00F85870"/>
    <w:rsid w:val="00FA64E4"/>
    <w:rsid w:val="00FA7389"/>
    <w:rsid w:val="00FB1032"/>
    <w:rsid w:val="00FD66F1"/>
    <w:rsid w:val="00FE070F"/>
    <w:rsid w:val="00FF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E7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E817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ERCparanumber">
    <w:name w:val="FERC paranumber"/>
    <w:basedOn w:val="Normal"/>
    <w:qFormat/>
    <w:rsid w:val="00885CD4"/>
    <w:pPr>
      <w:numPr>
        <w:numId w:val="11"/>
      </w:numPr>
      <w:tabs>
        <w:tab w:val="clear" w:pos="990"/>
        <w:tab w:val="num" w:pos="720"/>
      </w:tabs>
      <w:spacing w:after="0" w:line="480" w:lineRule="auto"/>
      <w:ind w:left="0"/>
    </w:pPr>
    <w:rPr>
      <w:rFonts w:ascii="Times New Roman" w:eastAsia="Times New Roman" w:hAnsi="Times New Roman" w:cs="Times New Roman"/>
      <w:sz w:val="26"/>
      <w:szCs w:val="24"/>
    </w:rPr>
  </w:style>
  <w:style w:type="paragraph" w:customStyle="1" w:styleId="StyleFERCparanumberLinespacingDouble">
    <w:name w:val="Style FERC paranumber + Line spacing:  Double"/>
    <w:basedOn w:val="FERCparanumber"/>
    <w:rsid w:val="00885CD4"/>
    <w:rPr>
      <w:szCs w:val="20"/>
    </w:rPr>
  </w:style>
  <w:style w:type="paragraph" w:styleId="Revision">
    <w:name w:val="Revision"/>
    <w:hidden/>
    <w:uiPriority w:val="99"/>
    <w:semiHidden/>
    <w:rsid w:val="00250EAE"/>
    <w:pPr>
      <w:spacing w:after="0" w:line="240" w:lineRule="auto"/>
    </w:pPr>
  </w:style>
  <w:style w:type="character" w:customStyle="1" w:styleId="apple-converted-space">
    <w:name w:val="apple-converted-space"/>
    <w:basedOn w:val="DefaultParagraphFont"/>
    <w:rsid w:val="002E3B48"/>
  </w:style>
  <w:style w:type="character" w:customStyle="1" w:styleId="e-04">
    <w:name w:val="e-04"/>
    <w:basedOn w:val="DefaultParagraphFont"/>
    <w:rsid w:val="002E3B48"/>
  </w:style>
  <w:style w:type="table" w:styleId="TableGrid">
    <w:name w:val="Table Grid"/>
    <w:basedOn w:val="TableNormal"/>
    <w:uiPriority w:val="59"/>
    <w:rsid w:val="005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E817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ERCparanumber">
    <w:name w:val="FERC paranumber"/>
    <w:basedOn w:val="Normal"/>
    <w:qFormat/>
    <w:rsid w:val="00885CD4"/>
    <w:pPr>
      <w:numPr>
        <w:numId w:val="11"/>
      </w:numPr>
      <w:tabs>
        <w:tab w:val="clear" w:pos="990"/>
        <w:tab w:val="num" w:pos="720"/>
      </w:tabs>
      <w:spacing w:after="0" w:line="480" w:lineRule="auto"/>
      <w:ind w:left="0"/>
    </w:pPr>
    <w:rPr>
      <w:rFonts w:ascii="Times New Roman" w:eastAsia="Times New Roman" w:hAnsi="Times New Roman" w:cs="Times New Roman"/>
      <w:sz w:val="26"/>
      <w:szCs w:val="24"/>
    </w:rPr>
  </w:style>
  <w:style w:type="paragraph" w:customStyle="1" w:styleId="StyleFERCparanumberLinespacingDouble">
    <w:name w:val="Style FERC paranumber + Line spacing:  Double"/>
    <w:basedOn w:val="FERCparanumber"/>
    <w:rsid w:val="00885CD4"/>
    <w:rPr>
      <w:szCs w:val="20"/>
    </w:rPr>
  </w:style>
  <w:style w:type="paragraph" w:styleId="Revision">
    <w:name w:val="Revision"/>
    <w:hidden/>
    <w:uiPriority w:val="99"/>
    <w:semiHidden/>
    <w:rsid w:val="00250EAE"/>
    <w:pPr>
      <w:spacing w:after="0" w:line="240" w:lineRule="auto"/>
    </w:pPr>
  </w:style>
  <w:style w:type="character" w:customStyle="1" w:styleId="apple-converted-space">
    <w:name w:val="apple-converted-space"/>
    <w:basedOn w:val="DefaultParagraphFont"/>
    <w:rsid w:val="002E3B48"/>
  </w:style>
  <w:style w:type="character" w:customStyle="1" w:styleId="e-04">
    <w:name w:val="e-04"/>
    <w:basedOn w:val="DefaultParagraphFont"/>
    <w:rsid w:val="002E3B48"/>
  </w:style>
  <w:style w:type="table" w:styleId="TableGrid">
    <w:name w:val="Table Grid"/>
    <w:basedOn w:val="TableNormal"/>
    <w:uiPriority w:val="59"/>
    <w:rsid w:val="005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1430">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openxmlformats.org/officeDocument/2006/relationships/hyperlink" Target="https://www.rocis.gov/rocis/ViewICR.do?icrRefNbr=201504-1902-006&amp;from=SUBMITTED_LIS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rocis.gov/rocis/ViewICR.do?icrRefNbr=201505-1902-003&amp;from=SUBMITTED_LIST" TargetMode="External"/><Relationship Id="rId2" Type="http://schemas.openxmlformats.org/officeDocument/2006/relationships/customXml" Target="../customXml/item2.xml"/><Relationship Id="rId16" Type="http://schemas.openxmlformats.org/officeDocument/2006/relationships/hyperlink" Target="https://www.rocis.gov/rocis/ViewICR.do?icrRefNbr=201502-1902-004&amp;from=SUBMITTED_LI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ocis.gov/rocis/OMBControlNumberHistory.do?request_id=264504&amp;ombControlNbr=1902-0252"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ocis.gov/rocis/ViewICR.do?icrRefNbr=201507-1902-005&amp;from=SUBMITTED_LIS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nerc.com/FilingsOrders/us/RuleOfProcedureDL/NERC_ROP_Effective_20140701_updated_20140602%20(updated).pdf" TargetMode="External"/><Relationship Id="rId1" Type="http://schemas.openxmlformats.org/officeDocument/2006/relationships/hyperlink" Target="http://www.nerc.com"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725P1</_x0031__x002e__x0020_Collection_x0020_Number>
    <Date xmlns="d6eefc7d-9817-4fa6-84d5-3bc009be21b8">2015-07-23T00:00:00-04:00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RM15-9</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7EED-B50C-4080-90C8-C270FA536EBA}">
  <ds:schemaRefs>
    <ds:schemaRef ds:uri="http://schemas.microsoft.com/sharepoint/v3/contenttype/forms"/>
  </ds:schemaRefs>
</ds:datastoreItem>
</file>

<file path=customXml/itemProps2.xml><?xml version="1.0" encoding="utf-8"?>
<ds:datastoreItem xmlns:ds="http://schemas.openxmlformats.org/officeDocument/2006/customXml" ds:itemID="{8048FF69-821D-494B-8872-51BBD8E08DC4}">
  <ds:schemaRefs>
    <ds:schemaRef ds:uri="http://schemas.microsoft.com/office/2006/metadata/customXsn"/>
  </ds:schemaRefs>
</ds:datastoreItem>
</file>

<file path=customXml/itemProps3.xml><?xml version="1.0" encoding="utf-8"?>
<ds:datastoreItem xmlns:ds="http://schemas.openxmlformats.org/officeDocument/2006/customXml" ds:itemID="{D8015591-C0C5-4107-BB17-3E8948BCE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B551B-1AA0-4E18-A4CD-6B1955ACDC61}">
  <ds:schemaRefs>
    <ds:schemaRef ds:uri="http://schemas.microsoft.com/office/2006/documentManagement/types"/>
    <ds:schemaRef ds:uri="http://purl.org/dc/terms/"/>
    <ds:schemaRef ds:uri="http://purl.org/dc/dcmitype/"/>
    <ds:schemaRef ds:uri="http://purl.org/dc/elements/1.1/"/>
    <ds:schemaRef ds:uri="http://www.w3.org/XML/1998/namespace"/>
    <ds:schemaRef ds:uri="d6eefc7d-9817-4fa6-84d5-3bc009be21b8"/>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F68D5F09-9EE6-447A-9192-83972EC85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2015-07-21T17:55:00Z</dcterms:created>
  <dcterms:modified xsi:type="dcterms:W3CDTF">2015-07-23T15:57:00Z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