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9EF4" w14:textId="77777777" w:rsidR="00F57FA7" w:rsidRDefault="00F57FA7" w:rsidP="00F57FA7">
      <w:pPr>
        <w:widowControl/>
        <w:tabs>
          <w:tab w:val="center" w:pos="5040"/>
        </w:tabs>
        <w:jc w:val="center"/>
        <w:rPr>
          <w:sz w:val="26"/>
          <w:szCs w:val="26"/>
        </w:rPr>
      </w:pPr>
    </w:p>
    <w:p w14:paraId="6C13A206" w14:textId="77777777" w:rsidR="00F57FA7" w:rsidRPr="00AA373D" w:rsidRDefault="00F57FA7" w:rsidP="00F57FA7">
      <w:pPr>
        <w:widowControl/>
        <w:tabs>
          <w:tab w:val="center" w:pos="5040"/>
        </w:tabs>
        <w:jc w:val="center"/>
        <w:rPr>
          <w:sz w:val="26"/>
          <w:szCs w:val="26"/>
        </w:rPr>
      </w:pPr>
      <w:r w:rsidRPr="00AA373D">
        <w:rPr>
          <w:sz w:val="26"/>
          <w:szCs w:val="26"/>
        </w:rPr>
        <w:t>Supporting Statement for</w:t>
      </w:r>
    </w:p>
    <w:p w14:paraId="483BA08A" w14:textId="77777777" w:rsidR="00F57FA7" w:rsidRDefault="00F57FA7" w:rsidP="00F57FA7">
      <w:pPr>
        <w:widowControl/>
        <w:tabs>
          <w:tab w:val="center" w:pos="5040"/>
        </w:tabs>
        <w:jc w:val="center"/>
        <w:rPr>
          <w:b/>
          <w:bCs/>
          <w:sz w:val="26"/>
          <w:szCs w:val="26"/>
        </w:rPr>
      </w:pPr>
      <w:r>
        <w:rPr>
          <w:b/>
          <w:bCs/>
          <w:sz w:val="26"/>
          <w:szCs w:val="26"/>
        </w:rPr>
        <w:t>FERC-65 (</w:t>
      </w:r>
      <w:r w:rsidRPr="001F7AA1">
        <w:rPr>
          <w:b/>
          <w:bCs/>
          <w:sz w:val="26"/>
          <w:szCs w:val="26"/>
        </w:rPr>
        <w:t>Notification of Holding Company Status</w:t>
      </w:r>
      <w:r>
        <w:rPr>
          <w:b/>
          <w:bCs/>
          <w:sz w:val="26"/>
          <w:szCs w:val="26"/>
        </w:rPr>
        <w:t>), FERC-65A (Exemption Notification), and FERC-65B (Waiver Notification)</w:t>
      </w:r>
    </w:p>
    <w:p w14:paraId="328AA3C7" w14:textId="77777777" w:rsidR="00F57FA7" w:rsidRPr="00AA373D" w:rsidRDefault="00F57FA7" w:rsidP="00F57FA7">
      <w:pPr>
        <w:widowControl/>
        <w:tabs>
          <w:tab w:val="center" w:pos="5040"/>
        </w:tabs>
        <w:jc w:val="center"/>
        <w:rPr>
          <w:b/>
          <w:bCs/>
          <w:sz w:val="26"/>
          <w:szCs w:val="26"/>
        </w:rPr>
      </w:pPr>
    </w:p>
    <w:p w14:paraId="0BB9D460" w14:textId="77777777" w:rsidR="00F57FA7" w:rsidRDefault="00F57FA7" w:rsidP="00F57FA7">
      <w:pPr>
        <w:rPr>
          <w:sz w:val="26"/>
          <w:szCs w:val="26"/>
        </w:rPr>
      </w:pPr>
      <w:r>
        <w:rPr>
          <w:sz w:val="26"/>
          <w:szCs w:val="26"/>
        </w:rPr>
        <w:t xml:space="preserve">The Federal Energy Regulatory Commission (Commission or FERC) requests that the Office of Management and Budget (OMB) review the information collection requirements in the </w:t>
      </w:r>
      <w:r w:rsidRPr="00353A1B">
        <w:rPr>
          <w:b/>
          <w:bCs/>
          <w:sz w:val="26"/>
          <w:szCs w:val="26"/>
        </w:rPr>
        <w:t>FERC-65 (Notification of Holding Company Status), FERC-65A (Exemption Notification), and FERC-65B (Waiver Notification)</w:t>
      </w:r>
      <w:r>
        <w:rPr>
          <w:b/>
          <w:bCs/>
          <w:sz w:val="26"/>
          <w:szCs w:val="26"/>
        </w:rPr>
        <w:t xml:space="preserve"> </w:t>
      </w:r>
      <w:r>
        <w:rPr>
          <w:sz w:val="26"/>
          <w:szCs w:val="26"/>
        </w:rPr>
        <w:t>for a three year period.  FERC-65, FERC-65A, and FERC-65B (all under OMB Control No. 1902-0218) are existing Commission data collections (filing requirements), as stated by 18 Code of Federal Regulations (CFR), Part 366.</w:t>
      </w:r>
    </w:p>
    <w:p w14:paraId="73151A7F" w14:textId="77777777" w:rsidR="00F57FA7" w:rsidRPr="00B268AC" w:rsidRDefault="00F57FA7" w:rsidP="00F57FA7">
      <w:pPr>
        <w:widowControl/>
        <w:rPr>
          <w:sz w:val="26"/>
          <w:szCs w:val="26"/>
        </w:rPr>
      </w:pPr>
    </w:p>
    <w:p w14:paraId="0BA6801D" w14:textId="77777777" w:rsidR="00F57FA7" w:rsidRPr="00F61FD6" w:rsidRDefault="00F57FA7" w:rsidP="00F57FA7">
      <w:pPr>
        <w:widowControl/>
        <w:numPr>
          <w:ilvl w:val="0"/>
          <w:numId w:val="5"/>
        </w:numPr>
        <w:tabs>
          <w:tab w:val="clear" w:pos="1080"/>
          <w:tab w:val="left" w:pos="450"/>
        </w:tabs>
        <w:ind w:left="450"/>
        <w:rPr>
          <w:b/>
        </w:rPr>
      </w:pPr>
      <w:r w:rsidRPr="00F61FD6">
        <w:rPr>
          <w:b/>
        </w:rPr>
        <w:t>CIRCUMSTANCES THAT MAKE THE COLLECTION OF INFORMATION NECESSARY</w:t>
      </w:r>
    </w:p>
    <w:p w14:paraId="0D8D8353" w14:textId="77777777" w:rsidR="00F57FA7" w:rsidRPr="00B268AC" w:rsidRDefault="00F57FA7" w:rsidP="00F57FA7">
      <w:pPr>
        <w:widowControl/>
        <w:tabs>
          <w:tab w:val="left" w:pos="1800"/>
        </w:tabs>
        <w:rPr>
          <w:b/>
          <w:sz w:val="26"/>
          <w:szCs w:val="26"/>
        </w:rPr>
      </w:pPr>
    </w:p>
    <w:p w14:paraId="08F3AFC4" w14:textId="77777777" w:rsidR="00F57FA7" w:rsidRPr="00A83BD3" w:rsidRDefault="00F57FA7" w:rsidP="00F57FA7">
      <w:r w:rsidRPr="00007828">
        <w:rPr>
          <w:sz w:val="26"/>
          <w:szCs w:val="26"/>
        </w:rPr>
        <w:t xml:space="preserve">Section 1264 of </w:t>
      </w:r>
      <w:r>
        <w:rPr>
          <w:sz w:val="26"/>
          <w:szCs w:val="26"/>
        </w:rPr>
        <w:t>PUHCA</w:t>
      </w:r>
      <w:r w:rsidRPr="00007828">
        <w:rPr>
          <w:sz w:val="26"/>
          <w:szCs w:val="26"/>
        </w:rPr>
        <w:t xml:space="preserve"> 2005</w:t>
      </w:r>
      <w:r w:rsidRPr="00F12716">
        <w:rPr>
          <w:rStyle w:val="FootnoteReference"/>
        </w:rPr>
        <w:footnoteReference w:id="1"/>
      </w:r>
      <w:r w:rsidRPr="00007828">
        <w:rPr>
          <w:sz w:val="26"/>
          <w:szCs w:val="26"/>
        </w:rPr>
        <w:t xml:space="preserve"> generally provides that holding companies and associated entities are required to give the Commission access to books and records relevant to costs incurred by a public utility which are necessary or appropriate for the protection of utility customers with respect to jurisdictional rates.</w:t>
      </w:r>
      <w:r w:rsidRPr="00A32297">
        <w:rPr>
          <w:sz w:val="26"/>
          <w:szCs w:val="26"/>
        </w:rPr>
        <w:t xml:space="preserve">  Section 1275 of PUHCA</w:t>
      </w:r>
      <w:r w:rsidRPr="004F33D7">
        <w:rPr>
          <w:rStyle w:val="FootnoteReference"/>
        </w:rPr>
        <w:footnoteReference w:id="2"/>
      </w:r>
      <w:r w:rsidRPr="00A32297">
        <w:rPr>
          <w:sz w:val="26"/>
          <w:szCs w:val="26"/>
        </w:rPr>
        <w:t xml:space="preserve"> 2005 addresses the Commission’s review and </w:t>
      </w:r>
      <w:proofErr w:type="gramStart"/>
      <w:r w:rsidRPr="00A32297">
        <w:rPr>
          <w:sz w:val="26"/>
          <w:szCs w:val="26"/>
        </w:rPr>
        <w:t>authorization</w:t>
      </w:r>
      <w:proofErr w:type="gramEnd"/>
      <w:r w:rsidRPr="00A32297">
        <w:rPr>
          <w:sz w:val="26"/>
          <w:szCs w:val="26"/>
        </w:rPr>
        <w:t xml:space="preserve"> f</w:t>
      </w:r>
      <w:r>
        <w:rPr>
          <w:sz w:val="26"/>
          <w:szCs w:val="26"/>
        </w:rPr>
        <w:t>or</w:t>
      </w:r>
      <w:r w:rsidRPr="00A32297">
        <w:rPr>
          <w:sz w:val="26"/>
          <w:szCs w:val="26"/>
        </w:rPr>
        <w:t xml:space="preserve"> the allocation of costs for non-power goods or administrative or management services when requested by a holding company system or state commission.</w:t>
      </w:r>
      <w:r>
        <w:rPr>
          <w:sz w:val="26"/>
          <w:szCs w:val="26"/>
        </w:rPr>
        <w:t xml:space="preserve">  </w:t>
      </w:r>
      <w:r w:rsidRPr="00A32297">
        <w:rPr>
          <w:sz w:val="26"/>
          <w:szCs w:val="26"/>
        </w:rPr>
        <w:t>In a</w:t>
      </w:r>
      <w:r>
        <w:rPr>
          <w:sz w:val="26"/>
          <w:szCs w:val="26"/>
        </w:rPr>
        <w:t>ddition, the Commission’s rate authorities under the Federal Power Act</w:t>
      </w:r>
      <w:r w:rsidRPr="00A32297">
        <w:rPr>
          <w:rStyle w:val="FootnoteReference"/>
        </w:rPr>
        <w:footnoteReference w:id="3"/>
      </w:r>
      <w:r>
        <w:rPr>
          <w:sz w:val="26"/>
          <w:szCs w:val="26"/>
        </w:rPr>
        <w:t xml:space="preserve"> enable the Commission </w:t>
      </w:r>
      <w:r w:rsidRPr="00C62CB3">
        <w:rPr>
          <w:sz w:val="26"/>
          <w:szCs w:val="26"/>
        </w:rPr>
        <w:t>to detect and disallow from jurisdictional rates any imprudently</w:t>
      </w:r>
      <w:r>
        <w:rPr>
          <w:sz w:val="26"/>
          <w:szCs w:val="26"/>
        </w:rPr>
        <w:t xml:space="preserve"> </w:t>
      </w:r>
      <w:r w:rsidRPr="00C62CB3">
        <w:rPr>
          <w:sz w:val="26"/>
          <w:szCs w:val="26"/>
        </w:rPr>
        <w:t>incurred, unjust or unreasonable, or unduly discriminatory or preferential costs resulting from affiliate transa</w:t>
      </w:r>
      <w:r w:rsidR="002F0C85">
        <w:rPr>
          <w:sz w:val="26"/>
          <w:szCs w:val="26"/>
        </w:rPr>
        <w:t xml:space="preserve">ctions between companies in the </w:t>
      </w:r>
      <w:r w:rsidRPr="00C62CB3">
        <w:rPr>
          <w:sz w:val="26"/>
          <w:szCs w:val="26"/>
        </w:rPr>
        <w:t xml:space="preserve">same holding company system.  This includes both power transactions and non-power goods or services transactions between Commission-regulated companies that have captive customers and their unregulated affiliates. The Commission routinely places code of conduct restrictions on power sales at market-based rates between regulated and </w:t>
      </w:r>
      <w:r>
        <w:rPr>
          <w:sz w:val="26"/>
          <w:szCs w:val="26"/>
        </w:rPr>
        <w:t>un</w:t>
      </w:r>
      <w:r w:rsidRPr="00C62CB3">
        <w:rPr>
          <w:sz w:val="26"/>
          <w:szCs w:val="26"/>
        </w:rPr>
        <w:t xml:space="preserve">regulated affiliates </w:t>
      </w:r>
      <w:r>
        <w:rPr>
          <w:sz w:val="26"/>
          <w:szCs w:val="26"/>
        </w:rPr>
        <w:t>and</w:t>
      </w:r>
      <w:r w:rsidRPr="00C62CB3">
        <w:rPr>
          <w:sz w:val="26"/>
          <w:szCs w:val="26"/>
        </w:rPr>
        <w:t xml:space="preserve"> </w:t>
      </w:r>
      <w:r>
        <w:rPr>
          <w:sz w:val="26"/>
          <w:szCs w:val="26"/>
        </w:rPr>
        <w:t>has also</w:t>
      </w:r>
      <w:r w:rsidRPr="00C62CB3">
        <w:rPr>
          <w:sz w:val="26"/>
          <w:szCs w:val="26"/>
        </w:rPr>
        <w:t xml:space="preserve"> placed conditions on non-power goods and services transactions involving public utilities</w:t>
      </w:r>
      <w:r>
        <w:rPr>
          <w:sz w:val="26"/>
          <w:szCs w:val="26"/>
        </w:rPr>
        <w:t xml:space="preserve"> to help ensure these businesses engage in appropriate market behavior</w:t>
      </w:r>
      <w:r w:rsidRPr="00C62CB3">
        <w:rPr>
          <w:sz w:val="26"/>
          <w:szCs w:val="26"/>
        </w:rPr>
        <w:t>.</w:t>
      </w:r>
    </w:p>
    <w:p w14:paraId="07AAB6EB" w14:textId="77777777" w:rsidR="00F57FA7" w:rsidRDefault="00F57FA7" w:rsidP="00F57FA7">
      <w:pPr>
        <w:tabs>
          <w:tab w:val="left" w:pos="-1440"/>
        </w:tabs>
        <w:ind w:left="1440" w:hanging="720"/>
        <w:rPr>
          <w:sz w:val="26"/>
          <w:szCs w:val="26"/>
        </w:rPr>
      </w:pPr>
    </w:p>
    <w:p w14:paraId="3B37F823" w14:textId="77777777" w:rsidR="00F57FA7" w:rsidRPr="00B268AC" w:rsidRDefault="00F57FA7" w:rsidP="00F57FA7">
      <w:pPr>
        <w:rPr>
          <w:sz w:val="26"/>
          <w:szCs w:val="26"/>
        </w:rPr>
      </w:pPr>
      <w:r>
        <w:rPr>
          <w:sz w:val="26"/>
          <w:szCs w:val="26"/>
        </w:rPr>
        <w:t xml:space="preserve">The Commission issued Order No. 667 in 2005 to </w:t>
      </w:r>
      <w:r w:rsidRPr="00335A4A">
        <w:rPr>
          <w:sz w:val="26"/>
          <w:szCs w:val="26"/>
        </w:rPr>
        <w:t>implement the repeal of the Public Utility Holding Company Act of 1935 and the enactment of the Public Utility Holding Company Act of 2005</w:t>
      </w:r>
      <w:r>
        <w:rPr>
          <w:sz w:val="26"/>
          <w:szCs w:val="26"/>
        </w:rPr>
        <w:t xml:space="preserve">.  The Securities and Exchange Commission (SEC) specifies a number of reporting requirements for holding companies in 17 CFR </w:t>
      </w:r>
      <w:r w:rsidRPr="006966B6">
        <w:rPr>
          <w:sz w:val="26"/>
          <w:szCs w:val="26"/>
        </w:rPr>
        <w:t>250.1, 250.26, 250.80, 250.93, 250.94, and 259.313</w:t>
      </w:r>
      <w:r>
        <w:rPr>
          <w:sz w:val="26"/>
          <w:szCs w:val="26"/>
        </w:rPr>
        <w:t xml:space="preserve">.  With Order No. 667, </w:t>
      </w:r>
      <w:r>
        <w:rPr>
          <w:sz w:val="26"/>
          <w:szCs w:val="26"/>
        </w:rPr>
        <w:lastRenderedPageBreak/>
        <w:t xml:space="preserve">the Commission </w:t>
      </w:r>
      <w:r w:rsidRPr="006966B6">
        <w:rPr>
          <w:sz w:val="26"/>
          <w:szCs w:val="26"/>
        </w:rPr>
        <w:t>adopt</w:t>
      </w:r>
      <w:r>
        <w:rPr>
          <w:sz w:val="26"/>
          <w:szCs w:val="26"/>
        </w:rPr>
        <w:t>ed,</w:t>
      </w:r>
      <w:r w:rsidRPr="006966B6">
        <w:rPr>
          <w:sz w:val="26"/>
          <w:szCs w:val="26"/>
        </w:rPr>
        <w:t xml:space="preserve"> modified, </w:t>
      </w:r>
      <w:r>
        <w:rPr>
          <w:sz w:val="26"/>
          <w:szCs w:val="26"/>
        </w:rPr>
        <w:t xml:space="preserve">and </w:t>
      </w:r>
      <w:r w:rsidRPr="006966B6">
        <w:rPr>
          <w:sz w:val="26"/>
          <w:szCs w:val="26"/>
        </w:rPr>
        <w:t xml:space="preserve">streamlined </w:t>
      </w:r>
      <w:r>
        <w:rPr>
          <w:sz w:val="26"/>
          <w:szCs w:val="26"/>
        </w:rPr>
        <w:t>some of the SEC reporting requirements for holding companies in its own regulations.  The Commission adapted the SEC reporting regulations–instead of incorporating them in their entirety–because it determined that the information in some of the SEC reporting requirements is not relevant to the costs incurred by jurisdictional entities or is not necessary or appropriate for the protection of utility customers with respect to jurisdictional rates.</w:t>
      </w:r>
    </w:p>
    <w:p w14:paraId="6D373B57" w14:textId="77777777" w:rsidR="00F57FA7" w:rsidRPr="00B268AC" w:rsidRDefault="00F57FA7" w:rsidP="00F57FA7">
      <w:pPr>
        <w:rPr>
          <w:sz w:val="26"/>
          <w:szCs w:val="26"/>
        </w:rPr>
      </w:pPr>
    </w:p>
    <w:p w14:paraId="7AEC76A2" w14:textId="77777777" w:rsidR="00F57FA7" w:rsidRPr="00F61FD6" w:rsidRDefault="00F57FA7" w:rsidP="00F57FA7">
      <w:pPr>
        <w:widowControl/>
        <w:numPr>
          <w:ilvl w:val="0"/>
          <w:numId w:val="1"/>
        </w:numPr>
        <w:tabs>
          <w:tab w:val="clear" w:pos="1815"/>
          <w:tab w:val="num" w:pos="360"/>
        </w:tabs>
        <w:ind w:left="360" w:hanging="360"/>
        <w:rPr>
          <w:b/>
        </w:rPr>
      </w:pPr>
      <w:r w:rsidRPr="00F61FD6">
        <w:rPr>
          <w:b/>
        </w:rPr>
        <w:t xml:space="preserve">HOW, BY WHOM AND FOR WHAT PURPOSE IS THE INFORMATION TO BE USED AND THE CONSEQUENCES OF NOT COLLECTING THE INFORMATION </w:t>
      </w:r>
    </w:p>
    <w:p w14:paraId="5C90129F" w14:textId="77777777" w:rsidR="00F57FA7" w:rsidRPr="00B268AC" w:rsidRDefault="00F57FA7" w:rsidP="00F57FA7">
      <w:pPr>
        <w:widowControl/>
        <w:ind w:left="1440"/>
        <w:rPr>
          <w:sz w:val="26"/>
          <w:szCs w:val="26"/>
        </w:rPr>
      </w:pPr>
    </w:p>
    <w:p w14:paraId="1E273BA6" w14:textId="77777777" w:rsidR="00F57FA7" w:rsidRPr="00353A1B" w:rsidRDefault="00F57FA7" w:rsidP="00F57FA7">
      <w:pPr>
        <w:tabs>
          <w:tab w:val="left" w:pos="720"/>
        </w:tabs>
        <w:rPr>
          <w:bCs/>
          <w:sz w:val="26"/>
          <w:szCs w:val="26"/>
        </w:rPr>
      </w:pPr>
      <w:r w:rsidRPr="00353A1B">
        <w:rPr>
          <w:bCs/>
          <w:sz w:val="26"/>
          <w:szCs w:val="26"/>
        </w:rPr>
        <w:t>The FERC-65</w:t>
      </w:r>
      <w:r>
        <w:rPr>
          <w:bCs/>
          <w:sz w:val="26"/>
          <w:szCs w:val="26"/>
        </w:rPr>
        <w:t>, FERC-65A and FERC-65</w:t>
      </w:r>
      <w:r w:rsidRPr="00353A1B">
        <w:rPr>
          <w:bCs/>
          <w:sz w:val="26"/>
          <w:szCs w:val="26"/>
        </w:rPr>
        <w:t xml:space="preserve">B collections tell the Commission which entities </w:t>
      </w:r>
      <w:r>
        <w:rPr>
          <w:bCs/>
          <w:sz w:val="26"/>
          <w:szCs w:val="26"/>
        </w:rPr>
        <w:t>(</w:t>
      </w:r>
      <w:r w:rsidRPr="00353A1B">
        <w:rPr>
          <w:bCs/>
          <w:sz w:val="26"/>
          <w:szCs w:val="26"/>
        </w:rPr>
        <w:t>within holding company systems</w:t>
      </w:r>
      <w:r>
        <w:rPr>
          <w:bCs/>
          <w:sz w:val="26"/>
          <w:szCs w:val="26"/>
        </w:rPr>
        <w:t>)</w:t>
      </w:r>
      <w:r w:rsidRPr="00353A1B">
        <w:rPr>
          <w:bCs/>
          <w:sz w:val="26"/>
          <w:szCs w:val="26"/>
        </w:rPr>
        <w:t xml:space="preserve"> are </w:t>
      </w:r>
      <w:r>
        <w:rPr>
          <w:bCs/>
          <w:sz w:val="26"/>
          <w:szCs w:val="26"/>
        </w:rPr>
        <w:t>within Commission jurisdiction</w:t>
      </w:r>
      <w:r w:rsidRPr="00353A1B">
        <w:rPr>
          <w:bCs/>
          <w:sz w:val="26"/>
          <w:szCs w:val="26"/>
        </w:rPr>
        <w:t xml:space="preserve">.  </w:t>
      </w:r>
      <w:r>
        <w:rPr>
          <w:bCs/>
          <w:sz w:val="26"/>
          <w:szCs w:val="26"/>
        </w:rPr>
        <w:t>T</w:t>
      </w:r>
      <w:r w:rsidRPr="00353A1B">
        <w:rPr>
          <w:bCs/>
          <w:sz w:val="26"/>
          <w:szCs w:val="26"/>
        </w:rPr>
        <w:t>hose entities meeting the definition of a holding company found</w:t>
      </w:r>
      <w:r>
        <w:rPr>
          <w:bCs/>
          <w:sz w:val="26"/>
          <w:szCs w:val="26"/>
        </w:rPr>
        <w:t xml:space="preserve"> in 18 CFR </w:t>
      </w:r>
      <w:r w:rsidRPr="00353A1B">
        <w:rPr>
          <w:bCs/>
          <w:sz w:val="26"/>
          <w:szCs w:val="26"/>
        </w:rPr>
        <w:t>366.1</w:t>
      </w:r>
      <w:r>
        <w:rPr>
          <w:bCs/>
          <w:sz w:val="26"/>
          <w:szCs w:val="26"/>
        </w:rPr>
        <w:t xml:space="preserve"> submit the FERC-65</w:t>
      </w:r>
      <w:r w:rsidRPr="00353A1B">
        <w:rPr>
          <w:bCs/>
          <w:sz w:val="26"/>
          <w:szCs w:val="26"/>
        </w:rPr>
        <w:t xml:space="preserve">.  The Commission collects the following information in the FERC-65:  the identity of the holding company and of the public </w:t>
      </w:r>
      <w:r>
        <w:rPr>
          <w:bCs/>
          <w:sz w:val="26"/>
          <w:szCs w:val="26"/>
        </w:rPr>
        <w:t>utilities/</w:t>
      </w:r>
      <w:r w:rsidRPr="00353A1B">
        <w:rPr>
          <w:bCs/>
          <w:sz w:val="26"/>
          <w:szCs w:val="26"/>
        </w:rPr>
        <w:t xml:space="preserve">natural gas companies in the holding company </w:t>
      </w:r>
      <w:r>
        <w:rPr>
          <w:bCs/>
          <w:sz w:val="26"/>
          <w:szCs w:val="26"/>
        </w:rPr>
        <w:t>system,</w:t>
      </w:r>
      <w:r w:rsidRPr="00353A1B">
        <w:rPr>
          <w:bCs/>
          <w:sz w:val="26"/>
          <w:szCs w:val="26"/>
        </w:rPr>
        <w:t xml:space="preserve"> the identity of service companies, including special-purpose subsidiaries providing non-power </w:t>
      </w:r>
      <w:r>
        <w:rPr>
          <w:bCs/>
          <w:sz w:val="26"/>
          <w:szCs w:val="26"/>
        </w:rPr>
        <w:t>goods and services,</w:t>
      </w:r>
      <w:r w:rsidRPr="00353A1B">
        <w:rPr>
          <w:bCs/>
          <w:sz w:val="26"/>
          <w:szCs w:val="26"/>
        </w:rPr>
        <w:t xml:space="preserve"> and the identity of all affiliates and subsidiaries as well as their corporate r</w:t>
      </w:r>
      <w:r>
        <w:rPr>
          <w:bCs/>
          <w:sz w:val="26"/>
          <w:szCs w:val="26"/>
        </w:rPr>
        <w:t>elationship to each other.</w:t>
      </w:r>
    </w:p>
    <w:p w14:paraId="622819A2" w14:textId="77777777" w:rsidR="00F57FA7" w:rsidRPr="00353A1B" w:rsidRDefault="00F57FA7" w:rsidP="00F57FA7">
      <w:pPr>
        <w:tabs>
          <w:tab w:val="left" w:pos="720"/>
        </w:tabs>
        <w:rPr>
          <w:bCs/>
          <w:sz w:val="26"/>
          <w:szCs w:val="26"/>
        </w:rPr>
      </w:pPr>
    </w:p>
    <w:p w14:paraId="376C3CE2" w14:textId="77777777" w:rsidR="00F57FA7" w:rsidRPr="00353A1B" w:rsidRDefault="00F57FA7" w:rsidP="00F57FA7">
      <w:pPr>
        <w:tabs>
          <w:tab w:val="left" w:pos="720"/>
        </w:tabs>
        <w:rPr>
          <w:bCs/>
          <w:sz w:val="26"/>
          <w:szCs w:val="26"/>
        </w:rPr>
      </w:pPr>
      <w:r>
        <w:rPr>
          <w:bCs/>
          <w:sz w:val="26"/>
          <w:szCs w:val="26"/>
        </w:rPr>
        <w:t>The Commission needs t</w:t>
      </w:r>
      <w:r w:rsidRPr="00353A1B">
        <w:rPr>
          <w:bCs/>
          <w:sz w:val="26"/>
          <w:szCs w:val="26"/>
        </w:rPr>
        <w:t xml:space="preserve">he information in the FERC-65 </w:t>
      </w:r>
      <w:r>
        <w:rPr>
          <w:bCs/>
          <w:sz w:val="26"/>
          <w:szCs w:val="26"/>
        </w:rPr>
        <w:t>to have</w:t>
      </w:r>
      <w:r w:rsidRPr="00353A1B">
        <w:rPr>
          <w:bCs/>
          <w:sz w:val="26"/>
          <w:szCs w:val="26"/>
        </w:rPr>
        <w:t xml:space="preserve"> assurance that the actions of all jurisdictional entities within holding company systems would receive the</w:t>
      </w:r>
      <w:r>
        <w:rPr>
          <w:bCs/>
          <w:sz w:val="26"/>
          <w:szCs w:val="26"/>
        </w:rPr>
        <w:t xml:space="preserve"> required regulatory oversight.</w:t>
      </w:r>
    </w:p>
    <w:p w14:paraId="4E688C8F" w14:textId="77777777" w:rsidR="00F57FA7" w:rsidRPr="00353A1B" w:rsidRDefault="00F57FA7" w:rsidP="00F57FA7">
      <w:pPr>
        <w:tabs>
          <w:tab w:val="left" w:pos="720"/>
        </w:tabs>
        <w:rPr>
          <w:bCs/>
          <w:sz w:val="26"/>
          <w:szCs w:val="26"/>
        </w:rPr>
      </w:pPr>
    </w:p>
    <w:p w14:paraId="1BE5175A" w14:textId="77777777" w:rsidR="00F57FA7" w:rsidRPr="00353A1B" w:rsidRDefault="00F57FA7" w:rsidP="00F57FA7">
      <w:pPr>
        <w:tabs>
          <w:tab w:val="left" w:pos="720"/>
        </w:tabs>
        <w:rPr>
          <w:bCs/>
          <w:sz w:val="26"/>
          <w:szCs w:val="26"/>
        </w:rPr>
      </w:pPr>
      <w:r w:rsidRPr="00353A1B">
        <w:rPr>
          <w:bCs/>
          <w:sz w:val="26"/>
          <w:szCs w:val="26"/>
        </w:rPr>
        <w:t xml:space="preserve">The Commission uses the information from the FERC-65 to track changes in the corporate identities of public utility and natural gas companies as well as the organizational structure of business unit constituents in current and new holding company systems. The Commission needs this information to discern whether the reported businesses fall within its jurisdiction.  Moreover, the information can provide context and background information to the Commission in its electric market based rates work and as it analyzes and addresses </w:t>
      </w:r>
      <w:r>
        <w:rPr>
          <w:bCs/>
          <w:sz w:val="26"/>
          <w:szCs w:val="26"/>
        </w:rPr>
        <w:t xml:space="preserve">other corporate activity </w:t>
      </w:r>
      <w:r w:rsidRPr="00353A1B">
        <w:rPr>
          <w:bCs/>
          <w:sz w:val="26"/>
          <w:szCs w:val="26"/>
        </w:rPr>
        <w:t>issues.</w:t>
      </w:r>
    </w:p>
    <w:p w14:paraId="3EBDA386" w14:textId="77777777" w:rsidR="00F57FA7" w:rsidRPr="00353A1B" w:rsidRDefault="00F57FA7" w:rsidP="00F57FA7">
      <w:pPr>
        <w:tabs>
          <w:tab w:val="left" w:pos="720"/>
        </w:tabs>
        <w:rPr>
          <w:bCs/>
          <w:sz w:val="26"/>
          <w:szCs w:val="26"/>
        </w:rPr>
      </w:pPr>
    </w:p>
    <w:p w14:paraId="0C371EA1" w14:textId="77777777" w:rsidR="00F57FA7" w:rsidRPr="00353A1B" w:rsidRDefault="00F57FA7" w:rsidP="00F57FA7">
      <w:pPr>
        <w:tabs>
          <w:tab w:val="left" w:pos="720"/>
        </w:tabs>
        <w:rPr>
          <w:bCs/>
          <w:sz w:val="26"/>
          <w:szCs w:val="26"/>
        </w:rPr>
      </w:pPr>
      <w:r w:rsidRPr="00353A1B">
        <w:rPr>
          <w:bCs/>
          <w:sz w:val="26"/>
          <w:szCs w:val="26"/>
        </w:rPr>
        <w:t>Information from the FERC-65A a</w:t>
      </w:r>
      <w:r>
        <w:rPr>
          <w:bCs/>
          <w:sz w:val="26"/>
          <w:szCs w:val="26"/>
        </w:rPr>
        <w:t>nd FERC-</w:t>
      </w:r>
      <w:r w:rsidRPr="00353A1B">
        <w:rPr>
          <w:bCs/>
          <w:sz w:val="26"/>
          <w:szCs w:val="26"/>
        </w:rPr>
        <w:t>65B sets forth the reasons companies may be exempt from PUHCA 2005 or eligible for a waiver of the related FERC regulations.</w:t>
      </w:r>
    </w:p>
    <w:p w14:paraId="399EBCE3" w14:textId="77777777" w:rsidR="00F57FA7" w:rsidRPr="00353A1B" w:rsidRDefault="00F57FA7" w:rsidP="00F57FA7">
      <w:pPr>
        <w:tabs>
          <w:tab w:val="left" w:pos="720"/>
        </w:tabs>
        <w:rPr>
          <w:bCs/>
          <w:sz w:val="26"/>
          <w:szCs w:val="26"/>
        </w:rPr>
      </w:pPr>
    </w:p>
    <w:p w14:paraId="19C1255C" w14:textId="77777777" w:rsidR="00F57FA7" w:rsidRDefault="00F57FA7" w:rsidP="00F57FA7">
      <w:pPr>
        <w:tabs>
          <w:tab w:val="left" w:pos="720"/>
        </w:tabs>
        <w:rPr>
          <w:bCs/>
          <w:sz w:val="26"/>
          <w:szCs w:val="26"/>
        </w:rPr>
      </w:pPr>
      <w:r w:rsidRPr="00353A1B">
        <w:rPr>
          <w:bCs/>
          <w:sz w:val="26"/>
          <w:szCs w:val="26"/>
        </w:rPr>
        <w:t xml:space="preserve">The information filed in the FERC-65A would </w:t>
      </w:r>
      <w:r>
        <w:rPr>
          <w:bCs/>
          <w:sz w:val="26"/>
          <w:szCs w:val="26"/>
        </w:rPr>
        <w:t>be needed</w:t>
      </w:r>
      <w:r w:rsidRPr="00353A1B">
        <w:rPr>
          <w:bCs/>
          <w:sz w:val="26"/>
          <w:szCs w:val="26"/>
        </w:rPr>
        <w:t xml:space="preserve"> to support the company’s position that they qualify for </w:t>
      </w:r>
      <w:r>
        <w:rPr>
          <w:bCs/>
          <w:sz w:val="26"/>
          <w:szCs w:val="26"/>
        </w:rPr>
        <w:t xml:space="preserve">an exemption from </w:t>
      </w:r>
      <w:r w:rsidRPr="00353A1B">
        <w:rPr>
          <w:bCs/>
          <w:sz w:val="26"/>
          <w:szCs w:val="26"/>
        </w:rPr>
        <w:t>PUHCA 2005.  The exemption applies to those who belong to one or more of the types of entities, persons or classes of transactions which 18 C</w:t>
      </w:r>
      <w:r>
        <w:rPr>
          <w:bCs/>
          <w:sz w:val="26"/>
          <w:szCs w:val="26"/>
        </w:rPr>
        <w:t xml:space="preserve">FR 366.3 specifies as exempt.  </w:t>
      </w:r>
    </w:p>
    <w:p w14:paraId="21C30C8C" w14:textId="77777777" w:rsidR="00F57FA7" w:rsidRDefault="00F57FA7" w:rsidP="00F57FA7">
      <w:pPr>
        <w:tabs>
          <w:tab w:val="left" w:pos="720"/>
        </w:tabs>
        <w:rPr>
          <w:bCs/>
          <w:sz w:val="26"/>
          <w:szCs w:val="26"/>
        </w:rPr>
      </w:pPr>
    </w:p>
    <w:p w14:paraId="52C50D55" w14:textId="77777777" w:rsidR="00F57FA7" w:rsidRPr="00353A1B" w:rsidRDefault="00F57FA7" w:rsidP="00F57FA7">
      <w:pPr>
        <w:tabs>
          <w:tab w:val="left" w:pos="720"/>
        </w:tabs>
        <w:rPr>
          <w:bCs/>
          <w:sz w:val="26"/>
          <w:szCs w:val="26"/>
        </w:rPr>
      </w:pPr>
      <w:r w:rsidRPr="00353A1B">
        <w:rPr>
          <w:bCs/>
          <w:sz w:val="26"/>
          <w:szCs w:val="26"/>
        </w:rPr>
        <w:t>The exemptio</w:t>
      </w:r>
      <w:r>
        <w:rPr>
          <w:bCs/>
          <w:sz w:val="26"/>
          <w:szCs w:val="26"/>
        </w:rPr>
        <w:t>ns benefit many small entities.  T</w:t>
      </w:r>
      <w:r w:rsidRPr="00353A1B">
        <w:rPr>
          <w:bCs/>
          <w:sz w:val="26"/>
          <w:szCs w:val="26"/>
        </w:rPr>
        <w:t>he burden on smal</w:t>
      </w:r>
      <w:r>
        <w:rPr>
          <w:bCs/>
          <w:sz w:val="26"/>
          <w:szCs w:val="26"/>
        </w:rPr>
        <w:t>l entities would be significant w</w:t>
      </w:r>
      <w:r w:rsidRPr="0039193F">
        <w:rPr>
          <w:bCs/>
          <w:sz w:val="26"/>
          <w:szCs w:val="26"/>
        </w:rPr>
        <w:t>ithout the exemption option</w:t>
      </w:r>
      <w:r>
        <w:rPr>
          <w:bCs/>
          <w:sz w:val="26"/>
          <w:szCs w:val="26"/>
        </w:rPr>
        <w:t>.</w:t>
      </w:r>
    </w:p>
    <w:p w14:paraId="6C9D51BD" w14:textId="77777777" w:rsidR="00F57FA7" w:rsidRPr="00353A1B" w:rsidRDefault="00F57FA7" w:rsidP="00F57FA7">
      <w:pPr>
        <w:tabs>
          <w:tab w:val="left" w:pos="720"/>
        </w:tabs>
        <w:rPr>
          <w:bCs/>
          <w:sz w:val="26"/>
          <w:szCs w:val="26"/>
        </w:rPr>
      </w:pPr>
    </w:p>
    <w:p w14:paraId="6A55B406" w14:textId="77777777" w:rsidR="00F57FA7" w:rsidRPr="00353A1B" w:rsidRDefault="00F57FA7" w:rsidP="00F57FA7">
      <w:pPr>
        <w:tabs>
          <w:tab w:val="left" w:pos="720"/>
        </w:tabs>
        <w:rPr>
          <w:bCs/>
          <w:sz w:val="26"/>
          <w:szCs w:val="26"/>
        </w:rPr>
      </w:pPr>
      <w:r w:rsidRPr="00353A1B">
        <w:rPr>
          <w:bCs/>
          <w:sz w:val="26"/>
          <w:szCs w:val="26"/>
        </w:rPr>
        <w:t>The FERC-65B is submitted by those entities requesting a waiver from the PUHCA 2005 Section 1264 requirements.  The Commission has allowed waivers of these requirements for any holding company if they fit into one or more of the following groups:  (1) single-state holding company systems; (2)</w:t>
      </w:r>
      <w:r w:rsidRPr="00353A1B">
        <w:rPr>
          <w:b/>
          <w:bCs/>
          <w:sz w:val="26"/>
          <w:szCs w:val="26"/>
        </w:rPr>
        <w:t xml:space="preserve"> </w:t>
      </w:r>
      <w:r w:rsidRPr="00353A1B">
        <w:rPr>
          <w:bCs/>
          <w:sz w:val="26"/>
          <w:szCs w:val="26"/>
        </w:rPr>
        <w:t>holding companies that own generating facilities that total 100 MW or less in size and are used fundamentally for their own load or for sales to affiliated end-users; and (3)</w:t>
      </w:r>
      <w:r w:rsidRPr="00353A1B">
        <w:rPr>
          <w:b/>
          <w:bCs/>
          <w:sz w:val="26"/>
          <w:szCs w:val="26"/>
        </w:rPr>
        <w:t xml:space="preserve"> </w:t>
      </w:r>
      <w:r w:rsidRPr="00353A1B">
        <w:rPr>
          <w:bCs/>
          <w:sz w:val="26"/>
          <w:szCs w:val="26"/>
        </w:rPr>
        <w:t>investors in independent, transmission-only companies.</w:t>
      </w:r>
    </w:p>
    <w:p w14:paraId="74E82776" w14:textId="77777777" w:rsidR="00F57FA7" w:rsidRPr="00B268AC" w:rsidRDefault="00F57FA7" w:rsidP="00F57FA7">
      <w:pPr>
        <w:tabs>
          <w:tab w:val="left" w:pos="720"/>
        </w:tabs>
        <w:rPr>
          <w:sz w:val="26"/>
          <w:szCs w:val="26"/>
        </w:rPr>
      </w:pPr>
    </w:p>
    <w:p w14:paraId="093EDF8B" w14:textId="77777777" w:rsidR="00F57FA7" w:rsidRPr="00B268AC" w:rsidRDefault="00F57FA7" w:rsidP="00F57FA7">
      <w:pPr>
        <w:widowControl/>
        <w:numPr>
          <w:ilvl w:val="0"/>
          <w:numId w:val="1"/>
        </w:numPr>
        <w:tabs>
          <w:tab w:val="clear" w:pos="1815"/>
        </w:tabs>
        <w:ind w:left="360" w:hanging="360"/>
        <w:rPr>
          <w:sz w:val="26"/>
          <w:szCs w:val="26"/>
        </w:rPr>
      </w:pPr>
      <w:r w:rsidRPr="00B268AC">
        <w:rPr>
          <w:b/>
          <w:sz w:val="26"/>
          <w:szCs w:val="26"/>
        </w:rPr>
        <w:t>DESCRIBE ANY CONSIDERATION OF THE USE OF IMPROVED INFORMATION TECHNOLOGY TO REDUCE BURDEN AND THE TECHNICAL OR LEGAL OBSTACLES TO REDUCING BURDEN</w:t>
      </w:r>
    </w:p>
    <w:p w14:paraId="4C128CC5" w14:textId="77777777" w:rsidR="00F57FA7" w:rsidRPr="00B268AC" w:rsidRDefault="00F57FA7" w:rsidP="00F57FA7">
      <w:pPr>
        <w:widowControl/>
        <w:rPr>
          <w:sz w:val="26"/>
          <w:szCs w:val="26"/>
        </w:rPr>
      </w:pPr>
    </w:p>
    <w:p w14:paraId="7EAF4106" w14:textId="77777777" w:rsidR="00F57FA7" w:rsidRPr="00DE15B8" w:rsidRDefault="00F57FA7" w:rsidP="00F57FA7">
      <w:pPr>
        <w:rPr>
          <w:b/>
          <w:bCs/>
          <w:sz w:val="26"/>
          <w:szCs w:val="26"/>
        </w:rPr>
      </w:pPr>
      <w:r w:rsidRPr="00DE15B8">
        <w:rPr>
          <w:sz w:val="26"/>
          <w:szCs w:val="26"/>
        </w:rPr>
        <w:t xml:space="preserve">The Commission allows the option of filing all documents in proceedings through the </w:t>
      </w:r>
      <w:proofErr w:type="spellStart"/>
      <w:r w:rsidRPr="00DE15B8">
        <w:rPr>
          <w:sz w:val="26"/>
          <w:szCs w:val="26"/>
        </w:rPr>
        <w:t>eFiling</w:t>
      </w:r>
      <w:proofErr w:type="spellEnd"/>
      <w:r w:rsidRPr="00DE15B8">
        <w:rPr>
          <w:sz w:val="26"/>
          <w:szCs w:val="26"/>
        </w:rPr>
        <w:t xml:space="preserve"> interface except for specified exceptions, and of utilizing online forms to allow “</w:t>
      </w:r>
      <w:proofErr w:type="spellStart"/>
      <w:r w:rsidRPr="00DE15B8">
        <w:rPr>
          <w:sz w:val="26"/>
          <w:szCs w:val="26"/>
        </w:rPr>
        <w:t>documentless</w:t>
      </w:r>
      <w:proofErr w:type="spellEnd"/>
      <w:r w:rsidRPr="00DE15B8">
        <w:rPr>
          <w:sz w:val="26"/>
          <w:szCs w:val="26"/>
        </w:rPr>
        <w:t xml:space="preserve">” interventions in all filings. </w:t>
      </w:r>
    </w:p>
    <w:p w14:paraId="245E6CC1" w14:textId="77777777" w:rsidR="00F57FA7" w:rsidRPr="00DE15B8" w:rsidRDefault="00F57FA7" w:rsidP="00F57FA7">
      <w:pPr>
        <w:ind w:firstLine="720"/>
        <w:rPr>
          <w:sz w:val="26"/>
          <w:szCs w:val="26"/>
        </w:rPr>
      </w:pPr>
    </w:p>
    <w:p w14:paraId="557EFF67" w14:textId="77777777" w:rsidR="00F57FA7" w:rsidRPr="00D27CC7" w:rsidRDefault="00F57FA7" w:rsidP="00F57FA7">
      <w:pPr>
        <w:rPr>
          <w:sz w:val="26"/>
          <w:szCs w:val="26"/>
        </w:rPr>
      </w:pPr>
      <w:r w:rsidRPr="00DE15B8">
        <w:rPr>
          <w:sz w:val="26"/>
          <w:szCs w:val="26"/>
        </w:rPr>
        <w:t xml:space="preserve">With the advent of </w:t>
      </w:r>
      <w:proofErr w:type="spellStart"/>
      <w:r w:rsidRPr="00DE15B8">
        <w:rPr>
          <w:sz w:val="26"/>
          <w:szCs w:val="26"/>
        </w:rPr>
        <w:t>eFiling</w:t>
      </w:r>
      <w:proofErr w:type="spellEnd"/>
      <w:r w:rsidRPr="00DE15B8">
        <w:rPr>
          <w:sz w:val="26"/>
          <w:szCs w:val="26"/>
        </w:rPr>
        <w:t xml:space="preserve"> 7.0, the Commission has expanded its ability to receive electronic filings through its </w:t>
      </w:r>
      <w:proofErr w:type="spellStart"/>
      <w:r w:rsidRPr="00DE15B8">
        <w:rPr>
          <w:sz w:val="26"/>
          <w:szCs w:val="26"/>
        </w:rPr>
        <w:t>eFiling</w:t>
      </w:r>
      <w:proofErr w:type="spellEnd"/>
      <w:r w:rsidRPr="00DE15B8">
        <w:rPr>
          <w:sz w:val="26"/>
          <w:szCs w:val="26"/>
        </w:rPr>
        <w:t xml:space="preserve"> and </w:t>
      </w:r>
      <w:proofErr w:type="spellStart"/>
      <w:r w:rsidRPr="00DE15B8">
        <w:rPr>
          <w:sz w:val="26"/>
          <w:szCs w:val="26"/>
        </w:rPr>
        <w:t>eLibrary</w:t>
      </w:r>
      <w:proofErr w:type="spellEnd"/>
      <w:r w:rsidRPr="00DE15B8">
        <w:rPr>
          <w:sz w:val="26"/>
          <w:szCs w:val="26"/>
        </w:rPr>
        <w:t xml:space="preserve"> systems and now includes these self-certification filings.  Submission guidelines can be found here: </w:t>
      </w:r>
      <w:hyperlink r:id="rId12" w:history="1">
        <w:r w:rsidRPr="00DE15B8">
          <w:rPr>
            <w:rStyle w:val="Hyperlink"/>
            <w:szCs w:val="26"/>
          </w:rPr>
          <w:t>http://www.ferc.gov/docs-filing/efiling/filing.pdf</w:t>
        </w:r>
      </w:hyperlink>
      <w:r>
        <w:rPr>
          <w:sz w:val="26"/>
          <w:szCs w:val="26"/>
        </w:rPr>
        <w:t>.</w:t>
      </w:r>
    </w:p>
    <w:p w14:paraId="041903B7" w14:textId="77777777" w:rsidR="00F57FA7" w:rsidRPr="00B268AC" w:rsidRDefault="00F57FA7" w:rsidP="00F57FA7">
      <w:pPr>
        <w:widowControl/>
        <w:rPr>
          <w:sz w:val="26"/>
          <w:szCs w:val="26"/>
        </w:rPr>
      </w:pPr>
    </w:p>
    <w:p w14:paraId="4EB0292B" w14:textId="77777777" w:rsidR="00F57FA7" w:rsidRPr="00B268AC" w:rsidRDefault="00F57FA7" w:rsidP="00F57FA7">
      <w:pPr>
        <w:widowControl/>
        <w:tabs>
          <w:tab w:val="left" w:pos="360"/>
        </w:tabs>
        <w:ind w:left="360" w:hanging="270"/>
        <w:rPr>
          <w:b/>
          <w:sz w:val="26"/>
          <w:szCs w:val="26"/>
        </w:rPr>
      </w:pPr>
      <w:r w:rsidRPr="00B268AC">
        <w:rPr>
          <w:b/>
          <w:sz w:val="26"/>
          <w:szCs w:val="26"/>
        </w:rPr>
        <w:t>4.</w:t>
      </w:r>
      <w:r w:rsidRPr="00B268AC">
        <w:rPr>
          <w:b/>
          <w:sz w:val="26"/>
          <w:szCs w:val="26"/>
        </w:rPr>
        <w:tab/>
        <w:t>DESCRIBE EFFORTS TO IDENTIFY DUPLICATION AND SHOW SPECIFICALLY WHY ANY SIMILAR INFORMATION ALREADY AVAILABLE CANNOT BE USED OR MODIFIED FOR USE FOR THE PURPOSE(S) DESCRIBED IN INSTRUCTION NO. 2.</w:t>
      </w:r>
    </w:p>
    <w:p w14:paraId="57283E78" w14:textId="77777777" w:rsidR="00F57FA7" w:rsidRDefault="00F57FA7" w:rsidP="00F57FA7">
      <w:pPr>
        <w:widowControl/>
        <w:rPr>
          <w:b/>
          <w:sz w:val="26"/>
          <w:szCs w:val="26"/>
        </w:rPr>
      </w:pPr>
    </w:p>
    <w:p w14:paraId="3DF1785B" w14:textId="77777777" w:rsidR="00F57FA7" w:rsidRPr="00B268AC" w:rsidRDefault="00F57FA7" w:rsidP="00F57FA7">
      <w:pPr>
        <w:widowControl/>
        <w:rPr>
          <w:sz w:val="26"/>
          <w:szCs w:val="26"/>
        </w:rPr>
      </w:pPr>
      <w:r w:rsidRPr="00FD1F63">
        <w:rPr>
          <w:sz w:val="26"/>
          <w:szCs w:val="26"/>
        </w:rPr>
        <w:t>The Commission published a</w:t>
      </w:r>
      <w:r>
        <w:rPr>
          <w:sz w:val="26"/>
          <w:szCs w:val="26"/>
        </w:rPr>
        <w:t xml:space="preserve"> notice within the</w:t>
      </w:r>
      <w:r w:rsidRPr="00FD1F63">
        <w:rPr>
          <w:sz w:val="26"/>
          <w:szCs w:val="26"/>
        </w:rPr>
        <w:t xml:space="preserve"> Federal Register</w:t>
      </w:r>
      <w:bookmarkStart w:id="0" w:name="_Ref416780740"/>
      <w:r w:rsidRPr="00574AA0">
        <w:rPr>
          <w:vertAlign w:val="superscript"/>
        </w:rPr>
        <w:footnoteReference w:id="4"/>
      </w:r>
      <w:bookmarkEnd w:id="0"/>
      <w:r w:rsidRPr="00FD1F63">
        <w:rPr>
          <w:sz w:val="26"/>
          <w:szCs w:val="26"/>
        </w:rPr>
        <w:t xml:space="preserve"> to</w:t>
      </w:r>
      <w:r>
        <w:rPr>
          <w:sz w:val="26"/>
          <w:szCs w:val="26"/>
        </w:rPr>
        <w:t xml:space="preserve"> help</w:t>
      </w:r>
      <w:r w:rsidRPr="00FD1F63">
        <w:rPr>
          <w:sz w:val="26"/>
          <w:szCs w:val="26"/>
        </w:rPr>
        <w:t xml:space="preserve"> identify any duplication of the information in FERC-65, </w:t>
      </w:r>
      <w:r>
        <w:rPr>
          <w:sz w:val="26"/>
          <w:szCs w:val="26"/>
        </w:rPr>
        <w:t>FERC-65</w:t>
      </w:r>
      <w:r w:rsidRPr="00FD1F63">
        <w:rPr>
          <w:sz w:val="26"/>
          <w:szCs w:val="26"/>
        </w:rPr>
        <w:t xml:space="preserve">A and </w:t>
      </w:r>
      <w:r>
        <w:rPr>
          <w:sz w:val="26"/>
          <w:szCs w:val="26"/>
        </w:rPr>
        <w:t>FERC-65</w:t>
      </w:r>
      <w:r w:rsidRPr="00FD1F63">
        <w:rPr>
          <w:sz w:val="26"/>
          <w:szCs w:val="26"/>
        </w:rPr>
        <w:t xml:space="preserve">B.  No comments were received.  There are no other Federal agencies responsible for the existence and status of holding companies as part of rate and regulatory activities for electric and gas companies </w:t>
      </w:r>
      <w:r>
        <w:rPr>
          <w:sz w:val="26"/>
          <w:szCs w:val="26"/>
        </w:rPr>
        <w:t xml:space="preserve">within </w:t>
      </w:r>
      <w:r w:rsidRPr="00FD1F63">
        <w:rPr>
          <w:sz w:val="26"/>
          <w:szCs w:val="26"/>
        </w:rPr>
        <w:t>FERC</w:t>
      </w:r>
      <w:r>
        <w:rPr>
          <w:sz w:val="26"/>
          <w:szCs w:val="26"/>
        </w:rPr>
        <w:t>’s jurisdiction</w:t>
      </w:r>
      <w:r w:rsidRPr="00FD1F63">
        <w:rPr>
          <w:sz w:val="26"/>
          <w:szCs w:val="26"/>
        </w:rPr>
        <w:t>.  The infor</w:t>
      </w:r>
      <w:r>
        <w:rPr>
          <w:sz w:val="26"/>
          <w:szCs w:val="26"/>
        </w:rPr>
        <w:t>mation in each FERC-65, FERC-65A and FERC-65</w:t>
      </w:r>
      <w:r w:rsidRPr="00FD1F63">
        <w:rPr>
          <w:sz w:val="26"/>
          <w:szCs w:val="26"/>
        </w:rPr>
        <w:t>B is unique to the filer and its activities as they relate to Commission rate regulation.  Because the Commission requires new holding companies to make these filings within 30 days of having been formed, the information is timely, comprehensive</w:t>
      </w:r>
      <w:r>
        <w:rPr>
          <w:sz w:val="26"/>
          <w:szCs w:val="26"/>
        </w:rPr>
        <w:t>,</w:t>
      </w:r>
      <w:r w:rsidRPr="00FD1F63">
        <w:rPr>
          <w:sz w:val="26"/>
          <w:szCs w:val="26"/>
        </w:rPr>
        <w:t xml:space="preserve"> and responsive to current Commission polices regarding the applicability, exemption and waiver of </w:t>
      </w:r>
      <w:r w:rsidRPr="00FD1F63">
        <w:rPr>
          <w:sz w:val="26"/>
          <w:szCs w:val="26"/>
        </w:rPr>
        <w:lastRenderedPageBreak/>
        <w:t>Commission regulatory activities.  No similar information can be used or modified.</w:t>
      </w:r>
    </w:p>
    <w:p w14:paraId="73A31113" w14:textId="77777777" w:rsidR="00F57FA7" w:rsidRPr="00B268AC" w:rsidRDefault="00F57FA7" w:rsidP="00F57FA7">
      <w:pPr>
        <w:rPr>
          <w:sz w:val="26"/>
          <w:szCs w:val="26"/>
        </w:rPr>
      </w:pPr>
    </w:p>
    <w:p w14:paraId="51D2F3D2" w14:textId="77777777" w:rsidR="00F57FA7" w:rsidRPr="00B268AC" w:rsidRDefault="00F57FA7" w:rsidP="00F57FA7">
      <w:pPr>
        <w:widowControl/>
        <w:ind w:left="360" w:hanging="360"/>
        <w:rPr>
          <w:sz w:val="26"/>
          <w:szCs w:val="26"/>
        </w:rPr>
      </w:pPr>
      <w:r w:rsidRPr="00B268AC">
        <w:rPr>
          <w:b/>
          <w:sz w:val="26"/>
          <w:szCs w:val="26"/>
        </w:rPr>
        <w:t>5.</w:t>
      </w:r>
      <w:r w:rsidRPr="00B268AC">
        <w:rPr>
          <w:sz w:val="26"/>
          <w:szCs w:val="26"/>
        </w:rPr>
        <w:t xml:space="preserve"> </w:t>
      </w:r>
      <w:r w:rsidRPr="00B268AC">
        <w:rPr>
          <w:sz w:val="26"/>
          <w:szCs w:val="26"/>
        </w:rPr>
        <w:tab/>
      </w:r>
      <w:r w:rsidRPr="00B268AC">
        <w:rPr>
          <w:b/>
          <w:sz w:val="26"/>
          <w:szCs w:val="26"/>
        </w:rPr>
        <w:t>METHODS USED TO MINIMIZE BURDEN IN COLLECTION OF INFORMATION INVOLVING SMALL ENTITIES</w:t>
      </w:r>
      <w:r w:rsidRPr="00B268AC">
        <w:rPr>
          <w:sz w:val="26"/>
          <w:szCs w:val="26"/>
        </w:rPr>
        <w:t xml:space="preserve"> </w:t>
      </w:r>
    </w:p>
    <w:p w14:paraId="24E0AB1D" w14:textId="77777777" w:rsidR="00F57FA7" w:rsidRDefault="00F57FA7" w:rsidP="00F57FA7">
      <w:pPr>
        <w:rPr>
          <w:sz w:val="26"/>
          <w:szCs w:val="26"/>
        </w:rPr>
      </w:pPr>
    </w:p>
    <w:p w14:paraId="5A11399F" w14:textId="77777777" w:rsidR="00F57FA7" w:rsidRPr="00007828" w:rsidRDefault="00F57FA7" w:rsidP="00F57FA7">
      <w:pPr>
        <w:rPr>
          <w:sz w:val="26"/>
          <w:szCs w:val="26"/>
        </w:rPr>
      </w:pPr>
      <w:r w:rsidRPr="00007828">
        <w:rPr>
          <w:sz w:val="26"/>
          <w:szCs w:val="26"/>
        </w:rPr>
        <w:t xml:space="preserve">Most companies to which </w:t>
      </w:r>
      <w:r>
        <w:rPr>
          <w:sz w:val="26"/>
          <w:szCs w:val="26"/>
        </w:rPr>
        <w:t xml:space="preserve">the FERC 65 </w:t>
      </w:r>
      <w:r w:rsidRPr="00007828">
        <w:rPr>
          <w:sz w:val="26"/>
          <w:szCs w:val="26"/>
        </w:rPr>
        <w:t>filing requirement</w:t>
      </w:r>
      <w:r>
        <w:rPr>
          <w:sz w:val="26"/>
          <w:szCs w:val="26"/>
        </w:rPr>
        <w:t>s</w:t>
      </w:r>
      <w:r w:rsidRPr="00007828">
        <w:rPr>
          <w:sz w:val="26"/>
          <w:szCs w:val="26"/>
        </w:rPr>
        <w:t xml:space="preserve"> pertain are not small entities.  </w:t>
      </w:r>
      <w:r>
        <w:rPr>
          <w:sz w:val="26"/>
          <w:szCs w:val="26"/>
        </w:rPr>
        <w:t>The FERC 65-A and FERC 65-B filing requirements exist to benefit small entities.  They allow for an exemption or waiver, respectively, from the books and records provisions of 18 CFR 366.  All three of these FERC filings are one-time filings</w:t>
      </w:r>
      <w:r w:rsidRPr="00007828">
        <w:rPr>
          <w:sz w:val="26"/>
          <w:szCs w:val="26"/>
        </w:rPr>
        <w:t xml:space="preserve"> </w:t>
      </w:r>
      <w:r>
        <w:rPr>
          <w:sz w:val="26"/>
          <w:szCs w:val="26"/>
        </w:rPr>
        <w:t xml:space="preserve">and are effective until there is a material change of facts.  This further </w:t>
      </w:r>
      <w:r w:rsidRPr="00007828">
        <w:rPr>
          <w:sz w:val="26"/>
          <w:szCs w:val="26"/>
        </w:rPr>
        <w:t>minimize</w:t>
      </w:r>
      <w:r>
        <w:rPr>
          <w:sz w:val="26"/>
          <w:szCs w:val="26"/>
        </w:rPr>
        <w:t>s</w:t>
      </w:r>
      <w:r w:rsidRPr="00007828">
        <w:rPr>
          <w:sz w:val="26"/>
          <w:szCs w:val="26"/>
        </w:rPr>
        <w:t xml:space="preserve"> the effect on small entities</w:t>
      </w:r>
      <w:r>
        <w:rPr>
          <w:sz w:val="26"/>
          <w:szCs w:val="26"/>
        </w:rPr>
        <w:t>.</w:t>
      </w:r>
    </w:p>
    <w:p w14:paraId="61DC6A8B" w14:textId="77777777" w:rsidR="00F57FA7" w:rsidRPr="00B268AC" w:rsidRDefault="00F57FA7" w:rsidP="00F57FA7">
      <w:pPr>
        <w:widowControl/>
        <w:ind w:left="1440"/>
        <w:rPr>
          <w:sz w:val="26"/>
          <w:szCs w:val="26"/>
        </w:rPr>
      </w:pPr>
    </w:p>
    <w:p w14:paraId="5FF031E8" w14:textId="77777777" w:rsidR="00F57FA7" w:rsidRPr="000D050C" w:rsidRDefault="00F57FA7" w:rsidP="00F57FA7">
      <w:pPr>
        <w:widowControl/>
        <w:numPr>
          <w:ilvl w:val="0"/>
          <w:numId w:val="2"/>
        </w:numPr>
        <w:tabs>
          <w:tab w:val="clear" w:pos="1080"/>
          <w:tab w:val="num" w:pos="270"/>
        </w:tabs>
        <w:ind w:left="270" w:hanging="270"/>
        <w:rPr>
          <w:b/>
          <w:sz w:val="26"/>
          <w:szCs w:val="26"/>
        </w:rPr>
      </w:pPr>
      <w:r w:rsidRPr="00B268AC">
        <w:rPr>
          <w:b/>
          <w:sz w:val="26"/>
          <w:szCs w:val="26"/>
        </w:rPr>
        <w:t xml:space="preserve">CONSEQUENCE TO FEDERAL PROGRAM IF COLLECTION </w:t>
      </w:r>
      <w:r w:rsidRPr="000D050C">
        <w:rPr>
          <w:b/>
          <w:sz w:val="26"/>
          <w:szCs w:val="26"/>
        </w:rPr>
        <w:t>WERE CONDUCTED LESS FREQUENTLY</w:t>
      </w:r>
    </w:p>
    <w:p w14:paraId="1CB78233" w14:textId="77777777" w:rsidR="00F57FA7" w:rsidRDefault="00F57FA7" w:rsidP="00F57FA7">
      <w:pPr>
        <w:widowControl/>
        <w:rPr>
          <w:sz w:val="26"/>
          <w:szCs w:val="26"/>
        </w:rPr>
      </w:pPr>
    </w:p>
    <w:p w14:paraId="470AAE1A" w14:textId="77777777" w:rsidR="00F57FA7" w:rsidRDefault="00F57FA7" w:rsidP="00F57FA7">
      <w:pPr>
        <w:widowControl/>
        <w:rPr>
          <w:sz w:val="26"/>
          <w:szCs w:val="26"/>
        </w:rPr>
      </w:pPr>
      <w:r w:rsidRPr="000D050C">
        <w:rPr>
          <w:sz w:val="26"/>
          <w:szCs w:val="26"/>
        </w:rPr>
        <w:t xml:space="preserve">If FERC-65 subsequent filings were not collected or were collected less frequently, the Commission would have no assurance that the actions of all jurisdictional entities within holding company systems would receive the required regulatory oversight. </w:t>
      </w:r>
    </w:p>
    <w:p w14:paraId="7FC5F189" w14:textId="77777777" w:rsidR="00F57FA7" w:rsidRPr="000D050C" w:rsidRDefault="00F57FA7" w:rsidP="00F57FA7">
      <w:pPr>
        <w:widowControl/>
        <w:ind w:firstLine="720"/>
        <w:rPr>
          <w:sz w:val="26"/>
          <w:szCs w:val="26"/>
        </w:rPr>
      </w:pPr>
      <w:r w:rsidRPr="000D050C">
        <w:rPr>
          <w:sz w:val="26"/>
          <w:szCs w:val="26"/>
        </w:rPr>
        <w:t xml:space="preserve"> </w:t>
      </w:r>
    </w:p>
    <w:p w14:paraId="67D009A8" w14:textId="77777777" w:rsidR="00F57FA7" w:rsidRPr="000D050C" w:rsidRDefault="00F57FA7" w:rsidP="00F57FA7">
      <w:pPr>
        <w:widowControl/>
        <w:rPr>
          <w:sz w:val="26"/>
          <w:szCs w:val="26"/>
        </w:rPr>
      </w:pPr>
      <w:r w:rsidRPr="000D050C">
        <w:rPr>
          <w:sz w:val="26"/>
          <w:szCs w:val="26"/>
        </w:rPr>
        <w:t xml:space="preserve">The initial FERC-65 filing deadline was 6/15/2006 for all holding companies in existence on 2/8/2006.  Holding companies formed after 2/8/2006 file within thirty days of becoming a holding company.  A subsequent filing is not required unless there is a material change in facts.  </w:t>
      </w:r>
    </w:p>
    <w:p w14:paraId="330F59A8" w14:textId="77777777" w:rsidR="00F57FA7" w:rsidRPr="000D050C" w:rsidRDefault="00F57FA7" w:rsidP="00F57FA7">
      <w:pPr>
        <w:widowControl/>
        <w:ind w:firstLine="720"/>
        <w:rPr>
          <w:sz w:val="26"/>
          <w:szCs w:val="26"/>
        </w:rPr>
      </w:pPr>
    </w:p>
    <w:p w14:paraId="6EEF63E3" w14:textId="77777777" w:rsidR="00F57FA7" w:rsidRPr="00AA3B46" w:rsidRDefault="00F57FA7" w:rsidP="00F57FA7">
      <w:pPr>
        <w:widowControl/>
        <w:rPr>
          <w:sz w:val="26"/>
          <w:szCs w:val="26"/>
        </w:rPr>
      </w:pPr>
      <w:r w:rsidRPr="000D050C">
        <w:rPr>
          <w:sz w:val="26"/>
          <w:szCs w:val="26"/>
        </w:rPr>
        <w:t>The FERC 65-A and FERC 65-B are one-time filings that cannot occur less frequently because a new holding company either seeks a waiver or exemption from FERC regulation (in contrast to FERC-65). The waivers and exemptions remain in effect unless there is a material change in facts.</w:t>
      </w:r>
    </w:p>
    <w:p w14:paraId="70D7DDD8" w14:textId="77777777" w:rsidR="00F57FA7" w:rsidRPr="00B268AC" w:rsidRDefault="00F57FA7" w:rsidP="00F57FA7">
      <w:pPr>
        <w:widowControl/>
        <w:ind w:firstLine="720"/>
        <w:rPr>
          <w:sz w:val="26"/>
          <w:szCs w:val="26"/>
        </w:rPr>
      </w:pPr>
    </w:p>
    <w:p w14:paraId="24669457" w14:textId="77777777" w:rsidR="00F57FA7" w:rsidRPr="00B268AC" w:rsidRDefault="00F57FA7" w:rsidP="00F57FA7">
      <w:pPr>
        <w:widowControl/>
        <w:tabs>
          <w:tab w:val="left" w:pos="270"/>
        </w:tabs>
        <w:ind w:left="270" w:hanging="270"/>
        <w:rPr>
          <w:b/>
          <w:sz w:val="26"/>
          <w:szCs w:val="26"/>
        </w:rPr>
      </w:pPr>
      <w:r w:rsidRPr="00B268AC">
        <w:rPr>
          <w:b/>
          <w:sz w:val="26"/>
          <w:szCs w:val="26"/>
        </w:rPr>
        <w:t>7</w:t>
      </w:r>
      <w:r w:rsidRPr="00B268AC">
        <w:rPr>
          <w:sz w:val="26"/>
          <w:szCs w:val="26"/>
        </w:rPr>
        <w:t>.</w:t>
      </w:r>
      <w:r w:rsidRPr="00B268AC">
        <w:rPr>
          <w:sz w:val="26"/>
          <w:szCs w:val="26"/>
        </w:rPr>
        <w:tab/>
      </w:r>
      <w:r w:rsidRPr="00B268AC">
        <w:rPr>
          <w:b/>
          <w:sz w:val="26"/>
          <w:szCs w:val="26"/>
        </w:rPr>
        <w:t>EXPLAIN ANY SPECIAL CIRCUMSTANCES RELATING TO THE INFORMATION</w:t>
      </w:r>
    </w:p>
    <w:p w14:paraId="0E55A49A" w14:textId="77777777" w:rsidR="00F57FA7" w:rsidRPr="00B268AC" w:rsidRDefault="00F57FA7" w:rsidP="00F57FA7">
      <w:pPr>
        <w:widowControl/>
        <w:ind w:firstLine="720"/>
        <w:rPr>
          <w:b/>
          <w:sz w:val="26"/>
          <w:szCs w:val="26"/>
        </w:rPr>
      </w:pPr>
    </w:p>
    <w:p w14:paraId="06985701" w14:textId="77777777" w:rsidR="00F57FA7" w:rsidRPr="00B268AC" w:rsidRDefault="00F57FA7" w:rsidP="00F57FA7">
      <w:pPr>
        <w:widowControl/>
        <w:rPr>
          <w:sz w:val="26"/>
          <w:szCs w:val="26"/>
        </w:rPr>
      </w:pPr>
      <w:r w:rsidRPr="00D10097">
        <w:rPr>
          <w:sz w:val="26"/>
          <w:szCs w:val="26"/>
        </w:rPr>
        <w:t>There are no special circumstances relating to the FERC-65</w:t>
      </w:r>
      <w:r>
        <w:rPr>
          <w:sz w:val="26"/>
          <w:szCs w:val="26"/>
        </w:rPr>
        <w:t>, FERC-65A or FERC-65</w:t>
      </w:r>
      <w:r w:rsidRPr="00D10097">
        <w:rPr>
          <w:sz w:val="26"/>
          <w:szCs w:val="26"/>
        </w:rPr>
        <w:t>B information collections.</w:t>
      </w:r>
      <w:r>
        <w:rPr>
          <w:sz w:val="26"/>
          <w:szCs w:val="26"/>
        </w:rPr>
        <w:t xml:space="preserve">  </w:t>
      </w:r>
      <w:r w:rsidRPr="007D6048">
        <w:rPr>
          <w:sz w:val="26"/>
          <w:szCs w:val="26"/>
        </w:rPr>
        <w:t>The requirements meet all of OMB'</w:t>
      </w:r>
      <w:r>
        <w:rPr>
          <w:sz w:val="26"/>
          <w:szCs w:val="26"/>
        </w:rPr>
        <w:t>s Section 1320.5 requirements.</w:t>
      </w:r>
    </w:p>
    <w:p w14:paraId="1D4E778A" w14:textId="77777777" w:rsidR="00F57FA7" w:rsidRPr="00B268AC" w:rsidRDefault="00F57FA7" w:rsidP="00F57FA7">
      <w:pPr>
        <w:widowControl/>
        <w:rPr>
          <w:sz w:val="26"/>
          <w:szCs w:val="26"/>
        </w:rPr>
      </w:pPr>
    </w:p>
    <w:p w14:paraId="664CA91F" w14:textId="77777777" w:rsidR="00F57FA7" w:rsidRPr="00B268AC" w:rsidRDefault="00F57FA7" w:rsidP="00F57FA7">
      <w:pPr>
        <w:widowControl/>
        <w:tabs>
          <w:tab w:val="left" w:pos="360"/>
        </w:tabs>
        <w:ind w:left="360" w:hanging="360"/>
        <w:rPr>
          <w:b/>
          <w:sz w:val="26"/>
          <w:szCs w:val="26"/>
        </w:rPr>
      </w:pPr>
      <w:r>
        <w:rPr>
          <w:b/>
          <w:sz w:val="26"/>
          <w:szCs w:val="26"/>
        </w:rPr>
        <w:t xml:space="preserve">8.  </w:t>
      </w:r>
      <w:r w:rsidRPr="00B268AC">
        <w:rPr>
          <w:b/>
          <w:sz w:val="26"/>
          <w:szCs w:val="26"/>
        </w:rPr>
        <w:t xml:space="preserve">DESCRIBE EFFORTS TO CONSULT OUTSIDE THE AGENCY:  SUMMARIZE PUBLIC COMMENTS AND THE AGENCY’S RESPONSE </w:t>
      </w:r>
    </w:p>
    <w:p w14:paraId="2600E8C0" w14:textId="77777777" w:rsidR="00F57FA7" w:rsidRPr="00B268AC" w:rsidRDefault="00F57FA7" w:rsidP="00F57FA7">
      <w:pPr>
        <w:widowControl/>
        <w:ind w:firstLine="720"/>
        <w:rPr>
          <w:sz w:val="26"/>
          <w:szCs w:val="26"/>
        </w:rPr>
      </w:pPr>
    </w:p>
    <w:p w14:paraId="0BEDC31A" w14:textId="77777777" w:rsidR="00F57FA7" w:rsidRDefault="00F57FA7" w:rsidP="00F57FA7">
      <w:pPr>
        <w:pStyle w:val="LegalFormat"/>
      </w:pPr>
      <w:r>
        <w:lastRenderedPageBreak/>
        <w:tab/>
        <w:t>In accordance with OMB requirements</w:t>
      </w:r>
      <w:r w:rsidRPr="002A2E1F">
        <w:rPr>
          <w:rStyle w:val="FootnoteReference"/>
        </w:rPr>
        <w:footnoteReference w:id="5"/>
      </w:r>
      <w:r>
        <w:t>, t</w:t>
      </w:r>
      <w:r w:rsidRPr="00574AA0">
        <w:t>he Commission published a 60-day notice</w:t>
      </w:r>
      <w:r w:rsidRPr="0066407C">
        <w:rPr>
          <w:vertAlign w:val="superscript"/>
        </w:rPr>
        <w:fldChar w:fldCharType="begin"/>
      </w:r>
      <w:r w:rsidRPr="0066407C">
        <w:rPr>
          <w:vertAlign w:val="superscript"/>
        </w:rPr>
        <w:instrText xml:space="preserve"> NOTEREF _Ref416780740 \h </w:instrText>
      </w:r>
      <w:r>
        <w:rPr>
          <w:vertAlign w:val="superscript"/>
        </w:rPr>
        <w:instrText xml:space="preserve"> \* MERGEFORMAT </w:instrText>
      </w:r>
      <w:r w:rsidRPr="0066407C">
        <w:rPr>
          <w:vertAlign w:val="superscript"/>
        </w:rPr>
      </w:r>
      <w:r w:rsidRPr="0066407C">
        <w:rPr>
          <w:vertAlign w:val="superscript"/>
        </w:rPr>
        <w:fldChar w:fldCharType="separate"/>
      </w:r>
      <w:r w:rsidRPr="0066407C">
        <w:rPr>
          <w:vertAlign w:val="superscript"/>
        </w:rPr>
        <w:t>4</w:t>
      </w:r>
      <w:r w:rsidRPr="0066407C">
        <w:rPr>
          <w:vertAlign w:val="superscript"/>
        </w:rPr>
        <w:fldChar w:fldCharType="end"/>
      </w:r>
      <w:r w:rsidRPr="00574AA0">
        <w:t xml:space="preserve"> and a 30-day notice</w:t>
      </w:r>
      <w:r w:rsidRPr="00CB20FD">
        <w:rPr>
          <w:b/>
          <w:vertAlign w:val="superscript"/>
        </w:rPr>
        <w:footnoteReference w:id="6"/>
      </w:r>
      <w:r w:rsidRPr="00574AA0">
        <w:t xml:space="preserve"> to the public regarding this information collection </w:t>
      </w:r>
      <w:r w:rsidRPr="00D10097">
        <w:t xml:space="preserve">on </w:t>
      </w:r>
      <w:r>
        <w:t>1/16/2015</w:t>
      </w:r>
      <w:r w:rsidRPr="00D10097">
        <w:t xml:space="preserve"> </w:t>
      </w:r>
      <w:r w:rsidRPr="00F630D2">
        <w:t>and 4/</w:t>
      </w:r>
      <w:r>
        <w:t>10/2015</w:t>
      </w:r>
      <w:r w:rsidRPr="00574AA0">
        <w:t xml:space="preserve"> respectively. Within the </w:t>
      </w:r>
      <w:r>
        <w:t xml:space="preserve">60-day </w:t>
      </w:r>
      <w:r w:rsidRPr="00574AA0">
        <w:t xml:space="preserve">public notice, the Commission </w:t>
      </w:r>
      <w:r>
        <w:t xml:space="preserve">solicited comments and </w:t>
      </w:r>
      <w:r w:rsidRPr="00574AA0">
        <w:t>noted that it would be requesting a three-year extension of the public reporting burden with no change to the existing requirements concerning the collection of data.  No comments were received.</w:t>
      </w:r>
    </w:p>
    <w:p w14:paraId="3B627C82" w14:textId="77777777" w:rsidR="00F57FA7" w:rsidRPr="00B268AC" w:rsidRDefault="00F57FA7" w:rsidP="00F57FA7">
      <w:pPr>
        <w:pStyle w:val="LegalFormat"/>
      </w:pPr>
    </w:p>
    <w:p w14:paraId="4C4F6CAE" w14:textId="77777777" w:rsidR="00F57FA7" w:rsidRPr="00B268AC" w:rsidRDefault="00F57FA7" w:rsidP="00F57FA7">
      <w:pPr>
        <w:widowControl/>
        <w:tabs>
          <w:tab w:val="left" w:pos="270"/>
        </w:tabs>
        <w:rPr>
          <w:b/>
          <w:sz w:val="26"/>
          <w:szCs w:val="26"/>
        </w:rPr>
      </w:pPr>
      <w:r w:rsidRPr="00B268AC">
        <w:rPr>
          <w:b/>
          <w:sz w:val="26"/>
          <w:szCs w:val="26"/>
        </w:rPr>
        <w:t>9.</w:t>
      </w:r>
      <w:r w:rsidRPr="00B268AC">
        <w:rPr>
          <w:sz w:val="26"/>
          <w:szCs w:val="26"/>
        </w:rPr>
        <w:t xml:space="preserve"> </w:t>
      </w:r>
      <w:r w:rsidRPr="00B268AC">
        <w:rPr>
          <w:sz w:val="26"/>
          <w:szCs w:val="26"/>
        </w:rPr>
        <w:tab/>
      </w:r>
      <w:r w:rsidRPr="00B268AC">
        <w:rPr>
          <w:b/>
          <w:sz w:val="26"/>
          <w:szCs w:val="26"/>
        </w:rPr>
        <w:t>EXPLAIN ANY PAYMENT OR GIFTS TO RESPONDENTS</w:t>
      </w:r>
    </w:p>
    <w:p w14:paraId="1E0926CE" w14:textId="77777777" w:rsidR="00F57FA7" w:rsidRPr="00B268AC" w:rsidRDefault="00F57FA7" w:rsidP="00F57FA7">
      <w:pPr>
        <w:widowControl/>
        <w:ind w:firstLine="720"/>
        <w:rPr>
          <w:b/>
          <w:sz w:val="26"/>
          <w:szCs w:val="26"/>
        </w:rPr>
      </w:pPr>
    </w:p>
    <w:p w14:paraId="60226D46" w14:textId="77777777" w:rsidR="00F57FA7" w:rsidRPr="00D10097" w:rsidRDefault="00F57FA7" w:rsidP="00F57FA7">
      <w:pPr>
        <w:widowControl/>
        <w:rPr>
          <w:sz w:val="26"/>
          <w:szCs w:val="26"/>
        </w:rPr>
      </w:pPr>
      <w:r w:rsidRPr="00D10097">
        <w:rPr>
          <w:sz w:val="26"/>
          <w:szCs w:val="26"/>
        </w:rPr>
        <w:t xml:space="preserve">No payments or gifts have been made to </w:t>
      </w:r>
      <w:r>
        <w:rPr>
          <w:sz w:val="26"/>
          <w:szCs w:val="26"/>
        </w:rPr>
        <w:t xml:space="preserve">FERC-65, FERC-65A, or FERC-65B </w:t>
      </w:r>
      <w:r w:rsidRPr="00D10097">
        <w:rPr>
          <w:sz w:val="26"/>
          <w:szCs w:val="26"/>
        </w:rPr>
        <w:t xml:space="preserve">respondents.  </w:t>
      </w:r>
    </w:p>
    <w:p w14:paraId="23C6F85D" w14:textId="77777777" w:rsidR="00F57FA7" w:rsidRPr="00B268AC" w:rsidRDefault="00F57FA7" w:rsidP="00F57FA7">
      <w:pPr>
        <w:widowControl/>
        <w:ind w:firstLine="720"/>
        <w:rPr>
          <w:sz w:val="26"/>
          <w:szCs w:val="26"/>
        </w:rPr>
      </w:pPr>
    </w:p>
    <w:p w14:paraId="2332CAC6" w14:textId="77777777" w:rsidR="00F57FA7" w:rsidRPr="00B268AC" w:rsidRDefault="00F57FA7" w:rsidP="00F57FA7">
      <w:pPr>
        <w:widowControl/>
        <w:tabs>
          <w:tab w:val="left" w:pos="360"/>
        </w:tabs>
        <w:ind w:left="360" w:hanging="360"/>
        <w:rPr>
          <w:b/>
          <w:sz w:val="26"/>
          <w:szCs w:val="26"/>
        </w:rPr>
      </w:pPr>
      <w:r w:rsidRPr="00B268AC">
        <w:rPr>
          <w:b/>
          <w:sz w:val="26"/>
          <w:szCs w:val="26"/>
        </w:rPr>
        <w:t>10.</w:t>
      </w:r>
      <w:r w:rsidRPr="00B268AC">
        <w:rPr>
          <w:b/>
          <w:sz w:val="26"/>
          <w:szCs w:val="26"/>
        </w:rPr>
        <w:tab/>
      </w:r>
      <w:r>
        <w:rPr>
          <w:b/>
          <w:sz w:val="26"/>
          <w:szCs w:val="26"/>
        </w:rPr>
        <w:t xml:space="preserve"> </w:t>
      </w:r>
      <w:r w:rsidRPr="00B268AC">
        <w:rPr>
          <w:b/>
          <w:sz w:val="26"/>
          <w:szCs w:val="26"/>
        </w:rPr>
        <w:t>DESCRIBE ANY ASSURANCE OF CONFIDENTIALITY</w:t>
      </w:r>
      <w:r>
        <w:rPr>
          <w:b/>
          <w:sz w:val="26"/>
          <w:szCs w:val="26"/>
        </w:rPr>
        <w:t xml:space="preserve"> </w:t>
      </w:r>
      <w:r w:rsidRPr="00B268AC">
        <w:rPr>
          <w:b/>
          <w:sz w:val="26"/>
          <w:szCs w:val="26"/>
        </w:rPr>
        <w:t>PROVIDED TO RESPONDENTS</w:t>
      </w:r>
    </w:p>
    <w:p w14:paraId="6E99D03D" w14:textId="77777777" w:rsidR="00F57FA7" w:rsidRPr="00B268AC" w:rsidRDefault="00F57FA7" w:rsidP="00F57FA7">
      <w:pPr>
        <w:widowControl/>
        <w:ind w:firstLine="720"/>
        <w:rPr>
          <w:b/>
          <w:sz w:val="26"/>
          <w:szCs w:val="26"/>
        </w:rPr>
      </w:pPr>
    </w:p>
    <w:p w14:paraId="1DD6AAD9" w14:textId="77777777" w:rsidR="00F57FA7" w:rsidRDefault="00F57FA7" w:rsidP="00F57FA7">
      <w:pPr>
        <w:widowControl/>
        <w:rPr>
          <w:sz w:val="26"/>
          <w:szCs w:val="26"/>
        </w:rPr>
      </w:pPr>
      <w:r w:rsidRPr="00660127">
        <w:rPr>
          <w:sz w:val="26"/>
          <w:szCs w:val="26"/>
        </w:rPr>
        <w:t xml:space="preserve">The Commission does not consider the information collected in </w:t>
      </w:r>
      <w:r>
        <w:rPr>
          <w:sz w:val="26"/>
          <w:szCs w:val="26"/>
        </w:rPr>
        <w:t>FERC-65, FERC-65A, and FERC-65B</w:t>
      </w:r>
      <w:r w:rsidRPr="00660127">
        <w:rPr>
          <w:sz w:val="26"/>
          <w:szCs w:val="26"/>
        </w:rPr>
        <w:t xml:space="preserve"> filings to be confidential.  However, the Commission will consider specific requests for confidential treatment to the extent permitted by law</w:t>
      </w:r>
      <w:r>
        <w:rPr>
          <w:sz w:val="26"/>
          <w:szCs w:val="26"/>
        </w:rPr>
        <w:t>.</w:t>
      </w:r>
      <w:r w:rsidRPr="00660127">
        <w:rPr>
          <w:rStyle w:val="FootnoteReference"/>
        </w:rPr>
        <w:footnoteReference w:id="7"/>
      </w:r>
      <w:r w:rsidRPr="00660127">
        <w:rPr>
          <w:sz w:val="26"/>
          <w:szCs w:val="26"/>
        </w:rPr>
        <w:t xml:space="preserve">  The Commission will review each request for confidential treatment on a case-by-case basis.</w:t>
      </w:r>
      <w:r w:rsidRPr="00B268AC">
        <w:rPr>
          <w:sz w:val="26"/>
          <w:szCs w:val="26"/>
        </w:rPr>
        <w:tab/>
      </w:r>
    </w:p>
    <w:p w14:paraId="4F6515E1" w14:textId="77777777" w:rsidR="00F57FA7" w:rsidRPr="00B268AC" w:rsidRDefault="00F57FA7" w:rsidP="00F57FA7">
      <w:pPr>
        <w:widowControl/>
        <w:ind w:firstLine="720"/>
        <w:rPr>
          <w:sz w:val="26"/>
          <w:szCs w:val="26"/>
        </w:rPr>
      </w:pPr>
    </w:p>
    <w:p w14:paraId="74054AC7" w14:textId="77777777" w:rsidR="00F57FA7" w:rsidRPr="00B268AC" w:rsidRDefault="00F57FA7" w:rsidP="00F57FA7">
      <w:pPr>
        <w:widowControl/>
        <w:tabs>
          <w:tab w:val="left" w:pos="360"/>
        </w:tabs>
        <w:ind w:left="360" w:hanging="360"/>
        <w:rPr>
          <w:b/>
          <w:sz w:val="26"/>
          <w:szCs w:val="26"/>
        </w:rPr>
      </w:pPr>
      <w:r w:rsidRPr="00B268AC">
        <w:rPr>
          <w:b/>
          <w:sz w:val="26"/>
          <w:szCs w:val="26"/>
        </w:rPr>
        <w:t>11.</w:t>
      </w:r>
      <w:r w:rsidRPr="00B268AC">
        <w:rPr>
          <w:b/>
          <w:sz w:val="26"/>
          <w:szCs w:val="26"/>
        </w:rPr>
        <w:tab/>
      </w:r>
      <w:r>
        <w:rPr>
          <w:b/>
          <w:sz w:val="26"/>
          <w:szCs w:val="26"/>
        </w:rPr>
        <w:t xml:space="preserve"> </w:t>
      </w:r>
      <w:r w:rsidRPr="00B268AC">
        <w:rPr>
          <w:b/>
          <w:sz w:val="26"/>
          <w:szCs w:val="26"/>
        </w:rPr>
        <w:t>PROVIDE ADDITIONAL JUSTIFICATION FOR ANY QUESTIONS OF A SENSITIVE NATURE</w:t>
      </w:r>
      <w:r>
        <w:rPr>
          <w:b/>
          <w:sz w:val="26"/>
          <w:szCs w:val="26"/>
        </w:rPr>
        <w:t>, SUCH AS SEXUAL BEHAVOIR AND ATTITUDES, RELIGIOUS BELIIEFS, AND OTHER MATTERS THAT ARE COMMONLY CONSIDERED PRIVATE</w:t>
      </w:r>
    </w:p>
    <w:p w14:paraId="0A129FAB" w14:textId="77777777" w:rsidR="00F57FA7" w:rsidRDefault="00F57FA7" w:rsidP="00F57FA7">
      <w:pPr>
        <w:widowControl/>
        <w:rPr>
          <w:sz w:val="26"/>
          <w:szCs w:val="26"/>
        </w:rPr>
      </w:pPr>
    </w:p>
    <w:p w14:paraId="078421D7" w14:textId="77777777" w:rsidR="00F57FA7" w:rsidRDefault="00F57FA7" w:rsidP="00F57FA7">
      <w:pPr>
        <w:widowControl/>
        <w:rPr>
          <w:sz w:val="26"/>
          <w:szCs w:val="26"/>
        </w:rPr>
      </w:pPr>
      <w:r w:rsidRPr="00A26A0D">
        <w:rPr>
          <w:sz w:val="26"/>
          <w:szCs w:val="26"/>
        </w:rPr>
        <w:t>There are no questions of a sensitive nature that are considered private</w:t>
      </w:r>
      <w:r>
        <w:rPr>
          <w:sz w:val="26"/>
          <w:szCs w:val="26"/>
        </w:rPr>
        <w:t xml:space="preserve"> in the FERC-65, FERC-65A, or FERC-65B.</w:t>
      </w:r>
    </w:p>
    <w:p w14:paraId="7312E9DA" w14:textId="77777777" w:rsidR="00F57FA7" w:rsidRPr="00B268AC" w:rsidRDefault="00F57FA7" w:rsidP="00F57FA7">
      <w:pPr>
        <w:widowControl/>
        <w:ind w:firstLine="720"/>
        <w:rPr>
          <w:b/>
          <w:sz w:val="26"/>
          <w:szCs w:val="26"/>
        </w:rPr>
      </w:pPr>
    </w:p>
    <w:p w14:paraId="37A24B9A" w14:textId="77777777" w:rsidR="00F57FA7" w:rsidRPr="00B268AC" w:rsidRDefault="00F57FA7" w:rsidP="00F57FA7">
      <w:pPr>
        <w:widowControl/>
        <w:tabs>
          <w:tab w:val="left" w:pos="360"/>
        </w:tabs>
        <w:rPr>
          <w:b/>
          <w:sz w:val="26"/>
          <w:szCs w:val="26"/>
        </w:rPr>
      </w:pPr>
      <w:r w:rsidRPr="00B268AC">
        <w:rPr>
          <w:b/>
          <w:sz w:val="26"/>
          <w:szCs w:val="26"/>
        </w:rPr>
        <w:t>12.</w:t>
      </w:r>
      <w:r w:rsidRPr="00B268AC">
        <w:rPr>
          <w:b/>
          <w:sz w:val="26"/>
          <w:szCs w:val="26"/>
        </w:rPr>
        <w:tab/>
      </w:r>
      <w:r>
        <w:rPr>
          <w:b/>
          <w:sz w:val="26"/>
          <w:szCs w:val="26"/>
        </w:rPr>
        <w:t xml:space="preserve"> </w:t>
      </w:r>
      <w:r w:rsidRPr="00B268AC">
        <w:rPr>
          <w:b/>
          <w:sz w:val="26"/>
          <w:szCs w:val="26"/>
        </w:rPr>
        <w:t>ESTIMATED BURDEN OF COLLECTION OF INFORMATION</w:t>
      </w:r>
    </w:p>
    <w:p w14:paraId="683B3314" w14:textId="77777777" w:rsidR="00F57FA7" w:rsidRDefault="00F57FA7" w:rsidP="00F57FA7">
      <w:pPr>
        <w:rPr>
          <w:sz w:val="26"/>
          <w:szCs w:val="26"/>
        </w:rPr>
      </w:pPr>
    </w:p>
    <w:p w14:paraId="422361D4" w14:textId="77777777" w:rsidR="00F57FA7" w:rsidRDefault="00F57FA7" w:rsidP="00F57FA7">
      <w:pPr>
        <w:widowControl/>
        <w:tabs>
          <w:tab w:val="left" w:pos="-1440"/>
        </w:tabs>
        <w:rPr>
          <w:sz w:val="26"/>
          <w:szCs w:val="26"/>
        </w:rPr>
      </w:pPr>
      <w:r>
        <w:rPr>
          <w:sz w:val="26"/>
          <w:szCs w:val="26"/>
        </w:rPr>
        <w:t>The currently approved Public Reporting Burden for the FERC-65/65A/65B information collection is:</w:t>
      </w:r>
    </w:p>
    <w:p w14:paraId="626CDA81" w14:textId="77777777" w:rsidR="00F57FA7" w:rsidRDefault="00F57FA7" w:rsidP="00F57FA7">
      <w:pPr>
        <w:widowControl/>
        <w:tabs>
          <w:tab w:val="left" w:pos="-1440"/>
        </w:tabs>
        <w:ind w:firstLine="720"/>
        <w:rPr>
          <w:sz w:val="26"/>
          <w:szCs w:val="26"/>
        </w:rPr>
      </w:pPr>
    </w:p>
    <w:tbl>
      <w:tblPr>
        <w:tblpPr w:leftFromText="180" w:rightFromText="180" w:vertAnchor="text" w:horzAnchor="margin" w:tblpX="108" w:tblpY="22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1620"/>
        <w:gridCol w:w="1638"/>
        <w:gridCol w:w="1422"/>
        <w:gridCol w:w="1440"/>
      </w:tblGrid>
      <w:tr w:rsidR="00F57FA7" w:rsidRPr="005023BE" w14:paraId="0A0F68CB" w14:textId="77777777" w:rsidTr="001E244D">
        <w:trPr>
          <w:trHeight w:val="347"/>
        </w:trPr>
        <w:tc>
          <w:tcPr>
            <w:tcW w:w="9828" w:type="dxa"/>
            <w:gridSpan w:val="6"/>
            <w:shd w:val="clear" w:color="auto" w:fill="D9D9D9"/>
            <w:vAlign w:val="center"/>
          </w:tcPr>
          <w:p w14:paraId="05077490" w14:textId="77777777" w:rsidR="00F57FA7" w:rsidRDefault="00F57FA7" w:rsidP="001E244D">
            <w:pPr>
              <w:jc w:val="center"/>
              <w:rPr>
                <w:b/>
              </w:rPr>
            </w:pPr>
            <w:r w:rsidRPr="00D40961">
              <w:rPr>
                <w:b/>
                <w:bCs/>
              </w:rPr>
              <w:t>FERC-65 (Notification of Holding Company Status), FERC-65A (Exemption Notification), and FERC-65B (Waiver Notification)</w:t>
            </w:r>
          </w:p>
        </w:tc>
      </w:tr>
      <w:tr w:rsidR="00F57FA7" w:rsidRPr="005023BE" w14:paraId="38B5C981" w14:textId="77777777" w:rsidTr="001E244D">
        <w:trPr>
          <w:trHeight w:val="1250"/>
        </w:trPr>
        <w:tc>
          <w:tcPr>
            <w:tcW w:w="1908" w:type="dxa"/>
            <w:shd w:val="clear" w:color="auto" w:fill="D9D9D9"/>
            <w:vAlign w:val="bottom"/>
          </w:tcPr>
          <w:p w14:paraId="0C33FB3B" w14:textId="77777777" w:rsidR="00F57FA7" w:rsidRPr="005023BE" w:rsidRDefault="00F57FA7" w:rsidP="001E244D">
            <w:pPr>
              <w:rPr>
                <w:b/>
              </w:rPr>
            </w:pPr>
          </w:p>
        </w:tc>
        <w:tc>
          <w:tcPr>
            <w:tcW w:w="1800" w:type="dxa"/>
            <w:shd w:val="clear" w:color="auto" w:fill="D9D9D9"/>
            <w:vAlign w:val="bottom"/>
          </w:tcPr>
          <w:p w14:paraId="4139C4D9" w14:textId="77777777" w:rsidR="00F57FA7" w:rsidRDefault="00F57FA7" w:rsidP="001E244D">
            <w:pPr>
              <w:jc w:val="center"/>
              <w:rPr>
                <w:b/>
              </w:rPr>
            </w:pPr>
            <w:r>
              <w:rPr>
                <w:b/>
              </w:rPr>
              <w:t>Number of Respondents</w:t>
            </w:r>
          </w:p>
          <w:p w14:paraId="60419E6F" w14:textId="77777777" w:rsidR="00F57FA7" w:rsidRPr="005023BE" w:rsidRDefault="00F57FA7" w:rsidP="001E244D">
            <w:pPr>
              <w:jc w:val="center"/>
              <w:rPr>
                <w:b/>
              </w:rPr>
            </w:pPr>
            <w:r>
              <w:rPr>
                <w:b/>
              </w:rPr>
              <w:t>(A)</w:t>
            </w:r>
          </w:p>
        </w:tc>
        <w:tc>
          <w:tcPr>
            <w:tcW w:w="1620" w:type="dxa"/>
            <w:shd w:val="clear" w:color="auto" w:fill="D9D9D9"/>
            <w:vAlign w:val="bottom"/>
          </w:tcPr>
          <w:p w14:paraId="5067EDDA" w14:textId="77777777" w:rsidR="00F57FA7" w:rsidRDefault="00F57FA7" w:rsidP="001E244D">
            <w:pPr>
              <w:jc w:val="center"/>
              <w:rPr>
                <w:b/>
              </w:rPr>
            </w:pPr>
            <w:r>
              <w:rPr>
                <w:b/>
              </w:rPr>
              <w:t>Number of Responses Per Respondent</w:t>
            </w:r>
          </w:p>
          <w:p w14:paraId="3E1CA2C1" w14:textId="77777777" w:rsidR="00F57FA7" w:rsidRPr="005023BE" w:rsidRDefault="00F57FA7" w:rsidP="001E244D">
            <w:pPr>
              <w:jc w:val="center"/>
              <w:rPr>
                <w:b/>
              </w:rPr>
            </w:pPr>
            <w:r>
              <w:rPr>
                <w:b/>
              </w:rPr>
              <w:t>(B)</w:t>
            </w:r>
          </w:p>
        </w:tc>
        <w:tc>
          <w:tcPr>
            <w:tcW w:w="1638" w:type="dxa"/>
            <w:shd w:val="clear" w:color="auto" w:fill="D9D9D9"/>
            <w:vAlign w:val="bottom"/>
          </w:tcPr>
          <w:p w14:paraId="6B9CA8CB" w14:textId="77777777" w:rsidR="00F57FA7" w:rsidRDefault="00F57FA7" w:rsidP="001E244D">
            <w:pPr>
              <w:jc w:val="center"/>
              <w:rPr>
                <w:b/>
              </w:rPr>
            </w:pPr>
            <w:r>
              <w:rPr>
                <w:b/>
              </w:rPr>
              <w:t>Total Number of Responses</w:t>
            </w:r>
          </w:p>
          <w:p w14:paraId="7404560D" w14:textId="77777777" w:rsidR="00F57FA7" w:rsidRPr="005023BE" w:rsidRDefault="00F57FA7" w:rsidP="001E244D">
            <w:pPr>
              <w:jc w:val="center"/>
              <w:rPr>
                <w:b/>
              </w:rPr>
            </w:pPr>
            <w:r>
              <w:rPr>
                <w:b/>
              </w:rPr>
              <w:t>(A)x(B)=(C)</w:t>
            </w:r>
          </w:p>
        </w:tc>
        <w:tc>
          <w:tcPr>
            <w:tcW w:w="1422" w:type="dxa"/>
            <w:shd w:val="clear" w:color="auto" w:fill="D9D9D9"/>
            <w:vAlign w:val="bottom"/>
          </w:tcPr>
          <w:p w14:paraId="6566168C" w14:textId="77777777" w:rsidR="00F57FA7" w:rsidRDefault="00F57FA7" w:rsidP="001E244D">
            <w:pPr>
              <w:jc w:val="center"/>
              <w:rPr>
                <w:b/>
              </w:rPr>
            </w:pPr>
            <w:r>
              <w:rPr>
                <w:b/>
              </w:rPr>
              <w:t>Average</w:t>
            </w:r>
            <w:r w:rsidRPr="005023BE">
              <w:rPr>
                <w:b/>
              </w:rPr>
              <w:t xml:space="preserve"> Burden</w:t>
            </w:r>
            <w:r>
              <w:rPr>
                <w:b/>
              </w:rPr>
              <w:t xml:space="preserve"> Hours</w:t>
            </w:r>
            <w:r w:rsidRPr="005023BE">
              <w:rPr>
                <w:b/>
              </w:rPr>
              <w:t xml:space="preserve"> per </w:t>
            </w:r>
            <w:r>
              <w:rPr>
                <w:b/>
              </w:rPr>
              <w:t>Response</w:t>
            </w:r>
          </w:p>
          <w:p w14:paraId="187BF35F" w14:textId="77777777" w:rsidR="00F57FA7" w:rsidRPr="005023BE" w:rsidRDefault="00F57FA7" w:rsidP="001E244D">
            <w:pPr>
              <w:jc w:val="center"/>
              <w:rPr>
                <w:b/>
              </w:rPr>
            </w:pPr>
            <w:r>
              <w:rPr>
                <w:b/>
              </w:rPr>
              <w:t>(D)</w:t>
            </w:r>
          </w:p>
        </w:tc>
        <w:tc>
          <w:tcPr>
            <w:tcW w:w="1440" w:type="dxa"/>
            <w:shd w:val="clear" w:color="auto" w:fill="D9D9D9"/>
            <w:vAlign w:val="bottom"/>
          </w:tcPr>
          <w:p w14:paraId="66343650" w14:textId="77777777" w:rsidR="00F57FA7" w:rsidRDefault="00F57FA7" w:rsidP="001E244D">
            <w:pPr>
              <w:jc w:val="center"/>
              <w:rPr>
                <w:b/>
              </w:rPr>
            </w:pPr>
            <w:r>
              <w:rPr>
                <w:b/>
              </w:rPr>
              <w:t>Estimated Total Annual</w:t>
            </w:r>
            <w:r w:rsidRPr="005023BE">
              <w:rPr>
                <w:b/>
              </w:rPr>
              <w:t xml:space="preserve"> Burden</w:t>
            </w:r>
          </w:p>
          <w:p w14:paraId="7C147ABE" w14:textId="77777777" w:rsidR="00F57FA7" w:rsidRPr="005023BE" w:rsidRDefault="00F57FA7" w:rsidP="001E244D">
            <w:pPr>
              <w:jc w:val="center"/>
              <w:rPr>
                <w:b/>
              </w:rPr>
            </w:pPr>
            <w:r>
              <w:rPr>
                <w:b/>
              </w:rPr>
              <w:t>(C)x(D)</w:t>
            </w:r>
          </w:p>
        </w:tc>
      </w:tr>
      <w:tr w:rsidR="00F57FA7" w:rsidRPr="005023BE" w14:paraId="46748623" w14:textId="77777777" w:rsidTr="001E244D">
        <w:tc>
          <w:tcPr>
            <w:tcW w:w="1908" w:type="dxa"/>
          </w:tcPr>
          <w:p w14:paraId="310024B8" w14:textId="77777777" w:rsidR="00F57FA7" w:rsidRPr="005023BE" w:rsidRDefault="00F57FA7" w:rsidP="001E244D">
            <w:r>
              <w:t>Notification of Holding Company Status</w:t>
            </w:r>
          </w:p>
        </w:tc>
        <w:tc>
          <w:tcPr>
            <w:tcW w:w="1800" w:type="dxa"/>
            <w:vAlign w:val="bottom"/>
          </w:tcPr>
          <w:p w14:paraId="6D8D6BED" w14:textId="77777777" w:rsidR="00F57FA7" w:rsidRPr="005023BE" w:rsidRDefault="00F57FA7" w:rsidP="001E244D">
            <w:pPr>
              <w:pStyle w:val="LegalFormat"/>
              <w:tabs>
                <w:tab w:val="clear" w:pos="0"/>
              </w:tabs>
              <w:ind w:firstLine="0"/>
              <w:jc w:val="right"/>
            </w:pPr>
            <w:r>
              <w:t>8</w:t>
            </w:r>
          </w:p>
        </w:tc>
        <w:tc>
          <w:tcPr>
            <w:tcW w:w="1620" w:type="dxa"/>
            <w:vAlign w:val="bottom"/>
          </w:tcPr>
          <w:p w14:paraId="65724F11" w14:textId="77777777" w:rsidR="00F57FA7" w:rsidRPr="00B651A2" w:rsidRDefault="00F57FA7" w:rsidP="001E244D">
            <w:pPr>
              <w:pStyle w:val="LegalFormat"/>
              <w:tabs>
                <w:tab w:val="clear" w:pos="0"/>
              </w:tabs>
              <w:ind w:firstLine="0"/>
              <w:jc w:val="right"/>
            </w:pPr>
            <w:r>
              <w:t>1</w:t>
            </w:r>
          </w:p>
        </w:tc>
        <w:tc>
          <w:tcPr>
            <w:tcW w:w="1638" w:type="dxa"/>
            <w:vAlign w:val="bottom"/>
          </w:tcPr>
          <w:p w14:paraId="6D5035A3" w14:textId="77777777" w:rsidR="00F57FA7" w:rsidRPr="00B651A2" w:rsidRDefault="00F57FA7" w:rsidP="001E244D">
            <w:pPr>
              <w:pStyle w:val="LegalFormat"/>
              <w:tabs>
                <w:tab w:val="clear" w:pos="0"/>
              </w:tabs>
              <w:ind w:firstLine="0"/>
              <w:jc w:val="right"/>
            </w:pPr>
            <w:r>
              <w:t>8</w:t>
            </w:r>
          </w:p>
        </w:tc>
        <w:tc>
          <w:tcPr>
            <w:tcW w:w="1422" w:type="dxa"/>
            <w:vAlign w:val="bottom"/>
          </w:tcPr>
          <w:p w14:paraId="39268EB9" w14:textId="77777777" w:rsidR="00F57FA7" w:rsidRPr="00B651A2" w:rsidRDefault="00F57FA7" w:rsidP="001E244D">
            <w:pPr>
              <w:pStyle w:val="LegalFormat"/>
              <w:tabs>
                <w:tab w:val="clear" w:pos="0"/>
              </w:tabs>
              <w:ind w:firstLine="0"/>
              <w:jc w:val="right"/>
            </w:pPr>
            <w:r>
              <w:t>3</w:t>
            </w:r>
          </w:p>
        </w:tc>
        <w:tc>
          <w:tcPr>
            <w:tcW w:w="1440" w:type="dxa"/>
            <w:vAlign w:val="bottom"/>
          </w:tcPr>
          <w:p w14:paraId="173E2740" w14:textId="77777777" w:rsidR="00F57FA7" w:rsidRPr="00B651A2" w:rsidRDefault="00F57FA7" w:rsidP="001E244D">
            <w:pPr>
              <w:pStyle w:val="LegalFormat"/>
              <w:tabs>
                <w:tab w:val="clear" w:pos="0"/>
              </w:tabs>
              <w:ind w:firstLine="0"/>
              <w:jc w:val="right"/>
            </w:pPr>
            <w:r>
              <w:t>24</w:t>
            </w:r>
          </w:p>
        </w:tc>
      </w:tr>
      <w:tr w:rsidR="00F57FA7" w:rsidRPr="005023BE" w14:paraId="72877A06" w14:textId="77777777" w:rsidTr="001E244D">
        <w:tc>
          <w:tcPr>
            <w:tcW w:w="1908" w:type="dxa"/>
          </w:tcPr>
          <w:p w14:paraId="7F4AB5EB" w14:textId="77777777" w:rsidR="00F57FA7" w:rsidRDefault="00F57FA7" w:rsidP="001E244D">
            <w:r>
              <w:t>Exemption Notification</w:t>
            </w:r>
          </w:p>
        </w:tc>
        <w:tc>
          <w:tcPr>
            <w:tcW w:w="1800" w:type="dxa"/>
            <w:vAlign w:val="bottom"/>
          </w:tcPr>
          <w:p w14:paraId="7031E3F7" w14:textId="77777777" w:rsidR="00F57FA7" w:rsidRPr="005023BE" w:rsidRDefault="00F57FA7" w:rsidP="001E244D">
            <w:pPr>
              <w:pStyle w:val="LegalFormat"/>
              <w:tabs>
                <w:tab w:val="clear" w:pos="0"/>
              </w:tabs>
              <w:ind w:firstLine="0"/>
              <w:jc w:val="right"/>
            </w:pPr>
            <w:r>
              <w:t>1</w:t>
            </w:r>
          </w:p>
        </w:tc>
        <w:tc>
          <w:tcPr>
            <w:tcW w:w="1620" w:type="dxa"/>
            <w:vAlign w:val="bottom"/>
          </w:tcPr>
          <w:p w14:paraId="450374A4" w14:textId="77777777" w:rsidR="00F57FA7" w:rsidRPr="00B651A2" w:rsidRDefault="00F57FA7" w:rsidP="001E244D">
            <w:pPr>
              <w:pStyle w:val="LegalFormat"/>
              <w:tabs>
                <w:tab w:val="clear" w:pos="0"/>
              </w:tabs>
              <w:ind w:firstLine="0"/>
              <w:jc w:val="right"/>
            </w:pPr>
            <w:r>
              <w:t>1</w:t>
            </w:r>
          </w:p>
        </w:tc>
        <w:tc>
          <w:tcPr>
            <w:tcW w:w="1638" w:type="dxa"/>
            <w:vAlign w:val="bottom"/>
          </w:tcPr>
          <w:p w14:paraId="309E7F70" w14:textId="77777777" w:rsidR="00F57FA7" w:rsidRPr="00B651A2" w:rsidRDefault="00F57FA7" w:rsidP="001E244D">
            <w:pPr>
              <w:pStyle w:val="LegalFormat"/>
              <w:tabs>
                <w:tab w:val="clear" w:pos="0"/>
              </w:tabs>
              <w:ind w:firstLine="0"/>
              <w:jc w:val="right"/>
            </w:pPr>
            <w:r>
              <w:t>1</w:t>
            </w:r>
          </w:p>
        </w:tc>
        <w:tc>
          <w:tcPr>
            <w:tcW w:w="1422" w:type="dxa"/>
            <w:vAlign w:val="bottom"/>
          </w:tcPr>
          <w:p w14:paraId="4B8BA695" w14:textId="77777777" w:rsidR="00F57FA7" w:rsidRPr="00B651A2" w:rsidRDefault="00F57FA7" w:rsidP="001E244D">
            <w:pPr>
              <w:pStyle w:val="LegalFormat"/>
              <w:tabs>
                <w:tab w:val="clear" w:pos="0"/>
              </w:tabs>
              <w:ind w:firstLine="0"/>
              <w:jc w:val="right"/>
            </w:pPr>
            <w:r>
              <w:t>1</w:t>
            </w:r>
          </w:p>
        </w:tc>
        <w:tc>
          <w:tcPr>
            <w:tcW w:w="1440" w:type="dxa"/>
            <w:vAlign w:val="bottom"/>
          </w:tcPr>
          <w:p w14:paraId="47827320" w14:textId="77777777" w:rsidR="00F57FA7" w:rsidRPr="00B651A2" w:rsidRDefault="00F57FA7" w:rsidP="001E244D">
            <w:pPr>
              <w:pStyle w:val="LegalFormat"/>
              <w:tabs>
                <w:tab w:val="clear" w:pos="0"/>
              </w:tabs>
              <w:ind w:firstLine="0"/>
              <w:jc w:val="right"/>
            </w:pPr>
            <w:r>
              <w:t>1</w:t>
            </w:r>
          </w:p>
        </w:tc>
      </w:tr>
      <w:tr w:rsidR="00F57FA7" w:rsidRPr="005023BE" w14:paraId="2E80523B" w14:textId="77777777" w:rsidTr="001E244D">
        <w:tc>
          <w:tcPr>
            <w:tcW w:w="1908" w:type="dxa"/>
          </w:tcPr>
          <w:p w14:paraId="52612B7E" w14:textId="77777777" w:rsidR="00F57FA7" w:rsidRDefault="00F57FA7" w:rsidP="001E244D">
            <w:r>
              <w:t>Waiver Notification</w:t>
            </w:r>
          </w:p>
        </w:tc>
        <w:tc>
          <w:tcPr>
            <w:tcW w:w="1800" w:type="dxa"/>
            <w:tcBorders>
              <w:bottom w:val="single" w:sz="4" w:space="0" w:color="auto"/>
            </w:tcBorders>
            <w:vAlign w:val="bottom"/>
          </w:tcPr>
          <w:p w14:paraId="74CE6F97" w14:textId="77777777" w:rsidR="00F57FA7" w:rsidRPr="005023BE" w:rsidRDefault="00F57FA7" w:rsidP="001E244D">
            <w:pPr>
              <w:pStyle w:val="LegalFormat"/>
              <w:tabs>
                <w:tab w:val="clear" w:pos="0"/>
              </w:tabs>
              <w:ind w:firstLine="0"/>
              <w:jc w:val="right"/>
            </w:pPr>
            <w:r>
              <w:t>0</w:t>
            </w:r>
          </w:p>
        </w:tc>
        <w:tc>
          <w:tcPr>
            <w:tcW w:w="1620" w:type="dxa"/>
            <w:tcBorders>
              <w:bottom w:val="single" w:sz="4" w:space="0" w:color="auto"/>
            </w:tcBorders>
            <w:vAlign w:val="bottom"/>
          </w:tcPr>
          <w:p w14:paraId="2E9BE67F" w14:textId="77777777" w:rsidR="00F57FA7" w:rsidRPr="00B651A2" w:rsidRDefault="00F57FA7" w:rsidP="001E244D">
            <w:pPr>
              <w:pStyle w:val="LegalFormat"/>
              <w:tabs>
                <w:tab w:val="clear" w:pos="0"/>
              </w:tabs>
              <w:ind w:firstLine="0"/>
              <w:jc w:val="right"/>
            </w:pPr>
            <w:r>
              <w:t>1</w:t>
            </w:r>
          </w:p>
        </w:tc>
        <w:tc>
          <w:tcPr>
            <w:tcW w:w="1638" w:type="dxa"/>
            <w:tcBorders>
              <w:bottom w:val="single" w:sz="4" w:space="0" w:color="auto"/>
            </w:tcBorders>
            <w:vAlign w:val="bottom"/>
          </w:tcPr>
          <w:p w14:paraId="2DE66C88" w14:textId="77777777" w:rsidR="00F57FA7" w:rsidRPr="00B651A2" w:rsidRDefault="00F57FA7" w:rsidP="001E244D">
            <w:pPr>
              <w:pStyle w:val="LegalFormat"/>
              <w:tabs>
                <w:tab w:val="clear" w:pos="0"/>
              </w:tabs>
              <w:ind w:firstLine="0"/>
              <w:jc w:val="right"/>
            </w:pPr>
            <w:r>
              <w:t>0</w:t>
            </w:r>
          </w:p>
        </w:tc>
        <w:tc>
          <w:tcPr>
            <w:tcW w:w="1422" w:type="dxa"/>
            <w:tcBorders>
              <w:bottom w:val="single" w:sz="4" w:space="0" w:color="auto"/>
            </w:tcBorders>
            <w:vAlign w:val="bottom"/>
          </w:tcPr>
          <w:p w14:paraId="7BDE6170" w14:textId="77777777" w:rsidR="00F57FA7" w:rsidRPr="00B651A2" w:rsidRDefault="00F57FA7" w:rsidP="001E244D">
            <w:pPr>
              <w:pStyle w:val="LegalFormat"/>
              <w:tabs>
                <w:tab w:val="clear" w:pos="0"/>
              </w:tabs>
              <w:ind w:firstLine="0"/>
              <w:jc w:val="right"/>
            </w:pPr>
            <w:r>
              <w:t>1</w:t>
            </w:r>
          </w:p>
        </w:tc>
        <w:tc>
          <w:tcPr>
            <w:tcW w:w="1440" w:type="dxa"/>
            <w:vAlign w:val="bottom"/>
          </w:tcPr>
          <w:p w14:paraId="1D4D0332" w14:textId="77777777" w:rsidR="00F57FA7" w:rsidRPr="00B651A2" w:rsidRDefault="00F57FA7" w:rsidP="001E244D">
            <w:pPr>
              <w:pStyle w:val="LegalFormat"/>
              <w:tabs>
                <w:tab w:val="clear" w:pos="0"/>
              </w:tabs>
              <w:ind w:firstLine="0"/>
              <w:jc w:val="right"/>
            </w:pPr>
            <w:r>
              <w:t>0</w:t>
            </w:r>
          </w:p>
        </w:tc>
      </w:tr>
      <w:tr w:rsidR="00F57FA7" w:rsidRPr="005023BE" w14:paraId="4B3547D2" w14:textId="77777777" w:rsidTr="001E244D">
        <w:tc>
          <w:tcPr>
            <w:tcW w:w="1908" w:type="dxa"/>
          </w:tcPr>
          <w:p w14:paraId="0BDF7CB3" w14:textId="77777777" w:rsidR="00F57FA7" w:rsidRPr="005160ED" w:rsidRDefault="00F57FA7" w:rsidP="001E244D">
            <w:pPr>
              <w:pStyle w:val="LegalFormat"/>
              <w:tabs>
                <w:tab w:val="clear" w:pos="0"/>
              </w:tabs>
              <w:ind w:firstLine="0"/>
              <w:rPr>
                <w:b/>
              </w:rPr>
            </w:pPr>
            <w:r>
              <w:rPr>
                <w:b/>
              </w:rPr>
              <w:t>TOTAL</w:t>
            </w:r>
          </w:p>
        </w:tc>
        <w:tc>
          <w:tcPr>
            <w:tcW w:w="6480" w:type="dxa"/>
            <w:gridSpan w:val="4"/>
            <w:shd w:val="clear" w:color="auto" w:fill="D9D9D9"/>
            <w:vAlign w:val="bottom"/>
          </w:tcPr>
          <w:p w14:paraId="17BF9BA6" w14:textId="77777777" w:rsidR="00F57FA7" w:rsidRPr="00287192" w:rsidRDefault="00F57FA7" w:rsidP="001E244D">
            <w:pPr>
              <w:pStyle w:val="LegalFormat"/>
              <w:tabs>
                <w:tab w:val="clear" w:pos="0"/>
              </w:tabs>
              <w:ind w:firstLine="0"/>
              <w:jc w:val="right"/>
              <w:rPr>
                <w:highlight w:val="lightGray"/>
              </w:rPr>
            </w:pPr>
          </w:p>
        </w:tc>
        <w:tc>
          <w:tcPr>
            <w:tcW w:w="1440" w:type="dxa"/>
            <w:vAlign w:val="bottom"/>
          </w:tcPr>
          <w:p w14:paraId="2CC2E0C2" w14:textId="77777777" w:rsidR="00F57FA7" w:rsidRPr="005023BE" w:rsidRDefault="00F57FA7" w:rsidP="001E244D">
            <w:pPr>
              <w:pStyle w:val="LegalFormat"/>
              <w:tabs>
                <w:tab w:val="clear" w:pos="0"/>
              </w:tabs>
              <w:ind w:firstLine="0"/>
              <w:jc w:val="right"/>
            </w:pPr>
            <w:r>
              <w:t>25</w:t>
            </w:r>
          </w:p>
        </w:tc>
      </w:tr>
    </w:tbl>
    <w:p w14:paraId="561118DB" w14:textId="77777777" w:rsidR="00F57FA7" w:rsidRPr="00B268AC" w:rsidRDefault="00F57FA7" w:rsidP="00F57FA7">
      <w:pPr>
        <w:widowControl/>
        <w:tabs>
          <w:tab w:val="left" w:pos="-1440"/>
        </w:tabs>
        <w:ind w:firstLine="720"/>
        <w:rPr>
          <w:sz w:val="26"/>
          <w:szCs w:val="26"/>
        </w:rPr>
      </w:pPr>
    </w:p>
    <w:p w14:paraId="68F37408" w14:textId="77777777" w:rsidR="00F57FA7" w:rsidRPr="00B268AC" w:rsidRDefault="00F57FA7" w:rsidP="00F57FA7">
      <w:pPr>
        <w:widowControl/>
        <w:ind w:firstLine="720"/>
        <w:rPr>
          <w:sz w:val="26"/>
          <w:szCs w:val="26"/>
        </w:rPr>
      </w:pPr>
    </w:p>
    <w:p w14:paraId="5EB73504" w14:textId="77777777" w:rsidR="00F57FA7" w:rsidRPr="00B268AC" w:rsidRDefault="00F57FA7" w:rsidP="00F57FA7">
      <w:pPr>
        <w:widowControl/>
        <w:numPr>
          <w:ilvl w:val="0"/>
          <w:numId w:val="6"/>
        </w:numPr>
        <w:rPr>
          <w:b/>
          <w:sz w:val="26"/>
          <w:szCs w:val="26"/>
        </w:rPr>
      </w:pPr>
      <w:r>
        <w:rPr>
          <w:b/>
          <w:sz w:val="26"/>
          <w:szCs w:val="26"/>
        </w:rPr>
        <w:t xml:space="preserve"> </w:t>
      </w:r>
      <w:r w:rsidRPr="00B268AC">
        <w:rPr>
          <w:b/>
          <w:sz w:val="26"/>
          <w:szCs w:val="26"/>
        </w:rPr>
        <w:t>ESTIMATE OF</w:t>
      </w:r>
      <w:r>
        <w:rPr>
          <w:b/>
          <w:sz w:val="26"/>
          <w:szCs w:val="26"/>
        </w:rPr>
        <w:t xml:space="preserve"> TOTAL ANNUAL COST OF BURDEN TO</w:t>
      </w:r>
    </w:p>
    <w:p w14:paraId="3579B9B0" w14:textId="77777777" w:rsidR="00F57FA7" w:rsidRDefault="00F57FA7" w:rsidP="00F57FA7">
      <w:pPr>
        <w:widowControl/>
        <w:tabs>
          <w:tab w:val="left" w:pos="180"/>
          <w:tab w:val="left" w:pos="1800"/>
        </w:tabs>
        <w:rPr>
          <w:b/>
          <w:sz w:val="26"/>
          <w:szCs w:val="26"/>
        </w:rPr>
      </w:pPr>
      <w:r>
        <w:rPr>
          <w:b/>
          <w:sz w:val="26"/>
          <w:szCs w:val="26"/>
        </w:rPr>
        <w:tab/>
        <w:t xml:space="preserve">        </w:t>
      </w:r>
      <w:r w:rsidRPr="00B268AC">
        <w:rPr>
          <w:b/>
          <w:sz w:val="26"/>
          <w:szCs w:val="26"/>
        </w:rPr>
        <w:t>RESPONDENTS</w:t>
      </w:r>
    </w:p>
    <w:p w14:paraId="19D5699C" w14:textId="77777777" w:rsidR="00F57FA7" w:rsidRDefault="00F57FA7" w:rsidP="00F57FA7">
      <w:pPr>
        <w:widowControl/>
        <w:tabs>
          <w:tab w:val="left" w:pos="180"/>
          <w:tab w:val="left" w:pos="1800"/>
        </w:tabs>
        <w:ind w:left="1080"/>
        <w:rPr>
          <w:b/>
          <w:sz w:val="26"/>
          <w:szCs w:val="26"/>
        </w:rPr>
      </w:pPr>
    </w:p>
    <w:p w14:paraId="2B4142E4" w14:textId="77777777" w:rsidR="00F57FA7" w:rsidRDefault="00F57FA7" w:rsidP="00F57FA7">
      <w:pPr>
        <w:widowControl/>
        <w:rPr>
          <w:sz w:val="26"/>
          <w:szCs w:val="26"/>
        </w:rPr>
      </w:pPr>
      <w:r>
        <w:rPr>
          <w:sz w:val="26"/>
          <w:szCs w:val="26"/>
        </w:rPr>
        <w:t xml:space="preserve">There are no non-labor costs currently associated with the FERC-65, FERC-65A, and FERC-65B information collection.  </w:t>
      </w:r>
    </w:p>
    <w:p w14:paraId="01AFE7AB" w14:textId="77777777" w:rsidR="00F57FA7" w:rsidRDefault="00F57FA7" w:rsidP="00F57FA7">
      <w:pPr>
        <w:widowControl/>
        <w:rPr>
          <w:sz w:val="26"/>
          <w:szCs w:val="26"/>
        </w:rPr>
      </w:pPr>
    </w:p>
    <w:p w14:paraId="54573F7F" w14:textId="77777777" w:rsidR="00F57FA7" w:rsidRPr="00B268AC" w:rsidRDefault="00F57FA7" w:rsidP="00F57FA7">
      <w:pPr>
        <w:widowControl/>
        <w:rPr>
          <w:sz w:val="26"/>
          <w:szCs w:val="26"/>
        </w:rPr>
      </w:pPr>
      <w:r>
        <w:rPr>
          <w:sz w:val="26"/>
          <w:szCs w:val="26"/>
        </w:rPr>
        <w:t>All of the costs in this collection are associated with burden hours (labor) and described in either Question #12 or Question #15.</w:t>
      </w:r>
    </w:p>
    <w:p w14:paraId="322BC3B5" w14:textId="77777777" w:rsidR="00F57FA7" w:rsidRPr="00347081" w:rsidRDefault="00F57FA7" w:rsidP="00F57FA7">
      <w:pPr>
        <w:widowControl/>
        <w:rPr>
          <w:sz w:val="26"/>
          <w:szCs w:val="26"/>
          <w:highlight w:val="yellow"/>
        </w:rPr>
      </w:pPr>
    </w:p>
    <w:p w14:paraId="53FFB5B1" w14:textId="77777777" w:rsidR="00F57FA7" w:rsidRPr="00347081" w:rsidRDefault="00F57FA7" w:rsidP="00F57FA7">
      <w:pPr>
        <w:widowControl/>
        <w:tabs>
          <w:tab w:val="left" w:pos="2160"/>
        </w:tabs>
        <w:ind w:left="2160" w:hanging="1440"/>
        <w:rPr>
          <w:b/>
          <w:sz w:val="26"/>
          <w:szCs w:val="26"/>
          <w:highlight w:val="yellow"/>
        </w:rPr>
      </w:pPr>
    </w:p>
    <w:p w14:paraId="13EA3752" w14:textId="77777777" w:rsidR="00F57FA7" w:rsidRPr="007E7239" w:rsidRDefault="00F57FA7" w:rsidP="00F57FA7">
      <w:pPr>
        <w:widowControl/>
        <w:numPr>
          <w:ilvl w:val="0"/>
          <w:numId w:val="6"/>
        </w:numPr>
        <w:tabs>
          <w:tab w:val="left" w:pos="270"/>
        </w:tabs>
        <w:rPr>
          <w:b/>
          <w:sz w:val="26"/>
          <w:szCs w:val="26"/>
        </w:rPr>
      </w:pPr>
      <w:r w:rsidRPr="007E7239">
        <w:rPr>
          <w:b/>
          <w:sz w:val="26"/>
          <w:szCs w:val="26"/>
        </w:rPr>
        <w:t>ESTIMATED ANNUALIZED COST TO FEDERAL GOVERNMENT</w:t>
      </w:r>
    </w:p>
    <w:p w14:paraId="1B590D79" w14:textId="77777777" w:rsidR="002F0C85" w:rsidRDefault="002F0C85" w:rsidP="00F57FA7">
      <w:pPr>
        <w:widowControl/>
        <w:tabs>
          <w:tab w:val="left" w:pos="360"/>
        </w:tabs>
        <w:ind w:left="360" w:hanging="360"/>
        <w:rPr>
          <w:b/>
          <w:sz w:val="26"/>
          <w:szCs w:val="26"/>
        </w:rPr>
      </w:pPr>
    </w:p>
    <w:p w14:paraId="426695C7" w14:textId="77777777" w:rsidR="002F0C85" w:rsidRDefault="002F0C85" w:rsidP="002F0C85">
      <w:pPr>
        <w:widowControl/>
        <w:tabs>
          <w:tab w:val="left" w:pos="360"/>
        </w:tabs>
        <w:ind w:left="360" w:hanging="360"/>
        <w:rPr>
          <w:sz w:val="26"/>
          <w:szCs w:val="26"/>
        </w:rPr>
      </w:pPr>
    </w:p>
    <w:p w14:paraId="748CBD52" w14:textId="77777777" w:rsidR="00F57FA7" w:rsidRPr="002F0C85" w:rsidRDefault="002F0C85" w:rsidP="002F0C85">
      <w:pPr>
        <w:widowControl/>
        <w:tabs>
          <w:tab w:val="left" w:pos="0"/>
        </w:tabs>
        <w:rPr>
          <w:sz w:val="26"/>
          <w:szCs w:val="26"/>
        </w:rPr>
      </w:pPr>
      <w:r>
        <w:rPr>
          <w:sz w:val="26"/>
          <w:szCs w:val="26"/>
        </w:rPr>
        <w:t>The estimated annualized cost to the Federal Government for FERC-65/65A/65B as related to information collection requirements follows:</w:t>
      </w:r>
    </w:p>
    <w:p w14:paraId="5647DE4F" w14:textId="77777777" w:rsidR="002F0C85" w:rsidRPr="007E7239" w:rsidRDefault="002F0C85" w:rsidP="00F57FA7">
      <w:pPr>
        <w:widowControl/>
        <w:tabs>
          <w:tab w:val="left" w:pos="360"/>
        </w:tabs>
        <w:ind w:left="360" w:hanging="36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2968"/>
        <w:gridCol w:w="2953"/>
      </w:tblGrid>
      <w:tr w:rsidR="00F57FA7" w:rsidRPr="007E7239" w14:paraId="107A006E" w14:textId="77777777" w:rsidTr="001E244D">
        <w:tc>
          <w:tcPr>
            <w:tcW w:w="2935" w:type="dxa"/>
            <w:shd w:val="clear" w:color="auto" w:fill="CCCCCC"/>
          </w:tcPr>
          <w:p w14:paraId="1E286FB7" w14:textId="77777777" w:rsidR="00F57FA7" w:rsidRPr="007E7239" w:rsidRDefault="00F57FA7" w:rsidP="001E244D"/>
        </w:tc>
        <w:tc>
          <w:tcPr>
            <w:tcW w:w="2968" w:type="dxa"/>
            <w:shd w:val="clear" w:color="auto" w:fill="CCCCCC"/>
          </w:tcPr>
          <w:p w14:paraId="1052925B" w14:textId="77777777" w:rsidR="00F57FA7" w:rsidRPr="007E7239" w:rsidRDefault="00F57FA7" w:rsidP="001E244D">
            <w:pPr>
              <w:rPr>
                <w:b/>
              </w:rPr>
            </w:pPr>
            <w:r w:rsidRPr="007E7239">
              <w:rPr>
                <w:b/>
              </w:rPr>
              <w:t>Number of Employees (FTEs)</w:t>
            </w:r>
          </w:p>
        </w:tc>
        <w:tc>
          <w:tcPr>
            <w:tcW w:w="2953" w:type="dxa"/>
            <w:shd w:val="clear" w:color="auto" w:fill="CCCCCC"/>
          </w:tcPr>
          <w:p w14:paraId="4AC55C7D" w14:textId="77777777" w:rsidR="00F57FA7" w:rsidRPr="007E7239" w:rsidRDefault="00F57FA7" w:rsidP="001E244D">
            <w:pPr>
              <w:rPr>
                <w:b/>
              </w:rPr>
            </w:pPr>
            <w:r w:rsidRPr="007E7239">
              <w:rPr>
                <w:b/>
              </w:rPr>
              <w:t>Estimated Annual Federal Cost</w:t>
            </w:r>
          </w:p>
        </w:tc>
      </w:tr>
      <w:tr w:rsidR="00F57FA7" w:rsidRPr="007E7239" w14:paraId="2986D2E4" w14:textId="77777777" w:rsidTr="001E244D">
        <w:tc>
          <w:tcPr>
            <w:tcW w:w="2935" w:type="dxa"/>
            <w:shd w:val="clear" w:color="auto" w:fill="auto"/>
          </w:tcPr>
          <w:p w14:paraId="336F2758" w14:textId="77777777" w:rsidR="00F57FA7" w:rsidRPr="007E7239" w:rsidRDefault="002F0C85" w:rsidP="001E244D">
            <w:r>
              <w:t>FERC-65/65A/65B Analysis and Processing of filings</w:t>
            </w:r>
            <w:r w:rsidRPr="00630A34">
              <w:rPr>
                <w:vertAlign w:val="superscript"/>
              </w:rPr>
              <w:footnoteReference w:id="8"/>
            </w:r>
          </w:p>
        </w:tc>
        <w:tc>
          <w:tcPr>
            <w:tcW w:w="2968" w:type="dxa"/>
            <w:shd w:val="clear" w:color="auto" w:fill="auto"/>
          </w:tcPr>
          <w:p w14:paraId="4A453B54" w14:textId="77777777" w:rsidR="00F57FA7" w:rsidRPr="007E7239" w:rsidRDefault="00F57FA7" w:rsidP="001E244D">
            <w:pPr>
              <w:jc w:val="right"/>
            </w:pPr>
            <w:r w:rsidRPr="007E7239">
              <w:t xml:space="preserve">0.5 </w:t>
            </w:r>
          </w:p>
        </w:tc>
        <w:tc>
          <w:tcPr>
            <w:tcW w:w="2953" w:type="dxa"/>
            <w:shd w:val="clear" w:color="auto" w:fill="auto"/>
          </w:tcPr>
          <w:p w14:paraId="5D01CF9E" w14:textId="77777777" w:rsidR="00F57FA7" w:rsidRPr="007E7239" w:rsidRDefault="00F57FA7" w:rsidP="001E244D">
            <w:pPr>
              <w:jc w:val="right"/>
            </w:pPr>
            <w:r w:rsidRPr="007E7239">
              <w:t>$7</w:t>
            </w:r>
            <w:r>
              <w:t>4,745</w:t>
            </w:r>
          </w:p>
        </w:tc>
      </w:tr>
      <w:tr w:rsidR="00F57FA7" w:rsidRPr="007E7239" w14:paraId="5F15ADE6" w14:textId="77777777" w:rsidTr="001E244D">
        <w:tc>
          <w:tcPr>
            <w:tcW w:w="2935" w:type="dxa"/>
            <w:shd w:val="clear" w:color="auto" w:fill="auto"/>
          </w:tcPr>
          <w:p w14:paraId="34553D49" w14:textId="77777777" w:rsidR="00F57FA7" w:rsidRPr="007E7239" w:rsidRDefault="002F0C85" w:rsidP="001E244D">
            <w:r>
              <w:t>PRA</w:t>
            </w:r>
            <w:r w:rsidRPr="00630A34">
              <w:rPr>
                <w:vertAlign w:val="superscript"/>
              </w:rPr>
              <w:footnoteReference w:id="9"/>
            </w:r>
            <w:r w:rsidRPr="00630A34">
              <w:t xml:space="preserve"> </w:t>
            </w:r>
            <w:r>
              <w:t>Administrative Cost</w:t>
            </w:r>
            <w:r w:rsidRPr="002F0C85">
              <w:rPr>
                <w:rStyle w:val="FootnoteReference"/>
                <w:b w:val="0"/>
                <w:sz w:val="24"/>
                <w:szCs w:val="24"/>
              </w:rPr>
              <w:footnoteReference w:id="10"/>
            </w:r>
          </w:p>
        </w:tc>
        <w:tc>
          <w:tcPr>
            <w:tcW w:w="2968" w:type="dxa"/>
            <w:shd w:val="clear" w:color="auto" w:fill="auto"/>
          </w:tcPr>
          <w:p w14:paraId="451CE5CC" w14:textId="77777777" w:rsidR="00F57FA7" w:rsidRPr="007E7239" w:rsidRDefault="00F57FA7" w:rsidP="002F0C85">
            <w:pPr>
              <w:jc w:val="right"/>
            </w:pPr>
          </w:p>
        </w:tc>
        <w:tc>
          <w:tcPr>
            <w:tcW w:w="2953" w:type="dxa"/>
            <w:shd w:val="clear" w:color="auto" w:fill="auto"/>
          </w:tcPr>
          <w:p w14:paraId="00A89982" w14:textId="77777777" w:rsidR="00F57FA7" w:rsidRPr="007E7239" w:rsidRDefault="00F57FA7" w:rsidP="002F0C85">
            <w:pPr>
              <w:jc w:val="right"/>
            </w:pPr>
            <w:r w:rsidRPr="007E7239">
              <w:t>$</w:t>
            </w:r>
            <w:r>
              <w:t>5</w:t>
            </w:r>
            <w:r w:rsidRPr="007E7239">
              <w:t>,</w:t>
            </w:r>
            <w:r>
              <w:t>193</w:t>
            </w:r>
          </w:p>
        </w:tc>
      </w:tr>
      <w:tr w:rsidR="00F57FA7" w:rsidRPr="00D64533" w14:paraId="1296F98C" w14:textId="77777777" w:rsidTr="001E244D">
        <w:tc>
          <w:tcPr>
            <w:tcW w:w="2935" w:type="dxa"/>
            <w:shd w:val="clear" w:color="auto" w:fill="auto"/>
          </w:tcPr>
          <w:p w14:paraId="5DBD27B2" w14:textId="77777777" w:rsidR="00F57FA7" w:rsidRPr="007E7239" w:rsidRDefault="00F57FA7" w:rsidP="001E244D">
            <w:pPr>
              <w:rPr>
                <w:b/>
              </w:rPr>
            </w:pPr>
            <w:r w:rsidRPr="007E7239">
              <w:rPr>
                <w:b/>
              </w:rPr>
              <w:t>FERC Total</w:t>
            </w:r>
          </w:p>
        </w:tc>
        <w:tc>
          <w:tcPr>
            <w:tcW w:w="2968" w:type="dxa"/>
            <w:shd w:val="clear" w:color="auto" w:fill="auto"/>
          </w:tcPr>
          <w:p w14:paraId="3CA8C67C" w14:textId="77777777" w:rsidR="00F57FA7" w:rsidRPr="007E7239" w:rsidRDefault="00F57FA7" w:rsidP="001E244D">
            <w:pPr>
              <w:jc w:val="right"/>
            </w:pPr>
            <w:r w:rsidRPr="007E7239">
              <w:t>N/A</w:t>
            </w:r>
          </w:p>
        </w:tc>
        <w:tc>
          <w:tcPr>
            <w:tcW w:w="2953" w:type="dxa"/>
            <w:shd w:val="clear" w:color="auto" w:fill="auto"/>
          </w:tcPr>
          <w:p w14:paraId="31D34F53" w14:textId="77777777" w:rsidR="00F57FA7" w:rsidRPr="00D64533" w:rsidRDefault="00F57FA7" w:rsidP="001E244D">
            <w:pPr>
              <w:jc w:val="right"/>
            </w:pPr>
            <w:r w:rsidRPr="007E7239">
              <w:t>$7</w:t>
            </w:r>
            <w:r>
              <w:t>9,938</w:t>
            </w:r>
          </w:p>
        </w:tc>
      </w:tr>
    </w:tbl>
    <w:p w14:paraId="44F033E5" w14:textId="77777777" w:rsidR="00F57FA7" w:rsidRPr="00B268AC" w:rsidRDefault="00F57FA7" w:rsidP="00F57FA7">
      <w:pPr>
        <w:widowControl/>
        <w:rPr>
          <w:sz w:val="26"/>
          <w:szCs w:val="26"/>
        </w:rPr>
      </w:pPr>
    </w:p>
    <w:p w14:paraId="4E03AF55" w14:textId="77777777" w:rsidR="00F57FA7" w:rsidRDefault="00F57FA7" w:rsidP="00F57FA7">
      <w:pPr>
        <w:widowControl/>
        <w:ind w:left="-144"/>
        <w:rPr>
          <w:sz w:val="26"/>
          <w:szCs w:val="26"/>
        </w:rPr>
      </w:pPr>
      <w:r>
        <w:rPr>
          <w:sz w:val="26"/>
          <w:szCs w:val="26"/>
        </w:rPr>
        <w:t>The Commission bases its estimate of the ‘</w:t>
      </w:r>
      <w:r>
        <w:t>Analysis and Processing of filings’</w:t>
      </w:r>
      <w:r>
        <w:rPr>
          <w:sz w:val="26"/>
          <w:szCs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14:paraId="7E6A333B" w14:textId="77777777" w:rsidR="00F57FA7" w:rsidRPr="00B268AC" w:rsidRDefault="00F57FA7" w:rsidP="00F57FA7">
      <w:pPr>
        <w:rPr>
          <w:sz w:val="26"/>
          <w:szCs w:val="26"/>
        </w:rPr>
      </w:pPr>
    </w:p>
    <w:p w14:paraId="4B3C5917" w14:textId="77777777" w:rsidR="00F57FA7" w:rsidRPr="00B268AC" w:rsidRDefault="00F57FA7" w:rsidP="00F57FA7">
      <w:pPr>
        <w:widowControl/>
        <w:numPr>
          <w:ilvl w:val="0"/>
          <w:numId w:val="6"/>
        </w:numPr>
        <w:tabs>
          <w:tab w:val="left" w:pos="270"/>
        </w:tabs>
        <w:rPr>
          <w:b/>
          <w:sz w:val="26"/>
          <w:szCs w:val="26"/>
        </w:rPr>
      </w:pPr>
      <w:r>
        <w:rPr>
          <w:b/>
          <w:sz w:val="26"/>
          <w:szCs w:val="26"/>
        </w:rPr>
        <w:t xml:space="preserve"> </w:t>
      </w:r>
      <w:r w:rsidRPr="00B268AC">
        <w:rPr>
          <w:b/>
          <w:sz w:val="26"/>
          <w:szCs w:val="26"/>
        </w:rPr>
        <w:t>REASONS FOR CHANGES IN BURDEN INCLUDING THE NEED FOR ANY INCREASE</w:t>
      </w:r>
    </w:p>
    <w:p w14:paraId="6532AE88" w14:textId="77777777" w:rsidR="00F57FA7" w:rsidRPr="00B268AC" w:rsidRDefault="00F57FA7" w:rsidP="00F57FA7">
      <w:pPr>
        <w:widowControl/>
        <w:ind w:firstLine="720"/>
        <w:rPr>
          <w:b/>
          <w:sz w:val="26"/>
          <w:szCs w:val="26"/>
        </w:rPr>
      </w:pPr>
    </w:p>
    <w:p w14:paraId="645E75D0" w14:textId="77777777" w:rsidR="00F57FA7" w:rsidRDefault="00F57FA7" w:rsidP="00F57FA7">
      <w:pPr>
        <w:widowControl/>
        <w:rPr>
          <w:sz w:val="26"/>
          <w:szCs w:val="26"/>
        </w:rPr>
      </w:pPr>
      <w:r w:rsidRPr="00163EAC">
        <w:rPr>
          <w:sz w:val="26"/>
          <w:szCs w:val="26"/>
        </w:rPr>
        <w:t xml:space="preserve">There </w:t>
      </w:r>
      <w:r>
        <w:rPr>
          <w:sz w:val="26"/>
          <w:szCs w:val="26"/>
        </w:rPr>
        <w:t>requirements within FERC-65, FERC-65A and FERC-65</w:t>
      </w:r>
      <w:r w:rsidRPr="00163EAC">
        <w:rPr>
          <w:sz w:val="26"/>
          <w:szCs w:val="26"/>
        </w:rPr>
        <w:t xml:space="preserve">B </w:t>
      </w:r>
      <w:r>
        <w:rPr>
          <w:sz w:val="26"/>
          <w:szCs w:val="26"/>
        </w:rPr>
        <w:t xml:space="preserve">did not change from the previously approved information collection request (ICR 201204-1902-003).  There was a change related to the estimated burden </w:t>
      </w:r>
      <w:r w:rsidR="00CB7B54">
        <w:rPr>
          <w:sz w:val="26"/>
          <w:szCs w:val="26"/>
        </w:rPr>
        <w:t xml:space="preserve">cost </w:t>
      </w:r>
      <w:r>
        <w:rPr>
          <w:sz w:val="26"/>
          <w:szCs w:val="26"/>
        </w:rPr>
        <w:t>due to an increase in the hourly wage cost per response (</w:t>
      </w:r>
      <w:r w:rsidR="00CB7B54">
        <w:rPr>
          <w:sz w:val="26"/>
          <w:szCs w:val="26"/>
        </w:rPr>
        <w:t xml:space="preserve">using the </w:t>
      </w:r>
      <w:r>
        <w:rPr>
          <w:sz w:val="26"/>
          <w:szCs w:val="26"/>
        </w:rPr>
        <w:t>FERC employee average salary plus benefits</w:t>
      </w:r>
      <w:r w:rsidR="00CB7B54">
        <w:rPr>
          <w:sz w:val="26"/>
          <w:szCs w:val="26"/>
        </w:rPr>
        <w:t xml:space="preserve"> because industry is similarly situated in terms of hourly cost</w:t>
      </w:r>
      <w:r>
        <w:rPr>
          <w:sz w:val="26"/>
          <w:szCs w:val="26"/>
        </w:rPr>
        <w:t>) from $69.00 per hour to $72.00 per hour.</w:t>
      </w:r>
      <w:bookmarkStart w:id="1" w:name="_GoBack"/>
      <w:bookmarkEnd w:id="1"/>
    </w:p>
    <w:p w14:paraId="16DAA7AC" w14:textId="77777777" w:rsidR="00F57FA7" w:rsidRDefault="00F57FA7" w:rsidP="00F57FA7">
      <w:pPr>
        <w:widowControl/>
        <w:rPr>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416"/>
        <w:gridCol w:w="1416"/>
        <w:gridCol w:w="1334"/>
        <w:gridCol w:w="1241"/>
        <w:gridCol w:w="1247"/>
        <w:gridCol w:w="1169"/>
      </w:tblGrid>
      <w:tr w:rsidR="00F57FA7" w:rsidRPr="00D77538" w14:paraId="5C25019F" w14:textId="77777777" w:rsidTr="001E244D">
        <w:trPr>
          <w:cantSplit/>
        </w:trPr>
        <w:tc>
          <w:tcPr>
            <w:tcW w:w="5000" w:type="pct"/>
            <w:gridSpan w:val="7"/>
            <w:tcBorders>
              <w:bottom w:val="single" w:sz="4" w:space="0" w:color="auto"/>
            </w:tcBorders>
            <w:shd w:val="clear" w:color="auto" w:fill="D9D9D9"/>
          </w:tcPr>
          <w:p w14:paraId="5D5F35AB" w14:textId="77777777" w:rsidR="00F57FA7" w:rsidRDefault="00F57FA7" w:rsidP="001E244D">
            <w:pPr>
              <w:jc w:val="center"/>
              <w:rPr>
                <w:rFonts w:eastAsia="Calibri"/>
                <w:b/>
                <w:sz w:val="20"/>
                <w:szCs w:val="20"/>
              </w:rPr>
            </w:pPr>
            <w:r>
              <w:rPr>
                <w:rFonts w:eastAsia="Calibri"/>
                <w:b/>
                <w:sz w:val="20"/>
                <w:szCs w:val="20"/>
              </w:rPr>
              <w:t>FERC-65 (</w:t>
            </w:r>
            <w:r w:rsidRPr="00C63035">
              <w:rPr>
                <w:rFonts w:eastAsia="Calibri"/>
                <w:b/>
                <w:sz w:val="20"/>
                <w:szCs w:val="20"/>
              </w:rPr>
              <w:t>Notification of Holding Company Status</w:t>
            </w:r>
            <w:r>
              <w:rPr>
                <w:rFonts w:eastAsia="Calibri"/>
                <w:b/>
                <w:sz w:val="20"/>
                <w:szCs w:val="20"/>
              </w:rPr>
              <w:t>),</w:t>
            </w:r>
          </w:p>
          <w:p w14:paraId="289AC633" w14:textId="77777777" w:rsidR="00F57FA7" w:rsidRPr="00541258" w:rsidRDefault="00F57FA7" w:rsidP="001E244D">
            <w:pPr>
              <w:jc w:val="center"/>
              <w:rPr>
                <w:rFonts w:eastAsia="Calibri"/>
                <w:b/>
                <w:sz w:val="20"/>
                <w:szCs w:val="20"/>
              </w:rPr>
            </w:pPr>
            <w:r>
              <w:rPr>
                <w:rFonts w:eastAsia="Calibri"/>
                <w:b/>
                <w:sz w:val="20"/>
                <w:szCs w:val="20"/>
              </w:rPr>
              <w:t xml:space="preserve">FERC-65A </w:t>
            </w:r>
            <w:r w:rsidRPr="00541258">
              <w:rPr>
                <w:rFonts w:eastAsia="Calibri"/>
                <w:b/>
                <w:sz w:val="20"/>
                <w:szCs w:val="20"/>
              </w:rPr>
              <w:t xml:space="preserve">(Exemption Notification of Holding Company Status), and </w:t>
            </w:r>
          </w:p>
          <w:p w14:paraId="54B26DA4" w14:textId="77777777" w:rsidR="00F57FA7" w:rsidRPr="006A60CF" w:rsidRDefault="00F57FA7" w:rsidP="001E244D">
            <w:pPr>
              <w:jc w:val="center"/>
              <w:rPr>
                <w:rFonts w:eastAsia="Calibri"/>
                <w:b/>
                <w:sz w:val="20"/>
                <w:szCs w:val="20"/>
              </w:rPr>
            </w:pPr>
            <w:r w:rsidRPr="00541258">
              <w:rPr>
                <w:rFonts w:eastAsia="Calibri"/>
                <w:b/>
                <w:sz w:val="20"/>
                <w:szCs w:val="20"/>
              </w:rPr>
              <w:t>FERC-65B (Waiver Notification of Holding Company Status)</w:t>
            </w:r>
          </w:p>
        </w:tc>
      </w:tr>
      <w:tr w:rsidR="00F57FA7" w:rsidRPr="00D77538" w14:paraId="355868EA" w14:textId="77777777" w:rsidTr="001E244D">
        <w:trPr>
          <w:cantSplit/>
        </w:trPr>
        <w:tc>
          <w:tcPr>
            <w:tcW w:w="878" w:type="pct"/>
            <w:shd w:val="clear" w:color="auto" w:fill="D9D9D9"/>
          </w:tcPr>
          <w:p w14:paraId="12BC10D3" w14:textId="77777777" w:rsidR="00F57FA7" w:rsidRPr="006A60CF" w:rsidRDefault="00F57FA7" w:rsidP="001E244D">
            <w:pPr>
              <w:jc w:val="center"/>
              <w:rPr>
                <w:rFonts w:eastAsia="Calibri"/>
                <w:b/>
                <w:sz w:val="20"/>
                <w:szCs w:val="20"/>
              </w:rPr>
            </w:pPr>
          </w:p>
        </w:tc>
        <w:tc>
          <w:tcPr>
            <w:tcW w:w="746" w:type="pct"/>
            <w:shd w:val="clear" w:color="auto" w:fill="D9D9D9"/>
            <w:vAlign w:val="bottom"/>
          </w:tcPr>
          <w:p w14:paraId="53DE1CE2" w14:textId="77777777" w:rsidR="00F57FA7" w:rsidRPr="006A60CF" w:rsidRDefault="00F57FA7" w:rsidP="001E244D">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B06E6B7" w14:textId="77777777" w:rsidR="00F57FA7" w:rsidRPr="006A60CF" w:rsidRDefault="00F57FA7" w:rsidP="001E244D">
            <w:pPr>
              <w:jc w:val="center"/>
              <w:rPr>
                <w:rFonts w:eastAsia="Calibri"/>
                <w:b/>
                <w:sz w:val="20"/>
                <w:szCs w:val="20"/>
              </w:rPr>
            </w:pPr>
            <w:r w:rsidRPr="006A60CF">
              <w:rPr>
                <w:rFonts w:eastAsia="Calibri"/>
                <w:b/>
                <w:sz w:val="20"/>
                <w:szCs w:val="20"/>
              </w:rPr>
              <w:t>Annual Number of Responses per Respondent</w:t>
            </w:r>
          </w:p>
          <w:p w14:paraId="22CDC171" w14:textId="77777777" w:rsidR="00F57FA7" w:rsidRPr="006A60CF" w:rsidRDefault="00F57FA7" w:rsidP="001E244D">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4A82C00D" w14:textId="77777777" w:rsidR="00F57FA7" w:rsidRPr="006A60CF" w:rsidRDefault="00F57FA7" w:rsidP="001E244D">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150E8ED0" w14:textId="77777777" w:rsidR="00F57FA7" w:rsidRPr="006A60CF" w:rsidRDefault="00F57FA7" w:rsidP="001E244D">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11"/>
            </w:r>
          </w:p>
          <w:p w14:paraId="6A897E1A" w14:textId="77777777" w:rsidR="00F57FA7" w:rsidRPr="006A60CF" w:rsidRDefault="00F57FA7" w:rsidP="001E244D">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7B7A2A8" w14:textId="77777777" w:rsidR="00F57FA7" w:rsidRPr="006A60CF" w:rsidRDefault="00F57FA7" w:rsidP="001E244D">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1AE7E080" w14:textId="77777777" w:rsidR="00F57FA7" w:rsidRPr="006A60CF" w:rsidRDefault="00F57FA7" w:rsidP="001E244D">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C9C3D54" w14:textId="77777777" w:rsidR="00F57FA7" w:rsidRPr="006A60CF" w:rsidRDefault="00F57FA7" w:rsidP="001E244D">
            <w:pPr>
              <w:jc w:val="center"/>
              <w:rPr>
                <w:rFonts w:eastAsia="Calibri"/>
                <w:b/>
                <w:sz w:val="20"/>
                <w:szCs w:val="20"/>
              </w:rPr>
            </w:pPr>
            <w:r w:rsidRPr="006A60CF">
              <w:rPr>
                <w:rFonts w:eastAsia="Calibri"/>
                <w:b/>
                <w:sz w:val="20"/>
                <w:szCs w:val="20"/>
              </w:rPr>
              <w:t>Cost per Respondent</w:t>
            </w:r>
          </w:p>
          <w:p w14:paraId="20E9AD83" w14:textId="77777777" w:rsidR="00F57FA7" w:rsidRPr="006A60CF" w:rsidRDefault="00F57FA7" w:rsidP="001E244D">
            <w:pPr>
              <w:jc w:val="center"/>
              <w:rPr>
                <w:rFonts w:eastAsia="Calibri"/>
                <w:b/>
                <w:sz w:val="20"/>
                <w:szCs w:val="20"/>
              </w:rPr>
            </w:pPr>
            <w:r w:rsidRPr="006A60CF">
              <w:rPr>
                <w:rFonts w:eastAsia="Calibri"/>
                <w:b/>
                <w:sz w:val="20"/>
                <w:szCs w:val="20"/>
              </w:rPr>
              <w:t xml:space="preserve"> ($)</w:t>
            </w:r>
          </w:p>
          <w:p w14:paraId="3FB246F1" w14:textId="77777777" w:rsidR="00F57FA7" w:rsidRPr="006A60CF" w:rsidRDefault="00F57FA7" w:rsidP="001E244D">
            <w:pPr>
              <w:jc w:val="center"/>
              <w:rPr>
                <w:rFonts w:eastAsia="Calibri"/>
                <w:b/>
                <w:sz w:val="20"/>
                <w:szCs w:val="20"/>
              </w:rPr>
            </w:pPr>
            <w:r w:rsidRPr="006A60CF">
              <w:rPr>
                <w:rFonts w:eastAsia="Calibri"/>
                <w:b/>
                <w:sz w:val="20"/>
                <w:szCs w:val="20"/>
              </w:rPr>
              <w:t>(5)÷(1)</w:t>
            </w:r>
          </w:p>
        </w:tc>
      </w:tr>
      <w:tr w:rsidR="00F57FA7" w:rsidRPr="00D77538" w14:paraId="0869CFF1" w14:textId="77777777" w:rsidTr="001E244D">
        <w:trPr>
          <w:cantSplit/>
        </w:trPr>
        <w:tc>
          <w:tcPr>
            <w:tcW w:w="878" w:type="pct"/>
          </w:tcPr>
          <w:p w14:paraId="1BBD98ED" w14:textId="77777777" w:rsidR="00F57FA7" w:rsidRPr="006A60CF" w:rsidRDefault="00F57FA7" w:rsidP="001E244D">
            <w:pPr>
              <w:rPr>
                <w:rFonts w:eastAsia="Calibri"/>
                <w:sz w:val="20"/>
                <w:szCs w:val="20"/>
              </w:rPr>
            </w:pPr>
            <w:r>
              <w:rPr>
                <w:rFonts w:eastAsia="Calibri"/>
                <w:sz w:val="20"/>
                <w:szCs w:val="20"/>
              </w:rPr>
              <w:t>FERC-65</w:t>
            </w:r>
          </w:p>
        </w:tc>
        <w:tc>
          <w:tcPr>
            <w:tcW w:w="746" w:type="pct"/>
          </w:tcPr>
          <w:p w14:paraId="53A06D40" w14:textId="77777777" w:rsidR="00F57FA7" w:rsidRPr="006A60CF" w:rsidRDefault="00F57FA7" w:rsidP="001E244D">
            <w:pPr>
              <w:jc w:val="right"/>
              <w:rPr>
                <w:rFonts w:eastAsia="Calibri"/>
                <w:sz w:val="20"/>
                <w:szCs w:val="20"/>
              </w:rPr>
            </w:pPr>
            <w:r>
              <w:rPr>
                <w:rFonts w:eastAsia="Calibri"/>
                <w:sz w:val="20"/>
                <w:szCs w:val="20"/>
              </w:rPr>
              <w:t>8</w:t>
            </w:r>
          </w:p>
          <w:p w14:paraId="4C8C1015" w14:textId="77777777" w:rsidR="00F57FA7" w:rsidRPr="006A60CF" w:rsidRDefault="00F57FA7" w:rsidP="001E244D">
            <w:pPr>
              <w:jc w:val="right"/>
              <w:rPr>
                <w:rFonts w:eastAsia="Calibri"/>
                <w:sz w:val="20"/>
                <w:szCs w:val="20"/>
              </w:rPr>
            </w:pPr>
          </w:p>
        </w:tc>
        <w:tc>
          <w:tcPr>
            <w:tcW w:w="746" w:type="pct"/>
          </w:tcPr>
          <w:p w14:paraId="3451DBAF" w14:textId="77777777" w:rsidR="00F57FA7" w:rsidRPr="006A60CF" w:rsidRDefault="00F57FA7" w:rsidP="001E244D">
            <w:pPr>
              <w:jc w:val="right"/>
              <w:rPr>
                <w:rFonts w:eastAsia="Calibri"/>
                <w:sz w:val="20"/>
                <w:szCs w:val="20"/>
              </w:rPr>
            </w:pPr>
            <w:r>
              <w:rPr>
                <w:rFonts w:eastAsia="Calibri"/>
                <w:sz w:val="20"/>
                <w:szCs w:val="20"/>
              </w:rPr>
              <w:t>1</w:t>
            </w:r>
          </w:p>
        </w:tc>
        <w:tc>
          <w:tcPr>
            <w:tcW w:w="703" w:type="pct"/>
          </w:tcPr>
          <w:p w14:paraId="43658B30" w14:textId="77777777" w:rsidR="00F57FA7" w:rsidRPr="006A60CF" w:rsidRDefault="00F57FA7" w:rsidP="001E244D">
            <w:pPr>
              <w:jc w:val="right"/>
              <w:rPr>
                <w:rFonts w:eastAsia="Calibri"/>
                <w:sz w:val="20"/>
                <w:szCs w:val="20"/>
              </w:rPr>
            </w:pPr>
            <w:r>
              <w:rPr>
                <w:rFonts w:eastAsia="Calibri"/>
                <w:sz w:val="20"/>
                <w:szCs w:val="20"/>
              </w:rPr>
              <w:t>8</w:t>
            </w:r>
          </w:p>
        </w:tc>
        <w:tc>
          <w:tcPr>
            <w:tcW w:w="654" w:type="pct"/>
          </w:tcPr>
          <w:p w14:paraId="29997646" w14:textId="77777777" w:rsidR="00F57FA7" w:rsidRPr="006A60CF" w:rsidRDefault="00F57FA7" w:rsidP="001E244D">
            <w:pPr>
              <w:jc w:val="right"/>
              <w:rPr>
                <w:rFonts w:eastAsia="Calibri"/>
                <w:sz w:val="20"/>
                <w:szCs w:val="20"/>
              </w:rPr>
            </w:pPr>
            <w:r>
              <w:rPr>
                <w:rFonts w:eastAsia="Calibri"/>
                <w:sz w:val="20"/>
                <w:szCs w:val="20"/>
              </w:rPr>
              <w:t>3</w:t>
            </w:r>
          </w:p>
          <w:p w14:paraId="7F5B19FE" w14:textId="77777777" w:rsidR="00F57FA7" w:rsidRPr="006A60CF" w:rsidRDefault="00F57FA7" w:rsidP="001E244D">
            <w:pPr>
              <w:jc w:val="right"/>
              <w:rPr>
                <w:rFonts w:eastAsia="Calibri"/>
                <w:sz w:val="20"/>
                <w:szCs w:val="20"/>
              </w:rPr>
            </w:pPr>
            <w:r w:rsidRPr="006A60CF">
              <w:rPr>
                <w:rFonts w:eastAsia="Calibri"/>
                <w:sz w:val="20"/>
                <w:szCs w:val="20"/>
              </w:rPr>
              <w:t>$</w:t>
            </w:r>
            <w:r>
              <w:rPr>
                <w:rFonts w:eastAsia="Calibri"/>
                <w:sz w:val="20"/>
                <w:szCs w:val="20"/>
              </w:rPr>
              <w:t>216</w:t>
            </w:r>
          </w:p>
        </w:tc>
        <w:tc>
          <w:tcPr>
            <w:tcW w:w="657" w:type="pct"/>
          </w:tcPr>
          <w:p w14:paraId="650118D0" w14:textId="77777777" w:rsidR="00F57FA7" w:rsidRPr="006A60CF" w:rsidRDefault="00F57FA7" w:rsidP="001E244D">
            <w:pPr>
              <w:jc w:val="right"/>
              <w:rPr>
                <w:rFonts w:eastAsia="Calibri"/>
                <w:sz w:val="20"/>
                <w:szCs w:val="20"/>
              </w:rPr>
            </w:pPr>
            <w:r>
              <w:rPr>
                <w:rFonts w:eastAsia="Calibri"/>
                <w:sz w:val="20"/>
                <w:szCs w:val="20"/>
              </w:rPr>
              <w:t xml:space="preserve"> 24</w:t>
            </w:r>
          </w:p>
          <w:p w14:paraId="7621C0D8" w14:textId="77777777" w:rsidR="00F57FA7" w:rsidRPr="006A60CF" w:rsidRDefault="00F57FA7" w:rsidP="001E244D">
            <w:pPr>
              <w:jc w:val="right"/>
              <w:rPr>
                <w:rFonts w:eastAsia="Calibri"/>
                <w:sz w:val="20"/>
                <w:szCs w:val="20"/>
              </w:rPr>
            </w:pPr>
            <w:r>
              <w:rPr>
                <w:rFonts w:eastAsia="Calibri"/>
                <w:sz w:val="20"/>
                <w:szCs w:val="20"/>
              </w:rPr>
              <w:t>$1728</w:t>
            </w:r>
            <w:r w:rsidRPr="006A60CF">
              <w:rPr>
                <w:rFonts w:eastAsia="Calibri"/>
                <w:sz w:val="20"/>
                <w:szCs w:val="20"/>
              </w:rPr>
              <w:t xml:space="preserve"> </w:t>
            </w:r>
          </w:p>
        </w:tc>
        <w:tc>
          <w:tcPr>
            <w:tcW w:w="616" w:type="pct"/>
          </w:tcPr>
          <w:p w14:paraId="07F02425" w14:textId="77777777" w:rsidR="00F57FA7" w:rsidRPr="006A60CF" w:rsidRDefault="00F57FA7" w:rsidP="001E244D">
            <w:pPr>
              <w:jc w:val="right"/>
              <w:rPr>
                <w:rFonts w:eastAsia="Calibri"/>
                <w:sz w:val="20"/>
                <w:szCs w:val="20"/>
              </w:rPr>
            </w:pPr>
            <w:r>
              <w:rPr>
                <w:rFonts w:eastAsia="Calibri"/>
                <w:sz w:val="20"/>
                <w:szCs w:val="20"/>
              </w:rPr>
              <w:t>$216</w:t>
            </w:r>
            <w:r w:rsidRPr="006A60CF">
              <w:rPr>
                <w:rFonts w:eastAsia="Calibri"/>
                <w:sz w:val="20"/>
                <w:szCs w:val="20"/>
              </w:rPr>
              <w:t xml:space="preserve"> </w:t>
            </w:r>
          </w:p>
          <w:p w14:paraId="22A754B8" w14:textId="77777777" w:rsidR="00F57FA7" w:rsidRPr="006A60CF" w:rsidRDefault="00F57FA7" w:rsidP="001E244D">
            <w:pPr>
              <w:jc w:val="right"/>
              <w:rPr>
                <w:rFonts w:eastAsia="Calibri"/>
                <w:sz w:val="20"/>
                <w:szCs w:val="20"/>
              </w:rPr>
            </w:pPr>
          </w:p>
        </w:tc>
      </w:tr>
      <w:tr w:rsidR="00F57FA7" w:rsidRPr="00D77538" w14:paraId="641779B0" w14:textId="77777777" w:rsidTr="001E244D">
        <w:trPr>
          <w:cantSplit/>
        </w:trPr>
        <w:tc>
          <w:tcPr>
            <w:tcW w:w="878" w:type="pct"/>
          </w:tcPr>
          <w:p w14:paraId="5E5B13C3" w14:textId="77777777" w:rsidR="00F57FA7" w:rsidRDefault="00F57FA7" w:rsidP="001E244D">
            <w:pPr>
              <w:rPr>
                <w:rFonts w:eastAsia="Calibri"/>
                <w:sz w:val="20"/>
                <w:szCs w:val="20"/>
              </w:rPr>
            </w:pPr>
            <w:r>
              <w:rPr>
                <w:rFonts w:eastAsia="Calibri"/>
                <w:sz w:val="20"/>
                <w:szCs w:val="20"/>
              </w:rPr>
              <w:t>FERC-65A</w:t>
            </w:r>
          </w:p>
        </w:tc>
        <w:tc>
          <w:tcPr>
            <w:tcW w:w="746" w:type="pct"/>
          </w:tcPr>
          <w:p w14:paraId="6711F70E" w14:textId="77777777" w:rsidR="00F57FA7" w:rsidRDefault="00F57FA7" w:rsidP="001E244D">
            <w:pPr>
              <w:jc w:val="right"/>
              <w:rPr>
                <w:rFonts w:eastAsia="Calibri"/>
                <w:sz w:val="20"/>
                <w:szCs w:val="20"/>
              </w:rPr>
            </w:pPr>
            <w:r>
              <w:rPr>
                <w:rFonts w:eastAsia="Calibri"/>
                <w:sz w:val="20"/>
                <w:szCs w:val="20"/>
              </w:rPr>
              <w:t>1</w:t>
            </w:r>
          </w:p>
        </w:tc>
        <w:tc>
          <w:tcPr>
            <w:tcW w:w="746" w:type="pct"/>
          </w:tcPr>
          <w:p w14:paraId="373FBE69" w14:textId="77777777" w:rsidR="00F57FA7" w:rsidRDefault="00F57FA7" w:rsidP="001E244D">
            <w:pPr>
              <w:jc w:val="right"/>
              <w:rPr>
                <w:rFonts w:eastAsia="Calibri"/>
                <w:sz w:val="20"/>
                <w:szCs w:val="20"/>
              </w:rPr>
            </w:pPr>
            <w:r>
              <w:rPr>
                <w:rFonts w:eastAsia="Calibri"/>
                <w:sz w:val="20"/>
                <w:szCs w:val="20"/>
              </w:rPr>
              <w:t>1</w:t>
            </w:r>
          </w:p>
        </w:tc>
        <w:tc>
          <w:tcPr>
            <w:tcW w:w="703" w:type="pct"/>
          </w:tcPr>
          <w:p w14:paraId="23789252" w14:textId="77777777" w:rsidR="00F57FA7" w:rsidRDefault="00F57FA7" w:rsidP="001E244D">
            <w:pPr>
              <w:jc w:val="right"/>
              <w:rPr>
                <w:rFonts w:eastAsia="Calibri"/>
                <w:sz w:val="20"/>
                <w:szCs w:val="20"/>
              </w:rPr>
            </w:pPr>
            <w:r>
              <w:rPr>
                <w:rFonts w:eastAsia="Calibri"/>
                <w:sz w:val="20"/>
                <w:szCs w:val="20"/>
              </w:rPr>
              <w:t>1</w:t>
            </w:r>
          </w:p>
        </w:tc>
        <w:tc>
          <w:tcPr>
            <w:tcW w:w="654" w:type="pct"/>
          </w:tcPr>
          <w:p w14:paraId="639214E6" w14:textId="77777777" w:rsidR="00F57FA7" w:rsidRDefault="00F57FA7" w:rsidP="001E244D">
            <w:pPr>
              <w:jc w:val="right"/>
              <w:rPr>
                <w:rFonts w:eastAsia="Calibri"/>
                <w:sz w:val="20"/>
                <w:szCs w:val="20"/>
              </w:rPr>
            </w:pPr>
            <w:r>
              <w:rPr>
                <w:rFonts w:eastAsia="Calibri"/>
                <w:sz w:val="20"/>
                <w:szCs w:val="20"/>
              </w:rPr>
              <w:t>1</w:t>
            </w:r>
          </w:p>
          <w:p w14:paraId="7638B5D6" w14:textId="77777777" w:rsidR="00F57FA7" w:rsidRDefault="00F57FA7" w:rsidP="001E244D">
            <w:pPr>
              <w:jc w:val="right"/>
              <w:rPr>
                <w:rFonts w:eastAsia="Calibri"/>
                <w:sz w:val="20"/>
                <w:szCs w:val="20"/>
              </w:rPr>
            </w:pPr>
            <w:r>
              <w:rPr>
                <w:rFonts w:eastAsia="Calibri"/>
                <w:sz w:val="20"/>
                <w:szCs w:val="20"/>
              </w:rPr>
              <w:t>$72</w:t>
            </w:r>
          </w:p>
        </w:tc>
        <w:tc>
          <w:tcPr>
            <w:tcW w:w="657" w:type="pct"/>
          </w:tcPr>
          <w:p w14:paraId="78A4BD5D" w14:textId="77777777" w:rsidR="00F57FA7" w:rsidRDefault="00F57FA7" w:rsidP="001E244D">
            <w:pPr>
              <w:jc w:val="right"/>
              <w:rPr>
                <w:rFonts w:eastAsia="Calibri"/>
                <w:sz w:val="20"/>
                <w:szCs w:val="20"/>
              </w:rPr>
            </w:pPr>
            <w:r>
              <w:rPr>
                <w:rFonts w:eastAsia="Calibri"/>
                <w:sz w:val="20"/>
                <w:szCs w:val="20"/>
              </w:rPr>
              <w:t>1</w:t>
            </w:r>
          </w:p>
          <w:p w14:paraId="630184E8" w14:textId="77777777" w:rsidR="00F57FA7" w:rsidRDefault="00F57FA7" w:rsidP="001E244D">
            <w:pPr>
              <w:jc w:val="right"/>
              <w:rPr>
                <w:rFonts w:eastAsia="Calibri"/>
                <w:sz w:val="20"/>
                <w:szCs w:val="20"/>
              </w:rPr>
            </w:pPr>
            <w:r>
              <w:rPr>
                <w:rFonts w:eastAsia="Calibri"/>
                <w:sz w:val="20"/>
                <w:szCs w:val="20"/>
              </w:rPr>
              <w:t>$72</w:t>
            </w:r>
          </w:p>
        </w:tc>
        <w:tc>
          <w:tcPr>
            <w:tcW w:w="616" w:type="pct"/>
          </w:tcPr>
          <w:p w14:paraId="4C549651" w14:textId="77777777" w:rsidR="00F57FA7" w:rsidRPr="006A60CF" w:rsidRDefault="00F57FA7" w:rsidP="001E244D">
            <w:pPr>
              <w:jc w:val="right"/>
              <w:rPr>
                <w:rFonts w:eastAsia="Calibri"/>
                <w:sz w:val="20"/>
                <w:szCs w:val="20"/>
              </w:rPr>
            </w:pPr>
            <w:r>
              <w:rPr>
                <w:rFonts w:eastAsia="Calibri"/>
                <w:sz w:val="20"/>
                <w:szCs w:val="20"/>
              </w:rPr>
              <w:t>$72</w:t>
            </w:r>
          </w:p>
        </w:tc>
      </w:tr>
      <w:tr w:rsidR="00F57FA7" w:rsidRPr="00D77538" w14:paraId="1C1534C0" w14:textId="77777777" w:rsidTr="001E244D">
        <w:trPr>
          <w:cantSplit/>
        </w:trPr>
        <w:tc>
          <w:tcPr>
            <w:tcW w:w="878" w:type="pct"/>
          </w:tcPr>
          <w:p w14:paraId="73A45417" w14:textId="77777777" w:rsidR="00F57FA7" w:rsidRDefault="00F57FA7" w:rsidP="001E244D">
            <w:pPr>
              <w:rPr>
                <w:rFonts w:eastAsia="Calibri"/>
                <w:sz w:val="20"/>
                <w:szCs w:val="20"/>
              </w:rPr>
            </w:pPr>
            <w:r>
              <w:rPr>
                <w:rFonts w:eastAsia="Calibri"/>
                <w:sz w:val="20"/>
                <w:szCs w:val="20"/>
              </w:rPr>
              <w:t>FERC-65B</w:t>
            </w:r>
          </w:p>
        </w:tc>
        <w:tc>
          <w:tcPr>
            <w:tcW w:w="746" w:type="pct"/>
          </w:tcPr>
          <w:p w14:paraId="023AD991" w14:textId="77777777" w:rsidR="00F57FA7" w:rsidRDefault="00F57FA7" w:rsidP="001E244D">
            <w:pPr>
              <w:jc w:val="right"/>
              <w:rPr>
                <w:rFonts w:eastAsia="Calibri"/>
                <w:sz w:val="20"/>
                <w:szCs w:val="20"/>
              </w:rPr>
            </w:pPr>
            <w:r>
              <w:rPr>
                <w:rFonts w:eastAsia="Calibri"/>
                <w:sz w:val="20"/>
                <w:szCs w:val="20"/>
              </w:rPr>
              <w:t>0</w:t>
            </w:r>
          </w:p>
        </w:tc>
        <w:tc>
          <w:tcPr>
            <w:tcW w:w="746" w:type="pct"/>
          </w:tcPr>
          <w:p w14:paraId="26B92FAC" w14:textId="77777777" w:rsidR="00F57FA7" w:rsidRDefault="00F57FA7" w:rsidP="001E244D">
            <w:pPr>
              <w:jc w:val="right"/>
              <w:rPr>
                <w:rFonts w:eastAsia="Calibri"/>
                <w:sz w:val="20"/>
                <w:szCs w:val="20"/>
              </w:rPr>
            </w:pPr>
            <w:r>
              <w:rPr>
                <w:rFonts w:eastAsia="Calibri"/>
                <w:sz w:val="20"/>
                <w:szCs w:val="20"/>
              </w:rPr>
              <w:t>1</w:t>
            </w:r>
          </w:p>
        </w:tc>
        <w:tc>
          <w:tcPr>
            <w:tcW w:w="703" w:type="pct"/>
          </w:tcPr>
          <w:p w14:paraId="2966A278" w14:textId="77777777" w:rsidR="00F57FA7" w:rsidRDefault="00F57FA7" w:rsidP="001E244D">
            <w:pPr>
              <w:jc w:val="right"/>
              <w:rPr>
                <w:rFonts w:eastAsia="Calibri"/>
                <w:sz w:val="20"/>
                <w:szCs w:val="20"/>
              </w:rPr>
            </w:pPr>
            <w:r>
              <w:rPr>
                <w:rFonts w:eastAsia="Calibri"/>
                <w:sz w:val="20"/>
                <w:szCs w:val="20"/>
              </w:rPr>
              <w:t>0</w:t>
            </w:r>
          </w:p>
        </w:tc>
        <w:tc>
          <w:tcPr>
            <w:tcW w:w="654" w:type="pct"/>
          </w:tcPr>
          <w:p w14:paraId="61739CEC" w14:textId="77777777" w:rsidR="00F57FA7" w:rsidRDefault="00F57FA7" w:rsidP="001E244D">
            <w:pPr>
              <w:jc w:val="right"/>
              <w:rPr>
                <w:rFonts w:eastAsia="Calibri"/>
                <w:sz w:val="20"/>
                <w:szCs w:val="20"/>
              </w:rPr>
            </w:pPr>
            <w:r>
              <w:rPr>
                <w:rFonts w:eastAsia="Calibri"/>
                <w:sz w:val="20"/>
                <w:szCs w:val="20"/>
              </w:rPr>
              <w:t>1</w:t>
            </w:r>
          </w:p>
          <w:p w14:paraId="2B5806F1" w14:textId="77777777" w:rsidR="00F57FA7" w:rsidRDefault="00F57FA7" w:rsidP="001E244D">
            <w:pPr>
              <w:jc w:val="right"/>
              <w:rPr>
                <w:rFonts w:eastAsia="Calibri"/>
                <w:sz w:val="20"/>
                <w:szCs w:val="20"/>
              </w:rPr>
            </w:pPr>
            <w:r>
              <w:rPr>
                <w:rFonts w:eastAsia="Calibri"/>
                <w:sz w:val="20"/>
                <w:szCs w:val="20"/>
              </w:rPr>
              <w:t>$72</w:t>
            </w:r>
          </w:p>
        </w:tc>
        <w:tc>
          <w:tcPr>
            <w:tcW w:w="657" w:type="pct"/>
          </w:tcPr>
          <w:p w14:paraId="6B0F1308" w14:textId="77777777" w:rsidR="00F57FA7" w:rsidRDefault="00F57FA7" w:rsidP="001E244D">
            <w:pPr>
              <w:jc w:val="right"/>
              <w:rPr>
                <w:rFonts w:eastAsia="Calibri"/>
                <w:sz w:val="20"/>
                <w:szCs w:val="20"/>
              </w:rPr>
            </w:pPr>
            <w:r>
              <w:rPr>
                <w:rFonts w:eastAsia="Calibri"/>
                <w:sz w:val="20"/>
                <w:szCs w:val="20"/>
              </w:rPr>
              <w:t>0</w:t>
            </w:r>
          </w:p>
          <w:p w14:paraId="3C59FEAF" w14:textId="77777777" w:rsidR="00F57FA7" w:rsidRDefault="00F57FA7" w:rsidP="001E244D">
            <w:pPr>
              <w:jc w:val="right"/>
              <w:rPr>
                <w:rFonts w:eastAsia="Calibri"/>
                <w:sz w:val="20"/>
                <w:szCs w:val="20"/>
              </w:rPr>
            </w:pPr>
            <w:r>
              <w:rPr>
                <w:rFonts w:eastAsia="Calibri"/>
                <w:sz w:val="20"/>
                <w:szCs w:val="20"/>
              </w:rPr>
              <w:t>$0</w:t>
            </w:r>
          </w:p>
        </w:tc>
        <w:tc>
          <w:tcPr>
            <w:tcW w:w="616" w:type="pct"/>
          </w:tcPr>
          <w:p w14:paraId="638C6540" w14:textId="77777777" w:rsidR="00F57FA7" w:rsidRPr="006A60CF" w:rsidRDefault="00F57FA7" w:rsidP="001E244D">
            <w:pPr>
              <w:jc w:val="right"/>
              <w:rPr>
                <w:rFonts w:eastAsia="Calibri"/>
                <w:sz w:val="20"/>
                <w:szCs w:val="20"/>
              </w:rPr>
            </w:pPr>
            <w:r>
              <w:rPr>
                <w:rFonts w:eastAsia="Calibri"/>
                <w:sz w:val="20"/>
                <w:szCs w:val="20"/>
              </w:rPr>
              <w:t>$0</w:t>
            </w:r>
          </w:p>
        </w:tc>
      </w:tr>
      <w:tr w:rsidR="00F57FA7" w:rsidRPr="00D77538" w14:paraId="2FB98A71" w14:textId="77777777" w:rsidTr="001E244D">
        <w:trPr>
          <w:cantSplit/>
          <w:trHeight w:val="395"/>
        </w:trPr>
        <w:tc>
          <w:tcPr>
            <w:tcW w:w="878" w:type="pct"/>
            <w:tcBorders>
              <w:bottom w:val="single" w:sz="4" w:space="0" w:color="auto"/>
            </w:tcBorders>
          </w:tcPr>
          <w:p w14:paraId="74955DD3" w14:textId="77777777" w:rsidR="00F57FA7" w:rsidRPr="006A60CF" w:rsidRDefault="00F57FA7" w:rsidP="001E244D">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213D4AB6" w14:textId="77777777" w:rsidR="00F57FA7" w:rsidRPr="006A60CF" w:rsidRDefault="00F57FA7" w:rsidP="001E244D">
            <w:pPr>
              <w:jc w:val="right"/>
              <w:rPr>
                <w:rFonts w:eastAsia="Calibri"/>
                <w:sz w:val="20"/>
                <w:szCs w:val="20"/>
              </w:rPr>
            </w:pPr>
          </w:p>
        </w:tc>
        <w:tc>
          <w:tcPr>
            <w:tcW w:w="703" w:type="pct"/>
            <w:tcBorders>
              <w:bottom w:val="single" w:sz="4" w:space="0" w:color="auto"/>
            </w:tcBorders>
            <w:shd w:val="clear" w:color="auto" w:fill="auto"/>
          </w:tcPr>
          <w:p w14:paraId="4767E08A" w14:textId="77777777" w:rsidR="00F57FA7" w:rsidRPr="006A60CF" w:rsidRDefault="00F57FA7" w:rsidP="001E244D">
            <w:pPr>
              <w:jc w:val="right"/>
              <w:rPr>
                <w:rFonts w:eastAsia="Calibri"/>
                <w:b/>
                <w:sz w:val="20"/>
                <w:szCs w:val="20"/>
              </w:rPr>
            </w:pPr>
            <w:r>
              <w:rPr>
                <w:rFonts w:eastAsia="Calibri"/>
                <w:b/>
                <w:sz w:val="20"/>
                <w:szCs w:val="20"/>
              </w:rPr>
              <w:t>9</w:t>
            </w:r>
          </w:p>
        </w:tc>
        <w:tc>
          <w:tcPr>
            <w:tcW w:w="654" w:type="pct"/>
            <w:tcBorders>
              <w:bottom w:val="single" w:sz="4" w:space="0" w:color="auto"/>
            </w:tcBorders>
            <w:shd w:val="clear" w:color="auto" w:fill="D9D9D9"/>
          </w:tcPr>
          <w:p w14:paraId="771DDF5A" w14:textId="77777777" w:rsidR="00F57FA7" w:rsidRPr="006A60CF" w:rsidRDefault="00F57FA7" w:rsidP="001E244D">
            <w:pPr>
              <w:jc w:val="right"/>
              <w:rPr>
                <w:rFonts w:eastAsia="Calibri"/>
                <w:sz w:val="20"/>
                <w:szCs w:val="20"/>
              </w:rPr>
            </w:pPr>
          </w:p>
        </w:tc>
        <w:tc>
          <w:tcPr>
            <w:tcW w:w="657" w:type="pct"/>
            <w:tcBorders>
              <w:bottom w:val="single" w:sz="4" w:space="0" w:color="auto"/>
            </w:tcBorders>
          </w:tcPr>
          <w:p w14:paraId="500E7C00" w14:textId="77777777" w:rsidR="00F57FA7" w:rsidRPr="006A60CF" w:rsidRDefault="00F57FA7" w:rsidP="001E244D">
            <w:pPr>
              <w:jc w:val="right"/>
              <w:rPr>
                <w:rFonts w:eastAsia="Calibri"/>
                <w:b/>
                <w:sz w:val="20"/>
                <w:szCs w:val="20"/>
              </w:rPr>
            </w:pPr>
            <w:r>
              <w:rPr>
                <w:rFonts w:eastAsia="Calibri"/>
                <w:b/>
                <w:sz w:val="20"/>
                <w:szCs w:val="20"/>
              </w:rPr>
              <w:t>25</w:t>
            </w:r>
          </w:p>
          <w:p w14:paraId="56B7F306" w14:textId="77777777" w:rsidR="00F57FA7" w:rsidRPr="006A60CF" w:rsidRDefault="00F57FA7" w:rsidP="001E244D">
            <w:pPr>
              <w:jc w:val="right"/>
              <w:rPr>
                <w:rFonts w:eastAsia="Calibri"/>
                <w:b/>
                <w:sz w:val="20"/>
                <w:szCs w:val="20"/>
              </w:rPr>
            </w:pPr>
            <w:r>
              <w:rPr>
                <w:rFonts w:eastAsia="Calibri"/>
                <w:b/>
                <w:sz w:val="20"/>
                <w:szCs w:val="20"/>
              </w:rPr>
              <w:t>$1,800</w:t>
            </w:r>
          </w:p>
        </w:tc>
        <w:tc>
          <w:tcPr>
            <w:tcW w:w="616" w:type="pct"/>
            <w:tcBorders>
              <w:bottom w:val="single" w:sz="4" w:space="0" w:color="auto"/>
            </w:tcBorders>
            <w:shd w:val="clear" w:color="auto" w:fill="D9D9D9"/>
          </w:tcPr>
          <w:p w14:paraId="69F32404" w14:textId="77777777" w:rsidR="00F57FA7" w:rsidRPr="006A60CF" w:rsidRDefault="00F57FA7" w:rsidP="001E244D">
            <w:pPr>
              <w:jc w:val="right"/>
              <w:rPr>
                <w:rFonts w:eastAsia="Calibri"/>
                <w:b/>
                <w:sz w:val="20"/>
                <w:szCs w:val="20"/>
              </w:rPr>
            </w:pPr>
          </w:p>
        </w:tc>
      </w:tr>
    </w:tbl>
    <w:p w14:paraId="7C00D47C" w14:textId="77777777" w:rsidR="00F57FA7" w:rsidRPr="00163EAC" w:rsidRDefault="00F57FA7" w:rsidP="00F57FA7">
      <w:pPr>
        <w:widowControl/>
        <w:rPr>
          <w:sz w:val="26"/>
          <w:szCs w:val="26"/>
        </w:rPr>
      </w:pPr>
    </w:p>
    <w:p w14:paraId="46E4852B" w14:textId="77777777" w:rsidR="00F57FA7" w:rsidRPr="00B268AC" w:rsidRDefault="00F57FA7" w:rsidP="00F57FA7">
      <w:pPr>
        <w:tabs>
          <w:tab w:val="num" w:pos="0"/>
        </w:tabs>
        <w:spacing w:before="100" w:beforeAutospacing="1" w:after="240"/>
        <w:rPr>
          <w:sz w:val="26"/>
          <w:szCs w:val="26"/>
        </w:rPr>
      </w:pPr>
      <w:r>
        <w:rPr>
          <w:bCs/>
          <w:sz w:val="26"/>
          <w:szCs w:val="26"/>
        </w:rPr>
        <w:t>The following table illustrates how adjustment to information collection affects the currently approved inventory for FERC-65.  The figures reflect the consolidated OMB Control No. that will include the FERC-65, FERC-65A, and FERC-65B.  The format, labels, and definitions of the table follow the ROCIS system “</w:t>
      </w:r>
      <w:r w:rsidRPr="00B92C43">
        <w:rPr>
          <w:bCs/>
          <w:sz w:val="26"/>
          <w:szCs w:val="26"/>
        </w:rPr>
        <w:t>ICR Summary of Burden</w:t>
      </w:r>
      <w:r>
        <w:rPr>
          <w:bCs/>
          <w:sz w:val="26"/>
          <w:szCs w:val="26"/>
        </w:rPr>
        <w:t>” for the metadata.</w:t>
      </w:r>
      <w:r>
        <w:rPr>
          <w:sz w:val="26"/>
          <w:szCs w:val="26"/>
        </w:rPr>
        <w:t xml:space="preserve"> </w:t>
      </w:r>
    </w:p>
    <w:p w14:paraId="47D5A0A8" w14:textId="77777777" w:rsidR="00F57FA7" w:rsidRDefault="00F57FA7" w:rsidP="00F57FA7">
      <w:pPr>
        <w:widowControl/>
        <w:ind w:firstLine="720"/>
        <w:rPr>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F57FA7" w:rsidRPr="0071322F" w14:paraId="7CA7386A" w14:textId="77777777" w:rsidTr="001E244D">
        <w:trPr>
          <w:trHeight w:val="870"/>
        </w:trPr>
        <w:tc>
          <w:tcPr>
            <w:tcW w:w="2160" w:type="dxa"/>
            <w:shd w:val="clear" w:color="auto" w:fill="D9D9D9"/>
            <w:vAlign w:val="bottom"/>
          </w:tcPr>
          <w:p w14:paraId="6981254B" w14:textId="77777777" w:rsidR="00F57FA7" w:rsidRPr="0071322F" w:rsidRDefault="00F57FA7" w:rsidP="001E244D">
            <w:pPr>
              <w:jc w:val="center"/>
              <w:rPr>
                <w:b/>
                <w:szCs w:val="26"/>
              </w:rPr>
            </w:pPr>
            <w:r w:rsidRPr="0071322F">
              <w:rPr>
                <w:b/>
                <w:szCs w:val="26"/>
              </w:rPr>
              <w:lastRenderedPageBreak/>
              <w:t>Consolidated OMB Control No. for FERC-65, FERC-65A, and FERC-65B</w:t>
            </w:r>
          </w:p>
        </w:tc>
        <w:tc>
          <w:tcPr>
            <w:tcW w:w="1779" w:type="dxa"/>
            <w:shd w:val="clear" w:color="auto" w:fill="D9D9D9"/>
            <w:vAlign w:val="bottom"/>
          </w:tcPr>
          <w:p w14:paraId="1A80AD67" w14:textId="77777777" w:rsidR="00F57FA7" w:rsidRPr="0071322F" w:rsidRDefault="00F57FA7" w:rsidP="001E244D">
            <w:pPr>
              <w:jc w:val="center"/>
              <w:rPr>
                <w:b/>
                <w:szCs w:val="26"/>
              </w:rPr>
            </w:pPr>
            <w:r w:rsidRPr="0071322F">
              <w:rPr>
                <w:b/>
                <w:szCs w:val="26"/>
              </w:rPr>
              <w:t>Total Request</w:t>
            </w:r>
          </w:p>
        </w:tc>
        <w:tc>
          <w:tcPr>
            <w:tcW w:w="1959" w:type="dxa"/>
            <w:shd w:val="clear" w:color="auto" w:fill="D9D9D9"/>
            <w:vAlign w:val="bottom"/>
          </w:tcPr>
          <w:p w14:paraId="55890542" w14:textId="77777777" w:rsidR="00F57FA7" w:rsidRPr="0071322F" w:rsidRDefault="00F57FA7" w:rsidP="001E244D">
            <w:pPr>
              <w:jc w:val="center"/>
              <w:rPr>
                <w:b/>
                <w:szCs w:val="26"/>
              </w:rPr>
            </w:pPr>
            <w:r w:rsidRPr="0071322F">
              <w:rPr>
                <w:b/>
                <w:szCs w:val="26"/>
              </w:rPr>
              <w:t>Previously Approved</w:t>
            </w:r>
          </w:p>
        </w:tc>
        <w:tc>
          <w:tcPr>
            <w:tcW w:w="1958" w:type="dxa"/>
            <w:shd w:val="clear" w:color="auto" w:fill="D9D9D9"/>
            <w:vAlign w:val="bottom"/>
          </w:tcPr>
          <w:p w14:paraId="049BA1B4" w14:textId="77777777" w:rsidR="00F57FA7" w:rsidRPr="0071322F" w:rsidRDefault="00F57FA7" w:rsidP="001E244D">
            <w:pPr>
              <w:jc w:val="center"/>
              <w:rPr>
                <w:b/>
                <w:szCs w:val="26"/>
              </w:rPr>
            </w:pPr>
            <w:r w:rsidRPr="0071322F">
              <w:rPr>
                <w:b/>
                <w:szCs w:val="26"/>
              </w:rPr>
              <w:t>Change due to Adjustment in Estimate</w:t>
            </w:r>
          </w:p>
        </w:tc>
        <w:tc>
          <w:tcPr>
            <w:tcW w:w="1504" w:type="dxa"/>
            <w:shd w:val="clear" w:color="auto" w:fill="D9D9D9"/>
            <w:vAlign w:val="bottom"/>
          </w:tcPr>
          <w:p w14:paraId="61971901" w14:textId="77777777" w:rsidR="00F57FA7" w:rsidRPr="0071322F" w:rsidRDefault="00F57FA7" w:rsidP="001E244D">
            <w:pPr>
              <w:jc w:val="center"/>
              <w:rPr>
                <w:b/>
                <w:szCs w:val="26"/>
              </w:rPr>
            </w:pPr>
            <w:r w:rsidRPr="0071322F">
              <w:rPr>
                <w:b/>
                <w:szCs w:val="26"/>
              </w:rPr>
              <w:t>Change Due to Agency Discretion</w:t>
            </w:r>
          </w:p>
        </w:tc>
      </w:tr>
      <w:tr w:rsidR="00F57FA7" w:rsidRPr="0071322F" w14:paraId="057B22EC" w14:textId="77777777" w:rsidTr="001E244D">
        <w:trPr>
          <w:trHeight w:val="591"/>
        </w:trPr>
        <w:tc>
          <w:tcPr>
            <w:tcW w:w="2160" w:type="dxa"/>
            <w:shd w:val="clear" w:color="auto" w:fill="auto"/>
          </w:tcPr>
          <w:p w14:paraId="362C40C8" w14:textId="77777777" w:rsidR="00F57FA7" w:rsidRPr="0071322F" w:rsidRDefault="00F57FA7" w:rsidP="001E244D">
            <w:pPr>
              <w:jc w:val="center"/>
              <w:rPr>
                <w:szCs w:val="26"/>
              </w:rPr>
            </w:pPr>
            <w:r w:rsidRPr="0071322F">
              <w:rPr>
                <w:szCs w:val="26"/>
              </w:rPr>
              <w:t>Annual Number of Responses</w:t>
            </w:r>
          </w:p>
        </w:tc>
        <w:tc>
          <w:tcPr>
            <w:tcW w:w="1779" w:type="dxa"/>
            <w:shd w:val="clear" w:color="auto" w:fill="auto"/>
            <w:vAlign w:val="center"/>
          </w:tcPr>
          <w:p w14:paraId="5ABDFF50" w14:textId="77777777" w:rsidR="00F57FA7" w:rsidRPr="0071322F" w:rsidRDefault="00F57FA7" w:rsidP="001E244D">
            <w:pPr>
              <w:jc w:val="right"/>
              <w:rPr>
                <w:szCs w:val="26"/>
              </w:rPr>
            </w:pPr>
            <w:r w:rsidRPr="0071322F">
              <w:rPr>
                <w:szCs w:val="26"/>
              </w:rPr>
              <w:t>9</w:t>
            </w:r>
          </w:p>
        </w:tc>
        <w:tc>
          <w:tcPr>
            <w:tcW w:w="1959" w:type="dxa"/>
            <w:shd w:val="clear" w:color="auto" w:fill="auto"/>
            <w:vAlign w:val="center"/>
          </w:tcPr>
          <w:p w14:paraId="45F884EA" w14:textId="77777777" w:rsidR="00F57FA7" w:rsidRPr="0071322F" w:rsidRDefault="00F57FA7" w:rsidP="001E244D">
            <w:pPr>
              <w:jc w:val="right"/>
              <w:rPr>
                <w:szCs w:val="26"/>
              </w:rPr>
            </w:pPr>
            <w:r w:rsidRPr="0071322F">
              <w:rPr>
                <w:szCs w:val="26"/>
              </w:rPr>
              <w:t>9</w:t>
            </w:r>
          </w:p>
        </w:tc>
        <w:tc>
          <w:tcPr>
            <w:tcW w:w="1958" w:type="dxa"/>
            <w:shd w:val="clear" w:color="auto" w:fill="auto"/>
            <w:vAlign w:val="center"/>
          </w:tcPr>
          <w:p w14:paraId="6A0FF194" w14:textId="77777777" w:rsidR="00F57FA7" w:rsidRPr="0071322F" w:rsidRDefault="00F57FA7" w:rsidP="001E244D">
            <w:pPr>
              <w:jc w:val="right"/>
              <w:rPr>
                <w:szCs w:val="26"/>
              </w:rPr>
            </w:pPr>
            <w:r w:rsidRPr="0071322F">
              <w:rPr>
                <w:szCs w:val="26"/>
              </w:rPr>
              <w:t>0</w:t>
            </w:r>
          </w:p>
        </w:tc>
        <w:tc>
          <w:tcPr>
            <w:tcW w:w="1504" w:type="dxa"/>
            <w:shd w:val="clear" w:color="auto" w:fill="auto"/>
            <w:vAlign w:val="center"/>
          </w:tcPr>
          <w:p w14:paraId="00B39C2D" w14:textId="77777777" w:rsidR="00F57FA7" w:rsidRPr="0071322F" w:rsidRDefault="00F57FA7" w:rsidP="001E244D">
            <w:pPr>
              <w:jc w:val="right"/>
              <w:rPr>
                <w:szCs w:val="26"/>
              </w:rPr>
            </w:pPr>
            <w:r w:rsidRPr="0071322F">
              <w:rPr>
                <w:szCs w:val="26"/>
              </w:rPr>
              <w:t>0</w:t>
            </w:r>
          </w:p>
        </w:tc>
      </w:tr>
      <w:tr w:rsidR="00F57FA7" w:rsidRPr="0071322F" w14:paraId="4C50978B" w14:textId="77777777" w:rsidTr="001E244D">
        <w:trPr>
          <w:trHeight w:val="575"/>
        </w:trPr>
        <w:tc>
          <w:tcPr>
            <w:tcW w:w="2160" w:type="dxa"/>
            <w:shd w:val="clear" w:color="auto" w:fill="auto"/>
          </w:tcPr>
          <w:p w14:paraId="5FF77088" w14:textId="77777777" w:rsidR="00F57FA7" w:rsidRPr="0071322F" w:rsidRDefault="00F57FA7" w:rsidP="001E244D">
            <w:pPr>
              <w:jc w:val="center"/>
              <w:rPr>
                <w:szCs w:val="26"/>
              </w:rPr>
            </w:pPr>
            <w:r w:rsidRPr="0071322F">
              <w:rPr>
                <w:szCs w:val="26"/>
              </w:rPr>
              <w:t>Annual Time Burden (</w:t>
            </w:r>
            <w:proofErr w:type="spellStart"/>
            <w:r w:rsidRPr="0071322F">
              <w:rPr>
                <w:szCs w:val="26"/>
              </w:rPr>
              <w:t>Hr</w:t>
            </w:r>
            <w:proofErr w:type="spellEnd"/>
            <w:r w:rsidRPr="0071322F">
              <w:rPr>
                <w:szCs w:val="26"/>
              </w:rPr>
              <w:t>)</w:t>
            </w:r>
          </w:p>
        </w:tc>
        <w:tc>
          <w:tcPr>
            <w:tcW w:w="1779" w:type="dxa"/>
            <w:shd w:val="clear" w:color="auto" w:fill="auto"/>
            <w:vAlign w:val="center"/>
          </w:tcPr>
          <w:p w14:paraId="32A4EA9C" w14:textId="77777777" w:rsidR="00F57FA7" w:rsidRPr="0071322F" w:rsidRDefault="00F57FA7" w:rsidP="001E244D">
            <w:pPr>
              <w:jc w:val="right"/>
              <w:rPr>
                <w:szCs w:val="26"/>
              </w:rPr>
            </w:pPr>
            <w:r w:rsidRPr="0071322F">
              <w:rPr>
                <w:szCs w:val="26"/>
              </w:rPr>
              <w:t>25</w:t>
            </w:r>
          </w:p>
        </w:tc>
        <w:tc>
          <w:tcPr>
            <w:tcW w:w="1959" w:type="dxa"/>
            <w:shd w:val="clear" w:color="auto" w:fill="auto"/>
            <w:vAlign w:val="center"/>
          </w:tcPr>
          <w:p w14:paraId="7BC932B1" w14:textId="77777777" w:rsidR="00F57FA7" w:rsidRPr="0071322F" w:rsidRDefault="00F57FA7" w:rsidP="001E244D">
            <w:pPr>
              <w:jc w:val="right"/>
              <w:rPr>
                <w:szCs w:val="26"/>
              </w:rPr>
            </w:pPr>
            <w:r w:rsidRPr="0071322F">
              <w:rPr>
                <w:szCs w:val="26"/>
              </w:rPr>
              <w:t>25</w:t>
            </w:r>
          </w:p>
        </w:tc>
        <w:tc>
          <w:tcPr>
            <w:tcW w:w="1958" w:type="dxa"/>
            <w:shd w:val="clear" w:color="auto" w:fill="auto"/>
            <w:vAlign w:val="center"/>
          </w:tcPr>
          <w:p w14:paraId="70AAB033" w14:textId="77777777" w:rsidR="00F57FA7" w:rsidRPr="0071322F" w:rsidRDefault="00F57FA7" w:rsidP="001E244D">
            <w:pPr>
              <w:jc w:val="right"/>
              <w:rPr>
                <w:szCs w:val="26"/>
              </w:rPr>
            </w:pPr>
            <w:r w:rsidRPr="0071322F">
              <w:rPr>
                <w:szCs w:val="26"/>
              </w:rPr>
              <w:t>0</w:t>
            </w:r>
          </w:p>
        </w:tc>
        <w:tc>
          <w:tcPr>
            <w:tcW w:w="1504" w:type="dxa"/>
            <w:shd w:val="clear" w:color="auto" w:fill="auto"/>
            <w:vAlign w:val="center"/>
          </w:tcPr>
          <w:p w14:paraId="5F369720" w14:textId="77777777" w:rsidR="00F57FA7" w:rsidRPr="0071322F" w:rsidRDefault="00F57FA7" w:rsidP="001E244D">
            <w:pPr>
              <w:jc w:val="right"/>
              <w:rPr>
                <w:szCs w:val="26"/>
              </w:rPr>
            </w:pPr>
            <w:r w:rsidRPr="0071322F">
              <w:rPr>
                <w:szCs w:val="26"/>
              </w:rPr>
              <w:t>0</w:t>
            </w:r>
          </w:p>
        </w:tc>
      </w:tr>
      <w:tr w:rsidR="00F57FA7" w:rsidRPr="004E516F" w14:paraId="2EDA7371" w14:textId="77777777" w:rsidTr="001E244D">
        <w:trPr>
          <w:trHeight w:val="295"/>
        </w:trPr>
        <w:tc>
          <w:tcPr>
            <w:tcW w:w="2160" w:type="dxa"/>
            <w:tcBorders>
              <w:bottom w:val="single" w:sz="4" w:space="0" w:color="auto"/>
            </w:tcBorders>
            <w:shd w:val="clear" w:color="auto" w:fill="auto"/>
          </w:tcPr>
          <w:p w14:paraId="4AD27F12" w14:textId="77777777" w:rsidR="00F57FA7" w:rsidRPr="0071322F" w:rsidRDefault="00F57FA7" w:rsidP="001E244D">
            <w:pPr>
              <w:jc w:val="center"/>
              <w:rPr>
                <w:szCs w:val="26"/>
              </w:rPr>
            </w:pPr>
            <w:r w:rsidRPr="0071322F">
              <w:rPr>
                <w:szCs w:val="26"/>
              </w:rPr>
              <w:t>Annual Cost Burden ($)</w:t>
            </w:r>
          </w:p>
        </w:tc>
        <w:tc>
          <w:tcPr>
            <w:tcW w:w="1779" w:type="dxa"/>
            <w:tcBorders>
              <w:bottom w:val="single" w:sz="4" w:space="0" w:color="auto"/>
            </w:tcBorders>
            <w:shd w:val="clear" w:color="auto" w:fill="auto"/>
            <w:vAlign w:val="center"/>
          </w:tcPr>
          <w:p w14:paraId="0861ABA3" w14:textId="77777777" w:rsidR="00F57FA7" w:rsidRPr="0071322F" w:rsidRDefault="00F57FA7" w:rsidP="001E244D">
            <w:pPr>
              <w:jc w:val="right"/>
              <w:rPr>
                <w:szCs w:val="26"/>
              </w:rPr>
            </w:pPr>
            <w:r w:rsidRPr="0071322F">
              <w:rPr>
                <w:szCs w:val="26"/>
              </w:rPr>
              <w:t>0</w:t>
            </w:r>
          </w:p>
        </w:tc>
        <w:tc>
          <w:tcPr>
            <w:tcW w:w="1959" w:type="dxa"/>
            <w:tcBorders>
              <w:bottom w:val="single" w:sz="4" w:space="0" w:color="auto"/>
            </w:tcBorders>
            <w:shd w:val="clear" w:color="auto" w:fill="auto"/>
            <w:vAlign w:val="center"/>
          </w:tcPr>
          <w:p w14:paraId="26023461" w14:textId="77777777" w:rsidR="00F57FA7" w:rsidRPr="0071322F" w:rsidRDefault="00F57FA7" w:rsidP="001E244D">
            <w:pPr>
              <w:jc w:val="right"/>
              <w:rPr>
                <w:szCs w:val="26"/>
              </w:rPr>
            </w:pPr>
            <w:r w:rsidRPr="0071322F">
              <w:rPr>
                <w:szCs w:val="26"/>
              </w:rPr>
              <w:t>0</w:t>
            </w:r>
          </w:p>
        </w:tc>
        <w:tc>
          <w:tcPr>
            <w:tcW w:w="1958" w:type="dxa"/>
            <w:tcBorders>
              <w:bottom w:val="single" w:sz="4" w:space="0" w:color="auto"/>
            </w:tcBorders>
            <w:shd w:val="clear" w:color="auto" w:fill="auto"/>
            <w:vAlign w:val="center"/>
          </w:tcPr>
          <w:p w14:paraId="3DA02E80" w14:textId="77777777" w:rsidR="00F57FA7" w:rsidRPr="0071322F" w:rsidRDefault="00F57FA7" w:rsidP="001E244D">
            <w:pPr>
              <w:jc w:val="right"/>
              <w:rPr>
                <w:szCs w:val="26"/>
              </w:rPr>
            </w:pPr>
            <w:r w:rsidRPr="0071322F">
              <w:rPr>
                <w:szCs w:val="26"/>
              </w:rPr>
              <w:t>0</w:t>
            </w:r>
          </w:p>
        </w:tc>
        <w:tc>
          <w:tcPr>
            <w:tcW w:w="1504" w:type="dxa"/>
            <w:tcBorders>
              <w:bottom w:val="single" w:sz="4" w:space="0" w:color="auto"/>
            </w:tcBorders>
            <w:shd w:val="clear" w:color="auto" w:fill="auto"/>
            <w:vAlign w:val="center"/>
          </w:tcPr>
          <w:p w14:paraId="4524C65B" w14:textId="77777777" w:rsidR="00F57FA7" w:rsidRPr="004E516F" w:rsidRDefault="00F57FA7" w:rsidP="001E244D">
            <w:pPr>
              <w:jc w:val="right"/>
              <w:rPr>
                <w:szCs w:val="26"/>
              </w:rPr>
            </w:pPr>
            <w:r w:rsidRPr="0071322F">
              <w:rPr>
                <w:szCs w:val="26"/>
              </w:rPr>
              <w:t>0</w:t>
            </w:r>
          </w:p>
        </w:tc>
      </w:tr>
    </w:tbl>
    <w:p w14:paraId="0D8B7C7D" w14:textId="77777777" w:rsidR="00F57FA7" w:rsidRDefault="00F57FA7" w:rsidP="00F57FA7">
      <w:pPr>
        <w:widowControl/>
        <w:ind w:firstLine="720"/>
        <w:rPr>
          <w:sz w:val="26"/>
          <w:szCs w:val="26"/>
        </w:rPr>
      </w:pPr>
    </w:p>
    <w:p w14:paraId="3B3370FF" w14:textId="77777777" w:rsidR="00F57FA7" w:rsidRPr="00B268AC" w:rsidRDefault="00F57FA7" w:rsidP="00F57FA7">
      <w:pPr>
        <w:widowControl/>
        <w:ind w:left="720" w:firstLine="720"/>
        <w:rPr>
          <w:sz w:val="26"/>
          <w:szCs w:val="26"/>
        </w:rPr>
      </w:pPr>
    </w:p>
    <w:p w14:paraId="3F82B935" w14:textId="77777777" w:rsidR="00F57FA7" w:rsidRPr="00B268AC" w:rsidRDefault="00F57FA7" w:rsidP="00F57FA7">
      <w:pPr>
        <w:widowControl/>
        <w:numPr>
          <w:ilvl w:val="0"/>
          <w:numId w:val="3"/>
        </w:numPr>
        <w:rPr>
          <w:b/>
          <w:sz w:val="26"/>
          <w:szCs w:val="26"/>
        </w:rPr>
      </w:pPr>
      <w:r>
        <w:rPr>
          <w:b/>
          <w:sz w:val="26"/>
          <w:szCs w:val="26"/>
        </w:rPr>
        <w:t xml:space="preserve"> </w:t>
      </w:r>
      <w:r w:rsidRPr="00B268AC">
        <w:rPr>
          <w:b/>
          <w:sz w:val="26"/>
          <w:szCs w:val="26"/>
        </w:rPr>
        <w:t>TIME SCHEDULE FOR PUBLICATION OF DATA</w:t>
      </w:r>
    </w:p>
    <w:p w14:paraId="1508068A" w14:textId="77777777" w:rsidR="00F57FA7" w:rsidRPr="00B268AC" w:rsidRDefault="00F57FA7" w:rsidP="00F57FA7">
      <w:pPr>
        <w:widowControl/>
        <w:ind w:left="720"/>
        <w:rPr>
          <w:b/>
          <w:sz w:val="26"/>
          <w:szCs w:val="26"/>
        </w:rPr>
      </w:pPr>
    </w:p>
    <w:p w14:paraId="6FEF9F44" w14:textId="77777777" w:rsidR="00F57FA7" w:rsidRPr="00304CD0" w:rsidRDefault="00F57FA7" w:rsidP="00F57FA7">
      <w:pPr>
        <w:widowControl/>
        <w:rPr>
          <w:sz w:val="26"/>
          <w:szCs w:val="26"/>
        </w:rPr>
      </w:pPr>
      <w:r w:rsidRPr="00304CD0">
        <w:rPr>
          <w:sz w:val="26"/>
          <w:szCs w:val="26"/>
        </w:rPr>
        <w:t xml:space="preserve">These are not information collections for which results are published. </w:t>
      </w:r>
    </w:p>
    <w:p w14:paraId="56BDEA50" w14:textId="77777777" w:rsidR="00F57FA7" w:rsidRPr="00B268AC" w:rsidRDefault="00F57FA7" w:rsidP="00F57FA7">
      <w:pPr>
        <w:widowControl/>
        <w:ind w:firstLine="720"/>
        <w:rPr>
          <w:sz w:val="26"/>
          <w:szCs w:val="26"/>
        </w:rPr>
      </w:pPr>
    </w:p>
    <w:p w14:paraId="4ED2ED95" w14:textId="77777777" w:rsidR="00F57FA7" w:rsidRPr="00B268AC" w:rsidRDefault="00F57FA7" w:rsidP="00F57FA7">
      <w:pPr>
        <w:widowControl/>
        <w:tabs>
          <w:tab w:val="left" w:pos="360"/>
          <w:tab w:val="left" w:pos="1080"/>
        </w:tabs>
        <w:rPr>
          <w:b/>
          <w:sz w:val="26"/>
          <w:szCs w:val="26"/>
        </w:rPr>
      </w:pPr>
      <w:r w:rsidRPr="00B268AC">
        <w:rPr>
          <w:b/>
          <w:sz w:val="26"/>
          <w:szCs w:val="26"/>
        </w:rPr>
        <w:t>17.</w:t>
      </w:r>
      <w:r w:rsidRPr="00B268AC">
        <w:rPr>
          <w:sz w:val="26"/>
          <w:szCs w:val="26"/>
        </w:rPr>
        <w:tab/>
      </w:r>
      <w:r>
        <w:rPr>
          <w:sz w:val="26"/>
          <w:szCs w:val="26"/>
        </w:rPr>
        <w:t xml:space="preserve"> </w:t>
      </w:r>
      <w:r w:rsidRPr="00B268AC">
        <w:rPr>
          <w:b/>
          <w:sz w:val="26"/>
          <w:szCs w:val="26"/>
        </w:rPr>
        <w:t>DISPLAY OF EXPIRATION DATE</w:t>
      </w:r>
    </w:p>
    <w:p w14:paraId="0CF143E6" w14:textId="77777777" w:rsidR="00F57FA7" w:rsidRPr="00B268AC" w:rsidRDefault="00F57FA7" w:rsidP="00F57FA7">
      <w:pPr>
        <w:widowControl/>
        <w:ind w:firstLine="720"/>
        <w:rPr>
          <w:b/>
          <w:sz w:val="26"/>
          <w:szCs w:val="26"/>
        </w:rPr>
      </w:pPr>
    </w:p>
    <w:p w14:paraId="1EC68F12" w14:textId="77777777" w:rsidR="00F57FA7" w:rsidRPr="00304CD0" w:rsidRDefault="00F57FA7" w:rsidP="00F57FA7">
      <w:pPr>
        <w:widowControl/>
        <w:rPr>
          <w:sz w:val="26"/>
          <w:szCs w:val="26"/>
        </w:rPr>
      </w:pPr>
      <w:r w:rsidRPr="00304CD0">
        <w:rPr>
          <w:sz w:val="26"/>
          <w:szCs w:val="26"/>
        </w:rPr>
        <w:t xml:space="preserve">Utilities prepare and submit filings that reflect unique or specific circumstances related to their filing.  The information is not collected on a standard, preprinted form which would allow the display of the expiration date for OMB approval of the information collected.  </w:t>
      </w:r>
    </w:p>
    <w:p w14:paraId="426B6813" w14:textId="77777777" w:rsidR="00F57FA7" w:rsidRPr="00B268AC" w:rsidRDefault="00F57FA7" w:rsidP="00F57FA7">
      <w:pPr>
        <w:widowControl/>
        <w:ind w:firstLine="720"/>
        <w:rPr>
          <w:sz w:val="26"/>
          <w:szCs w:val="26"/>
        </w:rPr>
      </w:pPr>
    </w:p>
    <w:p w14:paraId="2D848622" w14:textId="77777777" w:rsidR="00F57FA7" w:rsidRPr="00B268AC" w:rsidRDefault="00F57FA7" w:rsidP="00F57FA7">
      <w:pPr>
        <w:widowControl/>
        <w:numPr>
          <w:ilvl w:val="0"/>
          <w:numId w:val="4"/>
        </w:numPr>
        <w:tabs>
          <w:tab w:val="clear" w:pos="1080"/>
          <w:tab w:val="num" w:pos="360"/>
        </w:tabs>
        <w:ind w:left="1800" w:hanging="1800"/>
        <w:rPr>
          <w:b/>
          <w:sz w:val="26"/>
          <w:szCs w:val="26"/>
        </w:rPr>
      </w:pPr>
      <w:r w:rsidRPr="00B268AC">
        <w:rPr>
          <w:b/>
          <w:sz w:val="26"/>
          <w:szCs w:val="26"/>
        </w:rPr>
        <w:t xml:space="preserve"> EXCEPTIONS TO THE CERTIFICATION STATEMENT</w:t>
      </w:r>
    </w:p>
    <w:p w14:paraId="501A8909" w14:textId="77777777" w:rsidR="00F57FA7" w:rsidRPr="00B268AC" w:rsidRDefault="00F57FA7" w:rsidP="00F57FA7">
      <w:pPr>
        <w:widowControl/>
        <w:ind w:left="720"/>
        <w:rPr>
          <w:b/>
          <w:sz w:val="26"/>
          <w:szCs w:val="26"/>
        </w:rPr>
      </w:pPr>
    </w:p>
    <w:p w14:paraId="25081170" w14:textId="77777777" w:rsidR="00F57FA7" w:rsidRPr="005C6B50" w:rsidRDefault="00F57FA7" w:rsidP="00F57FA7">
      <w:pPr>
        <w:widowControl/>
        <w:rPr>
          <w:sz w:val="26"/>
          <w:szCs w:val="26"/>
        </w:rPr>
      </w:pPr>
      <w:r w:rsidRPr="005C6B50">
        <w:rPr>
          <w:sz w:val="26"/>
          <w:szCs w:val="26"/>
        </w:rPr>
        <w:t>The data collected for this reporting requirement is not used for statistical purposes.  Therefore, the Commis</w:t>
      </w:r>
      <w:r>
        <w:rPr>
          <w:sz w:val="26"/>
          <w:szCs w:val="26"/>
        </w:rPr>
        <w:t>sion does not use effective and efficient statistical survey methodology as stated in I</w:t>
      </w:r>
      <w:r w:rsidRPr="005C6B50">
        <w:rPr>
          <w:sz w:val="26"/>
          <w:szCs w:val="26"/>
        </w:rPr>
        <w:t>tem (</w:t>
      </w:r>
      <w:proofErr w:type="spellStart"/>
      <w:r w:rsidRPr="005C6B50">
        <w:rPr>
          <w:sz w:val="26"/>
          <w:szCs w:val="26"/>
        </w:rPr>
        <w:t>i</w:t>
      </w:r>
      <w:proofErr w:type="spellEnd"/>
      <w:r w:rsidRPr="005C6B50">
        <w:rPr>
          <w:sz w:val="26"/>
          <w:szCs w:val="26"/>
        </w:rPr>
        <w:t>) of the certification to OMB</w:t>
      </w:r>
      <w:r>
        <w:rPr>
          <w:sz w:val="26"/>
          <w:szCs w:val="26"/>
        </w:rPr>
        <w:t>.</w:t>
      </w:r>
      <w:r w:rsidRPr="005C6B50">
        <w:rPr>
          <w:sz w:val="26"/>
          <w:szCs w:val="26"/>
        </w:rPr>
        <w:t xml:space="preserve"> </w:t>
      </w:r>
    </w:p>
    <w:p w14:paraId="4191B022" w14:textId="77777777" w:rsidR="00F57FA7" w:rsidRPr="00B268AC" w:rsidRDefault="00F57FA7" w:rsidP="00F57FA7">
      <w:pPr>
        <w:widowControl/>
        <w:ind w:firstLine="720"/>
        <w:rPr>
          <w:sz w:val="26"/>
          <w:szCs w:val="26"/>
        </w:rPr>
      </w:pPr>
    </w:p>
    <w:p w14:paraId="0D1ED5E8" w14:textId="77777777" w:rsidR="00F57FA7" w:rsidRPr="00A214D1" w:rsidRDefault="00F57FA7" w:rsidP="00F57FA7">
      <w:pPr>
        <w:ind w:firstLine="720"/>
        <w:rPr>
          <w:sz w:val="26"/>
          <w:szCs w:val="26"/>
        </w:rPr>
      </w:pPr>
      <w:r w:rsidRPr="00B268AC" w:rsidDel="00D43D91">
        <w:rPr>
          <w:sz w:val="26"/>
          <w:szCs w:val="26"/>
        </w:rPr>
        <w:t xml:space="preserve"> </w:t>
      </w:r>
    </w:p>
    <w:p w14:paraId="7300D8AE" w14:textId="77777777" w:rsidR="0010764F" w:rsidRDefault="0010764F"/>
    <w:sectPr w:rsidR="0010764F">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79E33" w14:textId="77777777" w:rsidR="004B76E5" w:rsidRDefault="004B76E5" w:rsidP="00F57FA7">
      <w:r>
        <w:separator/>
      </w:r>
    </w:p>
  </w:endnote>
  <w:endnote w:type="continuationSeparator" w:id="0">
    <w:p w14:paraId="70C3776C" w14:textId="77777777" w:rsidR="004B76E5" w:rsidRDefault="004B76E5" w:rsidP="00F5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8AE2" w14:textId="77777777" w:rsidR="000D050C" w:rsidRDefault="00B15935"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DB9E0" w14:textId="77777777" w:rsidR="000D050C" w:rsidRDefault="00AB3563" w:rsidP="00F534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8EE5" w14:textId="77777777" w:rsidR="000D050C" w:rsidRDefault="00B15935"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74D9">
      <w:rPr>
        <w:rStyle w:val="PageNumber"/>
        <w:noProof/>
      </w:rPr>
      <w:t>7</w:t>
    </w:r>
    <w:r>
      <w:rPr>
        <w:rStyle w:val="PageNumber"/>
      </w:rPr>
      <w:fldChar w:fldCharType="end"/>
    </w:r>
  </w:p>
  <w:p w14:paraId="1423AE87" w14:textId="77777777" w:rsidR="000D050C" w:rsidRDefault="00AB3563" w:rsidP="00F534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57C48" w14:textId="77777777" w:rsidR="004B76E5" w:rsidRDefault="004B76E5" w:rsidP="00F57FA7">
      <w:r>
        <w:separator/>
      </w:r>
    </w:p>
  </w:footnote>
  <w:footnote w:type="continuationSeparator" w:id="0">
    <w:p w14:paraId="7B25970E" w14:textId="77777777" w:rsidR="004B76E5" w:rsidRDefault="004B76E5" w:rsidP="00F57FA7">
      <w:r>
        <w:continuationSeparator/>
      </w:r>
    </w:p>
  </w:footnote>
  <w:footnote w:id="1">
    <w:p w14:paraId="74A4DEAC"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w:t>
      </w:r>
      <w:proofErr w:type="gramStart"/>
      <w:r w:rsidRPr="002F0C85">
        <w:rPr>
          <w:rStyle w:val="FootnoteTextCharChar1Char"/>
          <w:sz w:val="20"/>
        </w:rPr>
        <w:t>Pub.</w:t>
      </w:r>
      <w:proofErr w:type="gramEnd"/>
      <w:r w:rsidRPr="002F0C85">
        <w:rPr>
          <w:rStyle w:val="FootnoteTextCharChar1Char"/>
          <w:sz w:val="20"/>
        </w:rPr>
        <w:t xml:space="preserve"> L. No. 109-58, 119 Stat. 594 (2005), 42 United States Code (USC) 16452.</w:t>
      </w:r>
    </w:p>
  </w:footnote>
  <w:footnote w:id="2">
    <w:p w14:paraId="73FF5216"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Ibid.</w:t>
      </w:r>
    </w:p>
  </w:footnote>
  <w:footnote w:id="3">
    <w:p w14:paraId="24FCFB86"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16 USC §824(D-E)</w:t>
      </w:r>
    </w:p>
  </w:footnote>
  <w:footnote w:id="4">
    <w:p w14:paraId="1849FBF4"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80 FR 2405</w:t>
      </w:r>
    </w:p>
  </w:footnote>
  <w:footnote w:id="5">
    <w:p w14:paraId="695382ED"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5 CFR 1320.8(d)</w:t>
      </w:r>
    </w:p>
  </w:footnote>
  <w:footnote w:id="6">
    <w:p w14:paraId="43D29C48"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80 FR 19305</w:t>
      </w:r>
    </w:p>
  </w:footnote>
  <w:footnote w:id="7">
    <w:p w14:paraId="01C25C5D" w14:textId="77777777" w:rsidR="00F57FA7" w:rsidRPr="002F0C85" w:rsidRDefault="00F57FA7" w:rsidP="002F0C85">
      <w:pPr>
        <w:pStyle w:val="FootnoteText"/>
        <w:spacing w:after="0"/>
        <w:ind w:firstLine="0"/>
        <w:rPr>
          <w:rStyle w:val="FootnoteTextCharChar1Char"/>
          <w:sz w:val="20"/>
        </w:rPr>
      </w:pPr>
      <w:r w:rsidRPr="002F0C85">
        <w:rPr>
          <w:rStyle w:val="FootnoteTextCharChar1Char"/>
          <w:sz w:val="20"/>
        </w:rPr>
        <w:footnoteRef/>
      </w:r>
      <w:r w:rsidRPr="002F0C85">
        <w:rPr>
          <w:rStyle w:val="FootnoteTextCharChar1Char"/>
          <w:sz w:val="20"/>
        </w:rPr>
        <w:t xml:space="preserve"> 18 CFR 388.112(a)(1)</w:t>
      </w:r>
    </w:p>
  </w:footnote>
  <w:footnote w:id="8">
    <w:p w14:paraId="185E05F9" w14:textId="77777777" w:rsidR="002F0C85" w:rsidRPr="002F0C85" w:rsidRDefault="002F0C85" w:rsidP="002F0C85">
      <w:pPr>
        <w:pStyle w:val="FootnoteText"/>
        <w:spacing w:after="0"/>
        <w:ind w:firstLine="0"/>
        <w:rPr>
          <w:sz w:val="20"/>
        </w:rPr>
      </w:pPr>
      <w:r w:rsidRPr="002F0C85">
        <w:rPr>
          <w:rStyle w:val="FootnoteReference"/>
          <w:sz w:val="20"/>
          <w:szCs w:val="20"/>
        </w:rPr>
        <w:footnoteRef/>
      </w:r>
      <w:r w:rsidRPr="002F0C85">
        <w:rPr>
          <w:sz w:val="20"/>
        </w:rPr>
        <w:t xml:space="preserve"> Based upon FERC’s 2015 FTE average salary plus benefits ($149,489)</w:t>
      </w:r>
    </w:p>
  </w:footnote>
  <w:footnote w:id="9">
    <w:p w14:paraId="6A17DF0C" w14:textId="77777777" w:rsidR="002F0C85" w:rsidRPr="002F0C85" w:rsidRDefault="002F0C85" w:rsidP="002F0C85">
      <w:pPr>
        <w:pStyle w:val="FootnoteText"/>
        <w:spacing w:after="0"/>
        <w:ind w:firstLine="0"/>
        <w:rPr>
          <w:sz w:val="20"/>
        </w:rPr>
      </w:pPr>
      <w:r w:rsidRPr="002F0C85">
        <w:rPr>
          <w:rStyle w:val="FootnoteReference"/>
          <w:sz w:val="20"/>
          <w:szCs w:val="20"/>
        </w:rPr>
        <w:footnoteRef/>
      </w:r>
      <w:r w:rsidRPr="002F0C85">
        <w:rPr>
          <w:sz w:val="20"/>
        </w:rPr>
        <w:t xml:space="preserve"> Paperwork Reduction Act of 1995 (PRA)</w:t>
      </w:r>
    </w:p>
  </w:footnote>
  <w:footnote w:id="10">
    <w:p w14:paraId="30D4CC0B" w14:textId="77777777" w:rsidR="002F0C85" w:rsidRPr="002F0C85" w:rsidRDefault="002F0C85" w:rsidP="002F0C85">
      <w:pPr>
        <w:pStyle w:val="FootnoteText"/>
        <w:spacing w:after="0"/>
        <w:ind w:firstLine="0"/>
        <w:rPr>
          <w:sz w:val="20"/>
        </w:rPr>
      </w:pPr>
      <w:r w:rsidRPr="002F0C85">
        <w:rPr>
          <w:rStyle w:val="FootnoteReference"/>
          <w:sz w:val="20"/>
          <w:szCs w:val="20"/>
        </w:rPr>
        <w:footnoteRef/>
      </w:r>
      <w:r w:rsidRPr="002F0C85">
        <w:rPr>
          <w:sz w:val="20"/>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 w:id="11">
    <w:p w14:paraId="6EA47F0F" w14:textId="77777777" w:rsidR="00F57FA7" w:rsidRPr="002F0C85" w:rsidRDefault="00F57FA7" w:rsidP="002F0C85">
      <w:pPr>
        <w:pStyle w:val="FootnoteText"/>
        <w:spacing w:after="0"/>
        <w:ind w:firstLine="0"/>
        <w:rPr>
          <w:sz w:val="20"/>
        </w:rPr>
      </w:pPr>
      <w:r w:rsidRPr="002F0C85">
        <w:rPr>
          <w:rStyle w:val="FootnoteReference"/>
          <w:sz w:val="20"/>
          <w:szCs w:val="20"/>
        </w:rPr>
        <w:footnoteRef/>
      </w:r>
      <w:r w:rsidRPr="002F0C85">
        <w:rPr>
          <w:sz w:val="20"/>
        </w:rPr>
        <w:t xml:space="preserve"> The estimates for cost per response are derived using the following formula: Average Burden Hours per Response * $72.00 per Hour = Average Cost per Response.  The Cost per hour figure is the 2015 FERC average salary plus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3C867" w14:textId="77777777" w:rsidR="00C85DC4" w:rsidRDefault="00B15935">
    <w:pPr>
      <w:spacing w:line="240" w:lineRule="exact"/>
      <w:rPr>
        <w:sz w:val="26"/>
        <w:szCs w:val="26"/>
      </w:rPr>
    </w:pPr>
    <w:r>
      <w:rPr>
        <w:sz w:val="26"/>
        <w:szCs w:val="26"/>
      </w:rPr>
      <w:t>FERC-65, 65A, &amp; 65B (OMB Control No. 1902-0218)</w:t>
    </w:r>
    <w:r>
      <w:rPr>
        <w:sz w:val="26"/>
        <w:szCs w:val="26"/>
      </w:rPr>
      <w:tab/>
    </w:r>
  </w:p>
  <w:p w14:paraId="489C0BDB" w14:textId="77777777" w:rsidR="000D050C" w:rsidRPr="00C85DC4" w:rsidRDefault="00B15935">
    <w:pPr>
      <w:spacing w:line="240" w:lineRule="exact"/>
      <w:rPr>
        <w:sz w:val="26"/>
        <w:szCs w:val="26"/>
      </w:rPr>
    </w:pPr>
    <w:r w:rsidRPr="00C85DC4">
      <w:rPr>
        <w:sz w:val="26"/>
        <w:szCs w:val="26"/>
      </w:rPr>
      <w:tab/>
    </w:r>
    <w:r w:rsidRPr="00C85DC4">
      <w:rPr>
        <w:sz w:val="26"/>
        <w:szCs w:val="26"/>
      </w:rPr>
      <w:tab/>
    </w:r>
    <w:r w:rsidRPr="00C85DC4">
      <w:rPr>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B5C"/>
    <w:multiLevelType w:val="hybridMultilevel"/>
    <w:tmpl w:val="6840BA40"/>
    <w:lvl w:ilvl="0" w:tplc="97BC9BBE">
      <w:start w:val="1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8D601BA"/>
    <w:multiLevelType w:val="hybridMultilevel"/>
    <w:tmpl w:val="6F6CE4EA"/>
    <w:lvl w:ilvl="0" w:tplc="F594DBE4">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8F803E2"/>
    <w:multiLevelType w:val="hybridMultilevel"/>
    <w:tmpl w:val="0BE239CA"/>
    <w:lvl w:ilvl="0" w:tplc="FFFFFFFF">
      <w:start w:val="1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A7"/>
    <w:rsid w:val="0010764F"/>
    <w:rsid w:val="002F0C85"/>
    <w:rsid w:val="00333B40"/>
    <w:rsid w:val="004B76E5"/>
    <w:rsid w:val="00691DF4"/>
    <w:rsid w:val="00915303"/>
    <w:rsid w:val="00B15935"/>
    <w:rsid w:val="00CB7B54"/>
    <w:rsid w:val="00E174D9"/>
    <w:rsid w:val="00F5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F57FA7"/>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n1,Footnote Text MRP"/>
    <w:basedOn w:val="Normal"/>
    <w:link w:val="FootnoteTextChar"/>
    <w:rsid w:val="00F57FA7"/>
    <w:pPr>
      <w:spacing w:after="260"/>
      <w:ind w:firstLine="720"/>
    </w:pPr>
    <w:rPr>
      <w:szCs w:val="20"/>
    </w:rPr>
  </w:style>
  <w:style w:type="character" w:customStyle="1" w:styleId="FootnoteTextChar">
    <w:name w:val="Footnote Text Char"/>
    <w:aliases w:val="fn Char1,Footnote Text Char1 Char3,Footnote Text Char Char Char2,Footnote Text Char1 Char Char2,Footnote Text Char Char Char Char1, Char Char1,Footnote Text Char Char1 Char1,Char Char,Footnote Text Char1 Char Char Char1 Char,ft Char"/>
    <w:basedOn w:val="DefaultParagraphFont"/>
    <w:link w:val="FootnoteText"/>
    <w:rsid w:val="00F57FA7"/>
    <w:rPr>
      <w:rFonts w:ascii="Times New Roman" w:eastAsia="Times New Roman" w:hAnsi="Times New Roman" w:cs="Times New Roman"/>
      <w:sz w:val="24"/>
      <w:szCs w:val="20"/>
    </w:rPr>
  </w:style>
  <w:style w:type="paragraph" w:styleId="Footer">
    <w:name w:val="footer"/>
    <w:basedOn w:val="Normal"/>
    <w:link w:val="FooterChar"/>
    <w:rsid w:val="00F57FA7"/>
    <w:pPr>
      <w:tabs>
        <w:tab w:val="center" w:pos="4320"/>
        <w:tab w:val="right" w:pos="8640"/>
      </w:tabs>
    </w:pPr>
  </w:style>
  <w:style w:type="character" w:customStyle="1" w:styleId="FooterChar">
    <w:name w:val="Footer Char"/>
    <w:basedOn w:val="DefaultParagraphFont"/>
    <w:link w:val="Footer"/>
    <w:rsid w:val="00F57FA7"/>
    <w:rPr>
      <w:rFonts w:ascii="Times New Roman" w:eastAsia="Times New Roman" w:hAnsi="Times New Roman" w:cs="Times New Roman"/>
      <w:sz w:val="24"/>
      <w:szCs w:val="24"/>
    </w:rPr>
  </w:style>
  <w:style w:type="character" w:styleId="PageNumber">
    <w:name w:val="page number"/>
    <w:basedOn w:val="DefaultParagraphFont"/>
    <w:rsid w:val="00F57FA7"/>
  </w:style>
  <w:style w:type="paragraph" w:customStyle="1" w:styleId="LegalFormat">
    <w:name w:val="Legal Format"/>
    <w:basedOn w:val="ListContinue"/>
    <w:autoRedefine/>
    <w:rsid w:val="00F57FA7"/>
    <w:pPr>
      <w:widowControl/>
      <w:tabs>
        <w:tab w:val="num" w:pos="0"/>
      </w:tabs>
      <w:autoSpaceDE/>
      <w:autoSpaceDN/>
      <w:adjustRightInd/>
      <w:spacing w:after="0"/>
      <w:ind w:left="0" w:hanging="18"/>
      <w:contextualSpacing w:val="0"/>
    </w:pPr>
    <w:rPr>
      <w:sz w:val="26"/>
      <w:szCs w:val="26"/>
    </w:rPr>
  </w:style>
  <w:style w:type="character" w:styleId="Hyperlink">
    <w:name w:val="Hyperlink"/>
    <w:rsid w:val="00F57FA7"/>
    <w:rPr>
      <w:strike w:val="0"/>
      <w:dstrike w:val="0"/>
      <w:color w:val="000080"/>
      <w:u w:val="none"/>
      <w:effect w:val="none"/>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1 Char2,Footnote Text Char1 Char Char1"/>
    <w:rsid w:val="00F57FA7"/>
    <w:rPr>
      <w:sz w:val="26"/>
      <w:lang w:val="en-US" w:eastAsia="en-US" w:bidi="ar-SA"/>
    </w:rPr>
  </w:style>
  <w:style w:type="paragraph" w:styleId="ListContinue">
    <w:name w:val="List Continue"/>
    <w:basedOn w:val="Normal"/>
    <w:uiPriority w:val="99"/>
    <w:semiHidden/>
    <w:unhideWhenUsed/>
    <w:rsid w:val="00F57FA7"/>
    <w:pPr>
      <w:spacing w:after="120"/>
      <w:ind w:left="360"/>
      <w:contextualSpacing/>
    </w:pPr>
  </w:style>
  <w:style w:type="character" w:styleId="FollowedHyperlink">
    <w:name w:val="FollowedHyperlink"/>
    <w:basedOn w:val="DefaultParagraphFont"/>
    <w:uiPriority w:val="99"/>
    <w:semiHidden/>
    <w:unhideWhenUsed/>
    <w:rsid w:val="002F0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F57FA7"/>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n1,Footnote Text MRP"/>
    <w:basedOn w:val="Normal"/>
    <w:link w:val="FootnoteTextChar"/>
    <w:rsid w:val="00F57FA7"/>
    <w:pPr>
      <w:spacing w:after="260"/>
      <w:ind w:firstLine="720"/>
    </w:pPr>
    <w:rPr>
      <w:szCs w:val="20"/>
    </w:rPr>
  </w:style>
  <w:style w:type="character" w:customStyle="1" w:styleId="FootnoteTextChar">
    <w:name w:val="Footnote Text Char"/>
    <w:aliases w:val="fn Char1,Footnote Text Char1 Char3,Footnote Text Char Char Char2,Footnote Text Char1 Char Char2,Footnote Text Char Char Char Char1, Char Char1,Footnote Text Char Char1 Char1,Char Char,Footnote Text Char1 Char Char Char1 Char,ft Char"/>
    <w:basedOn w:val="DefaultParagraphFont"/>
    <w:link w:val="FootnoteText"/>
    <w:rsid w:val="00F57FA7"/>
    <w:rPr>
      <w:rFonts w:ascii="Times New Roman" w:eastAsia="Times New Roman" w:hAnsi="Times New Roman" w:cs="Times New Roman"/>
      <w:sz w:val="24"/>
      <w:szCs w:val="20"/>
    </w:rPr>
  </w:style>
  <w:style w:type="paragraph" w:styleId="Footer">
    <w:name w:val="footer"/>
    <w:basedOn w:val="Normal"/>
    <w:link w:val="FooterChar"/>
    <w:rsid w:val="00F57FA7"/>
    <w:pPr>
      <w:tabs>
        <w:tab w:val="center" w:pos="4320"/>
        <w:tab w:val="right" w:pos="8640"/>
      </w:tabs>
    </w:pPr>
  </w:style>
  <w:style w:type="character" w:customStyle="1" w:styleId="FooterChar">
    <w:name w:val="Footer Char"/>
    <w:basedOn w:val="DefaultParagraphFont"/>
    <w:link w:val="Footer"/>
    <w:rsid w:val="00F57FA7"/>
    <w:rPr>
      <w:rFonts w:ascii="Times New Roman" w:eastAsia="Times New Roman" w:hAnsi="Times New Roman" w:cs="Times New Roman"/>
      <w:sz w:val="24"/>
      <w:szCs w:val="24"/>
    </w:rPr>
  </w:style>
  <w:style w:type="character" w:styleId="PageNumber">
    <w:name w:val="page number"/>
    <w:basedOn w:val="DefaultParagraphFont"/>
    <w:rsid w:val="00F57FA7"/>
  </w:style>
  <w:style w:type="paragraph" w:customStyle="1" w:styleId="LegalFormat">
    <w:name w:val="Legal Format"/>
    <w:basedOn w:val="ListContinue"/>
    <w:autoRedefine/>
    <w:rsid w:val="00F57FA7"/>
    <w:pPr>
      <w:widowControl/>
      <w:tabs>
        <w:tab w:val="num" w:pos="0"/>
      </w:tabs>
      <w:autoSpaceDE/>
      <w:autoSpaceDN/>
      <w:adjustRightInd/>
      <w:spacing w:after="0"/>
      <w:ind w:left="0" w:hanging="18"/>
      <w:contextualSpacing w:val="0"/>
    </w:pPr>
    <w:rPr>
      <w:sz w:val="26"/>
      <w:szCs w:val="26"/>
    </w:rPr>
  </w:style>
  <w:style w:type="character" w:styleId="Hyperlink">
    <w:name w:val="Hyperlink"/>
    <w:rsid w:val="00F57FA7"/>
    <w:rPr>
      <w:strike w:val="0"/>
      <w:dstrike w:val="0"/>
      <w:color w:val="000080"/>
      <w:u w:val="none"/>
      <w:effect w:val="none"/>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1 Char2,Footnote Text Char1 Char Char1"/>
    <w:rsid w:val="00F57FA7"/>
    <w:rPr>
      <w:sz w:val="26"/>
      <w:lang w:val="en-US" w:eastAsia="en-US" w:bidi="ar-SA"/>
    </w:rPr>
  </w:style>
  <w:style w:type="paragraph" w:styleId="ListContinue">
    <w:name w:val="List Continue"/>
    <w:basedOn w:val="Normal"/>
    <w:uiPriority w:val="99"/>
    <w:semiHidden/>
    <w:unhideWhenUsed/>
    <w:rsid w:val="00F57FA7"/>
    <w:pPr>
      <w:spacing w:after="120"/>
      <w:ind w:left="360"/>
      <w:contextualSpacing/>
    </w:pPr>
  </w:style>
  <w:style w:type="character" w:styleId="FollowedHyperlink">
    <w:name w:val="FollowedHyperlink"/>
    <w:basedOn w:val="DefaultParagraphFont"/>
    <w:uiPriority w:val="99"/>
    <w:semiHidden/>
    <w:unhideWhenUsed/>
    <w:rsid w:val="002F0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fil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cd08c67e13db47454a2cd63459fe1cdd">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65</_x0031__x002e__x0020_Collection_x0020_Number>
    <Date xmlns="d6eefc7d-9817-4fa6-84d5-3bc009be21b8">2015-04-20T00:00:00-04:00</Date>
    <Status xmlns="d6eefc7d-9817-4fa6-84d5-3bc009be21b8">Final</Status>
    <_x0032__x002e__x0020_Docket_x0020_Number xmlns="d6eefc7d-9817-4fa6-84d5-3bc009be21b8" xsi:nil="true"/>
    <_x0032__x002e__x0020_Collection_x0020_Number xmlns="d6eefc7d-9817-4fa6-84d5-3bc009be21b8">65A</_x0032__x002e__x0020_Collection_x0020_Number>
    <_x0031__x002e__x0020_Docket_x0020_Number xmlns="d6eefc7d-9817-4fa6-84d5-3bc009be21b8">IC15-2</_x0031__x002e__x0020_Docket_x0020_Number>
    <_x0033__x002e__x0020_Collection_x0020_Number xmlns="d6eefc7d-9817-4fa6-84d5-3bc009be21b8">65B</_x0033__x002e__x0020_Collection_x0020_Number>
  </documentManagement>
</p:properti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2DF61-B525-4A1F-B020-35BFBD049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B15A-CB1F-4D51-94BD-75FBB989A4E3}">
  <ds:schemaRefs>
    <ds:schemaRef ds:uri="http://schemas.microsoft.com/office/2006/metadata/properties"/>
    <ds:schemaRef ds:uri="http://schemas.openxmlformats.org/package/2006/metadata/core-properties"/>
    <ds:schemaRef ds:uri="d6eefc7d-9817-4fa6-84d5-3bc009be21b8"/>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7A10C2-71C9-4CC1-9CA3-0FD11FF470DC}">
  <ds:schemaRefs>
    <ds:schemaRef ds:uri="http://schemas.microsoft.com/office/2006/metadata/customXsn"/>
  </ds:schemaRefs>
</ds:datastoreItem>
</file>

<file path=customXml/itemProps4.xml><?xml version="1.0" encoding="utf-8"?>
<ds:datastoreItem xmlns:ds="http://schemas.openxmlformats.org/officeDocument/2006/customXml" ds:itemID="{3C8D51A4-DA62-4C2F-9804-41CA98B26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Ellen Brown</cp:lastModifiedBy>
  <cp:revision>2</cp:revision>
  <dcterms:created xsi:type="dcterms:W3CDTF">2015-04-20T12:43:00Z</dcterms:created>
  <dcterms:modified xsi:type="dcterms:W3CDTF">2015-04-20T12:43:00Z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