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A56FE" w14:textId="63A61491" w:rsidR="002B7FAC" w:rsidRPr="00D27CC7" w:rsidRDefault="002B7FAC" w:rsidP="00F16E73">
      <w:pPr>
        <w:tabs>
          <w:tab w:val="left" w:pos="3320"/>
        </w:tabs>
        <w:spacing w:after="0" w:line="240" w:lineRule="auto"/>
        <w:jc w:val="center"/>
        <w:rPr>
          <w:rFonts w:ascii="Times New Roman" w:hAnsi="Times New Roman" w:cs="Times New Roman"/>
          <w:sz w:val="26"/>
          <w:szCs w:val="26"/>
        </w:rPr>
      </w:pPr>
      <w:r w:rsidRPr="00D27CC7">
        <w:rPr>
          <w:rFonts w:ascii="Times New Roman" w:hAnsi="Times New Roman" w:cs="Times New Roman"/>
          <w:sz w:val="26"/>
          <w:szCs w:val="26"/>
        </w:rPr>
        <w:t>Supporting Statement for</w:t>
      </w:r>
    </w:p>
    <w:p w14:paraId="5B28451C" w14:textId="7D2FE8CD" w:rsidR="002B7FAC" w:rsidRDefault="002B7FAC" w:rsidP="00F16E73">
      <w:pPr>
        <w:tabs>
          <w:tab w:val="center" w:pos="4680"/>
        </w:tabs>
        <w:spacing w:after="0" w:line="240" w:lineRule="auto"/>
        <w:jc w:val="center"/>
        <w:rPr>
          <w:rFonts w:ascii="Times New Roman" w:hAnsi="Times New Roman"/>
          <w:b/>
          <w:bCs/>
          <w:sz w:val="26"/>
          <w:szCs w:val="26"/>
        </w:rPr>
      </w:pPr>
      <w:r w:rsidRPr="00D27CC7">
        <w:rPr>
          <w:rFonts w:ascii="Times New Roman" w:hAnsi="Times New Roman"/>
          <w:b/>
          <w:bCs/>
          <w:sz w:val="26"/>
          <w:szCs w:val="26"/>
        </w:rPr>
        <w:t>FERC-</w:t>
      </w:r>
      <w:r w:rsidR="00F16E73">
        <w:rPr>
          <w:rFonts w:ascii="Times New Roman" w:hAnsi="Times New Roman"/>
          <w:b/>
          <w:bCs/>
          <w:sz w:val="26"/>
          <w:szCs w:val="26"/>
        </w:rPr>
        <w:t xml:space="preserve">585, Reporting of Electric Shortages and Contingency Plans Under </w:t>
      </w:r>
      <w:r w:rsidR="00BC51BB">
        <w:rPr>
          <w:rFonts w:ascii="Times New Roman" w:hAnsi="Times New Roman"/>
          <w:b/>
          <w:bCs/>
          <w:sz w:val="26"/>
          <w:szCs w:val="26"/>
        </w:rPr>
        <w:t>Public Utility Regulatory Policies Act (</w:t>
      </w:r>
      <w:r w:rsidR="00F16E73">
        <w:rPr>
          <w:rFonts w:ascii="Times New Roman" w:hAnsi="Times New Roman"/>
          <w:b/>
          <w:bCs/>
          <w:sz w:val="26"/>
          <w:szCs w:val="26"/>
        </w:rPr>
        <w:t>PURPA</w:t>
      </w:r>
      <w:r w:rsidR="00BC51BB">
        <w:rPr>
          <w:rFonts w:ascii="Times New Roman" w:hAnsi="Times New Roman"/>
          <w:b/>
          <w:bCs/>
          <w:sz w:val="26"/>
          <w:szCs w:val="26"/>
        </w:rPr>
        <w:t>)</w:t>
      </w:r>
      <w:r w:rsidR="00F16E73">
        <w:rPr>
          <w:rFonts w:ascii="Times New Roman" w:hAnsi="Times New Roman"/>
          <w:b/>
          <w:bCs/>
          <w:sz w:val="26"/>
          <w:szCs w:val="26"/>
        </w:rPr>
        <w:t xml:space="preserve"> 206</w:t>
      </w:r>
    </w:p>
    <w:p w14:paraId="68ACD855" w14:textId="77777777" w:rsidR="00F16E73" w:rsidRPr="00D27CC7" w:rsidRDefault="00F16E73" w:rsidP="00F16E73">
      <w:pPr>
        <w:tabs>
          <w:tab w:val="center" w:pos="4680"/>
        </w:tabs>
        <w:spacing w:after="0" w:line="240" w:lineRule="auto"/>
        <w:jc w:val="center"/>
        <w:rPr>
          <w:rFonts w:ascii="Times New Roman" w:hAnsi="Times New Roman"/>
          <w:b/>
          <w:bCs/>
          <w:sz w:val="26"/>
          <w:szCs w:val="26"/>
        </w:rPr>
      </w:pPr>
    </w:p>
    <w:p w14:paraId="410E8855" w14:textId="7FE7A0E9" w:rsidR="002B7FAC" w:rsidRPr="004D3EFE" w:rsidRDefault="002B7FAC" w:rsidP="004D3EFE">
      <w:pPr>
        <w:rPr>
          <w:rFonts w:ascii="Times New Roman" w:hAnsi="Times New Roman"/>
          <w:sz w:val="26"/>
          <w:szCs w:val="26"/>
        </w:rPr>
      </w:pPr>
      <w:r w:rsidRPr="00D27CC7">
        <w:rPr>
          <w:rFonts w:ascii="Times New Roman" w:hAnsi="Times New Roman"/>
          <w:sz w:val="26"/>
          <w:szCs w:val="26"/>
        </w:rPr>
        <w:t xml:space="preserve">The Federal Energy Regulatory Commission (Commission or FERC) requests that the Office of Management and Budget (OMB) review and approve </w:t>
      </w:r>
      <w:r w:rsidRPr="00D27CC7">
        <w:rPr>
          <w:rFonts w:ascii="Times New Roman" w:hAnsi="Times New Roman"/>
          <w:b/>
          <w:bCs/>
          <w:sz w:val="26"/>
          <w:szCs w:val="26"/>
        </w:rPr>
        <w:t>FERC-</w:t>
      </w:r>
      <w:r w:rsidR="00F16E73">
        <w:rPr>
          <w:rFonts w:ascii="Times New Roman" w:hAnsi="Times New Roman"/>
          <w:b/>
          <w:bCs/>
          <w:sz w:val="26"/>
          <w:szCs w:val="26"/>
        </w:rPr>
        <w:t>585</w:t>
      </w:r>
      <w:r w:rsidR="00BC51BB">
        <w:rPr>
          <w:rFonts w:ascii="Times New Roman" w:hAnsi="Times New Roman"/>
          <w:b/>
          <w:bCs/>
          <w:sz w:val="26"/>
          <w:szCs w:val="26"/>
        </w:rPr>
        <w:t xml:space="preserve"> </w:t>
      </w:r>
      <w:r w:rsidR="00F16E73">
        <w:rPr>
          <w:rFonts w:ascii="Times New Roman" w:hAnsi="Times New Roman"/>
          <w:b/>
          <w:bCs/>
          <w:sz w:val="26"/>
          <w:szCs w:val="26"/>
        </w:rPr>
        <w:t xml:space="preserve">(Reporting of Electric Shortages and Contingency Plans </w:t>
      </w:r>
      <w:proofErr w:type="gramStart"/>
      <w:r w:rsidR="00F16E73">
        <w:rPr>
          <w:rFonts w:ascii="Times New Roman" w:hAnsi="Times New Roman"/>
          <w:b/>
          <w:bCs/>
          <w:sz w:val="26"/>
          <w:szCs w:val="26"/>
        </w:rPr>
        <w:t>Under</w:t>
      </w:r>
      <w:proofErr w:type="gramEnd"/>
      <w:r w:rsidR="00F16E73">
        <w:rPr>
          <w:rFonts w:ascii="Times New Roman" w:hAnsi="Times New Roman"/>
          <w:b/>
          <w:bCs/>
          <w:sz w:val="26"/>
          <w:szCs w:val="26"/>
        </w:rPr>
        <w:t xml:space="preserve"> PURPA 206</w:t>
      </w:r>
      <w:r w:rsidR="004D3EFE">
        <w:rPr>
          <w:rFonts w:ascii="Times New Roman" w:hAnsi="Times New Roman"/>
          <w:b/>
          <w:bCs/>
          <w:sz w:val="26"/>
          <w:szCs w:val="26"/>
        </w:rPr>
        <w:t>)</w:t>
      </w:r>
      <w:r w:rsidRPr="00D27CC7">
        <w:rPr>
          <w:rFonts w:ascii="Times New Roman" w:hAnsi="Times New Roman"/>
          <w:b/>
          <w:bCs/>
          <w:sz w:val="26"/>
          <w:szCs w:val="26"/>
        </w:rPr>
        <w:t xml:space="preserve"> </w:t>
      </w:r>
      <w:r w:rsidRPr="00D27CC7">
        <w:rPr>
          <w:rFonts w:ascii="Times New Roman" w:hAnsi="Times New Roman"/>
          <w:sz w:val="26"/>
          <w:szCs w:val="26"/>
        </w:rPr>
        <w:t>for a three year period.  FER</w:t>
      </w:r>
      <w:r w:rsidR="00F16E73">
        <w:rPr>
          <w:rFonts w:ascii="Times New Roman" w:hAnsi="Times New Roman"/>
          <w:sz w:val="26"/>
          <w:szCs w:val="26"/>
        </w:rPr>
        <w:t>C-585 (OMB Control No. 1902-0138</w:t>
      </w:r>
      <w:r w:rsidRPr="00D27CC7">
        <w:rPr>
          <w:rFonts w:ascii="Times New Roman" w:hAnsi="Times New Roman"/>
          <w:sz w:val="26"/>
          <w:szCs w:val="26"/>
        </w:rPr>
        <w:t xml:space="preserve">) is an existing Commission data collection (filing requirements), as stated by 18 Code </w:t>
      </w:r>
      <w:r w:rsidR="004D3EFE">
        <w:rPr>
          <w:rFonts w:ascii="Times New Roman" w:hAnsi="Times New Roman"/>
          <w:sz w:val="26"/>
          <w:szCs w:val="26"/>
        </w:rPr>
        <w:t>of</w:t>
      </w:r>
      <w:r w:rsidR="00F16E73">
        <w:rPr>
          <w:rFonts w:ascii="Times New Roman" w:hAnsi="Times New Roman"/>
          <w:sz w:val="26"/>
          <w:szCs w:val="26"/>
        </w:rPr>
        <w:t xml:space="preserve"> Federal Regulations Part 294.</w:t>
      </w:r>
    </w:p>
    <w:p w14:paraId="6590EAA3"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27CC7">
        <w:rPr>
          <w:rFonts w:ascii="Times New Roman" w:hAnsi="Times New Roman" w:cs="Times New Roman"/>
          <w:b/>
          <w:bCs/>
          <w:sz w:val="26"/>
          <w:szCs w:val="26"/>
        </w:rPr>
        <w:t>CIRCUMSTANCES THAT MAKE THE COLLECTION OF INFORMATION NECESSARY</w:t>
      </w:r>
    </w:p>
    <w:p w14:paraId="03864D2E" w14:textId="77777777" w:rsidR="002B7FAC" w:rsidRPr="00D27CC7" w:rsidRDefault="002B7FAC" w:rsidP="002B7FAC">
      <w:pPr>
        <w:widowControl w:val="0"/>
        <w:autoSpaceDE w:val="0"/>
        <w:autoSpaceDN w:val="0"/>
        <w:adjustRightInd w:val="0"/>
        <w:spacing w:after="0" w:line="240" w:lineRule="auto"/>
        <w:ind w:left="360"/>
        <w:rPr>
          <w:rFonts w:ascii="Times New Roman" w:hAnsi="Times New Roman" w:cs="Times New Roman"/>
          <w:b/>
          <w:bCs/>
          <w:sz w:val="26"/>
          <w:szCs w:val="26"/>
        </w:rPr>
      </w:pPr>
    </w:p>
    <w:p w14:paraId="5074094C" w14:textId="0D489FA8"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bCs/>
          <w:sz w:val="26"/>
          <w:szCs w:val="26"/>
        </w:rPr>
      </w:pPr>
      <w:r w:rsidRPr="00F16E73">
        <w:rPr>
          <w:rFonts w:ascii="Times New Roman" w:eastAsia="Times New Roman" w:hAnsi="Times New Roman" w:cs="Times New Roman"/>
          <w:sz w:val="26"/>
          <w:szCs w:val="26"/>
        </w:rPr>
        <w:t xml:space="preserve">The Commission issues uses the </w:t>
      </w:r>
      <w:r>
        <w:rPr>
          <w:rFonts w:ascii="Times New Roman" w:eastAsia="Times New Roman" w:hAnsi="Times New Roman" w:cs="Times New Roman"/>
          <w:sz w:val="26"/>
          <w:szCs w:val="26"/>
        </w:rPr>
        <w:t>data</w:t>
      </w:r>
      <w:r w:rsidRPr="00F16E73">
        <w:rPr>
          <w:rFonts w:ascii="Times New Roman" w:eastAsia="Times New Roman" w:hAnsi="Times New Roman" w:cs="Times New Roman"/>
          <w:sz w:val="26"/>
          <w:szCs w:val="26"/>
        </w:rPr>
        <w:t xml:space="preserve"> within the FERC-585</w:t>
      </w:r>
      <w:r>
        <w:rPr>
          <w:rFonts w:ascii="Times New Roman" w:eastAsia="Times New Roman" w:hAnsi="Times New Roman" w:cs="Times New Roman"/>
          <w:sz w:val="26"/>
          <w:szCs w:val="26"/>
        </w:rPr>
        <w:t xml:space="preserve"> information collection</w:t>
      </w:r>
      <w:r w:rsidRPr="00F16E73">
        <w:rPr>
          <w:rFonts w:ascii="Times New Roman" w:eastAsia="Times New Roman" w:hAnsi="Times New Roman" w:cs="Times New Roman"/>
          <w:sz w:val="26"/>
          <w:szCs w:val="26"/>
        </w:rPr>
        <w:t xml:space="preserve"> to implement the statutory provisions of Section 206 of the Public Utility Regulatory Policies Act of 1979 (PURPA)</w:t>
      </w:r>
      <w:r w:rsidRPr="00F16E73">
        <w:rPr>
          <w:rFonts w:ascii="Times New Roman" w:eastAsia="Times New Roman" w:hAnsi="Times New Roman" w:cs="Times New Roman"/>
          <w:sz w:val="26"/>
          <w:szCs w:val="26"/>
          <w:vertAlign w:val="superscript"/>
        </w:rPr>
        <w:footnoteReference w:id="1"/>
      </w:r>
      <w:r w:rsidRPr="00F16E73">
        <w:rPr>
          <w:rFonts w:ascii="Times New Roman" w:eastAsia="Times New Roman" w:hAnsi="Times New Roman" w:cs="Times New Roman"/>
          <w:sz w:val="26"/>
          <w:szCs w:val="26"/>
        </w:rPr>
        <w:t xml:space="preserve">.  Section 206 of PURPA amended the Federal Power Act (FPA) by adding a subsection to Section 202 under which the Commission (by rule) requires each public utility to (1) report </w:t>
      </w:r>
      <w:r w:rsidRPr="00F16E73">
        <w:rPr>
          <w:rFonts w:ascii="Times New Roman" w:eastAsia="Times New Roman" w:hAnsi="Times New Roman" w:cs="Times New Roman"/>
          <w:bCs/>
          <w:sz w:val="26"/>
          <w:szCs w:val="26"/>
        </w:rPr>
        <w:t>to the Commission and appropriate state regulatory authorities of any anticipated shortages of electric energy or capacity which would affect the utility’s capability to serve its wholesale customers; and (2) report to the Commission and any appropriate state regulatory authority with contingency plan that would outline what circumstances might give rise to such occurrences.</w:t>
      </w:r>
    </w:p>
    <w:p w14:paraId="0E9582E7"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bCs/>
          <w:sz w:val="26"/>
          <w:szCs w:val="26"/>
        </w:rPr>
      </w:pPr>
    </w:p>
    <w:p w14:paraId="18CB86AD"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bCs/>
          <w:sz w:val="26"/>
          <w:szCs w:val="26"/>
        </w:rPr>
      </w:pPr>
      <w:r w:rsidRPr="00F16E73">
        <w:rPr>
          <w:rFonts w:ascii="Times New Roman" w:eastAsia="Times New Roman" w:hAnsi="Times New Roman" w:cs="Times New Roman"/>
          <w:bCs/>
          <w:sz w:val="26"/>
          <w:szCs w:val="26"/>
        </w:rPr>
        <w:t>In Order No. 575</w:t>
      </w:r>
      <w:r w:rsidRPr="00F16E73">
        <w:rPr>
          <w:rFonts w:ascii="Times New Roman" w:eastAsia="Times New Roman" w:hAnsi="Times New Roman" w:cs="Times New Roman"/>
          <w:bCs/>
          <w:sz w:val="26"/>
          <w:szCs w:val="26"/>
          <w:vertAlign w:val="superscript"/>
        </w:rPr>
        <w:footnoteReference w:id="2"/>
      </w:r>
      <w:r w:rsidRPr="00F16E73">
        <w:rPr>
          <w:rFonts w:ascii="Times New Roman" w:eastAsia="Times New Roman" w:hAnsi="Times New Roman" w:cs="Times New Roman"/>
          <w:bCs/>
          <w:sz w:val="26"/>
          <w:szCs w:val="26"/>
        </w:rPr>
        <w:t>, the Commission modified the reporting requirements in 18 CFR 294.101(b)(5) to provide in its rates and schedules to firm power wholesale customers that:  (a) during electric energy and capacity shortages it will treat firm power wholesale customers without undue discrimination or preference, prejudice, or disadvantage firm power wholesale customers and (b) it will report any modifications to its contingency plan for accommodating shortages within 15 days to the appropriate state regulatory agency and to the affected wholesale customers.  The utility then needs not file with the Commission an additional statement of contingency plan for accommodating such shortages since this revision merely changed the reporting mechanism.  The public utility’s contingency plan would be contained within its filed rate rather than in a separate document.</w:t>
      </w:r>
    </w:p>
    <w:p w14:paraId="52FA5B83"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sz w:val="26"/>
          <w:szCs w:val="26"/>
        </w:rPr>
      </w:pPr>
    </w:p>
    <w:p w14:paraId="69958110"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bCs/>
          <w:sz w:val="26"/>
          <w:szCs w:val="26"/>
        </w:rPr>
      </w:pPr>
      <w:r w:rsidRPr="00F16E73">
        <w:rPr>
          <w:rFonts w:ascii="Times New Roman" w:eastAsia="Times New Roman" w:hAnsi="Times New Roman" w:cs="Times New Roman"/>
          <w:bCs/>
          <w:sz w:val="26"/>
          <w:szCs w:val="26"/>
        </w:rPr>
        <w:t>The Commission modified the reporting requirements</w:t>
      </w:r>
      <w:bookmarkStart w:id="0" w:name="_Ref316465087"/>
      <w:r w:rsidRPr="00F16E73">
        <w:rPr>
          <w:rFonts w:ascii="Times New Roman" w:eastAsia="Times New Roman" w:hAnsi="Times New Roman" w:cs="Times New Roman"/>
          <w:bCs/>
          <w:sz w:val="26"/>
          <w:szCs w:val="26"/>
          <w:vertAlign w:val="superscript"/>
        </w:rPr>
        <w:footnoteReference w:id="3"/>
      </w:r>
      <w:bookmarkEnd w:id="0"/>
      <w:r w:rsidRPr="00F16E73">
        <w:rPr>
          <w:rFonts w:ascii="Times New Roman" w:eastAsia="Times New Roman" w:hAnsi="Times New Roman" w:cs="Times New Roman"/>
          <w:bCs/>
          <w:sz w:val="26"/>
          <w:szCs w:val="26"/>
        </w:rPr>
        <w:t xml:space="preserve"> in 18 CFR 294.101(f) to set forth the means by which public utilities must comply with the requirements to report shortages and anticipated shortages.  The original requirement mandated filing an original and at least two copies to the Commission as well as one copy to relevant state regulators </w:t>
      </w:r>
      <w:r w:rsidRPr="00F16E73">
        <w:rPr>
          <w:rFonts w:ascii="Times New Roman" w:eastAsia="Times New Roman" w:hAnsi="Times New Roman" w:cs="Times New Roman"/>
          <w:bCs/>
          <w:sz w:val="26"/>
          <w:szCs w:val="26"/>
        </w:rPr>
        <w:lastRenderedPageBreak/>
        <w:t xml:space="preserve">and firm power wholesale customers. The revised requirement is to promptly submit a single electronic report to the Commission via the Office of Electric Reliability’s emergency mailbox at </w:t>
      </w:r>
      <w:hyperlink r:id="rId12" w:history="1">
        <w:r w:rsidRPr="00F16E73">
          <w:rPr>
            <w:rFonts w:ascii="Times New Roman" w:eastAsia="Times New Roman" w:hAnsi="Times New Roman" w:cs="Times New Roman"/>
            <w:bCs/>
            <w:color w:val="0000FF"/>
            <w:sz w:val="26"/>
            <w:szCs w:val="26"/>
            <w:u w:val="single"/>
          </w:rPr>
          <w:t>emergency@ferc.gov</w:t>
        </w:r>
      </w:hyperlink>
      <w:r w:rsidRPr="00F16E73">
        <w:rPr>
          <w:rFonts w:ascii="Times New Roman" w:eastAsia="Times New Roman" w:hAnsi="Times New Roman" w:cs="Times New Roman"/>
          <w:bCs/>
          <w:sz w:val="26"/>
          <w:szCs w:val="26"/>
          <w:vertAlign w:val="superscript"/>
        </w:rPr>
        <w:fldChar w:fldCharType="begin"/>
      </w:r>
      <w:r w:rsidRPr="00F16E73">
        <w:rPr>
          <w:rFonts w:ascii="Times New Roman" w:eastAsia="Times New Roman" w:hAnsi="Times New Roman" w:cs="Times New Roman"/>
          <w:bCs/>
          <w:sz w:val="26"/>
          <w:szCs w:val="26"/>
          <w:vertAlign w:val="superscript"/>
        </w:rPr>
        <w:instrText xml:space="preserve"> NOTEREF _Ref316465087 \h  \* MERGEFORMAT </w:instrText>
      </w:r>
      <w:r w:rsidRPr="00F16E73">
        <w:rPr>
          <w:rFonts w:ascii="Times New Roman" w:eastAsia="Times New Roman" w:hAnsi="Times New Roman" w:cs="Times New Roman"/>
          <w:bCs/>
          <w:sz w:val="26"/>
          <w:szCs w:val="26"/>
          <w:vertAlign w:val="superscript"/>
        </w:rPr>
      </w:r>
      <w:r w:rsidRPr="00F16E73">
        <w:rPr>
          <w:rFonts w:ascii="Times New Roman" w:eastAsia="Times New Roman" w:hAnsi="Times New Roman" w:cs="Times New Roman"/>
          <w:bCs/>
          <w:sz w:val="26"/>
          <w:szCs w:val="26"/>
          <w:vertAlign w:val="superscript"/>
        </w:rPr>
        <w:fldChar w:fldCharType="separate"/>
      </w:r>
      <w:r w:rsidRPr="00F16E73">
        <w:rPr>
          <w:rFonts w:ascii="Times New Roman" w:eastAsia="Times New Roman" w:hAnsi="Times New Roman" w:cs="Times New Roman"/>
          <w:bCs/>
          <w:sz w:val="26"/>
          <w:szCs w:val="26"/>
          <w:vertAlign w:val="superscript"/>
        </w:rPr>
        <w:t>2</w:t>
      </w:r>
      <w:r w:rsidRPr="00F16E73">
        <w:rPr>
          <w:rFonts w:ascii="Times New Roman" w:eastAsia="Times New Roman" w:hAnsi="Times New Roman" w:cs="Times New Roman"/>
          <w:sz w:val="26"/>
          <w:szCs w:val="26"/>
        </w:rPr>
        <w:fldChar w:fldCharType="end"/>
      </w:r>
      <w:r w:rsidRPr="00F16E73">
        <w:rPr>
          <w:rFonts w:ascii="Times New Roman" w:eastAsia="Times New Roman" w:hAnsi="Times New Roman" w:cs="Times New Roman"/>
          <w:bCs/>
          <w:sz w:val="26"/>
          <w:szCs w:val="26"/>
        </w:rPr>
        <w:t>.</w:t>
      </w:r>
    </w:p>
    <w:p w14:paraId="27851FCD"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bCs/>
          <w:sz w:val="26"/>
          <w:szCs w:val="26"/>
        </w:rPr>
      </w:pPr>
      <w:r w:rsidRPr="00F16E73">
        <w:rPr>
          <w:rFonts w:ascii="Times New Roman" w:eastAsia="Times New Roman" w:hAnsi="Times New Roman" w:cs="Times New Roman"/>
          <w:bCs/>
          <w:sz w:val="26"/>
          <w:szCs w:val="26"/>
        </w:rPr>
        <w:tab/>
        <w:t xml:space="preserve"> </w:t>
      </w:r>
    </w:p>
    <w:p w14:paraId="3921BEE9"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sz w:val="26"/>
          <w:szCs w:val="26"/>
        </w:rPr>
      </w:pPr>
      <w:r w:rsidRPr="00F16E73">
        <w:rPr>
          <w:rFonts w:ascii="Times New Roman" w:eastAsia="Times New Roman" w:hAnsi="Times New Roman" w:cs="Times New Roman"/>
          <w:bCs/>
          <w:sz w:val="26"/>
          <w:szCs w:val="26"/>
        </w:rPr>
        <w:t>The Commission defines</w:t>
      </w:r>
      <w:r w:rsidRPr="00F16E73">
        <w:rPr>
          <w:rFonts w:ascii="Times New Roman" w:eastAsia="Times New Roman" w:hAnsi="Times New Roman" w:cs="Times New Roman"/>
          <w:sz w:val="26"/>
          <w:szCs w:val="26"/>
        </w:rPr>
        <w:t xml:space="preserve"> </w:t>
      </w:r>
      <w:r w:rsidRPr="00F16E73">
        <w:rPr>
          <w:rFonts w:ascii="Times New Roman" w:eastAsia="Times New Roman" w:hAnsi="Times New Roman" w:cs="Times New Roman"/>
          <w:i/>
          <w:sz w:val="26"/>
          <w:szCs w:val="26"/>
        </w:rPr>
        <w:t>anticipated shortages of electric or energy a</w:t>
      </w:r>
      <w:r w:rsidRPr="00F16E73">
        <w:rPr>
          <w:rFonts w:ascii="Times New Roman" w:eastAsia="Times New Roman" w:hAnsi="Times New Roman" w:cs="Times New Roman"/>
          <w:sz w:val="26"/>
          <w:szCs w:val="26"/>
        </w:rPr>
        <w:t>s:</w:t>
      </w:r>
    </w:p>
    <w:p w14:paraId="5EA5B667"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sz w:val="26"/>
          <w:szCs w:val="26"/>
        </w:rPr>
      </w:pPr>
    </w:p>
    <w:p w14:paraId="16536B62"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sz w:val="26"/>
          <w:szCs w:val="26"/>
        </w:rPr>
      </w:pPr>
      <w:r w:rsidRPr="00F16E73">
        <w:rPr>
          <w:rFonts w:ascii="Times New Roman" w:eastAsia="Times New Roman" w:hAnsi="Times New Roman" w:cs="Times New Roman"/>
          <w:sz w:val="26"/>
          <w:szCs w:val="26"/>
        </w:rPr>
        <w:t>“(1) Any situation anticipated to occur in which the generating and bulk purchased power capability of a public utility will not be sufficient to meet its anticipated demand plus appropriate reserve margins and this shortage would affect the utility's capability adequately to supply electric services to its firm power wholesale customers; or</w:t>
      </w:r>
    </w:p>
    <w:p w14:paraId="194B398A"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sz w:val="26"/>
          <w:szCs w:val="26"/>
        </w:rPr>
      </w:pPr>
      <w:r w:rsidRPr="00F16E73">
        <w:rPr>
          <w:rFonts w:ascii="Times New Roman" w:eastAsia="Times New Roman" w:hAnsi="Times New Roman" w:cs="Times New Roman"/>
          <w:sz w:val="26"/>
          <w:szCs w:val="26"/>
        </w:rPr>
        <w:t>(2) Any situation anticipated to occur in which the energy supply capability of a public utility is not sufficient to meet its customers' energy requirements and this shortage would affect the utility's capability adequately to supply electric services to its firm power wholesale customers.”</w:t>
      </w:r>
    </w:p>
    <w:p w14:paraId="75EB19AD" w14:textId="77777777" w:rsidR="00F16E73" w:rsidRPr="00F16E73" w:rsidRDefault="00F16E73" w:rsidP="00F16E73">
      <w:pPr>
        <w:widowControl w:val="0"/>
        <w:autoSpaceDE w:val="0"/>
        <w:autoSpaceDN w:val="0"/>
        <w:adjustRightInd w:val="0"/>
        <w:spacing w:after="0" w:line="240" w:lineRule="auto"/>
        <w:ind w:firstLine="720"/>
        <w:rPr>
          <w:rFonts w:ascii="Times New Roman" w:eastAsia="Times New Roman" w:hAnsi="Times New Roman" w:cs="Times New Roman"/>
          <w:sz w:val="26"/>
          <w:szCs w:val="26"/>
        </w:rPr>
      </w:pPr>
    </w:p>
    <w:p w14:paraId="597F3E76" w14:textId="7E269B2E" w:rsidR="002B7FAC" w:rsidRPr="00D27CC7" w:rsidRDefault="00F16E73" w:rsidP="00F16E73">
      <w:pPr>
        <w:tabs>
          <w:tab w:val="center" w:pos="4680"/>
        </w:tabs>
        <w:rPr>
          <w:rFonts w:ascii="Times New Roman" w:hAnsi="Times New Roman"/>
          <w:sz w:val="26"/>
          <w:szCs w:val="26"/>
        </w:rPr>
      </w:pPr>
      <w:r w:rsidRPr="00F16E73">
        <w:rPr>
          <w:rFonts w:ascii="Times New Roman" w:eastAsia="Times New Roman" w:hAnsi="Times New Roman" w:cs="Times New Roman"/>
          <w:sz w:val="26"/>
          <w:szCs w:val="26"/>
        </w:rPr>
        <w:t>18 CFR 294 establishes the reporting requirements for public utilities.  A report filed in compliance with Part 294 must include the nature and projected duration of the anticipated shortage, a list of firm wholesale customers likely to be affected by the shortage, procedures for accommodating the shortage, and a contact person at the public utility</w:t>
      </w:r>
      <w:r w:rsidRPr="00F16E73">
        <w:rPr>
          <w:rFonts w:ascii="Times New Roman" w:eastAsia="Times New Roman" w:hAnsi="Times New Roman" w:cs="Times New Roman"/>
          <w:sz w:val="26"/>
          <w:szCs w:val="26"/>
          <w:vertAlign w:val="superscript"/>
        </w:rPr>
        <w:footnoteReference w:id="4"/>
      </w:r>
      <w:r w:rsidR="002B7FAC" w:rsidRPr="00D27CC7">
        <w:rPr>
          <w:rFonts w:ascii="Times New Roman" w:hAnsi="Times New Roman"/>
          <w:sz w:val="26"/>
          <w:szCs w:val="26"/>
        </w:rPr>
        <w:t xml:space="preserve">.  </w:t>
      </w:r>
    </w:p>
    <w:p w14:paraId="1A0762A7" w14:textId="06B64F2A" w:rsidR="006A0CCC" w:rsidRDefault="002B7FAC" w:rsidP="006A0CC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27CC7">
        <w:rPr>
          <w:rFonts w:ascii="Times New Roman" w:hAnsi="Times New Roman" w:cs="Times New Roman"/>
          <w:b/>
          <w:bCs/>
          <w:sz w:val="26"/>
          <w:szCs w:val="26"/>
        </w:rPr>
        <w:t>HOW, BY WHOM, AND FOR WHAT PURPOSE THE INFORMATION IS TO BE USED AND THE CONSEQUENCES OF NOT COLLECTING THE INFORMATION</w:t>
      </w:r>
    </w:p>
    <w:p w14:paraId="1B07BFF9" w14:textId="77777777" w:rsidR="006A0CCC" w:rsidRPr="006A0CCC" w:rsidRDefault="006A0CCC" w:rsidP="006A0CCC">
      <w:pPr>
        <w:widowControl w:val="0"/>
        <w:autoSpaceDE w:val="0"/>
        <w:autoSpaceDN w:val="0"/>
        <w:adjustRightInd w:val="0"/>
        <w:spacing w:after="0" w:line="240" w:lineRule="auto"/>
        <w:ind w:left="360"/>
        <w:rPr>
          <w:rFonts w:ascii="Times New Roman" w:hAnsi="Times New Roman" w:cs="Times New Roman"/>
          <w:b/>
          <w:bCs/>
          <w:sz w:val="26"/>
          <w:szCs w:val="26"/>
        </w:rPr>
      </w:pPr>
    </w:p>
    <w:p w14:paraId="1F75CEBE" w14:textId="3636CF89" w:rsidR="00256B50" w:rsidRPr="00BF615C" w:rsidRDefault="00BF615C" w:rsidP="00BF615C">
      <w:pPr>
        <w:tabs>
          <w:tab w:val="center" w:pos="0"/>
        </w:tabs>
        <w:rPr>
          <w:rFonts w:ascii="Times New Roman" w:hAnsi="Times New Roman"/>
          <w:sz w:val="26"/>
          <w:szCs w:val="26"/>
        </w:rPr>
      </w:pPr>
      <w:r w:rsidRPr="00B30B33">
        <w:rPr>
          <w:rFonts w:ascii="Times New Roman" w:hAnsi="Times New Roman"/>
          <w:sz w:val="26"/>
          <w:szCs w:val="26"/>
        </w:rPr>
        <w:t xml:space="preserve">The Commission uses the information collected by FERC-585 to </w:t>
      </w:r>
      <w:r w:rsidRPr="00B30B33">
        <w:rPr>
          <w:rFonts w:ascii="Times New Roman" w:hAnsi="Times New Roman"/>
          <w:bCs/>
          <w:sz w:val="26"/>
          <w:szCs w:val="26"/>
        </w:rPr>
        <w:t>evaluate and formulate an appropriate option for action in the event</w:t>
      </w:r>
      <w:r>
        <w:rPr>
          <w:rFonts w:ascii="Times New Roman" w:hAnsi="Times New Roman"/>
          <w:bCs/>
          <w:sz w:val="26"/>
          <w:szCs w:val="26"/>
        </w:rPr>
        <w:t xml:space="preserve"> of an unanticipated</w:t>
      </w:r>
      <w:r w:rsidRPr="00B30B33">
        <w:rPr>
          <w:rFonts w:ascii="Times New Roman" w:hAnsi="Times New Roman"/>
          <w:bCs/>
          <w:sz w:val="26"/>
          <w:szCs w:val="26"/>
        </w:rPr>
        <w:t xml:space="preserve"> electrical shortage. </w:t>
      </w:r>
      <w:r>
        <w:rPr>
          <w:rFonts w:ascii="Times New Roman" w:hAnsi="Times New Roman"/>
          <w:bCs/>
          <w:sz w:val="26"/>
          <w:szCs w:val="26"/>
        </w:rPr>
        <w:t xml:space="preserve"> </w:t>
      </w:r>
      <w:r w:rsidRPr="00B30B33">
        <w:rPr>
          <w:rFonts w:ascii="Times New Roman" w:hAnsi="Times New Roman"/>
          <w:bCs/>
          <w:sz w:val="26"/>
          <w:szCs w:val="26"/>
        </w:rPr>
        <w:t>Without this information, the Commission</w:t>
      </w:r>
      <w:r>
        <w:rPr>
          <w:rFonts w:ascii="Times New Roman" w:hAnsi="Times New Roman"/>
          <w:bCs/>
          <w:sz w:val="26"/>
          <w:szCs w:val="26"/>
        </w:rPr>
        <w:t xml:space="preserve"> and s</w:t>
      </w:r>
      <w:r w:rsidRPr="00B30B33">
        <w:rPr>
          <w:rFonts w:ascii="Times New Roman" w:hAnsi="Times New Roman"/>
          <w:bCs/>
          <w:sz w:val="26"/>
          <w:szCs w:val="26"/>
        </w:rPr>
        <w:t>ta</w:t>
      </w:r>
      <w:r>
        <w:rPr>
          <w:rFonts w:ascii="Times New Roman" w:hAnsi="Times New Roman"/>
          <w:bCs/>
          <w:sz w:val="26"/>
          <w:szCs w:val="26"/>
        </w:rPr>
        <w:t>te agencies would be unable to:</w:t>
      </w:r>
      <w:r w:rsidRPr="00B30B33">
        <w:rPr>
          <w:rFonts w:ascii="Times New Roman" w:hAnsi="Times New Roman"/>
          <w:bCs/>
          <w:sz w:val="26"/>
          <w:szCs w:val="26"/>
        </w:rPr>
        <w:t xml:space="preserve"> (1)</w:t>
      </w:r>
      <w:r>
        <w:rPr>
          <w:rFonts w:ascii="Times New Roman" w:hAnsi="Times New Roman"/>
          <w:bCs/>
          <w:sz w:val="26"/>
          <w:szCs w:val="26"/>
        </w:rPr>
        <w:t xml:space="preserve"> </w:t>
      </w:r>
      <w:r w:rsidRPr="00B30B33">
        <w:rPr>
          <w:rFonts w:ascii="Times New Roman" w:hAnsi="Times New Roman"/>
          <w:bCs/>
          <w:sz w:val="26"/>
          <w:szCs w:val="26"/>
        </w:rPr>
        <w:t>examine and approve or modify utility actions, (2)</w:t>
      </w:r>
      <w:r>
        <w:rPr>
          <w:rFonts w:ascii="Times New Roman" w:hAnsi="Times New Roman"/>
          <w:bCs/>
          <w:sz w:val="26"/>
          <w:szCs w:val="26"/>
        </w:rPr>
        <w:t xml:space="preserve"> </w:t>
      </w:r>
      <w:r w:rsidRPr="00B30B33">
        <w:rPr>
          <w:rFonts w:ascii="Times New Roman" w:hAnsi="Times New Roman"/>
          <w:bCs/>
          <w:sz w:val="26"/>
          <w:szCs w:val="26"/>
        </w:rPr>
        <w:t>prepare a response to anticipated shortages in electric energy, and (3)</w:t>
      </w:r>
      <w:r>
        <w:rPr>
          <w:rFonts w:ascii="Times New Roman" w:hAnsi="Times New Roman"/>
          <w:bCs/>
          <w:sz w:val="26"/>
          <w:szCs w:val="26"/>
        </w:rPr>
        <w:t xml:space="preserve"> </w:t>
      </w:r>
      <w:r w:rsidRPr="00B30B33">
        <w:rPr>
          <w:rFonts w:ascii="Times New Roman" w:hAnsi="Times New Roman"/>
          <w:bCs/>
          <w:sz w:val="26"/>
          <w:szCs w:val="26"/>
        </w:rPr>
        <w:t>ensure equitable treatment of all public utility customers under the shortage situations</w:t>
      </w:r>
      <w:r>
        <w:rPr>
          <w:rFonts w:ascii="Times New Roman" w:hAnsi="Times New Roman"/>
          <w:bCs/>
          <w:sz w:val="26"/>
          <w:szCs w:val="26"/>
        </w:rPr>
        <w:t>.</w:t>
      </w:r>
    </w:p>
    <w:p w14:paraId="44019C52" w14:textId="77777777" w:rsidR="008E5683" w:rsidRPr="008E5683" w:rsidRDefault="008E5683" w:rsidP="008E5683">
      <w:pPr>
        <w:widowControl w:val="0"/>
        <w:tabs>
          <w:tab w:val="center" w:pos="4680"/>
        </w:tabs>
        <w:autoSpaceDE w:val="0"/>
        <w:autoSpaceDN w:val="0"/>
        <w:adjustRightInd w:val="0"/>
        <w:spacing w:after="0" w:line="240" w:lineRule="auto"/>
        <w:ind w:left="720"/>
        <w:rPr>
          <w:rFonts w:ascii="Times New Roman" w:hAnsi="Times New Roman"/>
          <w:sz w:val="26"/>
          <w:szCs w:val="26"/>
        </w:rPr>
      </w:pPr>
    </w:p>
    <w:p w14:paraId="5B6743E0"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D27CC7">
        <w:rPr>
          <w:rFonts w:ascii="Times New Roman" w:hAnsi="Times New Roman" w:cs="Times New Roman"/>
          <w:b/>
          <w:bCs/>
          <w:sz w:val="26"/>
          <w:szCs w:val="26"/>
        </w:rPr>
        <w:t>DESCRIBE ANY CONSIDERATION OF THE USE OF IMPROVED TECHNOLOGY TO REDUCE BURDEN AND TECHNICAL OR LEGAL OBSTACLES TO REDUCING BURDEN.</w:t>
      </w:r>
    </w:p>
    <w:p w14:paraId="23A3C5AA" w14:textId="77777777" w:rsidR="002B7FAC" w:rsidRPr="00D27CC7" w:rsidRDefault="002B7FAC" w:rsidP="002B7FAC">
      <w:pPr>
        <w:widowControl w:val="0"/>
        <w:autoSpaceDE w:val="0"/>
        <w:autoSpaceDN w:val="0"/>
        <w:adjustRightInd w:val="0"/>
        <w:spacing w:after="0" w:line="240" w:lineRule="auto"/>
        <w:ind w:left="360"/>
        <w:rPr>
          <w:rFonts w:ascii="Times New Roman" w:hAnsi="Times New Roman" w:cs="Times New Roman"/>
          <w:b/>
          <w:bCs/>
          <w:sz w:val="26"/>
          <w:szCs w:val="26"/>
        </w:rPr>
      </w:pPr>
    </w:p>
    <w:p w14:paraId="1137E027" w14:textId="77777777" w:rsidR="00BF615C" w:rsidRPr="00DE15B8" w:rsidRDefault="00BF615C" w:rsidP="00A71698">
      <w:pPr>
        <w:rPr>
          <w:rFonts w:ascii="Times New Roman" w:hAnsi="Times New Roman"/>
          <w:b/>
          <w:bCs/>
          <w:sz w:val="26"/>
          <w:szCs w:val="26"/>
        </w:rPr>
      </w:pPr>
      <w:r w:rsidRPr="00DE15B8">
        <w:rPr>
          <w:rFonts w:ascii="Times New Roman" w:hAnsi="Times New Roman"/>
          <w:sz w:val="26"/>
          <w:szCs w:val="26"/>
        </w:rPr>
        <w:t>The Commission allows the option of filing all documents in proceedings through the eFiling interface except for specified exceptions, and of utilizing online forms to allow “</w:t>
      </w:r>
      <w:proofErr w:type="spellStart"/>
      <w:r w:rsidRPr="00DE15B8">
        <w:rPr>
          <w:rFonts w:ascii="Times New Roman" w:hAnsi="Times New Roman"/>
          <w:sz w:val="26"/>
          <w:szCs w:val="26"/>
        </w:rPr>
        <w:t>documentless</w:t>
      </w:r>
      <w:proofErr w:type="spellEnd"/>
      <w:r w:rsidRPr="00DE15B8">
        <w:rPr>
          <w:rFonts w:ascii="Times New Roman" w:hAnsi="Times New Roman"/>
          <w:sz w:val="26"/>
          <w:szCs w:val="26"/>
        </w:rPr>
        <w:t xml:space="preserve">” interventions in all filings. </w:t>
      </w:r>
    </w:p>
    <w:p w14:paraId="279F03D9" w14:textId="77777777" w:rsidR="00BF615C" w:rsidRPr="00DE15B8" w:rsidRDefault="00BF615C" w:rsidP="00BF615C">
      <w:pPr>
        <w:ind w:firstLine="720"/>
        <w:rPr>
          <w:rFonts w:ascii="Times New Roman" w:hAnsi="Times New Roman"/>
          <w:sz w:val="26"/>
          <w:szCs w:val="26"/>
        </w:rPr>
      </w:pPr>
    </w:p>
    <w:p w14:paraId="027AAC08" w14:textId="12D1317F" w:rsidR="002B7FAC" w:rsidRPr="00D27CC7" w:rsidRDefault="00BF615C" w:rsidP="00A71698">
      <w:pPr>
        <w:rPr>
          <w:rFonts w:ascii="Times New Roman" w:hAnsi="Times New Roman"/>
          <w:sz w:val="26"/>
          <w:szCs w:val="26"/>
        </w:rPr>
      </w:pPr>
      <w:r w:rsidRPr="00DE15B8">
        <w:rPr>
          <w:rFonts w:ascii="Times New Roman" w:hAnsi="Times New Roman"/>
          <w:sz w:val="26"/>
          <w:szCs w:val="26"/>
        </w:rPr>
        <w:t xml:space="preserve">With the advent of eFiling 7.0, the Commission has expanded its ability to receive electronic filings through its eFiling and eLibrary systems and now includes these self-certification filings.  Submission guidelines can be found here: </w:t>
      </w:r>
      <w:hyperlink r:id="rId13" w:history="1">
        <w:r w:rsidRPr="00DE15B8">
          <w:rPr>
            <w:rStyle w:val="Hyperlink"/>
            <w:rFonts w:ascii="Times New Roman" w:hAnsi="Times New Roman"/>
            <w:sz w:val="26"/>
            <w:szCs w:val="26"/>
          </w:rPr>
          <w:t>http://www.ferc.gov/docs-filing/efiling/filing.pdf</w:t>
        </w:r>
      </w:hyperlink>
      <w:r>
        <w:rPr>
          <w:rFonts w:ascii="Times New Roman" w:hAnsi="Times New Roman"/>
          <w:sz w:val="26"/>
          <w:szCs w:val="26"/>
        </w:rPr>
        <w:t>.</w:t>
      </w:r>
    </w:p>
    <w:p w14:paraId="37266801"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770B193" w14:textId="77777777" w:rsidR="00D27CC7" w:rsidRPr="00D27CC7" w:rsidRDefault="00D27CC7" w:rsidP="00D27CC7">
      <w:pPr>
        <w:widowControl w:val="0"/>
        <w:autoSpaceDE w:val="0"/>
        <w:autoSpaceDN w:val="0"/>
        <w:adjustRightInd w:val="0"/>
        <w:spacing w:after="0" w:line="240" w:lineRule="auto"/>
        <w:ind w:left="360"/>
        <w:rPr>
          <w:rFonts w:ascii="Times New Roman" w:hAnsi="Times New Roman" w:cs="Times New Roman"/>
          <w:sz w:val="26"/>
          <w:szCs w:val="26"/>
        </w:rPr>
      </w:pPr>
    </w:p>
    <w:p w14:paraId="516BFF74" w14:textId="77777777" w:rsidR="00A71698" w:rsidRPr="00A84485" w:rsidRDefault="00A71698" w:rsidP="00A71698">
      <w:pPr>
        <w:rPr>
          <w:rFonts w:ascii="Times New Roman" w:hAnsi="Times New Roman"/>
          <w:sz w:val="26"/>
          <w:szCs w:val="26"/>
        </w:rPr>
      </w:pPr>
      <w:r w:rsidRPr="00DE15B8">
        <w:rPr>
          <w:rFonts w:ascii="Times New Roman" w:hAnsi="Times New Roman"/>
          <w:sz w:val="26"/>
          <w:szCs w:val="26"/>
        </w:rPr>
        <w:t>The Commission published a notice within the Federal Register</w:t>
      </w:r>
      <w:r w:rsidRPr="00DE15B8">
        <w:rPr>
          <w:rFonts w:ascii="Times New Roman" w:hAnsi="Times New Roman"/>
          <w:b/>
          <w:sz w:val="26"/>
          <w:szCs w:val="26"/>
          <w:vertAlign w:val="superscript"/>
        </w:rPr>
        <w:footnoteReference w:id="5"/>
      </w:r>
      <w:r w:rsidRPr="00DE15B8">
        <w:rPr>
          <w:rFonts w:ascii="Times New Roman" w:hAnsi="Times New Roman"/>
          <w:sz w:val="26"/>
          <w:szCs w:val="26"/>
        </w:rPr>
        <w:t xml:space="preserve"> to help identify any duplication of the information</w:t>
      </w:r>
      <w:r>
        <w:rPr>
          <w:rFonts w:ascii="Times New Roman" w:hAnsi="Times New Roman"/>
          <w:sz w:val="26"/>
          <w:szCs w:val="26"/>
        </w:rPr>
        <w:t xml:space="preserve"> in FERC-585</w:t>
      </w:r>
      <w:r w:rsidRPr="00DE15B8">
        <w:rPr>
          <w:rFonts w:ascii="Times New Roman" w:hAnsi="Times New Roman"/>
          <w:sz w:val="26"/>
          <w:szCs w:val="26"/>
        </w:rPr>
        <w:t xml:space="preserve">.  No comments were received.  There are no other Federal agencies responsible for </w:t>
      </w:r>
      <w:r>
        <w:rPr>
          <w:rFonts w:ascii="Times New Roman" w:hAnsi="Times New Roman"/>
          <w:bCs/>
          <w:sz w:val="26"/>
          <w:szCs w:val="26"/>
        </w:rPr>
        <w:t>evaluating and formulating</w:t>
      </w:r>
      <w:r w:rsidRPr="00B30B33">
        <w:rPr>
          <w:rFonts w:ascii="Times New Roman" w:hAnsi="Times New Roman"/>
          <w:bCs/>
          <w:sz w:val="26"/>
          <w:szCs w:val="26"/>
        </w:rPr>
        <w:t xml:space="preserve"> an appropriate option for action in the event</w:t>
      </w:r>
      <w:r>
        <w:rPr>
          <w:rFonts w:ascii="Times New Roman" w:hAnsi="Times New Roman"/>
          <w:bCs/>
          <w:sz w:val="26"/>
          <w:szCs w:val="26"/>
        </w:rPr>
        <w:t xml:space="preserve"> of an unanticipated</w:t>
      </w:r>
      <w:r w:rsidRPr="00B30B33">
        <w:rPr>
          <w:rFonts w:ascii="Times New Roman" w:hAnsi="Times New Roman"/>
          <w:bCs/>
          <w:sz w:val="26"/>
          <w:szCs w:val="26"/>
        </w:rPr>
        <w:t xml:space="preserve"> electrical shortage</w:t>
      </w:r>
      <w:r w:rsidRPr="00DE15B8">
        <w:rPr>
          <w:rFonts w:ascii="Times New Roman" w:hAnsi="Times New Roman"/>
          <w:sz w:val="26"/>
          <w:szCs w:val="26"/>
        </w:rPr>
        <w:t>.  No similar information can be used or modified.</w:t>
      </w:r>
    </w:p>
    <w:p w14:paraId="105DAF06"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METHODS USED TO MINIMIZE BURDEN IN COLLECTION OF INFORMATION INVOLVING SMALL ENTITIES</w:t>
      </w:r>
    </w:p>
    <w:p w14:paraId="751023D0" w14:textId="77777777" w:rsidR="00D27CC7" w:rsidRPr="00D27CC7" w:rsidRDefault="00D27CC7" w:rsidP="00D27CC7">
      <w:pPr>
        <w:widowControl w:val="0"/>
        <w:autoSpaceDE w:val="0"/>
        <w:autoSpaceDN w:val="0"/>
        <w:adjustRightInd w:val="0"/>
        <w:spacing w:after="0" w:line="240" w:lineRule="auto"/>
        <w:ind w:left="360"/>
        <w:rPr>
          <w:rFonts w:ascii="Times New Roman" w:hAnsi="Times New Roman" w:cs="Times New Roman"/>
          <w:sz w:val="26"/>
          <w:szCs w:val="26"/>
        </w:rPr>
      </w:pPr>
    </w:p>
    <w:p w14:paraId="7BA4D1C9" w14:textId="4B19ACC2" w:rsidR="00A71698" w:rsidRPr="00A71698" w:rsidRDefault="00A71698" w:rsidP="00A71698">
      <w:pPr>
        <w:rPr>
          <w:rFonts w:ascii="Times New Roman" w:hAnsi="Times New Roman"/>
          <w:sz w:val="26"/>
          <w:szCs w:val="26"/>
        </w:rPr>
      </w:pPr>
      <w:r>
        <w:rPr>
          <w:rFonts w:ascii="Times New Roman" w:hAnsi="Times New Roman"/>
          <w:sz w:val="26"/>
          <w:szCs w:val="26"/>
        </w:rPr>
        <w:t>The Commission permits</w:t>
      </w:r>
      <w:r w:rsidRPr="0041214F">
        <w:rPr>
          <w:rFonts w:ascii="Times New Roman" w:hAnsi="Times New Roman"/>
          <w:sz w:val="26"/>
          <w:szCs w:val="26"/>
        </w:rPr>
        <w:t xml:space="preserve"> the option of filing all documents in proceedings through the eFiling interface </w:t>
      </w:r>
      <w:r>
        <w:rPr>
          <w:rFonts w:ascii="Times New Roman" w:hAnsi="Times New Roman"/>
          <w:sz w:val="26"/>
          <w:szCs w:val="26"/>
        </w:rPr>
        <w:t xml:space="preserve">as a means of reducing burden for respondents including small entities.  </w:t>
      </w:r>
      <w:r w:rsidRPr="00B3545B">
        <w:rPr>
          <w:rFonts w:ascii="Times New Roman" w:hAnsi="Times New Roman"/>
          <w:bCs/>
          <w:sz w:val="26"/>
          <w:szCs w:val="26"/>
        </w:rPr>
        <w:t>The burden will vary among applicants, since the information should be specific for each applicant and site.</w:t>
      </w:r>
    </w:p>
    <w:p w14:paraId="7562D5AE"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sz w:val="26"/>
          <w:szCs w:val="26"/>
        </w:rPr>
        <w:t>CONSEQUENCE TO FEDERAL PROGRAM IF COLLECTION WERE CONDUCTED LESS FREQUENTLY</w:t>
      </w:r>
    </w:p>
    <w:p w14:paraId="6BAC62F4" w14:textId="77777777" w:rsidR="002B7FAC" w:rsidRPr="00D27CC7" w:rsidRDefault="002B7FAC" w:rsidP="002B7FAC">
      <w:pPr>
        <w:pStyle w:val="FERCparanumber"/>
        <w:widowControl/>
        <w:numPr>
          <w:ilvl w:val="0"/>
          <w:numId w:val="0"/>
        </w:numPr>
        <w:tabs>
          <w:tab w:val="left" w:pos="720"/>
        </w:tabs>
        <w:rPr>
          <w:rFonts w:ascii="Times New Roman" w:hAnsi="Times New Roman" w:cs="Times New Roman"/>
          <w:sz w:val="26"/>
          <w:szCs w:val="26"/>
        </w:rPr>
      </w:pPr>
    </w:p>
    <w:p w14:paraId="535B8D41" w14:textId="77777777" w:rsidR="00A71698" w:rsidRDefault="00A71698" w:rsidP="00A71698">
      <w:pPr>
        <w:rPr>
          <w:rFonts w:ascii="Times New Roman" w:hAnsi="Times New Roman"/>
          <w:sz w:val="26"/>
          <w:szCs w:val="26"/>
        </w:rPr>
      </w:pPr>
      <w:r>
        <w:rPr>
          <w:rFonts w:ascii="Times New Roman" w:hAnsi="Times New Roman"/>
          <w:sz w:val="26"/>
          <w:szCs w:val="26"/>
        </w:rPr>
        <w:t xml:space="preserve">If the Commission did not collect this information, it would not fulfill its responsibilities specified within the </w:t>
      </w:r>
      <w:r w:rsidRPr="0035783F">
        <w:rPr>
          <w:rFonts w:ascii="Times New Roman" w:hAnsi="Times New Roman"/>
          <w:sz w:val="26"/>
          <w:szCs w:val="26"/>
        </w:rPr>
        <w:t>statutory provisions of 16 USC 791a-825r</w:t>
      </w:r>
      <w:r>
        <w:rPr>
          <w:rFonts w:ascii="Times New Roman" w:hAnsi="Times New Roman"/>
          <w:sz w:val="26"/>
          <w:szCs w:val="26"/>
        </w:rPr>
        <w:t>.</w:t>
      </w:r>
    </w:p>
    <w:p w14:paraId="72F70613"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EXPLAIN ANY SPECIAL CIRCUMSTANCES RELATING TO THE INFORMATION COLLECTION</w:t>
      </w:r>
    </w:p>
    <w:p w14:paraId="09B10490" w14:textId="77777777" w:rsidR="00D27CC7" w:rsidRPr="00D27CC7" w:rsidRDefault="00D27CC7" w:rsidP="00D27CC7">
      <w:pPr>
        <w:widowControl w:val="0"/>
        <w:autoSpaceDE w:val="0"/>
        <w:autoSpaceDN w:val="0"/>
        <w:adjustRightInd w:val="0"/>
        <w:spacing w:after="0" w:line="240" w:lineRule="auto"/>
        <w:ind w:left="360"/>
        <w:rPr>
          <w:rFonts w:ascii="Times New Roman" w:hAnsi="Times New Roman" w:cs="Times New Roman"/>
          <w:sz w:val="26"/>
          <w:szCs w:val="26"/>
        </w:rPr>
      </w:pPr>
    </w:p>
    <w:p w14:paraId="6708ACF3" w14:textId="1EBFFB63" w:rsidR="002B7FAC" w:rsidRPr="00D27CC7" w:rsidRDefault="002E0164" w:rsidP="002E0164">
      <w:pPr>
        <w:rPr>
          <w:rFonts w:ascii="Times New Roman" w:hAnsi="Times New Roman"/>
          <w:b/>
          <w:bCs/>
          <w:sz w:val="26"/>
          <w:szCs w:val="26"/>
        </w:rPr>
      </w:pPr>
      <w:r w:rsidRPr="007D6048">
        <w:rPr>
          <w:rFonts w:ascii="Times New Roman" w:hAnsi="Times New Roman"/>
          <w:sz w:val="26"/>
          <w:szCs w:val="26"/>
        </w:rPr>
        <w:t>The requirements meet all of OMB'</w:t>
      </w:r>
      <w:r>
        <w:rPr>
          <w:rFonts w:ascii="Times New Roman" w:hAnsi="Times New Roman"/>
          <w:sz w:val="26"/>
          <w:szCs w:val="26"/>
        </w:rPr>
        <w:t xml:space="preserve">s section 1320.5 requirements. </w:t>
      </w:r>
      <w:r w:rsidR="002B7FAC" w:rsidRPr="00D27CC7">
        <w:rPr>
          <w:rFonts w:ascii="Times New Roman" w:hAnsi="Times New Roman"/>
          <w:sz w:val="26"/>
          <w:szCs w:val="26"/>
        </w:rPr>
        <w:t xml:space="preserve"> </w:t>
      </w:r>
    </w:p>
    <w:p w14:paraId="71943A1F" w14:textId="21D33429" w:rsidR="002B7FAC"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DESCRIBE EFFORTS TO CONSULT OUTSIDE THE AGENCY: SUMMARIZE PUBLIC COMMENTS AND THE AGENCY'S RESPONSE TO THESE COMMENTS</w:t>
      </w:r>
    </w:p>
    <w:p w14:paraId="3E84BE2B" w14:textId="77777777" w:rsidR="008E5683" w:rsidRPr="008E5683" w:rsidRDefault="008E5683" w:rsidP="008E5683">
      <w:pPr>
        <w:widowControl w:val="0"/>
        <w:autoSpaceDE w:val="0"/>
        <w:autoSpaceDN w:val="0"/>
        <w:adjustRightInd w:val="0"/>
        <w:spacing w:after="0" w:line="240" w:lineRule="auto"/>
        <w:ind w:left="360"/>
        <w:rPr>
          <w:rFonts w:ascii="Times New Roman" w:hAnsi="Times New Roman" w:cs="Times New Roman"/>
          <w:sz w:val="26"/>
          <w:szCs w:val="26"/>
        </w:rPr>
      </w:pPr>
    </w:p>
    <w:p w14:paraId="229F726A" w14:textId="7414F6C3" w:rsidR="002E0164" w:rsidRPr="002E0164" w:rsidRDefault="002E0164" w:rsidP="002E0164">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sz w:val="26"/>
          <w:szCs w:val="26"/>
        </w:rPr>
        <w:lastRenderedPageBreak/>
        <w:t>In accordance with OMB requirements</w:t>
      </w:r>
      <w:r w:rsidRPr="002A2E1F">
        <w:rPr>
          <w:rStyle w:val="FootnoteReference"/>
          <w:rFonts w:ascii="Times New Roman" w:hAnsi="Times New Roman"/>
          <w:sz w:val="26"/>
          <w:szCs w:val="26"/>
          <w:vertAlign w:val="superscript"/>
        </w:rPr>
        <w:footnoteReference w:id="6"/>
      </w:r>
      <w:r>
        <w:rPr>
          <w:rFonts w:ascii="Times New Roman" w:hAnsi="Times New Roman"/>
          <w:sz w:val="26"/>
          <w:szCs w:val="26"/>
        </w:rPr>
        <w:t>, t</w:t>
      </w:r>
      <w:r w:rsidRPr="00574AA0">
        <w:rPr>
          <w:rFonts w:ascii="Times New Roman" w:hAnsi="Times New Roman"/>
          <w:sz w:val="26"/>
          <w:szCs w:val="26"/>
        </w:rPr>
        <w:t>he Commission published a 60-day notice</w:t>
      </w:r>
      <w:r w:rsidRPr="00574AA0">
        <w:rPr>
          <w:rFonts w:ascii="Times New Roman" w:hAnsi="Times New Roman"/>
          <w:sz w:val="26"/>
          <w:szCs w:val="26"/>
          <w:vertAlign w:val="superscript"/>
        </w:rPr>
        <w:footnoteReference w:id="7"/>
      </w:r>
      <w:r w:rsidRPr="00574AA0">
        <w:rPr>
          <w:rFonts w:ascii="Times New Roman" w:hAnsi="Times New Roman"/>
          <w:sz w:val="26"/>
          <w:szCs w:val="26"/>
        </w:rPr>
        <w:t xml:space="preserve"> and a 30-day notice</w:t>
      </w:r>
      <w:r w:rsidRPr="00574AA0">
        <w:rPr>
          <w:rFonts w:ascii="Times New Roman" w:hAnsi="Times New Roman"/>
          <w:sz w:val="26"/>
          <w:szCs w:val="26"/>
          <w:vertAlign w:val="superscript"/>
        </w:rPr>
        <w:footnoteReference w:id="8"/>
      </w:r>
      <w:r w:rsidRPr="00574AA0">
        <w:rPr>
          <w:rFonts w:ascii="Times New Roman" w:hAnsi="Times New Roman"/>
          <w:sz w:val="26"/>
          <w:szCs w:val="26"/>
        </w:rPr>
        <w:t xml:space="preserve"> to the public regarding </w:t>
      </w:r>
      <w:r>
        <w:rPr>
          <w:rFonts w:ascii="Times New Roman" w:hAnsi="Times New Roman"/>
          <w:sz w:val="26"/>
          <w:szCs w:val="26"/>
        </w:rPr>
        <w:t xml:space="preserve">this information collection on </w:t>
      </w:r>
      <w:r w:rsidR="000A45EA">
        <w:rPr>
          <w:rFonts w:ascii="Times New Roman" w:hAnsi="Times New Roman"/>
          <w:sz w:val="26"/>
          <w:szCs w:val="26"/>
        </w:rPr>
        <w:t>1/16</w:t>
      </w:r>
      <w:r>
        <w:rPr>
          <w:rFonts w:ascii="Times New Roman" w:hAnsi="Times New Roman"/>
          <w:sz w:val="26"/>
          <w:szCs w:val="26"/>
        </w:rPr>
        <w:t>/</w:t>
      </w:r>
      <w:r w:rsidR="000A45EA">
        <w:rPr>
          <w:rFonts w:ascii="Times New Roman" w:hAnsi="Times New Roman"/>
          <w:sz w:val="26"/>
          <w:szCs w:val="26"/>
        </w:rPr>
        <w:t>2015</w:t>
      </w:r>
      <w:r w:rsidRPr="0025676F">
        <w:rPr>
          <w:rFonts w:ascii="Times New Roman" w:hAnsi="Times New Roman"/>
          <w:sz w:val="26"/>
          <w:szCs w:val="26"/>
        </w:rPr>
        <w:t xml:space="preserve"> </w:t>
      </w:r>
      <w:r w:rsidRPr="008026ED">
        <w:rPr>
          <w:rFonts w:ascii="Times New Roman" w:hAnsi="Times New Roman"/>
          <w:sz w:val="26"/>
          <w:szCs w:val="26"/>
        </w:rPr>
        <w:t xml:space="preserve">and </w:t>
      </w:r>
      <w:r w:rsidR="000A45EA">
        <w:rPr>
          <w:rFonts w:ascii="Times New Roman" w:hAnsi="Times New Roman"/>
          <w:sz w:val="26"/>
          <w:szCs w:val="26"/>
        </w:rPr>
        <w:t>4/10</w:t>
      </w:r>
      <w:r w:rsidRPr="008026ED">
        <w:rPr>
          <w:rFonts w:ascii="Times New Roman" w:hAnsi="Times New Roman"/>
          <w:sz w:val="26"/>
          <w:szCs w:val="26"/>
        </w:rPr>
        <w:t>/</w:t>
      </w:r>
      <w:r w:rsidR="00323454" w:rsidRPr="008026ED">
        <w:rPr>
          <w:rFonts w:ascii="Times New Roman" w:hAnsi="Times New Roman"/>
          <w:sz w:val="26"/>
          <w:szCs w:val="26"/>
        </w:rPr>
        <w:t>201</w:t>
      </w:r>
      <w:r w:rsidR="00323454">
        <w:rPr>
          <w:rFonts w:ascii="Times New Roman" w:hAnsi="Times New Roman"/>
          <w:sz w:val="26"/>
          <w:szCs w:val="26"/>
        </w:rPr>
        <w:t>5</w:t>
      </w:r>
      <w:r w:rsidR="00323454" w:rsidRPr="008026ED">
        <w:rPr>
          <w:rFonts w:ascii="Times New Roman" w:hAnsi="Times New Roman"/>
          <w:sz w:val="26"/>
          <w:szCs w:val="26"/>
        </w:rPr>
        <w:t xml:space="preserve"> </w:t>
      </w:r>
      <w:bookmarkStart w:id="1" w:name="_GoBack"/>
      <w:bookmarkEnd w:id="1"/>
      <w:r w:rsidRPr="008026ED">
        <w:rPr>
          <w:rFonts w:ascii="Times New Roman" w:hAnsi="Times New Roman"/>
          <w:sz w:val="26"/>
          <w:szCs w:val="26"/>
        </w:rPr>
        <w:t>respectively</w:t>
      </w:r>
      <w:r w:rsidRPr="00574AA0">
        <w:rPr>
          <w:rFonts w:ascii="Times New Roman" w:hAnsi="Times New Roman"/>
          <w:sz w:val="26"/>
          <w:szCs w:val="26"/>
        </w:rPr>
        <w:t xml:space="preserve">. </w:t>
      </w:r>
      <w:r>
        <w:rPr>
          <w:rFonts w:ascii="Times New Roman" w:hAnsi="Times New Roman"/>
          <w:sz w:val="26"/>
          <w:szCs w:val="26"/>
        </w:rPr>
        <w:t xml:space="preserve"> </w:t>
      </w:r>
      <w:r w:rsidRPr="00574AA0">
        <w:rPr>
          <w:rFonts w:ascii="Times New Roman" w:hAnsi="Times New Roman"/>
          <w:sz w:val="26"/>
          <w:szCs w:val="26"/>
        </w:rPr>
        <w:t>Within the public notice</w:t>
      </w:r>
      <w:r>
        <w:rPr>
          <w:rFonts w:ascii="Times New Roman" w:hAnsi="Times New Roman"/>
          <w:sz w:val="26"/>
          <w:szCs w:val="26"/>
        </w:rPr>
        <w:t>s</w:t>
      </w:r>
      <w:r w:rsidRPr="00574AA0">
        <w:rPr>
          <w:rFonts w:ascii="Times New Roman" w:hAnsi="Times New Roman"/>
          <w:sz w:val="26"/>
          <w:szCs w:val="26"/>
        </w:rPr>
        <w:t>, the Commission noted that it would be requesting a three-year extension of the public reporting burden with no change to the existing requirements concerning the collection of data.  No comments were received.</w:t>
      </w:r>
    </w:p>
    <w:p w14:paraId="2B1AE989" w14:textId="77777777" w:rsidR="002E0164" w:rsidRDefault="002E0164" w:rsidP="002E0164">
      <w:pPr>
        <w:pStyle w:val="ListParagraph"/>
        <w:rPr>
          <w:rFonts w:ascii="Times New Roman" w:hAnsi="Times New Roman" w:cs="Times New Roman"/>
          <w:b/>
          <w:bCs/>
          <w:sz w:val="26"/>
          <w:szCs w:val="26"/>
        </w:rPr>
      </w:pPr>
    </w:p>
    <w:p w14:paraId="6FDD51B3" w14:textId="59F51B08" w:rsidR="002B7FAC"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EXPLAIN ANY PAYMENT OR GIFTS TO RESPONDENTS</w:t>
      </w:r>
    </w:p>
    <w:p w14:paraId="18942748" w14:textId="77777777" w:rsidR="005D7C1B" w:rsidRPr="005D7C1B" w:rsidRDefault="005D7C1B" w:rsidP="005D7C1B">
      <w:pPr>
        <w:widowControl w:val="0"/>
        <w:autoSpaceDE w:val="0"/>
        <w:autoSpaceDN w:val="0"/>
        <w:adjustRightInd w:val="0"/>
        <w:spacing w:after="0" w:line="240" w:lineRule="auto"/>
        <w:ind w:left="360"/>
        <w:rPr>
          <w:rFonts w:ascii="Times New Roman" w:hAnsi="Times New Roman" w:cs="Times New Roman"/>
          <w:sz w:val="26"/>
          <w:szCs w:val="26"/>
        </w:rPr>
      </w:pPr>
    </w:p>
    <w:p w14:paraId="06B3B453" w14:textId="3A25006A" w:rsidR="002B7FAC" w:rsidRPr="00D27CC7" w:rsidRDefault="002B7FAC" w:rsidP="00D27CC7">
      <w:pPr>
        <w:rPr>
          <w:rFonts w:ascii="Times New Roman" w:hAnsi="Times New Roman" w:cs="Times New Roman"/>
          <w:sz w:val="26"/>
          <w:szCs w:val="26"/>
        </w:rPr>
      </w:pPr>
      <w:r w:rsidRPr="00D27CC7">
        <w:rPr>
          <w:rFonts w:ascii="Times New Roman" w:hAnsi="Times New Roman" w:cs="Times New Roman"/>
          <w:sz w:val="26"/>
          <w:szCs w:val="26"/>
        </w:rPr>
        <w:t xml:space="preserve">No payments or gifts have been made to </w:t>
      </w:r>
      <w:r w:rsidR="002E0164">
        <w:rPr>
          <w:rFonts w:ascii="Times New Roman" w:hAnsi="Times New Roman" w:cs="Times New Roman"/>
          <w:sz w:val="26"/>
          <w:szCs w:val="26"/>
        </w:rPr>
        <w:t xml:space="preserve">FERC-585 </w:t>
      </w:r>
      <w:r w:rsidRPr="00D27CC7">
        <w:rPr>
          <w:rFonts w:ascii="Times New Roman" w:hAnsi="Times New Roman" w:cs="Times New Roman"/>
          <w:sz w:val="26"/>
          <w:szCs w:val="26"/>
        </w:rPr>
        <w:t>respondents.</w:t>
      </w:r>
    </w:p>
    <w:p w14:paraId="37198C59"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DESCRIBE ANY ASSURANCE OF CONFIDENTIALITY PROVIDED TO RESPONDENTS</w:t>
      </w:r>
    </w:p>
    <w:p w14:paraId="6A2A1503" w14:textId="77777777" w:rsidR="00D27CC7" w:rsidRPr="00D27CC7" w:rsidRDefault="00D27CC7" w:rsidP="00D27CC7">
      <w:pPr>
        <w:widowControl w:val="0"/>
        <w:autoSpaceDE w:val="0"/>
        <w:autoSpaceDN w:val="0"/>
        <w:adjustRightInd w:val="0"/>
        <w:spacing w:after="0" w:line="240" w:lineRule="auto"/>
        <w:ind w:left="360"/>
        <w:rPr>
          <w:rFonts w:ascii="Times New Roman" w:hAnsi="Times New Roman" w:cs="Times New Roman"/>
          <w:sz w:val="26"/>
          <w:szCs w:val="26"/>
        </w:rPr>
      </w:pPr>
    </w:p>
    <w:p w14:paraId="6B74F665" w14:textId="21070D91" w:rsidR="002B7FAC" w:rsidRPr="00D27CC7" w:rsidRDefault="002B7FAC" w:rsidP="00D27CC7">
      <w:pPr>
        <w:rPr>
          <w:rFonts w:ascii="Times New Roman" w:hAnsi="Times New Roman"/>
          <w:sz w:val="26"/>
          <w:szCs w:val="26"/>
        </w:rPr>
      </w:pPr>
      <w:r w:rsidRPr="00D27CC7">
        <w:rPr>
          <w:rFonts w:ascii="Times New Roman" w:hAnsi="Times New Roman"/>
          <w:sz w:val="26"/>
          <w:szCs w:val="26"/>
        </w:rPr>
        <w:t>The Commission does not consider the i</w:t>
      </w:r>
      <w:r w:rsidR="002E0164">
        <w:rPr>
          <w:rFonts w:ascii="Times New Roman" w:hAnsi="Times New Roman"/>
          <w:sz w:val="26"/>
          <w:szCs w:val="26"/>
        </w:rPr>
        <w:t>nformation collected in FERC-585</w:t>
      </w:r>
      <w:r w:rsidRPr="00D27CC7">
        <w:rPr>
          <w:rFonts w:ascii="Times New Roman" w:hAnsi="Times New Roman"/>
          <w:sz w:val="26"/>
          <w:szCs w:val="26"/>
        </w:rPr>
        <w:t xml:space="preserve"> filings to be confidential.  However, the Commission will consider specific requests for confidential treatment to the extent permitted by law </w:t>
      </w:r>
      <w:r w:rsidR="00F41AB5">
        <w:rPr>
          <w:rFonts w:ascii="Times New Roman" w:hAnsi="Times New Roman"/>
          <w:sz w:val="26"/>
          <w:szCs w:val="26"/>
        </w:rPr>
        <w:t xml:space="preserve">and </w:t>
      </w:r>
      <w:r w:rsidRPr="00D27CC7">
        <w:rPr>
          <w:rFonts w:ascii="Times New Roman" w:hAnsi="Times New Roman"/>
          <w:sz w:val="26"/>
          <w:szCs w:val="26"/>
        </w:rPr>
        <w:t>pursuant</w:t>
      </w:r>
      <w:r w:rsidR="00F41AB5">
        <w:rPr>
          <w:rFonts w:ascii="Times New Roman" w:hAnsi="Times New Roman"/>
          <w:sz w:val="26"/>
          <w:szCs w:val="26"/>
        </w:rPr>
        <w:t xml:space="preserve"> to FERC’s regulations</w:t>
      </w:r>
      <w:r w:rsidRPr="00D27CC7">
        <w:rPr>
          <w:rStyle w:val="FootnoteReference"/>
          <w:sz w:val="26"/>
          <w:szCs w:val="26"/>
          <w:vertAlign w:val="superscript"/>
        </w:rPr>
        <w:footnoteReference w:id="9"/>
      </w:r>
      <w:r w:rsidRPr="00D27CC7">
        <w:rPr>
          <w:rFonts w:ascii="Times New Roman" w:hAnsi="Times New Roman"/>
          <w:sz w:val="26"/>
          <w:szCs w:val="26"/>
        </w:rPr>
        <w:t xml:space="preserve">.  The Commission will review each request for confidential treatment on a case-by-case basis. </w:t>
      </w:r>
    </w:p>
    <w:p w14:paraId="011D6686" w14:textId="77777777" w:rsidR="002B7FAC"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5FF2D076" w14:textId="77777777" w:rsidR="00544875" w:rsidRPr="00544875" w:rsidRDefault="00544875" w:rsidP="00544875">
      <w:pPr>
        <w:widowControl w:val="0"/>
        <w:autoSpaceDE w:val="0"/>
        <w:autoSpaceDN w:val="0"/>
        <w:adjustRightInd w:val="0"/>
        <w:spacing w:after="0" w:line="240" w:lineRule="auto"/>
        <w:ind w:left="360"/>
        <w:rPr>
          <w:rFonts w:ascii="Times New Roman" w:hAnsi="Times New Roman" w:cs="Times New Roman"/>
          <w:sz w:val="26"/>
          <w:szCs w:val="26"/>
        </w:rPr>
      </w:pPr>
    </w:p>
    <w:p w14:paraId="0134180A" w14:textId="18B9B33F" w:rsidR="002B7FAC" w:rsidRPr="00D27CC7" w:rsidRDefault="000A45EA" w:rsidP="002B7FAC">
      <w:pPr>
        <w:rPr>
          <w:rFonts w:ascii="Times New Roman" w:hAnsi="Times New Roman" w:cs="Times New Roman"/>
          <w:sz w:val="26"/>
          <w:szCs w:val="26"/>
        </w:rPr>
      </w:pPr>
      <w:r>
        <w:rPr>
          <w:rFonts w:ascii="Times New Roman" w:hAnsi="Times New Roman" w:cs="Times New Roman"/>
          <w:sz w:val="26"/>
          <w:szCs w:val="26"/>
        </w:rPr>
        <w:t>There are no questions of s sensitive nature that are considered private in the FERC-585 information collection</w:t>
      </w:r>
      <w:r w:rsidR="002B7FAC" w:rsidRPr="00D27CC7">
        <w:rPr>
          <w:rFonts w:ascii="Times New Roman" w:hAnsi="Times New Roman" w:cs="Times New Roman"/>
          <w:sz w:val="26"/>
          <w:szCs w:val="26"/>
        </w:rPr>
        <w:t xml:space="preserve">.  </w:t>
      </w:r>
    </w:p>
    <w:p w14:paraId="468AD60E"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ESTIMATED BURDEN OF COLLECTION OF INFORMATION</w:t>
      </w:r>
    </w:p>
    <w:p w14:paraId="5742A72F" w14:textId="77777777" w:rsidR="002B7FAC" w:rsidRPr="00D27CC7" w:rsidRDefault="002B7FAC" w:rsidP="002B7FAC">
      <w:pPr>
        <w:pStyle w:val="FERCparanumber"/>
        <w:widowControl/>
        <w:numPr>
          <w:ilvl w:val="0"/>
          <w:numId w:val="0"/>
        </w:numPr>
        <w:tabs>
          <w:tab w:val="left" w:pos="720"/>
        </w:tabs>
        <w:rPr>
          <w:rFonts w:ascii="Times New Roman" w:hAnsi="Times New Roman" w:cs="Times New Roman"/>
          <w:sz w:val="26"/>
          <w:szCs w:val="26"/>
        </w:rPr>
      </w:pPr>
    </w:p>
    <w:p w14:paraId="3314A20C" w14:textId="1167F9FF" w:rsidR="0025378B" w:rsidRDefault="0025378B" w:rsidP="005D7C1B">
      <w:pPr>
        <w:spacing w:after="0"/>
        <w:rPr>
          <w:rFonts w:ascii="Times New Roman" w:hAnsi="Times New Roman" w:cs="Times New Roman"/>
          <w:sz w:val="26"/>
          <w:szCs w:val="26"/>
        </w:rPr>
      </w:pPr>
      <w:r>
        <w:rPr>
          <w:rFonts w:ascii="Times New Roman" w:hAnsi="Times New Roman" w:cs="Times New Roman"/>
          <w:sz w:val="26"/>
          <w:szCs w:val="26"/>
        </w:rPr>
        <w:t>The currently approved public r</w:t>
      </w:r>
      <w:r w:rsidR="00BC51BB">
        <w:rPr>
          <w:rFonts w:ascii="Times New Roman" w:hAnsi="Times New Roman" w:cs="Times New Roman"/>
          <w:sz w:val="26"/>
          <w:szCs w:val="26"/>
        </w:rPr>
        <w:t>eporting burden for the FERC-585</w:t>
      </w:r>
      <w:r>
        <w:rPr>
          <w:rFonts w:ascii="Times New Roman" w:hAnsi="Times New Roman" w:cs="Times New Roman"/>
          <w:sz w:val="26"/>
          <w:szCs w:val="26"/>
        </w:rPr>
        <w:t xml:space="preserve"> information collection is:</w:t>
      </w:r>
    </w:p>
    <w:p w14:paraId="39997662" w14:textId="77777777" w:rsidR="0025378B" w:rsidRDefault="0025378B" w:rsidP="005D7C1B">
      <w:pPr>
        <w:spacing w:after="0"/>
        <w:rPr>
          <w:rFonts w:ascii="Times New Roman" w:hAnsi="Times New Roman" w:cs="Times New Roman"/>
          <w:sz w:val="26"/>
          <w:szCs w:val="26"/>
        </w:rPr>
      </w:pPr>
    </w:p>
    <w:tbl>
      <w:tblPr>
        <w:tblpPr w:leftFromText="180" w:rightFromText="180" w:vertAnchor="text" w:horzAnchor="margin" w:tblpX="108" w:tblpY="22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10"/>
        <w:gridCol w:w="1620"/>
        <w:gridCol w:w="1638"/>
        <w:gridCol w:w="1800"/>
        <w:gridCol w:w="1800"/>
      </w:tblGrid>
      <w:tr w:rsidR="008B2154" w:rsidRPr="006A7175" w14:paraId="031B145C" w14:textId="77777777" w:rsidTr="002D57D3">
        <w:trPr>
          <w:trHeight w:val="347"/>
        </w:trPr>
        <w:tc>
          <w:tcPr>
            <w:tcW w:w="10296" w:type="dxa"/>
            <w:gridSpan w:val="6"/>
            <w:shd w:val="clear" w:color="auto" w:fill="D9D9D9"/>
            <w:vAlign w:val="center"/>
          </w:tcPr>
          <w:p w14:paraId="39C62F8D" w14:textId="77777777" w:rsidR="008B2154" w:rsidRPr="006A7175" w:rsidRDefault="008B2154" w:rsidP="002D57D3">
            <w:pPr>
              <w:jc w:val="center"/>
              <w:rPr>
                <w:rFonts w:ascii="Times New Roman" w:hAnsi="Times New Roman"/>
                <w:b/>
                <w:sz w:val="26"/>
                <w:szCs w:val="26"/>
              </w:rPr>
            </w:pPr>
            <w:r>
              <w:rPr>
                <w:rFonts w:ascii="Times New Roman" w:hAnsi="Times New Roman"/>
                <w:b/>
                <w:sz w:val="26"/>
                <w:szCs w:val="26"/>
              </w:rPr>
              <w:t>FERC-585</w:t>
            </w:r>
            <w:r w:rsidRPr="006A7175">
              <w:rPr>
                <w:rFonts w:ascii="Times New Roman" w:hAnsi="Times New Roman"/>
                <w:b/>
                <w:sz w:val="26"/>
                <w:szCs w:val="26"/>
              </w:rPr>
              <w:t xml:space="preserve">: </w:t>
            </w:r>
            <w:r w:rsidRPr="00C2281C">
              <w:rPr>
                <w:rFonts w:ascii="Times New Roman" w:hAnsi="Times New Roman"/>
                <w:b/>
                <w:sz w:val="26"/>
              </w:rPr>
              <w:t xml:space="preserve"> </w:t>
            </w:r>
            <w:r w:rsidRPr="006C08F5">
              <w:rPr>
                <w:rFonts w:ascii="Times New Roman" w:hAnsi="Times New Roman"/>
                <w:b/>
                <w:bCs/>
                <w:sz w:val="26"/>
                <w:szCs w:val="26"/>
              </w:rPr>
              <w:t xml:space="preserve"> Reporting of Electric Shortages and Contingency Plans Under PURPA 206</w:t>
            </w:r>
          </w:p>
        </w:tc>
      </w:tr>
      <w:tr w:rsidR="008B2154" w:rsidRPr="006A7175" w14:paraId="4DEB04B0" w14:textId="77777777" w:rsidTr="002D57D3">
        <w:trPr>
          <w:trHeight w:val="1250"/>
        </w:trPr>
        <w:tc>
          <w:tcPr>
            <w:tcW w:w="1728" w:type="dxa"/>
            <w:shd w:val="clear" w:color="auto" w:fill="D9D9D9"/>
            <w:vAlign w:val="bottom"/>
          </w:tcPr>
          <w:p w14:paraId="40E8C29F" w14:textId="77777777" w:rsidR="008B2154" w:rsidRPr="006A7175" w:rsidRDefault="008B2154" w:rsidP="002D57D3">
            <w:pPr>
              <w:rPr>
                <w:rFonts w:ascii="Times New Roman" w:hAnsi="Times New Roman"/>
                <w:b/>
                <w:sz w:val="26"/>
                <w:szCs w:val="26"/>
              </w:rPr>
            </w:pPr>
          </w:p>
        </w:tc>
        <w:tc>
          <w:tcPr>
            <w:tcW w:w="1710" w:type="dxa"/>
            <w:shd w:val="clear" w:color="auto" w:fill="D9D9D9"/>
            <w:vAlign w:val="bottom"/>
          </w:tcPr>
          <w:p w14:paraId="3C7F2641"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t>Number of Respondents</w:t>
            </w:r>
          </w:p>
          <w:p w14:paraId="74EB69F2"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(A)</w:t>
            </w:r>
          </w:p>
        </w:tc>
        <w:tc>
          <w:tcPr>
            <w:tcW w:w="1620" w:type="dxa"/>
            <w:shd w:val="clear" w:color="auto" w:fill="D9D9D9"/>
            <w:vAlign w:val="bottom"/>
          </w:tcPr>
          <w:p w14:paraId="064C5D0F"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 xml:space="preserve">Number of Responses Per </w:t>
            </w:r>
            <w:r w:rsidRPr="006A7175">
              <w:rPr>
                <w:rFonts w:ascii="Times New Roman" w:hAnsi="Times New Roman"/>
                <w:b/>
                <w:sz w:val="26"/>
                <w:szCs w:val="26"/>
              </w:rPr>
              <w:lastRenderedPageBreak/>
              <w:t>Respondent</w:t>
            </w:r>
          </w:p>
          <w:p w14:paraId="3A9AAA8B"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t>(B)</w:t>
            </w:r>
          </w:p>
        </w:tc>
        <w:tc>
          <w:tcPr>
            <w:tcW w:w="1638" w:type="dxa"/>
            <w:shd w:val="clear" w:color="auto" w:fill="D9D9D9"/>
            <w:vAlign w:val="bottom"/>
          </w:tcPr>
          <w:p w14:paraId="5A8D62C6"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Total Number of Responses</w:t>
            </w:r>
          </w:p>
          <w:p w14:paraId="7D131C52"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(A)x(B)=(C)</w:t>
            </w:r>
          </w:p>
        </w:tc>
        <w:tc>
          <w:tcPr>
            <w:tcW w:w="1800" w:type="dxa"/>
            <w:shd w:val="clear" w:color="auto" w:fill="D9D9D9"/>
            <w:vAlign w:val="bottom"/>
          </w:tcPr>
          <w:p w14:paraId="6132602F"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 xml:space="preserve">Average Burden Hours per </w:t>
            </w:r>
            <w:r w:rsidRPr="006A7175">
              <w:rPr>
                <w:rFonts w:ascii="Times New Roman" w:hAnsi="Times New Roman"/>
                <w:b/>
                <w:sz w:val="26"/>
                <w:szCs w:val="26"/>
              </w:rPr>
              <w:lastRenderedPageBreak/>
              <w:t>Response</w:t>
            </w:r>
          </w:p>
          <w:p w14:paraId="64A0E894"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t>(D)</w:t>
            </w:r>
          </w:p>
        </w:tc>
        <w:tc>
          <w:tcPr>
            <w:tcW w:w="1800" w:type="dxa"/>
            <w:shd w:val="clear" w:color="auto" w:fill="D9D9D9"/>
            <w:vAlign w:val="bottom"/>
          </w:tcPr>
          <w:p w14:paraId="0C075920"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Estimated Total Annual Burden</w:t>
            </w:r>
          </w:p>
          <w:p w14:paraId="10F2CE8F" w14:textId="77777777" w:rsidR="008B2154" w:rsidRPr="006A7175" w:rsidRDefault="008B2154" w:rsidP="002D57D3">
            <w:pPr>
              <w:jc w:val="center"/>
              <w:rPr>
                <w:rFonts w:ascii="Times New Roman" w:hAnsi="Times New Roman"/>
                <w:b/>
                <w:sz w:val="26"/>
                <w:szCs w:val="26"/>
              </w:rPr>
            </w:pPr>
            <w:r w:rsidRPr="006A7175">
              <w:rPr>
                <w:rFonts w:ascii="Times New Roman" w:hAnsi="Times New Roman"/>
                <w:b/>
                <w:sz w:val="26"/>
                <w:szCs w:val="26"/>
              </w:rPr>
              <w:lastRenderedPageBreak/>
              <w:t>(C)x(D)</w:t>
            </w:r>
          </w:p>
        </w:tc>
      </w:tr>
      <w:tr w:rsidR="008B2154" w:rsidRPr="006A7175" w14:paraId="5533FC03" w14:textId="77777777" w:rsidTr="002D57D3">
        <w:tc>
          <w:tcPr>
            <w:tcW w:w="1728" w:type="dxa"/>
          </w:tcPr>
          <w:p w14:paraId="4C1FAB61" w14:textId="77777777" w:rsidR="008B2154" w:rsidRPr="006A7175" w:rsidRDefault="008B2154" w:rsidP="002D57D3">
            <w:pPr>
              <w:rPr>
                <w:rFonts w:ascii="Times New Roman" w:hAnsi="Times New Roman"/>
                <w:sz w:val="26"/>
                <w:szCs w:val="26"/>
              </w:rPr>
            </w:pPr>
            <w:r>
              <w:rPr>
                <w:rFonts w:ascii="Times New Roman" w:hAnsi="Times New Roman"/>
                <w:sz w:val="26"/>
                <w:szCs w:val="26"/>
              </w:rPr>
              <w:lastRenderedPageBreak/>
              <w:t>Contingency Plan</w:t>
            </w:r>
          </w:p>
        </w:tc>
        <w:tc>
          <w:tcPr>
            <w:tcW w:w="1710" w:type="dxa"/>
            <w:vAlign w:val="bottom"/>
          </w:tcPr>
          <w:p w14:paraId="75FE811A"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1</w:t>
            </w:r>
          </w:p>
        </w:tc>
        <w:tc>
          <w:tcPr>
            <w:tcW w:w="1620" w:type="dxa"/>
            <w:vAlign w:val="bottom"/>
          </w:tcPr>
          <w:p w14:paraId="3FABAC9E"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1</w:t>
            </w:r>
          </w:p>
        </w:tc>
        <w:tc>
          <w:tcPr>
            <w:tcW w:w="1638" w:type="dxa"/>
            <w:vAlign w:val="bottom"/>
          </w:tcPr>
          <w:p w14:paraId="380A1213"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1</w:t>
            </w:r>
          </w:p>
        </w:tc>
        <w:tc>
          <w:tcPr>
            <w:tcW w:w="1800" w:type="dxa"/>
            <w:vAlign w:val="bottom"/>
          </w:tcPr>
          <w:p w14:paraId="75643339"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73</w:t>
            </w:r>
          </w:p>
        </w:tc>
        <w:tc>
          <w:tcPr>
            <w:tcW w:w="1800" w:type="dxa"/>
            <w:vAlign w:val="bottom"/>
          </w:tcPr>
          <w:p w14:paraId="200E071F"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73</w:t>
            </w:r>
          </w:p>
        </w:tc>
      </w:tr>
      <w:tr w:rsidR="008B2154" w:rsidRPr="006A7175" w14:paraId="7DD020FF" w14:textId="77777777" w:rsidTr="002D57D3">
        <w:tc>
          <w:tcPr>
            <w:tcW w:w="1728" w:type="dxa"/>
          </w:tcPr>
          <w:p w14:paraId="4657F16E" w14:textId="77777777" w:rsidR="008B2154" w:rsidRPr="006A7175" w:rsidRDefault="008B2154" w:rsidP="002D57D3">
            <w:pPr>
              <w:rPr>
                <w:rFonts w:ascii="Times New Roman" w:hAnsi="Times New Roman"/>
                <w:sz w:val="26"/>
                <w:szCs w:val="26"/>
              </w:rPr>
            </w:pPr>
            <w:r>
              <w:rPr>
                <w:rFonts w:ascii="Times New Roman" w:hAnsi="Times New Roman"/>
                <w:sz w:val="26"/>
                <w:szCs w:val="26"/>
              </w:rPr>
              <w:t>Capacity Shortage</w:t>
            </w:r>
          </w:p>
        </w:tc>
        <w:tc>
          <w:tcPr>
            <w:tcW w:w="1710" w:type="dxa"/>
            <w:vAlign w:val="bottom"/>
          </w:tcPr>
          <w:p w14:paraId="36D5E9D8"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1</w:t>
            </w:r>
          </w:p>
        </w:tc>
        <w:tc>
          <w:tcPr>
            <w:tcW w:w="1620" w:type="dxa"/>
            <w:vAlign w:val="bottom"/>
          </w:tcPr>
          <w:p w14:paraId="4778D7FD"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1</w:t>
            </w:r>
          </w:p>
        </w:tc>
        <w:tc>
          <w:tcPr>
            <w:tcW w:w="1638" w:type="dxa"/>
            <w:vAlign w:val="bottom"/>
          </w:tcPr>
          <w:p w14:paraId="0202DA8F"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1</w:t>
            </w:r>
          </w:p>
        </w:tc>
        <w:tc>
          <w:tcPr>
            <w:tcW w:w="1800" w:type="dxa"/>
            <w:vAlign w:val="bottom"/>
          </w:tcPr>
          <w:p w14:paraId="428744AA"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0.25</w:t>
            </w:r>
          </w:p>
        </w:tc>
        <w:tc>
          <w:tcPr>
            <w:tcW w:w="1800" w:type="dxa"/>
            <w:vAlign w:val="bottom"/>
          </w:tcPr>
          <w:p w14:paraId="5A6207BF"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0.25</w:t>
            </w:r>
          </w:p>
        </w:tc>
      </w:tr>
      <w:tr w:rsidR="008B2154" w:rsidRPr="006A7175" w14:paraId="5AE79E35" w14:textId="77777777" w:rsidTr="002D57D3">
        <w:tc>
          <w:tcPr>
            <w:tcW w:w="1728" w:type="dxa"/>
          </w:tcPr>
          <w:p w14:paraId="348EC515" w14:textId="77777777" w:rsidR="008B2154" w:rsidRPr="006A7175" w:rsidRDefault="008B2154" w:rsidP="002D57D3">
            <w:pPr>
              <w:rPr>
                <w:rFonts w:ascii="Times New Roman" w:hAnsi="Times New Roman"/>
                <w:sz w:val="26"/>
                <w:szCs w:val="26"/>
              </w:rPr>
            </w:pPr>
            <w:r>
              <w:rPr>
                <w:rFonts w:ascii="Times New Roman" w:hAnsi="Times New Roman"/>
                <w:sz w:val="26"/>
                <w:szCs w:val="26"/>
              </w:rPr>
              <w:t>Total</w:t>
            </w:r>
          </w:p>
        </w:tc>
        <w:tc>
          <w:tcPr>
            <w:tcW w:w="1710" w:type="dxa"/>
            <w:vAlign w:val="bottom"/>
          </w:tcPr>
          <w:p w14:paraId="642B8693"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N/A</w:t>
            </w:r>
          </w:p>
        </w:tc>
        <w:tc>
          <w:tcPr>
            <w:tcW w:w="1620" w:type="dxa"/>
            <w:vAlign w:val="bottom"/>
          </w:tcPr>
          <w:p w14:paraId="74D6AE55"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N/A</w:t>
            </w:r>
          </w:p>
        </w:tc>
        <w:tc>
          <w:tcPr>
            <w:tcW w:w="1638" w:type="dxa"/>
            <w:vAlign w:val="bottom"/>
          </w:tcPr>
          <w:p w14:paraId="6AEAF986"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N/A</w:t>
            </w:r>
          </w:p>
        </w:tc>
        <w:tc>
          <w:tcPr>
            <w:tcW w:w="1800" w:type="dxa"/>
            <w:vAlign w:val="bottom"/>
          </w:tcPr>
          <w:p w14:paraId="53737341"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N/A</w:t>
            </w:r>
          </w:p>
        </w:tc>
        <w:tc>
          <w:tcPr>
            <w:tcW w:w="1800" w:type="dxa"/>
            <w:vAlign w:val="bottom"/>
          </w:tcPr>
          <w:p w14:paraId="0F195BE8" w14:textId="77777777" w:rsidR="008B2154" w:rsidRPr="00B14A14" w:rsidRDefault="008B2154" w:rsidP="002D57D3">
            <w:pPr>
              <w:jc w:val="right"/>
              <w:rPr>
                <w:rFonts w:ascii="Times New Roman" w:hAnsi="Times New Roman"/>
                <w:sz w:val="26"/>
                <w:szCs w:val="26"/>
              </w:rPr>
            </w:pPr>
            <w:r>
              <w:rPr>
                <w:rFonts w:ascii="Times New Roman" w:hAnsi="Times New Roman"/>
                <w:sz w:val="26"/>
                <w:szCs w:val="26"/>
              </w:rPr>
              <w:t>73.25</w:t>
            </w:r>
          </w:p>
        </w:tc>
      </w:tr>
    </w:tbl>
    <w:p w14:paraId="7D26D2F9" w14:textId="77777777" w:rsidR="00544875" w:rsidRDefault="00544875" w:rsidP="005D7C1B">
      <w:pPr>
        <w:spacing w:after="0"/>
        <w:rPr>
          <w:rFonts w:ascii="Times New Roman" w:hAnsi="Times New Roman" w:cs="Times New Roman"/>
          <w:sz w:val="26"/>
          <w:szCs w:val="26"/>
        </w:rPr>
      </w:pPr>
    </w:p>
    <w:p w14:paraId="279983D7" w14:textId="44DDC0F9" w:rsidR="008E5683" w:rsidRDefault="00544875" w:rsidP="008E5683">
      <w:pPr>
        <w:spacing w:after="0"/>
        <w:rPr>
          <w:rFonts w:ascii="Times New Roman" w:hAnsi="Times New Roman" w:cs="Times New Roman"/>
          <w:sz w:val="26"/>
          <w:szCs w:val="26"/>
        </w:rPr>
      </w:pPr>
      <w:r>
        <w:rPr>
          <w:rFonts w:ascii="Times New Roman" w:hAnsi="Times New Roman" w:cs="Times New Roman"/>
          <w:sz w:val="26"/>
          <w:szCs w:val="26"/>
        </w:rPr>
        <w:t>The revised burden amounts presented in this cl</w:t>
      </w:r>
      <w:r w:rsidR="000A45EA">
        <w:rPr>
          <w:rFonts w:ascii="Times New Roman" w:hAnsi="Times New Roman" w:cs="Times New Roman"/>
          <w:sz w:val="26"/>
          <w:szCs w:val="26"/>
        </w:rPr>
        <w:t>earance package for the FERC-585</w:t>
      </w:r>
      <w:r>
        <w:rPr>
          <w:rFonts w:ascii="Times New Roman" w:hAnsi="Times New Roman" w:cs="Times New Roman"/>
          <w:sz w:val="26"/>
          <w:szCs w:val="26"/>
        </w:rPr>
        <w:t xml:space="preserve"> renewal are detailed in the response to Question #15 below.</w:t>
      </w:r>
    </w:p>
    <w:p w14:paraId="54F0821D" w14:textId="77777777" w:rsidR="008E5683" w:rsidRPr="00D27CC7" w:rsidRDefault="008E5683" w:rsidP="008E5683">
      <w:pPr>
        <w:spacing w:after="0"/>
        <w:rPr>
          <w:rFonts w:ascii="Times New Roman" w:hAnsi="Times New Roman" w:cs="Times New Roman"/>
          <w:sz w:val="26"/>
          <w:szCs w:val="26"/>
        </w:rPr>
      </w:pPr>
    </w:p>
    <w:p w14:paraId="204BEB88" w14:textId="77777777" w:rsidR="00544875" w:rsidRPr="001668FC" w:rsidRDefault="00544875" w:rsidP="001668F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sz w:val="26"/>
          <w:szCs w:val="26"/>
        </w:rPr>
      </w:pPr>
      <w:r w:rsidRPr="001668FC">
        <w:rPr>
          <w:rFonts w:ascii="Times New Roman" w:hAnsi="Times New Roman" w:cs="Times New Roman"/>
          <w:b/>
          <w:sz w:val="26"/>
          <w:szCs w:val="26"/>
        </w:rPr>
        <w:t>ESTIMATE OF THE TOTAL ANNUAL COST BURDEN TO RESPONDENTS</w:t>
      </w:r>
    </w:p>
    <w:p w14:paraId="1B9784E5" w14:textId="77777777" w:rsidR="00544875" w:rsidRDefault="00544875" w:rsidP="001668FC">
      <w:pPr>
        <w:widowControl w:val="0"/>
        <w:autoSpaceDE w:val="0"/>
        <w:autoSpaceDN w:val="0"/>
        <w:adjustRightInd w:val="0"/>
        <w:spacing w:after="0" w:line="240" w:lineRule="auto"/>
        <w:rPr>
          <w:rFonts w:ascii="Times New Roman" w:hAnsi="Times New Roman" w:cs="Times New Roman"/>
          <w:sz w:val="26"/>
          <w:szCs w:val="26"/>
        </w:rPr>
      </w:pPr>
    </w:p>
    <w:p w14:paraId="1ED1F96B" w14:textId="07B00BC3" w:rsidR="00544875" w:rsidRDefault="00544875" w:rsidP="001668FC">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There are no non-labor costs current</w:t>
      </w:r>
      <w:r w:rsidR="008B2154">
        <w:rPr>
          <w:rFonts w:ascii="Times New Roman" w:hAnsi="Times New Roman" w:cs="Times New Roman"/>
          <w:sz w:val="26"/>
          <w:szCs w:val="26"/>
        </w:rPr>
        <w:t>ly associated with the FERC-585</w:t>
      </w:r>
      <w:r w:rsidR="00993237">
        <w:rPr>
          <w:rFonts w:ascii="Times New Roman" w:hAnsi="Times New Roman" w:cs="Times New Roman"/>
          <w:sz w:val="26"/>
          <w:szCs w:val="26"/>
        </w:rPr>
        <w:t xml:space="preserve"> information collection</w:t>
      </w:r>
      <w:r>
        <w:rPr>
          <w:rFonts w:ascii="Times New Roman" w:hAnsi="Times New Roman" w:cs="Times New Roman"/>
          <w:sz w:val="26"/>
          <w:szCs w:val="26"/>
        </w:rPr>
        <w:t>.</w:t>
      </w:r>
    </w:p>
    <w:p w14:paraId="785A487F" w14:textId="77777777" w:rsidR="00544875" w:rsidRDefault="00544875" w:rsidP="001668FC">
      <w:pPr>
        <w:widowControl w:val="0"/>
        <w:autoSpaceDE w:val="0"/>
        <w:autoSpaceDN w:val="0"/>
        <w:adjustRightInd w:val="0"/>
        <w:spacing w:after="0" w:line="240" w:lineRule="auto"/>
        <w:rPr>
          <w:rFonts w:ascii="Times New Roman" w:hAnsi="Times New Roman" w:cs="Times New Roman"/>
          <w:sz w:val="26"/>
          <w:szCs w:val="26"/>
        </w:rPr>
      </w:pPr>
    </w:p>
    <w:p w14:paraId="3A9C2D0B" w14:textId="77777777" w:rsidR="00544875" w:rsidRDefault="00544875" w:rsidP="001668FC">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All of the costs in this collection are associated with burden hours (labor) and described in either Question #12 or Question #15.</w:t>
      </w:r>
    </w:p>
    <w:p w14:paraId="1478D10C" w14:textId="77777777" w:rsidR="00544875" w:rsidRPr="001668FC" w:rsidRDefault="00544875" w:rsidP="001668FC">
      <w:pPr>
        <w:widowControl w:val="0"/>
        <w:autoSpaceDE w:val="0"/>
        <w:autoSpaceDN w:val="0"/>
        <w:adjustRightInd w:val="0"/>
        <w:spacing w:after="0" w:line="240" w:lineRule="auto"/>
        <w:rPr>
          <w:rFonts w:ascii="Times New Roman" w:hAnsi="Times New Roman" w:cs="Times New Roman"/>
          <w:sz w:val="26"/>
          <w:szCs w:val="26"/>
        </w:rPr>
      </w:pPr>
    </w:p>
    <w:p w14:paraId="79F868DC" w14:textId="77777777" w:rsidR="00790FD0" w:rsidRPr="00544875" w:rsidRDefault="002B7FAC" w:rsidP="005D7C1B">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ESTIMATED ANNUALIZED COST TO FEDERAL GOVERNMENT</w:t>
      </w:r>
    </w:p>
    <w:p w14:paraId="49DBC645" w14:textId="77777777" w:rsidR="00544875" w:rsidRDefault="00544875" w:rsidP="00544875">
      <w:pPr>
        <w:widowControl w:val="0"/>
        <w:autoSpaceDE w:val="0"/>
        <w:autoSpaceDN w:val="0"/>
        <w:adjustRightInd w:val="0"/>
        <w:spacing w:after="0" w:line="240" w:lineRule="auto"/>
        <w:rPr>
          <w:rFonts w:ascii="Times New Roman" w:hAnsi="Times New Roman" w:cs="Times New Roman"/>
          <w:b/>
          <w:bCs/>
          <w:sz w:val="26"/>
          <w:szCs w:val="26"/>
        </w:rPr>
      </w:pPr>
    </w:p>
    <w:p w14:paraId="0F5212C5" w14:textId="6FE18DCF" w:rsidR="00544875" w:rsidRDefault="00544875" w:rsidP="001668FC">
      <w:pPr>
        <w:rPr>
          <w:rFonts w:ascii="Times New Roman" w:hAnsi="Times New Roman" w:cs="Times New Roman"/>
          <w:sz w:val="26"/>
          <w:szCs w:val="26"/>
        </w:rPr>
      </w:pPr>
      <w:r>
        <w:rPr>
          <w:rFonts w:ascii="Times New Roman" w:hAnsi="Times New Roman" w:cs="Times New Roman"/>
          <w:sz w:val="26"/>
          <w:szCs w:val="26"/>
        </w:rPr>
        <w:t>The estimate</w:t>
      </w:r>
      <w:r w:rsidR="00B35257">
        <w:rPr>
          <w:rFonts w:ascii="Times New Roman" w:hAnsi="Times New Roman" w:cs="Times New Roman"/>
          <w:sz w:val="26"/>
          <w:szCs w:val="26"/>
        </w:rPr>
        <w:t>d</w:t>
      </w:r>
      <w:r>
        <w:rPr>
          <w:rFonts w:ascii="Times New Roman" w:hAnsi="Times New Roman" w:cs="Times New Roman"/>
          <w:sz w:val="26"/>
          <w:szCs w:val="26"/>
        </w:rPr>
        <w:t xml:space="preserve"> annualized cost to the</w:t>
      </w:r>
      <w:r w:rsidR="00BC51BB">
        <w:rPr>
          <w:rFonts w:ascii="Times New Roman" w:hAnsi="Times New Roman" w:cs="Times New Roman"/>
          <w:sz w:val="26"/>
          <w:szCs w:val="26"/>
        </w:rPr>
        <w:t xml:space="preserve"> Federal Government for FERC-585</w:t>
      </w:r>
      <w:r>
        <w:rPr>
          <w:rFonts w:ascii="Times New Roman" w:hAnsi="Times New Roman" w:cs="Times New Roman"/>
          <w:sz w:val="26"/>
          <w:szCs w:val="26"/>
        </w:rPr>
        <w:t xml:space="preserve"> as related to information collection requirements follows: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544875" w:rsidRPr="00630A34" w14:paraId="0C069855" w14:textId="77777777" w:rsidTr="00300200">
        <w:tc>
          <w:tcPr>
            <w:tcW w:w="3182" w:type="dxa"/>
            <w:tcBorders>
              <w:top w:val="single" w:sz="4" w:space="0" w:color="auto"/>
              <w:left w:val="single" w:sz="4" w:space="0" w:color="auto"/>
              <w:bottom w:val="single" w:sz="4" w:space="0" w:color="auto"/>
              <w:right w:val="single" w:sz="4" w:space="0" w:color="auto"/>
            </w:tcBorders>
            <w:shd w:val="clear" w:color="auto" w:fill="CCCCCC"/>
          </w:tcPr>
          <w:p w14:paraId="5AA6D0E7" w14:textId="77777777" w:rsidR="00544875" w:rsidRPr="00630A34" w:rsidRDefault="00544875" w:rsidP="00300200">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4CA916BE" w14:textId="77777777" w:rsidR="00544875" w:rsidRPr="00630A34" w:rsidRDefault="00544875" w:rsidP="00300200">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0DDA5549" w14:textId="77777777" w:rsidR="00544875" w:rsidRPr="00630A34" w:rsidRDefault="00544875" w:rsidP="00300200">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544875" w:rsidRPr="00630A34" w14:paraId="46A56907" w14:textId="77777777" w:rsidTr="00300200">
        <w:tc>
          <w:tcPr>
            <w:tcW w:w="3182" w:type="dxa"/>
            <w:tcBorders>
              <w:top w:val="single" w:sz="4" w:space="0" w:color="auto"/>
              <w:left w:val="single" w:sz="4" w:space="0" w:color="auto"/>
              <w:bottom w:val="single" w:sz="4" w:space="0" w:color="auto"/>
              <w:right w:val="single" w:sz="4" w:space="0" w:color="auto"/>
            </w:tcBorders>
            <w:hideMark/>
          </w:tcPr>
          <w:p w14:paraId="740E9AF1" w14:textId="69ECA600" w:rsidR="00544875" w:rsidRPr="00630A34" w:rsidRDefault="00544875" w:rsidP="00300200">
            <w:pPr>
              <w:spacing w:after="0"/>
              <w:rPr>
                <w:rFonts w:ascii="Times New Roman" w:hAnsi="Times New Roman" w:cs="Times New Roman"/>
                <w:sz w:val="24"/>
                <w:szCs w:val="24"/>
              </w:rPr>
            </w:pPr>
            <w:r>
              <w:rPr>
                <w:rFonts w:ascii="Times New Roman" w:hAnsi="Times New Roman" w:cs="Times New Roman"/>
                <w:sz w:val="24"/>
                <w:szCs w:val="24"/>
              </w:rPr>
              <w:t>FERC-</w:t>
            </w:r>
            <w:r w:rsidR="008B2154">
              <w:rPr>
                <w:rFonts w:ascii="Times New Roman" w:hAnsi="Times New Roman" w:cs="Times New Roman"/>
                <w:sz w:val="24"/>
                <w:szCs w:val="24"/>
              </w:rPr>
              <w:t>585</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vAlign w:val="bottom"/>
            <w:hideMark/>
          </w:tcPr>
          <w:p w14:paraId="6F5AF3E1" w14:textId="14054249" w:rsidR="00544875" w:rsidRPr="00630A34" w:rsidRDefault="008B2154" w:rsidP="00300200">
            <w:pPr>
              <w:spacing w:after="0"/>
              <w:rPr>
                <w:rFonts w:ascii="Times New Roman" w:hAnsi="Times New Roman" w:cs="Times New Roman"/>
                <w:sz w:val="24"/>
                <w:szCs w:val="24"/>
              </w:rPr>
            </w:pPr>
            <w:r>
              <w:rPr>
                <w:rFonts w:ascii="Times New Roman" w:hAnsi="Times New Roman" w:cs="Times New Roman"/>
                <w:sz w:val="24"/>
                <w:szCs w:val="24"/>
              </w:rPr>
              <w:t>0.5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0F4AE0F9" w14:textId="396C83E5" w:rsidR="00544875" w:rsidRPr="00630A34" w:rsidRDefault="00544875" w:rsidP="00300200">
            <w:pPr>
              <w:spacing w:after="0"/>
              <w:rPr>
                <w:rFonts w:ascii="Times New Roman" w:hAnsi="Times New Roman" w:cs="Times New Roman"/>
                <w:sz w:val="24"/>
                <w:szCs w:val="24"/>
              </w:rPr>
            </w:pPr>
            <w:r w:rsidRPr="00630A34">
              <w:rPr>
                <w:rFonts w:ascii="Times New Roman" w:hAnsi="Times New Roman" w:cs="Times New Roman"/>
                <w:sz w:val="24"/>
                <w:szCs w:val="24"/>
              </w:rPr>
              <w:t>$</w:t>
            </w:r>
            <w:r w:rsidR="00BC51BB">
              <w:rPr>
                <w:rFonts w:ascii="Times New Roman" w:hAnsi="Times New Roman" w:cs="Times New Roman"/>
                <w:sz w:val="24"/>
                <w:szCs w:val="24"/>
              </w:rPr>
              <w:t>74,745</w:t>
            </w:r>
          </w:p>
        </w:tc>
      </w:tr>
      <w:tr w:rsidR="00544875" w:rsidRPr="00630A34" w14:paraId="78A942E8" w14:textId="77777777" w:rsidTr="00300200">
        <w:tc>
          <w:tcPr>
            <w:tcW w:w="3182" w:type="dxa"/>
            <w:tcBorders>
              <w:top w:val="single" w:sz="4" w:space="0" w:color="auto"/>
              <w:left w:val="single" w:sz="4" w:space="0" w:color="auto"/>
              <w:bottom w:val="single" w:sz="4" w:space="0" w:color="auto"/>
              <w:right w:val="single" w:sz="4" w:space="0" w:color="auto"/>
            </w:tcBorders>
          </w:tcPr>
          <w:p w14:paraId="52BB10B3" w14:textId="77777777" w:rsidR="00544875" w:rsidRDefault="00544875" w:rsidP="00300200">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1"/>
            </w:r>
            <w:r w:rsidRPr="00630A34">
              <w:rPr>
                <w:rFonts w:ascii="Times New Roman" w:hAnsi="Times New Roman" w:cs="Times New Roman"/>
                <w:sz w:val="24"/>
                <w:szCs w:val="24"/>
              </w:rPr>
              <w:t xml:space="preserve"> Administrative Cost</w:t>
            </w:r>
            <w:r w:rsidRPr="00896F4D">
              <w:rPr>
                <w:rStyle w:val="FootnoteReference"/>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D7C9717" w14:textId="77777777" w:rsidR="00544875" w:rsidRPr="00630A34" w:rsidRDefault="00544875" w:rsidP="00300200">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5FBD350E" w14:textId="23B927F7" w:rsidR="00544875" w:rsidRPr="00630A34" w:rsidRDefault="00BC51BB" w:rsidP="00300200">
            <w:pPr>
              <w:spacing w:after="0"/>
              <w:rPr>
                <w:rFonts w:ascii="Times New Roman" w:hAnsi="Times New Roman" w:cs="Times New Roman"/>
                <w:sz w:val="24"/>
                <w:szCs w:val="24"/>
              </w:rPr>
            </w:pPr>
            <w:r>
              <w:rPr>
                <w:rFonts w:ascii="Times New Roman" w:hAnsi="Times New Roman" w:cs="Times New Roman"/>
                <w:sz w:val="24"/>
                <w:szCs w:val="24"/>
              </w:rPr>
              <w:t>$5,193</w:t>
            </w:r>
          </w:p>
        </w:tc>
      </w:tr>
      <w:tr w:rsidR="00544875" w:rsidRPr="00630A34" w14:paraId="6CB123C4" w14:textId="77777777" w:rsidTr="00300200">
        <w:tc>
          <w:tcPr>
            <w:tcW w:w="3182" w:type="dxa"/>
            <w:tcBorders>
              <w:top w:val="single" w:sz="4" w:space="0" w:color="auto"/>
              <w:left w:val="single" w:sz="4" w:space="0" w:color="auto"/>
              <w:bottom w:val="single" w:sz="4" w:space="0" w:color="auto"/>
              <w:right w:val="single" w:sz="4" w:space="0" w:color="auto"/>
            </w:tcBorders>
            <w:hideMark/>
          </w:tcPr>
          <w:p w14:paraId="1078C2E8" w14:textId="77777777" w:rsidR="00544875" w:rsidRPr="00630A34" w:rsidRDefault="00544875" w:rsidP="00300200">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03DA053E" w14:textId="77777777" w:rsidR="00544875" w:rsidRPr="00630A34" w:rsidRDefault="00544875" w:rsidP="00300200">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E07CF86" w14:textId="6946380E" w:rsidR="00544875" w:rsidRPr="00630A34" w:rsidRDefault="00544875" w:rsidP="00300200">
            <w:pPr>
              <w:spacing w:after="0"/>
              <w:rPr>
                <w:rFonts w:ascii="Times New Roman" w:hAnsi="Times New Roman" w:cs="Times New Roman"/>
                <w:sz w:val="24"/>
                <w:szCs w:val="24"/>
              </w:rPr>
            </w:pPr>
            <w:r w:rsidRPr="00630A34">
              <w:rPr>
                <w:rFonts w:ascii="Times New Roman" w:hAnsi="Times New Roman" w:cs="Times New Roman"/>
                <w:sz w:val="24"/>
                <w:szCs w:val="24"/>
              </w:rPr>
              <w:t>$</w:t>
            </w:r>
            <w:r w:rsidR="00BC51BB">
              <w:rPr>
                <w:rFonts w:ascii="Times New Roman" w:hAnsi="Times New Roman" w:cs="Times New Roman"/>
                <w:sz w:val="24"/>
                <w:szCs w:val="24"/>
              </w:rPr>
              <w:t>79,938</w:t>
            </w:r>
          </w:p>
        </w:tc>
      </w:tr>
    </w:tbl>
    <w:p w14:paraId="4E0BC097" w14:textId="77777777" w:rsidR="00790FD0" w:rsidRPr="00D27CC7" w:rsidRDefault="00790FD0" w:rsidP="00993237">
      <w:pPr>
        <w:rPr>
          <w:rFonts w:ascii="Times New Roman" w:hAnsi="Times New Roman"/>
          <w:sz w:val="26"/>
          <w:szCs w:val="26"/>
        </w:rPr>
      </w:pPr>
    </w:p>
    <w:p w14:paraId="0368872D" w14:textId="6E1B12F2" w:rsidR="00834DE8" w:rsidRDefault="002B7FAC" w:rsidP="00834DE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lastRenderedPageBreak/>
        <w:t>REASONS FOR CHANGES IN BURDEN INCLUDING THE NEED FOR ANY INCREASE</w:t>
      </w:r>
    </w:p>
    <w:p w14:paraId="1FB2C9B3" w14:textId="77777777" w:rsidR="008E5683" w:rsidRPr="008E5683" w:rsidRDefault="008E5683" w:rsidP="008E5683">
      <w:pPr>
        <w:widowControl w:val="0"/>
        <w:autoSpaceDE w:val="0"/>
        <w:autoSpaceDN w:val="0"/>
        <w:adjustRightInd w:val="0"/>
        <w:spacing w:after="0" w:line="240" w:lineRule="auto"/>
        <w:ind w:left="360"/>
        <w:rPr>
          <w:rFonts w:ascii="Times New Roman" w:hAnsi="Times New Roman" w:cs="Times New Roman"/>
          <w:sz w:val="26"/>
          <w:szCs w:val="26"/>
        </w:rPr>
      </w:pPr>
    </w:p>
    <w:p w14:paraId="25B0C78D" w14:textId="1EBC63C8" w:rsidR="004E0D51" w:rsidRDefault="008B2154" w:rsidP="00834DE8">
      <w:pPr>
        <w:spacing w:after="0"/>
        <w:rPr>
          <w:rFonts w:ascii="Times New Roman" w:hAnsi="Times New Roman" w:cs="Times New Roman"/>
          <w:sz w:val="26"/>
          <w:szCs w:val="26"/>
        </w:rPr>
      </w:pPr>
      <w:r>
        <w:rPr>
          <w:rFonts w:ascii="Times New Roman" w:hAnsi="Times New Roman" w:cs="Times New Roman"/>
          <w:sz w:val="26"/>
          <w:szCs w:val="26"/>
        </w:rPr>
        <w:t xml:space="preserve">The requirements within the FERC-585 did not change from the previously approved information collection request (ICR No. </w:t>
      </w:r>
      <w:r w:rsidRPr="008B2154">
        <w:rPr>
          <w:rFonts w:ascii="Times New Roman" w:hAnsi="Times New Roman" w:cs="Times New Roman"/>
          <w:sz w:val="26"/>
          <w:szCs w:val="26"/>
        </w:rPr>
        <w:t>201205-1902-001</w:t>
      </w:r>
      <w:r>
        <w:rPr>
          <w:rFonts w:ascii="Times New Roman" w:hAnsi="Times New Roman" w:cs="Times New Roman"/>
          <w:sz w:val="26"/>
          <w:szCs w:val="26"/>
        </w:rPr>
        <w:t xml:space="preserve">).  Moreover, the estimated total burden for the FERC-585 did not change. The only change in regards to the estimated burden is a slight increase in the total annual cost to respondents.  </w:t>
      </w:r>
      <w:proofErr w:type="gramStart"/>
      <w:r>
        <w:rPr>
          <w:rFonts w:ascii="Times New Roman" w:hAnsi="Times New Roman" w:cs="Times New Roman"/>
          <w:sz w:val="26"/>
          <w:szCs w:val="26"/>
        </w:rPr>
        <w:t>This figure increase due entirely to an increase estimate of the FERC employee average salary (plus benefits) and its equivalent in the private sector.</w:t>
      </w:r>
      <w:proofErr w:type="gramEnd"/>
    </w:p>
    <w:p w14:paraId="1EE0AD80" w14:textId="77777777" w:rsidR="004E0D51" w:rsidRDefault="004E0D51" w:rsidP="00834DE8">
      <w:pPr>
        <w:spacing w:after="0"/>
        <w:rPr>
          <w:rFonts w:ascii="Times New Roman" w:hAnsi="Times New Roman" w:cs="Times New Roman"/>
          <w:sz w:val="26"/>
          <w:szCs w:val="26"/>
        </w:rPr>
      </w:pPr>
    </w:p>
    <w:p w14:paraId="5C1674CE" w14:textId="77777777" w:rsidR="00834DE8" w:rsidRDefault="00834DE8" w:rsidP="00834DE8">
      <w:pPr>
        <w:spacing w:after="0"/>
        <w:rPr>
          <w:rFonts w:ascii="Times New Roman" w:hAnsi="Times New Roman" w:cs="Times New Roman"/>
          <w:sz w:val="26"/>
          <w:szCs w:val="26"/>
        </w:rPr>
      </w:pPr>
      <w:r w:rsidRPr="00D27CC7">
        <w:rPr>
          <w:rFonts w:ascii="Times New Roman" w:hAnsi="Times New Roman" w:cs="Times New Roman"/>
          <w:sz w:val="26"/>
          <w:szCs w:val="26"/>
        </w:rPr>
        <w:t xml:space="preserve">The Commission </w:t>
      </w:r>
      <w:r>
        <w:rPr>
          <w:rFonts w:ascii="Times New Roman" w:hAnsi="Times New Roman" w:cs="Times New Roman"/>
          <w:sz w:val="26"/>
          <w:szCs w:val="26"/>
        </w:rPr>
        <w:t xml:space="preserve">currently </w:t>
      </w:r>
      <w:r w:rsidRPr="00D27CC7">
        <w:rPr>
          <w:rFonts w:ascii="Times New Roman" w:hAnsi="Times New Roman" w:cs="Times New Roman"/>
          <w:sz w:val="26"/>
          <w:szCs w:val="26"/>
        </w:rPr>
        <w:t>estimates the annual public reporting burden for the information collection as:</w:t>
      </w:r>
    </w:p>
    <w:p w14:paraId="648BEA29" w14:textId="77777777" w:rsidR="00834DE8" w:rsidRDefault="00834DE8" w:rsidP="00834DE8">
      <w:pPr>
        <w:spacing w:after="0"/>
        <w:rPr>
          <w:rFonts w:ascii="Times New Roman" w:hAnsi="Times New Roman" w:cs="Times New Roman"/>
          <w:sz w:val="26"/>
          <w:szCs w:val="26"/>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8B2154" w:rsidRPr="000A45EA" w14:paraId="36DF5876" w14:textId="77777777" w:rsidTr="002D57D3">
        <w:trPr>
          <w:cantSplit/>
        </w:trPr>
        <w:tc>
          <w:tcPr>
            <w:tcW w:w="5000" w:type="pct"/>
            <w:gridSpan w:val="7"/>
            <w:tcBorders>
              <w:bottom w:val="single" w:sz="4" w:space="0" w:color="auto"/>
            </w:tcBorders>
            <w:shd w:val="clear" w:color="auto" w:fill="D9D9D9"/>
          </w:tcPr>
          <w:p w14:paraId="668C7E8A"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FERC-585 (Reporting of Electric Shortages and Contingency Plans Under PURPA 206)</w:t>
            </w:r>
          </w:p>
        </w:tc>
      </w:tr>
      <w:tr w:rsidR="008B2154" w:rsidRPr="000A45EA" w14:paraId="459473D3" w14:textId="77777777" w:rsidTr="002D57D3">
        <w:trPr>
          <w:cantSplit/>
        </w:trPr>
        <w:tc>
          <w:tcPr>
            <w:tcW w:w="878" w:type="pct"/>
            <w:shd w:val="clear" w:color="auto" w:fill="D9D9D9"/>
          </w:tcPr>
          <w:p w14:paraId="31518906" w14:textId="77777777" w:rsidR="008B2154" w:rsidRPr="000A45EA" w:rsidRDefault="008B2154" w:rsidP="002D57D3">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20028313"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Number of Respondents</w:t>
            </w:r>
            <w:r w:rsidRPr="000A45EA">
              <w:rPr>
                <w:rFonts w:ascii="Times New Roman" w:eastAsia="Calibri" w:hAnsi="Times New Roman" w:cs="Times New Roman"/>
                <w:b/>
                <w:sz w:val="20"/>
                <w:szCs w:val="20"/>
              </w:rPr>
              <w:br/>
              <w:t>(1)</w:t>
            </w:r>
          </w:p>
        </w:tc>
        <w:tc>
          <w:tcPr>
            <w:tcW w:w="746" w:type="pct"/>
            <w:shd w:val="clear" w:color="auto" w:fill="D9D9D9"/>
            <w:vAlign w:val="bottom"/>
          </w:tcPr>
          <w:p w14:paraId="1B6B25DA"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Annual Number of Responses per Respondent</w:t>
            </w:r>
          </w:p>
          <w:p w14:paraId="7897EDA4"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(2)</w:t>
            </w:r>
          </w:p>
        </w:tc>
        <w:tc>
          <w:tcPr>
            <w:tcW w:w="703" w:type="pct"/>
            <w:shd w:val="clear" w:color="auto" w:fill="D9D9D9"/>
            <w:vAlign w:val="bottom"/>
          </w:tcPr>
          <w:p w14:paraId="7784976C"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Total Number of Responses (1)*(2)=(3)</w:t>
            </w:r>
          </w:p>
        </w:tc>
        <w:tc>
          <w:tcPr>
            <w:tcW w:w="654" w:type="pct"/>
            <w:shd w:val="clear" w:color="auto" w:fill="D9D9D9"/>
            <w:vAlign w:val="bottom"/>
          </w:tcPr>
          <w:p w14:paraId="34B20B56" w14:textId="2E999241"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Average Burden &amp; Cost Per Response</w:t>
            </w:r>
            <w:bookmarkStart w:id="2" w:name="_Ref408578354"/>
            <w:r w:rsidR="000906A8" w:rsidRPr="006A60CF">
              <w:rPr>
                <w:rFonts w:eastAsia="Calibri"/>
                <w:b/>
                <w:sz w:val="20"/>
                <w:szCs w:val="20"/>
                <w:vertAlign w:val="superscript"/>
              </w:rPr>
              <w:footnoteReference w:id="13"/>
            </w:r>
            <w:bookmarkEnd w:id="2"/>
          </w:p>
          <w:p w14:paraId="2D69BAE2"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(4)</w:t>
            </w:r>
          </w:p>
        </w:tc>
        <w:tc>
          <w:tcPr>
            <w:tcW w:w="657" w:type="pct"/>
            <w:shd w:val="clear" w:color="auto" w:fill="D9D9D9"/>
            <w:vAlign w:val="bottom"/>
          </w:tcPr>
          <w:p w14:paraId="4C33455F"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Total Annual Burden Hours &amp; Total Annual Cost</w:t>
            </w:r>
          </w:p>
          <w:p w14:paraId="65F91C1C"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(3)*(4)=(5)</w:t>
            </w:r>
          </w:p>
        </w:tc>
        <w:tc>
          <w:tcPr>
            <w:tcW w:w="616" w:type="pct"/>
            <w:shd w:val="clear" w:color="auto" w:fill="D9D9D9"/>
            <w:vAlign w:val="bottom"/>
          </w:tcPr>
          <w:p w14:paraId="20B84CC5"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Cost per Respondent</w:t>
            </w:r>
          </w:p>
          <w:p w14:paraId="5965D8F0"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 xml:space="preserve"> ($)</w:t>
            </w:r>
          </w:p>
          <w:p w14:paraId="334051F2" w14:textId="77777777" w:rsidR="008B2154" w:rsidRPr="000A45EA" w:rsidRDefault="008B2154" w:rsidP="002D57D3">
            <w:pPr>
              <w:spacing w:after="0" w:line="240" w:lineRule="auto"/>
              <w:jc w:val="center"/>
              <w:rPr>
                <w:rFonts w:ascii="Times New Roman" w:eastAsia="Calibri" w:hAnsi="Times New Roman" w:cs="Times New Roman"/>
                <w:b/>
                <w:sz w:val="20"/>
                <w:szCs w:val="20"/>
              </w:rPr>
            </w:pPr>
            <w:r w:rsidRPr="000A45EA">
              <w:rPr>
                <w:rFonts w:ascii="Times New Roman" w:eastAsia="Calibri" w:hAnsi="Times New Roman" w:cs="Times New Roman"/>
                <w:b/>
                <w:sz w:val="20"/>
                <w:szCs w:val="20"/>
              </w:rPr>
              <w:t>(5)÷(1)</w:t>
            </w:r>
          </w:p>
        </w:tc>
      </w:tr>
      <w:tr w:rsidR="008B2154" w:rsidRPr="000A45EA" w14:paraId="1FE9C8AA" w14:textId="77777777" w:rsidTr="002D57D3">
        <w:trPr>
          <w:cantSplit/>
        </w:trPr>
        <w:tc>
          <w:tcPr>
            <w:tcW w:w="878" w:type="pct"/>
          </w:tcPr>
          <w:p w14:paraId="6B2C475B" w14:textId="77777777" w:rsidR="008B2154" w:rsidRPr="000A45EA" w:rsidRDefault="008B2154" w:rsidP="002D57D3">
            <w:pPr>
              <w:spacing w:after="0" w:line="240" w:lineRule="auto"/>
              <w:rPr>
                <w:rFonts w:ascii="Times New Roman" w:eastAsia="Calibri" w:hAnsi="Times New Roman" w:cs="Times New Roman"/>
                <w:sz w:val="20"/>
                <w:szCs w:val="20"/>
              </w:rPr>
            </w:pPr>
            <w:r w:rsidRPr="000A45EA">
              <w:rPr>
                <w:rFonts w:ascii="Times New Roman" w:eastAsia="Calibri" w:hAnsi="Times New Roman" w:cs="Times New Roman"/>
                <w:sz w:val="20"/>
                <w:szCs w:val="20"/>
              </w:rPr>
              <w:t>Contingency Plan</w:t>
            </w:r>
          </w:p>
        </w:tc>
        <w:tc>
          <w:tcPr>
            <w:tcW w:w="746" w:type="pct"/>
          </w:tcPr>
          <w:p w14:paraId="1CBA68DE"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w:t>
            </w:r>
          </w:p>
          <w:p w14:paraId="3655DB66" w14:textId="77777777" w:rsidR="008B2154" w:rsidRPr="000A45EA" w:rsidRDefault="008B2154" w:rsidP="002D57D3">
            <w:pPr>
              <w:spacing w:after="0" w:line="240" w:lineRule="auto"/>
              <w:jc w:val="right"/>
              <w:rPr>
                <w:rFonts w:ascii="Times New Roman" w:eastAsia="Calibri" w:hAnsi="Times New Roman" w:cs="Times New Roman"/>
                <w:sz w:val="20"/>
                <w:szCs w:val="20"/>
              </w:rPr>
            </w:pPr>
          </w:p>
        </w:tc>
        <w:tc>
          <w:tcPr>
            <w:tcW w:w="746" w:type="pct"/>
          </w:tcPr>
          <w:p w14:paraId="16CEAE3A"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w:t>
            </w:r>
          </w:p>
        </w:tc>
        <w:tc>
          <w:tcPr>
            <w:tcW w:w="703" w:type="pct"/>
          </w:tcPr>
          <w:p w14:paraId="11FE9634"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w:t>
            </w:r>
          </w:p>
        </w:tc>
        <w:tc>
          <w:tcPr>
            <w:tcW w:w="654" w:type="pct"/>
          </w:tcPr>
          <w:p w14:paraId="6ED50608"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73</w:t>
            </w:r>
          </w:p>
          <w:p w14:paraId="7D554322"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$5,256</w:t>
            </w:r>
          </w:p>
        </w:tc>
        <w:tc>
          <w:tcPr>
            <w:tcW w:w="657" w:type="pct"/>
          </w:tcPr>
          <w:p w14:paraId="4AFD74A6"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 xml:space="preserve"> 73</w:t>
            </w:r>
          </w:p>
          <w:p w14:paraId="7870E389"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 xml:space="preserve">$5,256 </w:t>
            </w:r>
          </w:p>
        </w:tc>
        <w:tc>
          <w:tcPr>
            <w:tcW w:w="616" w:type="pct"/>
          </w:tcPr>
          <w:p w14:paraId="1DD5F9CE"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 xml:space="preserve">$5,256 </w:t>
            </w:r>
          </w:p>
          <w:p w14:paraId="34DD1134" w14:textId="77777777" w:rsidR="008B2154" w:rsidRPr="000A45EA" w:rsidRDefault="008B2154" w:rsidP="002D57D3">
            <w:pPr>
              <w:spacing w:after="0" w:line="240" w:lineRule="auto"/>
              <w:jc w:val="right"/>
              <w:rPr>
                <w:rFonts w:ascii="Times New Roman" w:eastAsia="Calibri" w:hAnsi="Times New Roman" w:cs="Times New Roman"/>
                <w:sz w:val="20"/>
                <w:szCs w:val="20"/>
              </w:rPr>
            </w:pPr>
          </w:p>
        </w:tc>
      </w:tr>
      <w:tr w:rsidR="008B2154" w:rsidRPr="000A45EA" w14:paraId="12677F89" w14:textId="77777777" w:rsidTr="002D57D3">
        <w:trPr>
          <w:cantSplit/>
        </w:trPr>
        <w:tc>
          <w:tcPr>
            <w:tcW w:w="878" w:type="pct"/>
          </w:tcPr>
          <w:p w14:paraId="66C3F440" w14:textId="77777777" w:rsidR="008B2154" w:rsidRPr="000A45EA" w:rsidRDefault="008B2154" w:rsidP="002D57D3">
            <w:pPr>
              <w:spacing w:after="0" w:line="240" w:lineRule="auto"/>
              <w:rPr>
                <w:rFonts w:ascii="Times New Roman" w:eastAsia="Calibri" w:hAnsi="Times New Roman" w:cs="Times New Roman"/>
                <w:sz w:val="20"/>
                <w:szCs w:val="20"/>
              </w:rPr>
            </w:pPr>
            <w:r w:rsidRPr="000A45EA">
              <w:rPr>
                <w:rFonts w:ascii="Times New Roman" w:eastAsia="Calibri" w:hAnsi="Times New Roman" w:cs="Times New Roman"/>
                <w:sz w:val="20"/>
                <w:szCs w:val="20"/>
              </w:rPr>
              <w:t>Capacity Shortage</w:t>
            </w:r>
          </w:p>
        </w:tc>
        <w:tc>
          <w:tcPr>
            <w:tcW w:w="746" w:type="pct"/>
          </w:tcPr>
          <w:p w14:paraId="067E3AEF"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w:t>
            </w:r>
          </w:p>
        </w:tc>
        <w:tc>
          <w:tcPr>
            <w:tcW w:w="746" w:type="pct"/>
          </w:tcPr>
          <w:p w14:paraId="33A783B8"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w:t>
            </w:r>
          </w:p>
        </w:tc>
        <w:tc>
          <w:tcPr>
            <w:tcW w:w="703" w:type="pct"/>
          </w:tcPr>
          <w:p w14:paraId="3C74F9B8"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w:t>
            </w:r>
          </w:p>
        </w:tc>
        <w:tc>
          <w:tcPr>
            <w:tcW w:w="654" w:type="pct"/>
          </w:tcPr>
          <w:p w14:paraId="6E9CD372"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0.25</w:t>
            </w:r>
          </w:p>
          <w:p w14:paraId="1168A0D2"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$18</w:t>
            </w:r>
          </w:p>
        </w:tc>
        <w:tc>
          <w:tcPr>
            <w:tcW w:w="657" w:type="pct"/>
          </w:tcPr>
          <w:p w14:paraId="75EE5B0C"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0.25</w:t>
            </w:r>
          </w:p>
          <w:p w14:paraId="5427D57E"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$18</w:t>
            </w:r>
          </w:p>
        </w:tc>
        <w:tc>
          <w:tcPr>
            <w:tcW w:w="616" w:type="pct"/>
          </w:tcPr>
          <w:p w14:paraId="17361F9D" w14:textId="77777777" w:rsidR="008B2154" w:rsidRPr="000A45EA" w:rsidRDefault="008B2154" w:rsidP="002D57D3">
            <w:pPr>
              <w:spacing w:after="0" w:line="240" w:lineRule="auto"/>
              <w:jc w:val="right"/>
              <w:rPr>
                <w:rFonts w:ascii="Times New Roman" w:eastAsia="Calibri" w:hAnsi="Times New Roman" w:cs="Times New Roman"/>
                <w:sz w:val="20"/>
                <w:szCs w:val="20"/>
              </w:rPr>
            </w:pPr>
            <w:r w:rsidRPr="000A45EA">
              <w:rPr>
                <w:rFonts w:ascii="Times New Roman" w:eastAsia="Calibri" w:hAnsi="Times New Roman" w:cs="Times New Roman"/>
                <w:sz w:val="20"/>
                <w:szCs w:val="20"/>
              </w:rPr>
              <w:t>$18</w:t>
            </w:r>
          </w:p>
        </w:tc>
      </w:tr>
      <w:tr w:rsidR="008B2154" w:rsidRPr="000A45EA" w14:paraId="222DBDF4" w14:textId="77777777" w:rsidTr="002D57D3">
        <w:trPr>
          <w:cantSplit/>
          <w:trHeight w:val="485"/>
        </w:trPr>
        <w:tc>
          <w:tcPr>
            <w:tcW w:w="878" w:type="pct"/>
            <w:tcBorders>
              <w:bottom w:val="single" w:sz="4" w:space="0" w:color="auto"/>
            </w:tcBorders>
          </w:tcPr>
          <w:p w14:paraId="279478C6" w14:textId="77777777" w:rsidR="008B2154" w:rsidRPr="000A45EA" w:rsidRDefault="008B2154" w:rsidP="002D57D3">
            <w:pPr>
              <w:spacing w:after="0" w:line="240" w:lineRule="auto"/>
              <w:rPr>
                <w:rFonts w:ascii="Times New Roman" w:eastAsia="Calibri" w:hAnsi="Times New Roman" w:cs="Times New Roman"/>
                <w:b/>
                <w:sz w:val="20"/>
                <w:szCs w:val="20"/>
              </w:rPr>
            </w:pPr>
            <w:r w:rsidRPr="000A45EA">
              <w:rPr>
                <w:rFonts w:ascii="Times New Roman" w:eastAsia="Calibri" w:hAnsi="Times New Roman" w:cs="Times New Roman"/>
                <w:b/>
                <w:sz w:val="20"/>
                <w:szCs w:val="20"/>
              </w:rPr>
              <w:t>TOTAL</w:t>
            </w:r>
          </w:p>
        </w:tc>
        <w:tc>
          <w:tcPr>
            <w:tcW w:w="2849" w:type="pct"/>
            <w:gridSpan w:val="4"/>
            <w:tcBorders>
              <w:bottom w:val="single" w:sz="4" w:space="0" w:color="auto"/>
            </w:tcBorders>
            <w:shd w:val="clear" w:color="auto" w:fill="D9D9D9"/>
          </w:tcPr>
          <w:p w14:paraId="05E9FAC8" w14:textId="77777777" w:rsidR="008B2154" w:rsidRPr="000A45EA" w:rsidRDefault="008B2154" w:rsidP="002D57D3">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7C467CA1" w14:textId="77777777" w:rsidR="008B2154" w:rsidRPr="000A45EA" w:rsidRDefault="008B2154" w:rsidP="002D57D3">
            <w:pPr>
              <w:spacing w:after="0" w:line="240" w:lineRule="auto"/>
              <w:jc w:val="right"/>
              <w:rPr>
                <w:rFonts w:ascii="Times New Roman" w:eastAsia="Calibri" w:hAnsi="Times New Roman" w:cs="Times New Roman"/>
                <w:b/>
                <w:sz w:val="20"/>
                <w:szCs w:val="20"/>
              </w:rPr>
            </w:pPr>
            <w:r w:rsidRPr="000A45EA">
              <w:rPr>
                <w:rFonts w:ascii="Times New Roman" w:eastAsia="Calibri" w:hAnsi="Times New Roman" w:cs="Times New Roman"/>
                <w:b/>
                <w:sz w:val="20"/>
                <w:szCs w:val="20"/>
              </w:rPr>
              <w:t>73.25</w:t>
            </w:r>
          </w:p>
          <w:p w14:paraId="3728329C" w14:textId="77777777" w:rsidR="008B2154" w:rsidRPr="000A45EA" w:rsidRDefault="008B2154" w:rsidP="002D57D3">
            <w:pPr>
              <w:spacing w:after="0" w:line="240" w:lineRule="auto"/>
              <w:jc w:val="right"/>
              <w:rPr>
                <w:rFonts w:ascii="Times New Roman" w:eastAsia="Calibri" w:hAnsi="Times New Roman" w:cs="Times New Roman"/>
                <w:b/>
                <w:sz w:val="20"/>
                <w:szCs w:val="20"/>
              </w:rPr>
            </w:pPr>
            <w:r w:rsidRPr="000A45EA">
              <w:rPr>
                <w:rFonts w:ascii="Times New Roman" w:eastAsia="Calibri" w:hAnsi="Times New Roman" w:cs="Times New Roman"/>
                <w:b/>
                <w:sz w:val="20"/>
                <w:szCs w:val="20"/>
              </w:rPr>
              <w:t>$5,274</w:t>
            </w:r>
          </w:p>
        </w:tc>
        <w:tc>
          <w:tcPr>
            <w:tcW w:w="616" w:type="pct"/>
            <w:tcBorders>
              <w:bottom w:val="single" w:sz="4" w:space="0" w:color="auto"/>
            </w:tcBorders>
          </w:tcPr>
          <w:p w14:paraId="1C2A69E9" w14:textId="77777777" w:rsidR="008B2154" w:rsidRPr="000A45EA" w:rsidRDefault="008B2154" w:rsidP="002D57D3">
            <w:pPr>
              <w:spacing w:after="0" w:line="240" w:lineRule="auto"/>
              <w:jc w:val="right"/>
              <w:rPr>
                <w:rFonts w:ascii="Times New Roman" w:eastAsia="Calibri" w:hAnsi="Times New Roman" w:cs="Times New Roman"/>
                <w:b/>
                <w:sz w:val="20"/>
                <w:szCs w:val="20"/>
              </w:rPr>
            </w:pPr>
            <w:r w:rsidRPr="000A45EA">
              <w:rPr>
                <w:rFonts w:ascii="Times New Roman" w:eastAsia="Calibri" w:hAnsi="Times New Roman" w:cs="Times New Roman"/>
                <w:b/>
                <w:sz w:val="20"/>
                <w:szCs w:val="20"/>
              </w:rPr>
              <w:t>$5,274</w:t>
            </w:r>
          </w:p>
        </w:tc>
      </w:tr>
    </w:tbl>
    <w:p w14:paraId="2A918A28" w14:textId="77777777" w:rsidR="008B2154" w:rsidRDefault="008B2154" w:rsidP="00834DE8">
      <w:pPr>
        <w:spacing w:after="0"/>
        <w:rPr>
          <w:rFonts w:ascii="Times New Roman" w:hAnsi="Times New Roman" w:cs="Times New Roman"/>
          <w:sz w:val="26"/>
          <w:szCs w:val="26"/>
        </w:rPr>
      </w:pPr>
    </w:p>
    <w:p w14:paraId="67188DBE" w14:textId="77777777" w:rsidR="00834DE8" w:rsidRPr="00D27CC7" w:rsidRDefault="00834DE8" w:rsidP="00834DE8">
      <w:pPr>
        <w:rPr>
          <w:rFonts w:ascii="Times New Roman" w:hAnsi="Times New Roman" w:cs="Times New Roman"/>
          <w:sz w:val="26"/>
          <w:szCs w:val="26"/>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1779"/>
        <w:gridCol w:w="1959"/>
        <w:gridCol w:w="1958"/>
        <w:gridCol w:w="1795"/>
      </w:tblGrid>
      <w:tr w:rsidR="00834DE8" w:rsidRPr="004E0D51" w14:paraId="290818C1" w14:textId="77777777" w:rsidTr="004E0D51">
        <w:trPr>
          <w:trHeight w:val="870"/>
        </w:trPr>
        <w:tc>
          <w:tcPr>
            <w:tcW w:w="276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402A8A3" w14:textId="26EE122C" w:rsidR="00834DE8" w:rsidRPr="004E0D51" w:rsidRDefault="00367412" w:rsidP="004E0D51">
            <w:pPr>
              <w:widowControl w:val="0"/>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FERC-585</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50C3D4B"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b/>
                <w:sz w:val="20"/>
                <w:szCs w:val="20"/>
              </w:rPr>
            </w:pPr>
            <w:r w:rsidRPr="004E0D51">
              <w:rPr>
                <w:rFonts w:ascii="Times New Roman" w:hAnsi="Times New Roman"/>
                <w:b/>
                <w:sz w:val="20"/>
                <w:szCs w:val="20"/>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1985C69"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b/>
                <w:sz w:val="20"/>
                <w:szCs w:val="20"/>
              </w:rPr>
            </w:pPr>
            <w:r w:rsidRPr="004E0D51">
              <w:rPr>
                <w:rFonts w:ascii="Times New Roman" w:hAnsi="Times New Roman"/>
                <w:b/>
                <w:sz w:val="20"/>
                <w:szCs w:val="20"/>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D1DECC7"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b/>
                <w:sz w:val="20"/>
                <w:szCs w:val="20"/>
              </w:rPr>
            </w:pPr>
            <w:r w:rsidRPr="004E0D51">
              <w:rPr>
                <w:rFonts w:ascii="Times New Roman" w:hAnsi="Times New Roman"/>
                <w:b/>
                <w:sz w:val="20"/>
                <w:szCs w:val="20"/>
              </w:rPr>
              <w:t>Change due to Adjustment in Estimate</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1176D2"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b/>
                <w:sz w:val="20"/>
                <w:szCs w:val="20"/>
              </w:rPr>
            </w:pPr>
            <w:r w:rsidRPr="004E0D51">
              <w:rPr>
                <w:rFonts w:ascii="Times New Roman" w:hAnsi="Times New Roman"/>
                <w:b/>
                <w:sz w:val="20"/>
                <w:szCs w:val="20"/>
              </w:rPr>
              <w:t>Change Due to Agency Discretion</w:t>
            </w:r>
          </w:p>
        </w:tc>
      </w:tr>
      <w:tr w:rsidR="00834DE8" w:rsidRPr="004E0D51" w14:paraId="20955B48" w14:textId="77777777" w:rsidTr="004E0D51">
        <w:trPr>
          <w:trHeight w:val="591"/>
        </w:trPr>
        <w:tc>
          <w:tcPr>
            <w:tcW w:w="2769" w:type="dxa"/>
            <w:tcBorders>
              <w:top w:val="single" w:sz="4" w:space="0" w:color="auto"/>
              <w:left w:val="single" w:sz="4" w:space="0" w:color="auto"/>
              <w:bottom w:val="single" w:sz="4" w:space="0" w:color="auto"/>
              <w:right w:val="single" w:sz="4" w:space="0" w:color="auto"/>
            </w:tcBorders>
            <w:hideMark/>
          </w:tcPr>
          <w:p w14:paraId="36AA5C03"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sz w:val="20"/>
                <w:szCs w:val="20"/>
              </w:rPr>
            </w:pPr>
            <w:r w:rsidRPr="004E0D51">
              <w:rPr>
                <w:rFonts w:ascii="Times New Roman" w:hAnsi="Times New Roman"/>
                <w:sz w:val="20"/>
                <w:szCs w:val="20"/>
              </w:rPr>
              <w:t>Annual Number of Responses</w:t>
            </w:r>
          </w:p>
        </w:tc>
        <w:tc>
          <w:tcPr>
            <w:tcW w:w="1779" w:type="dxa"/>
            <w:tcBorders>
              <w:top w:val="single" w:sz="4" w:space="0" w:color="auto"/>
              <w:left w:val="single" w:sz="4" w:space="0" w:color="auto"/>
              <w:bottom w:val="single" w:sz="4" w:space="0" w:color="auto"/>
              <w:right w:val="single" w:sz="4" w:space="0" w:color="auto"/>
            </w:tcBorders>
            <w:vAlign w:val="center"/>
          </w:tcPr>
          <w:p w14:paraId="4098A5E6" w14:textId="6CB37003" w:rsidR="00834DE8" w:rsidRPr="004E0D51" w:rsidRDefault="00367412" w:rsidP="004E0D5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1</w:t>
            </w:r>
          </w:p>
        </w:tc>
        <w:tc>
          <w:tcPr>
            <w:tcW w:w="1959" w:type="dxa"/>
            <w:tcBorders>
              <w:top w:val="single" w:sz="4" w:space="0" w:color="auto"/>
              <w:left w:val="single" w:sz="4" w:space="0" w:color="auto"/>
              <w:bottom w:val="single" w:sz="4" w:space="0" w:color="auto"/>
              <w:right w:val="single" w:sz="4" w:space="0" w:color="auto"/>
            </w:tcBorders>
            <w:vAlign w:val="center"/>
          </w:tcPr>
          <w:p w14:paraId="3B2134FB" w14:textId="50AE2545" w:rsidR="00834DE8" w:rsidRPr="004E0D51" w:rsidRDefault="00367412" w:rsidP="004E0D5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1</w:t>
            </w:r>
          </w:p>
        </w:tc>
        <w:tc>
          <w:tcPr>
            <w:tcW w:w="1958" w:type="dxa"/>
            <w:tcBorders>
              <w:top w:val="single" w:sz="4" w:space="0" w:color="auto"/>
              <w:left w:val="single" w:sz="4" w:space="0" w:color="auto"/>
              <w:bottom w:val="single" w:sz="4" w:space="0" w:color="auto"/>
              <w:right w:val="single" w:sz="4" w:space="0" w:color="auto"/>
            </w:tcBorders>
            <w:vAlign w:val="center"/>
          </w:tcPr>
          <w:p w14:paraId="03FA6584" w14:textId="6B601514" w:rsidR="00834DE8" w:rsidRPr="004E0D51" w:rsidRDefault="00367412" w:rsidP="004E0D5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0</w:t>
            </w:r>
          </w:p>
        </w:tc>
        <w:tc>
          <w:tcPr>
            <w:tcW w:w="1795" w:type="dxa"/>
            <w:tcBorders>
              <w:top w:val="single" w:sz="4" w:space="0" w:color="auto"/>
              <w:left w:val="single" w:sz="4" w:space="0" w:color="auto"/>
              <w:bottom w:val="single" w:sz="4" w:space="0" w:color="auto"/>
              <w:right w:val="single" w:sz="4" w:space="0" w:color="auto"/>
            </w:tcBorders>
            <w:vAlign w:val="center"/>
          </w:tcPr>
          <w:p w14:paraId="381534BF" w14:textId="4AB82EEC" w:rsidR="00834DE8" w:rsidRPr="004E0D51" w:rsidRDefault="00446153" w:rsidP="004E0D51">
            <w:pPr>
              <w:widowControl w:val="0"/>
              <w:autoSpaceDE w:val="0"/>
              <w:autoSpaceDN w:val="0"/>
              <w:adjustRightInd w:val="0"/>
              <w:spacing w:after="0" w:line="240" w:lineRule="auto"/>
              <w:jc w:val="right"/>
              <w:rPr>
                <w:rFonts w:ascii="Times New Roman" w:hAnsi="Times New Roman"/>
                <w:sz w:val="20"/>
                <w:szCs w:val="20"/>
              </w:rPr>
            </w:pPr>
            <w:r w:rsidRPr="004E0D51">
              <w:rPr>
                <w:rFonts w:ascii="Times New Roman" w:hAnsi="Times New Roman"/>
                <w:sz w:val="20"/>
                <w:szCs w:val="20"/>
              </w:rPr>
              <w:t>0</w:t>
            </w:r>
          </w:p>
        </w:tc>
      </w:tr>
      <w:tr w:rsidR="00834DE8" w:rsidRPr="004E0D51" w14:paraId="5D2EBEE4" w14:textId="77777777" w:rsidTr="004E0D51">
        <w:trPr>
          <w:trHeight w:val="575"/>
        </w:trPr>
        <w:tc>
          <w:tcPr>
            <w:tcW w:w="2769" w:type="dxa"/>
            <w:tcBorders>
              <w:top w:val="single" w:sz="4" w:space="0" w:color="auto"/>
              <w:left w:val="single" w:sz="4" w:space="0" w:color="auto"/>
              <w:bottom w:val="single" w:sz="4" w:space="0" w:color="auto"/>
              <w:right w:val="single" w:sz="4" w:space="0" w:color="auto"/>
            </w:tcBorders>
            <w:hideMark/>
          </w:tcPr>
          <w:p w14:paraId="1CDB8F1B"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sz w:val="20"/>
                <w:szCs w:val="20"/>
              </w:rPr>
            </w:pPr>
            <w:r w:rsidRPr="004E0D51">
              <w:rPr>
                <w:rFonts w:ascii="Times New Roman" w:hAnsi="Times New Roman"/>
                <w:sz w:val="20"/>
                <w:szCs w:val="20"/>
              </w:rPr>
              <w:t>Annual Time Burden (</w:t>
            </w:r>
            <w:proofErr w:type="spellStart"/>
            <w:r w:rsidRPr="004E0D51">
              <w:rPr>
                <w:rFonts w:ascii="Times New Roman" w:hAnsi="Times New Roman"/>
                <w:sz w:val="20"/>
                <w:szCs w:val="20"/>
              </w:rPr>
              <w:t>Hr</w:t>
            </w:r>
            <w:proofErr w:type="spellEnd"/>
            <w:r w:rsidRPr="004E0D51">
              <w:rPr>
                <w:rFonts w:ascii="Times New Roman" w:hAnsi="Times New Roman"/>
                <w:sz w:val="20"/>
                <w:szCs w:val="20"/>
              </w:rPr>
              <w:t>)</w:t>
            </w:r>
          </w:p>
        </w:tc>
        <w:tc>
          <w:tcPr>
            <w:tcW w:w="1779" w:type="dxa"/>
            <w:tcBorders>
              <w:top w:val="single" w:sz="4" w:space="0" w:color="auto"/>
              <w:left w:val="single" w:sz="4" w:space="0" w:color="auto"/>
              <w:bottom w:val="single" w:sz="4" w:space="0" w:color="auto"/>
              <w:right w:val="single" w:sz="4" w:space="0" w:color="auto"/>
            </w:tcBorders>
            <w:vAlign w:val="center"/>
          </w:tcPr>
          <w:p w14:paraId="2E0DD042" w14:textId="19772B58" w:rsidR="00834DE8" w:rsidRPr="004E0D51" w:rsidRDefault="00367412" w:rsidP="004E0D5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73</w:t>
            </w:r>
          </w:p>
        </w:tc>
        <w:tc>
          <w:tcPr>
            <w:tcW w:w="1959" w:type="dxa"/>
            <w:tcBorders>
              <w:top w:val="single" w:sz="4" w:space="0" w:color="auto"/>
              <w:left w:val="single" w:sz="4" w:space="0" w:color="auto"/>
              <w:bottom w:val="single" w:sz="4" w:space="0" w:color="auto"/>
              <w:right w:val="single" w:sz="4" w:space="0" w:color="auto"/>
            </w:tcBorders>
            <w:vAlign w:val="center"/>
          </w:tcPr>
          <w:p w14:paraId="62FB3876" w14:textId="1BD116AD" w:rsidR="00834DE8" w:rsidRPr="004E0D51" w:rsidRDefault="00367412" w:rsidP="004E0D5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73</w:t>
            </w:r>
          </w:p>
        </w:tc>
        <w:tc>
          <w:tcPr>
            <w:tcW w:w="1958" w:type="dxa"/>
            <w:tcBorders>
              <w:top w:val="single" w:sz="4" w:space="0" w:color="auto"/>
              <w:left w:val="single" w:sz="4" w:space="0" w:color="auto"/>
              <w:bottom w:val="single" w:sz="4" w:space="0" w:color="auto"/>
              <w:right w:val="single" w:sz="4" w:space="0" w:color="auto"/>
            </w:tcBorders>
            <w:vAlign w:val="center"/>
          </w:tcPr>
          <w:p w14:paraId="5AB1E174" w14:textId="5554A4C7" w:rsidR="00834DE8" w:rsidRPr="004E0D51" w:rsidRDefault="00367412" w:rsidP="004E0D5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0</w:t>
            </w:r>
          </w:p>
        </w:tc>
        <w:tc>
          <w:tcPr>
            <w:tcW w:w="1795" w:type="dxa"/>
            <w:tcBorders>
              <w:top w:val="single" w:sz="4" w:space="0" w:color="auto"/>
              <w:left w:val="single" w:sz="4" w:space="0" w:color="auto"/>
              <w:bottom w:val="single" w:sz="4" w:space="0" w:color="auto"/>
              <w:right w:val="single" w:sz="4" w:space="0" w:color="auto"/>
            </w:tcBorders>
            <w:vAlign w:val="center"/>
          </w:tcPr>
          <w:p w14:paraId="75231021" w14:textId="16ECFA77" w:rsidR="00834DE8" w:rsidRPr="004E0D51" w:rsidRDefault="00446153" w:rsidP="004E0D51">
            <w:pPr>
              <w:widowControl w:val="0"/>
              <w:autoSpaceDE w:val="0"/>
              <w:autoSpaceDN w:val="0"/>
              <w:adjustRightInd w:val="0"/>
              <w:spacing w:after="0" w:line="240" w:lineRule="auto"/>
              <w:jc w:val="right"/>
              <w:rPr>
                <w:rFonts w:ascii="Times New Roman" w:hAnsi="Times New Roman"/>
                <w:sz w:val="20"/>
                <w:szCs w:val="20"/>
              </w:rPr>
            </w:pPr>
            <w:r w:rsidRPr="004E0D51">
              <w:rPr>
                <w:rFonts w:ascii="Times New Roman" w:hAnsi="Times New Roman"/>
                <w:sz w:val="20"/>
                <w:szCs w:val="20"/>
              </w:rPr>
              <w:t>0</w:t>
            </w:r>
          </w:p>
        </w:tc>
      </w:tr>
      <w:tr w:rsidR="00834DE8" w:rsidRPr="004E0D51" w14:paraId="53760B24" w14:textId="77777777" w:rsidTr="004E0D51">
        <w:trPr>
          <w:trHeight w:val="295"/>
        </w:trPr>
        <w:tc>
          <w:tcPr>
            <w:tcW w:w="2769" w:type="dxa"/>
            <w:tcBorders>
              <w:top w:val="single" w:sz="4" w:space="0" w:color="auto"/>
              <w:left w:val="single" w:sz="4" w:space="0" w:color="auto"/>
              <w:bottom w:val="single" w:sz="4" w:space="0" w:color="auto"/>
              <w:right w:val="single" w:sz="4" w:space="0" w:color="auto"/>
            </w:tcBorders>
            <w:hideMark/>
          </w:tcPr>
          <w:p w14:paraId="655E293C" w14:textId="77777777" w:rsidR="00834DE8" w:rsidRPr="004E0D51" w:rsidRDefault="00834DE8" w:rsidP="004E0D51">
            <w:pPr>
              <w:widowControl w:val="0"/>
              <w:autoSpaceDE w:val="0"/>
              <w:autoSpaceDN w:val="0"/>
              <w:adjustRightInd w:val="0"/>
              <w:spacing w:after="0" w:line="240" w:lineRule="auto"/>
              <w:jc w:val="center"/>
              <w:rPr>
                <w:rFonts w:ascii="Times New Roman" w:hAnsi="Times New Roman"/>
                <w:sz w:val="20"/>
                <w:szCs w:val="20"/>
              </w:rPr>
            </w:pPr>
            <w:r w:rsidRPr="004E0D51">
              <w:rPr>
                <w:rFonts w:ascii="Times New Roman" w:hAnsi="Times New Roman"/>
                <w:sz w:val="20"/>
                <w:szCs w:val="20"/>
              </w:rPr>
              <w:t>Annual Cost Burden ($)</w:t>
            </w:r>
          </w:p>
        </w:tc>
        <w:tc>
          <w:tcPr>
            <w:tcW w:w="1779" w:type="dxa"/>
            <w:tcBorders>
              <w:top w:val="single" w:sz="4" w:space="0" w:color="auto"/>
              <w:left w:val="single" w:sz="4" w:space="0" w:color="auto"/>
              <w:bottom w:val="single" w:sz="4" w:space="0" w:color="auto"/>
              <w:right w:val="single" w:sz="4" w:space="0" w:color="auto"/>
            </w:tcBorders>
            <w:vAlign w:val="center"/>
          </w:tcPr>
          <w:p w14:paraId="6860DF07" w14:textId="73121D1E" w:rsidR="00834DE8" w:rsidRPr="004E0D51" w:rsidRDefault="00446153" w:rsidP="004E0D51">
            <w:pPr>
              <w:widowControl w:val="0"/>
              <w:autoSpaceDE w:val="0"/>
              <w:autoSpaceDN w:val="0"/>
              <w:adjustRightInd w:val="0"/>
              <w:spacing w:after="0" w:line="240" w:lineRule="auto"/>
              <w:jc w:val="right"/>
              <w:rPr>
                <w:rFonts w:ascii="Times New Roman" w:hAnsi="Times New Roman"/>
                <w:sz w:val="20"/>
                <w:szCs w:val="20"/>
              </w:rPr>
            </w:pPr>
            <w:r w:rsidRPr="004E0D51">
              <w:rPr>
                <w:rFonts w:ascii="Times New Roman" w:hAnsi="Times New Roman"/>
                <w:sz w:val="20"/>
                <w:szCs w:val="20"/>
              </w:rPr>
              <w:t>0</w:t>
            </w:r>
          </w:p>
        </w:tc>
        <w:tc>
          <w:tcPr>
            <w:tcW w:w="1959" w:type="dxa"/>
            <w:tcBorders>
              <w:top w:val="single" w:sz="4" w:space="0" w:color="auto"/>
              <w:left w:val="single" w:sz="4" w:space="0" w:color="auto"/>
              <w:bottom w:val="single" w:sz="4" w:space="0" w:color="auto"/>
              <w:right w:val="single" w:sz="4" w:space="0" w:color="auto"/>
            </w:tcBorders>
            <w:vAlign w:val="center"/>
          </w:tcPr>
          <w:p w14:paraId="6758EF86" w14:textId="5FEFC405" w:rsidR="00834DE8" w:rsidRPr="004E0D51" w:rsidRDefault="00446153" w:rsidP="004E0D51">
            <w:pPr>
              <w:widowControl w:val="0"/>
              <w:autoSpaceDE w:val="0"/>
              <w:autoSpaceDN w:val="0"/>
              <w:adjustRightInd w:val="0"/>
              <w:spacing w:after="0" w:line="240" w:lineRule="auto"/>
              <w:jc w:val="right"/>
              <w:rPr>
                <w:rFonts w:ascii="Times New Roman" w:hAnsi="Times New Roman"/>
                <w:sz w:val="20"/>
                <w:szCs w:val="20"/>
              </w:rPr>
            </w:pPr>
            <w:r w:rsidRPr="004E0D51">
              <w:rPr>
                <w:rFonts w:ascii="Times New Roman" w:hAnsi="Times New Roman"/>
                <w:sz w:val="20"/>
                <w:szCs w:val="20"/>
              </w:rPr>
              <w:t>0</w:t>
            </w:r>
          </w:p>
        </w:tc>
        <w:tc>
          <w:tcPr>
            <w:tcW w:w="1958" w:type="dxa"/>
            <w:tcBorders>
              <w:top w:val="single" w:sz="4" w:space="0" w:color="auto"/>
              <w:left w:val="single" w:sz="4" w:space="0" w:color="auto"/>
              <w:bottom w:val="single" w:sz="4" w:space="0" w:color="auto"/>
              <w:right w:val="single" w:sz="4" w:space="0" w:color="auto"/>
            </w:tcBorders>
            <w:vAlign w:val="center"/>
          </w:tcPr>
          <w:p w14:paraId="59E9DBAB" w14:textId="36EA046A" w:rsidR="00834DE8" w:rsidRPr="004E0D51" w:rsidRDefault="00446153" w:rsidP="004E0D51">
            <w:pPr>
              <w:widowControl w:val="0"/>
              <w:autoSpaceDE w:val="0"/>
              <w:autoSpaceDN w:val="0"/>
              <w:adjustRightInd w:val="0"/>
              <w:spacing w:after="0" w:line="240" w:lineRule="auto"/>
              <w:jc w:val="right"/>
              <w:rPr>
                <w:rFonts w:ascii="Times New Roman" w:hAnsi="Times New Roman"/>
                <w:sz w:val="20"/>
                <w:szCs w:val="20"/>
              </w:rPr>
            </w:pPr>
            <w:r w:rsidRPr="004E0D51">
              <w:rPr>
                <w:rFonts w:ascii="Times New Roman" w:hAnsi="Times New Roman"/>
                <w:sz w:val="20"/>
                <w:szCs w:val="20"/>
              </w:rPr>
              <w:t>0</w:t>
            </w:r>
          </w:p>
        </w:tc>
        <w:tc>
          <w:tcPr>
            <w:tcW w:w="1795" w:type="dxa"/>
            <w:tcBorders>
              <w:top w:val="single" w:sz="4" w:space="0" w:color="auto"/>
              <w:left w:val="single" w:sz="4" w:space="0" w:color="auto"/>
              <w:bottom w:val="single" w:sz="4" w:space="0" w:color="auto"/>
              <w:right w:val="single" w:sz="4" w:space="0" w:color="auto"/>
            </w:tcBorders>
            <w:vAlign w:val="center"/>
          </w:tcPr>
          <w:p w14:paraId="7B9D0FDA" w14:textId="1C515BD5" w:rsidR="00834DE8" w:rsidRPr="004E0D51" w:rsidRDefault="00446153" w:rsidP="004E0D51">
            <w:pPr>
              <w:widowControl w:val="0"/>
              <w:autoSpaceDE w:val="0"/>
              <w:autoSpaceDN w:val="0"/>
              <w:adjustRightInd w:val="0"/>
              <w:spacing w:after="0" w:line="240" w:lineRule="auto"/>
              <w:jc w:val="right"/>
              <w:rPr>
                <w:rFonts w:ascii="Times New Roman" w:hAnsi="Times New Roman"/>
                <w:sz w:val="20"/>
                <w:szCs w:val="20"/>
              </w:rPr>
            </w:pPr>
            <w:r w:rsidRPr="004E0D51">
              <w:rPr>
                <w:rFonts w:ascii="Times New Roman" w:hAnsi="Times New Roman"/>
                <w:sz w:val="20"/>
                <w:szCs w:val="20"/>
              </w:rPr>
              <w:t>0</w:t>
            </w:r>
          </w:p>
        </w:tc>
      </w:tr>
    </w:tbl>
    <w:p w14:paraId="7296421C" w14:textId="77777777" w:rsidR="00834DE8" w:rsidRDefault="00834DE8" w:rsidP="00834DE8">
      <w:pPr>
        <w:rPr>
          <w:rFonts w:ascii="Times New Roman" w:hAnsi="Times New Roman" w:cs="Times New Roman"/>
          <w:sz w:val="26"/>
          <w:szCs w:val="26"/>
        </w:rPr>
      </w:pPr>
    </w:p>
    <w:p w14:paraId="09732ACE" w14:textId="77777777" w:rsidR="00834DE8" w:rsidRPr="00D27CC7" w:rsidRDefault="00834DE8" w:rsidP="00834DE8">
      <w:pPr>
        <w:rPr>
          <w:rFonts w:ascii="Times New Roman" w:hAnsi="Times New Roman" w:cs="Times New Roman"/>
          <w:sz w:val="26"/>
          <w:szCs w:val="26"/>
        </w:rPr>
      </w:pPr>
      <w:r w:rsidRPr="00D27CC7">
        <w:rPr>
          <w:rFonts w:ascii="Times New Roman" w:hAnsi="Times New Roman"/>
          <w:bCs/>
          <w:sz w:val="26"/>
          <w:szCs w:val="26"/>
        </w:rPr>
        <w:lastRenderedPageBreak/>
        <w:t>The format, labels, and definitions of the table above follow the ROCIS system’s “ICR Summary of Burden” for the meta-data.</w:t>
      </w:r>
    </w:p>
    <w:p w14:paraId="223DD36A"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TIME SCHEDULE FOR THE PUBLICATION OF DATA</w:t>
      </w:r>
    </w:p>
    <w:p w14:paraId="38E45449" w14:textId="77777777" w:rsidR="00D27CC7" w:rsidRPr="00D27CC7" w:rsidRDefault="00D27CC7" w:rsidP="00D27CC7">
      <w:pPr>
        <w:widowControl w:val="0"/>
        <w:autoSpaceDE w:val="0"/>
        <w:autoSpaceDN w:val="0"/>
        <w:adjustRightInd w:val="0"/>
        <w:spacing w:after="0" w:line="240" w:lineRule="auto"/>
        <w:rPr>
          <w:rFonts w:ascii="Times New Roman" w:hAnsi="Times New Roman" w:cs="Times New Roman"/>
          <w:sz w:val="26"/>
          <w:szCs w:val="26"/>
        </w:rPr>
      </w:pPr>
    </w:p>
    <w:p w14:paraId="2A825900" w14:textId="77777777" w:rsidR="002B7FAC" w:rsidRPr="00D27CC7" w:rsidRDefault="002B7FAC" w:rsidP="00D27CC7">
      <w:pPr>
        <w:rPr>
          <w:rFonts w:ascii="Times New Roman" w:hAnsi="Times New Roman" w:cs="Times New Roman"/>
          <w:bCs/>
          <w:sz w:val="26"/>
          <w:szCs w:val="26"/>
        </w:rPr>
      </w:pPr>
      <w:r w:rsidRPr="00D27CC7">
        <w:rPr>
          <w:rFonts w:ascii="Times New Roman" w:hAnsi="Times New Roman" w:cs="Times New Roman"/>
          <w:bCs/>
          <w:sz w:val="26"/>
          <w:szCs w:val="26"/>
        </w:rPr>
        <w:t>There is no data published as a result of this collection.</w:t>
      </w:r>
    </w:p>
    <w:p w14:paraId="659D1EBA" w14:textId="77777777" w:rsidR="002B7FAC" w:rsidRPr="001668FC"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DISPLAY OF THE EXPIRATION DATE</w:t>
      </w:r>
    </w:p>
    <w:p w14:paraId="335ED232" w14:textId="77777777" w:rsidR="001668FC" w:rsidRPr="00D27CC7" w:rsidRDefault="001668FC" w:rsidP="001668FC">
      <w:pPr>
        <w:widowControl w:val="0"/>
        <w:autoSpaceDE w:val="0"/>
        <w:autoSpaceDN w:val="0"/>
        <w:adjustRightInd w:val="0"/>
        <w:spacing w:after="0" w:line="240" w:lineRule="auto"/>
        <w:ind w:left="360"/>
        <w:rPr>
          <w:rFonts w:ascii="Times New Roman" w:hAnsi="Times New Roman" w:cs="Times New Roman"/>
          <w:sz w:val="26"/>
          <w:szCs w:val="26"/>
        </w:rPr>
      </w:pPr>
    </w:p>
    <w:p w14:paraId="32192031" w14:textId="02AD49AC" w:rsidR="002B7FAC" w:rsidRPr="00D27CC7" w:rsidRDefault="002B7FAC" w:rsidP="002B7FAC">
      <w:pPr>
        <w:rPr>
          <w:rFonts w:ascii="Times New Roman" w:hAnsi="Times New Roman" w:cs="Times New Roman"/>
          <w:sz w:val="26"/>
          <w:szCs w:val="26"/>
        </w:rPr>
      </w:pPr>
      <w:r w:rsidRPr="00D27CC7">
        <w:rPr>
          <w:rFonts w:ascii="Times New Roman" w:hAnsi="Times New Roman" w:cs="Times New Roman"/>
          <w:sz w:val="26"/>
          <w:szCs w:val="26"/>
        </w:rPr>
        <w:t xml:space="preserve">The expiration date is displayed in a table posted on ferc.gov at </w:t>
      </w:r>
      <w:hyperlink r:id="rId14" w:history="1">
        <w:r w:rsidRPr="00D27CC7">
          <w:rPr>
            <w:rStyle w:val="Hyperlink"/>
            <w:rFonts w:ascii="Times New Roman" w:hAnsi="Times New Roman" w:cs="Times New Roman"/>
            <w:sz w:val="26"/>
            <w:szCs w:val="26"/>
          </w:rPr>
          <w:t>http://www.ferc.gov/docs-filing/info-collections.asp</w:t>
        </w:r>
      </w:hyperlink>
      <w:r w:rsidRPr="00D27CC7">
        <w:rPr>
          <w:rFonts w:ascii="Times New Roman" w:hAnsi="Times New Roman" w:cs="Times New Roman"/>
          <w:sz w:val="26"/>
          <w:szCs w:val="26"/>
        </w:rPr>
        <w:t>.</w:t>
      </w:r>
      <w:r w:rsidR="008B2154">
        <w:rPr>
          <w:rFonts w:ascii="Times New Roman" w:hAnsi="Times New Roman" w:cs="Times New Roman"/>
          <w:sz w:val="26"/>
          <w:szCs w:val="26"/>
        </w:rPr>
        <w:t xml:space="preserve"> </w:t>
      </w:r>
    </w:p>
    <w:p w14:paraId="08F4C235" w14:textId="77777777" w:rsidR="002B7FAC" w:rsidRPr="00D27CC7" w:rsidRDefault="002B7FAC" w:rsidP="002B7FAC">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D27CC7">
        <w:rPr>
          <w:rFonts w:ascii="Times New Roman" w:hAnsi="Times New Roman" w:cs="Times New Roman"/>
          <w:b/>
          <w:bCs/>
          <w:sz w:val="26"/>
          <w:szCs w:val="26"/>
        </w:rPr>
        <w:t>EXCEPTIONS TO THE CERTIFICATION STATEMENT</w:t>
      </w:r>
    </w:p>
    <w:p w14:paraId="30CB2CE4" w14:textId="77777777" w:rsidR="00D27CC7" w:rsidRPr="00D27CC7" w:rsidRDefault="00D27CC7" w:rsidP="00D27CC7">
      <w:pPr>
        <w:widowControl w:val="0"/>
        <w:autoSpaceDE w:val="0"/>
        <w:autoSpaceDN w:val="0"/>
        <w:adjustRightInd w:val="0"/>
        <w:spacing w:after="0" w:line="240" w:lineRule="auto"/>
        <w:ind w:left="360"/>
        <w:rPr>
          <w:rFonts w:ascii="Times New Roman" w:hAnsi="Times New Roman" w:cs="Times New Roman"/>
          <w:sz w:val="26"/>
          <w:szCs w:val="26"/>
        </w:rPr>
      </w:pPr>
    </w:p>
    <w:p w14:paraId="7D860529" w14:textId="6E39BEA4" w:rsidR="002B7FAC" w:rsidRPr="00D27CC7" w:rsidRDefault="002B7FAC" w:rsidP="002B7FAC">
      <w:pPr>
        <w:rPr>
          <w:rFonts w:ascii="Times New Roman" w:hAnsi="Times New Roman" w:cs="Times New Roman"/>
          <w:sz w:val="26"/>
          <w:szCs w:val="26"/>
        </w:rPr>
      </w:pPr>
      <w:r w:rsidRPr="00D27CC7">
        <w:rPr>
          <w:rFonts w:ascii="Times New Roman" w:hAnsi="Times New Roman" w:cs="Times New Roman"/>
          <w:sz w:val="26"/>
          <w:szCs w:val="26"/>
        </w:rPr>
        <w:t>The data collected for this reporting requirement is not used for statistical purposes.  Therefore, the Commission does not use</w:t>
      </w:r>
      <w:r w:rsidR="00B35257">
        <w:rPr>
          <w:rFonts w:ascii="Times New Roman" w:hAnsi="Times New Roman" w:cs="Times New Roman"/>
          <w:sz w:val="26"/>
          <w:szCs w:val="26"/>
        </w:rPr>
        <w:t>,</w:t>
      </w:r>
      <w:r w:rsidRPr="00D27CC7">
        <w:rPr>
          <w:rFonts w:ascii="Times New Roman" w:hAnsi="Times New Roman" w:cs="Times New Roman"/>
          <w:sz w:val="26"/>
          <w:szCs w:val="26"/>
        </w:rPr>
        <w:t xml:space="preserve"> as stated in item (</w:t>
      </w:r>
      <w:proofErr w:type="spellStart"/>
      <w:r w:rsidRPr="00D27CC7">
        <w:rPr>
          <w:rFonts w:ascii="Times New Roman" w:hAnsi="Times New Roman" w:cs="Times New Roman"/>
          <w:sz w:val="26"/>
          <w:szCs w:val="26"/>
        </w:rPr>
        <w:t>i</w:t>
      </w:r>
      <w:proofErr w:type="spellEnd"/>
      <w:r w:rsidRPr="00D27CC7">
        <w:rPr>
          <w:rFonts w:ascii="Times New Roman" w:hAnsi="Times New Roman" w:cs="Times New Roman"/>
          <w:sz w:val="26"/>
          <w:szCs w:val="26"/>
        </w:rPr>
        <w:t>) of the certification to OMB</w:t>
      </w:r>
      <w:r w:rsidR="00B35257">
        <w:rPr>
          <w:rFonts w:ascii="Times New Roman" w:hAnsi="Times New Roman" w:cs="Times New Roman"/>
          <w:sz w:val="26"/>
          <w:szCs w:val="26"/>
        </w:rPr>
        <w:t>,</w:t>
      </w:r>
      <w:r w:rsidRPr="00D27CC7">
        <w:rPr>
          <w:rFonts w:ascii="Times New Roman" w:hAnsi="Times New Roman" w:cs="Times New Roman"/>
          <w:sz w:val="26"/>
          <w:szCs w:val="26"/>
        </w:rPr>
        <w:t xml:space="preserve"> "effective and efficient st</w:t>
      </w:r>
      <w:r w:rsidR="000906A8">
        <w:rPr>
          <w:rFonts w:ascii="Times New Roman" w:hAnsi="Times New Roman" w:cs="Times New Roman"/>
          <w:sz w:val="26"/>
          <w:szCs w:val="26"/>
        </w:rPr>
        <w:t>atistical survey methodology."</w:t>
      </w:r>
    </w:p>
    <w:p w14:paraId="1980EA09" w14:textId="77777777" w:rsidR="002B7FAC" w:rsidRPr="00D27CC7" w:rsidRDefault="002B7FAC" w:rsidP="002B7FAC">
      <w:pPr>
        <w:tabs>
          <w:tab w:val="left" w:pos="3320"/>
        </w:tabs>
        <w:rPr>
          <w:rFonts w:ascii="Times New Roman" w:hAnsi="Times New Roman" w:cs="Times New Roman"/>
          <w:b/>
          <w:sz w:val="26"/>
          <w:szCs w:val="26"/>
        </w:rPr>
      </w:pPr>
    </w:p>
    <w:p w14:paraId="019F23BB" w14:textId="77777777" w:rsidR="0010764F" w:rsidRPr="005D7C1B" w:rsidRDefault="0010764F" w:rsidP="005D7C1B">
      <w:pPr>
        <w:tabs>
          <w:tab w:val="left" w:pos="2980"/>
        </w:tabs>
        <w:rPr>
          <w:sz w:val="26"/>
          <w:szCs w:val="26"/>
        </w:rPr>
      </w:pPr>
    </w:p>
    <w:sectPr w:rsidR="0010764F" w:rsidRPr="005D7C1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FDFA8" w14:textId="77777777" w:rsidR="007C762E" w:rsidRDefault="007C762E" w:rsidP="002B7FAC">
      <w:pPr>
        <w:spacing w:after="0" w:line="240" w:lineRule="auto"/>
      </w:pPr>
      <w:r>
        <w:separator/>
      </w:r>
    </w:p>
  </w:endnote>
  <w:endnote w:type="continuationSeparator" w:id="0">
    <w:p w14:paraId="3A74B8A2" w14:textId="77777777" w:rsidR="007C762E" w:rsidRDefault="007C762E" w:rsidP="002B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D4FE9" w14:textId="77777777" w:rsidR="007C762E" w:rsidRDefault="007C762E" w:rsidP="002B7FAC">
      <w:pPr>
        <w:spacing w:after="0" w:line="240" w:lineRule="auto"/>
      </w:pPr>
      <w:r>
        <w:separator/>
      </w:r>
    </w:p>
  </w:footnote>
  <w:footnote w:type="continuationSeparator" w:id="0">
    <w:p w14:paraId="0ED9D574" w14:textId="77777777" w:rsidR="007C762E" w:rsidRDefault="007C762E" w:rsidP="002B7FAC">
      <w:pPr>
        <w:spacing w:after="0" w:line="240" w:lineRule="auto"/>
      </w:pPr>
      <w:r>
        <w:continuationSeparator/>
      </w:r>
    </w:p>
  </w:footnote>
  <w:footnote w:id="1">
    <w:p w14:paraId="0EC56EF4" w14:textId="77777777" w:rsidR="00F16E73" w:rsidRDefault="00F16E73" w:rsidP="00F16E73">
      <w:pPr>
        <w:pStyle w:val="FootnoteText"/>
      </w:pPr>
      <w:r>
        <w:rPr>
          <w:rStyle w:val="FootnoteReference"/>
        </w:rPr>
        <w:footnoteRef/>
      </w:r>
      <w:r>
        <w:t xml:space="preserve"> </w:t>
      </w:r>
      <w:r w:rsidRPr="008427B7">
        <w:rPr>
          <w:bCs/>
        </w:rPr>
        <w:t>Pub. L. 95-617, 92 Stat. 3117</w:t>
      </w:r>
    </w:p>
  </w:footnote>
  <w:footnote w:id="2">
    <w:p w14:paraId="473E44D5" w14:textId="352CE8A0" w:rsidR="00F16E73" w:rsidRPr="0088183B" w:rsidRDefault="00F16E73" w:rsidP="00F16E73">
      <w:pPr>
        <w:pStyle w:val="FootnoteText"/>
      </w:pPr>
      <w:r>
        <w:rPr>
          <w:rStyle w:val="FootnoteReference"/>
        </w:rPr>
        <w:footnoteRef/>
      </w:r>
      <w:r w:rsidR="00BF615C">
        <w:t xml:space="preserve"> </w:t>
      </w:r>
      <w:hyperlink r:id="rId1" w:history="1">
        <w:r w:rsidRPr="00BA7337">
          <w:rPr>
            <w:rStyle w:val="Hyperlink"/>
          </w:rPr>
          <w:t>Order No. 575</w:t>
        </w:r>
      </w:hyperlink>
    </w:p>
  </w:footnote>
  <w:footnote w:id="3">
    <w:p w14:paraId="3AE37014" w14:textId="77777777" w:rsidR="00F16E73" w:rsidRPr="00F00AB8" w:rsidRDefault="00F16E73" w:rsidP="00F16E73">
      <w:pPr>
        <w:pStyle w:val="FootnoteText"/>
      </w:pPr>
      <w:r>
        <w:rPr>
          <w:rStyle w:val="FootnoteReference"/>
        </w:rPr>
        <w:footnoteRef/>
      </w:r>
      <w:r>
        <w:t xml:space="preserve"> </w:t>
      </w:r>
      <w:hyperlink r:id="rId2" w:history="1">
        <w:r w:rsidRPr="00F00AB8">
          <w:rPr>
            <w:rStyle w:val="Hyperlink"/>
          </w:rPr>
          <w:t>Order 659</w:t>
        </w:r>
      </w:hyperlink>
    </w:p>
  </w:footnote>
  <w:footnote w:id="4">
    <w:p w14:paraId="424F7ACB" w14:textId="77777777" w:rsidR="00F16E73" w:rsidRDefault="00F16E73" w:rsidP="00F16E73">
      <w:pPr>
        <w:pStyle w:val="FootnoteText"/>
      </w:pPr>
      <w:r>
        <w:rPr>
          <w:rStyle w:val="FootnoteReference"/>
        </w:rPr>
        <w:footnoteRef/>
      </w:r>
      <w:r>
        <w:t xml:space="preserve"> 18 CFR 294.101(a)</w:t>
      </w:r>
    </w:p>
  </w:footnote>
  <w:footnote w:id="5">
    <w:p w14:paraId="3733DC22" w14:textId="0EDCD725" w:rsidR="00A71698" w:rsidRPr="00BC3137" w:rsidRDefault="00A71698" w:rsidP="00A71698">
      <w:pPr>
        <w:pStyle w:val="FootnoteText"/>
      </w:pPr>
      <w:r w:rsidRPr="00BC3137">
        <w:footnoteRef/>
      </w:r>
      <w:r w:rsidR="00BC51BB">
        <w:t xml:space="preserve"> 80 FR 2405 (1/16/2015</w:t>
      </w:r>
      <w:r w:rsidRPr="00BC3137">
        <w:t>)</w:t>
      </w:r>
    </w:p>
  </w:footnote>
  <w:footnote w:id="6">
    <w:p w14:paraId="5C5BF6B2" w14:textId="77777777" w:rsidR="002E0164" w:rsidRDefault="002E0164" w:rsidP="002E0164">
      <w:pPr>
        <w:pStyle w:val="FootnoteText"/>
      </w:pPr>
      <w:r>
        <w:rPr>
          <w:rStyle w:val="FootnoteReference"/>
        </w:rPr>
        <w:footnoteRef/>
      </w:r>
      <w:r>
        <w:t xml:space="preserve"> 5 CFR 1320.8(d)</w:t>
      </w:r>
    </w:p>
  </w:footnote>
  <w:footnote w:id="7">
    <w:p w14:paraId="4F13EC13" w14:textId="6BC1443C" w:rsidR="002E0164" w:rsidRDefault="002E0164" w:rsidP="002E0164">
      <w:pPr>
        <w:pStyle w:val="FootnoteText"/>
      </w:pPr>
      <w:r>
        <w:rPr>
          <w:rStyle w:val="FootnoteReference"/>
        </w:rPr>
        <w:footnoteRef/>
      </w:r>
      <w:r>
        <w:t xml:space="preserve"> </w:t>
      </w:r>
      <w:r w:rsidR="000A45EA">
        <w:t>80 FR 2405</w:t>
      </w:r>
    </w:p>
  </w:footnote>
  <w:footnote w:id="8">
    <w:p w14:paraId="4A54647A" w14:textId="4460A610" w:rsidR="002E0164" w:rsidRDefault="002E0164" w:rsidP="002E0164">
      <w:pPr>
        <w:pStyle w:val="FootnoteText"/>
      </w:pPr>
      <w:r>
        <w:rPr>
          <w:rStyle w:val="FootnoteReference"/>
        </w:rPr>
        <w:footnoteRef/>
      </w:r>
      <w:r>
        <w:t xml:space="preserve"> </w:t>
      </w:r>
      <w:r w:rsidR="000A45EA">
        <w:t>80 FR 19305</w:t>
      </w:r>
    </w:p>
  </w:footnote>
  <w:footnote w:id="9">
    <w:p w14:paraId="2F097284" w14:textId="77777777" w:rsidR="002B7FAC" w:rsidRDefault="002B7FAC" w:rsidP="002B7FAC">
      <w:pPr>
        <w:pStyle w:val="FootnoteText"/>
      </w:pPr>
      <w:r>
        <w:rPr>
          <w:rStyle w:val="FootnoteReference"/>
        </w:rPr>
        <w:footnoteRef/>
      </w:r>
      <w:r>
        <w:t xml:space="preserve"> 18 CFR 388.112(a)(1)</w:t>
      </w:r>
    </w:p>
  </w:footnote>
  <w:footnote w:id="10">
    <w:p w14:paraId="187AF4CB" w14:textId="5F36A704" w:rsidR="00544875" w:rsidRPr="000906A8" w:rsidRDefault="00544875" w:rsidP="00544875">
      <w:pPr>
        <w:pStyle w:val="FootnoteText"/>
      </w:pPr>
      <w:r w:rsidRPr="000906A8">
        <w:rPr>
          <w:rStyle w:val="FootnoteReference"/>
        </w:rPr>
        <w:footnoteRef/>
      </w:r>
      <w:r w:rsidRPr="000906A8">
        <w:t xml:space="preserve"> </w:t>
      </w:r>
      <w:r w:rsidR="008B2154" w:rsidRPr="000906A8">
        <w:t>Based upon FERC’s 2015</w:t>
      </w:r>
      <w:r w:rsidRPr="000906A8">
        <w:t xml:space="preserve"> FTE averag</w:t>
      </w:r>
      <w:r w:rsidR="00BC51BB">
        <w:t>e salary plus benefits ($149,489</w:t>
      </w:r>
      <w:r w:rsidRPr="000906A8">
        <w:t>)</w:t>
      </w:r>
    </w:p>
  </w:footnote>
  <w:footnote w:id="11">
    <w:p w14:paraId="400DC41F" w14:textId="77777777" w:rsidR="00544875" w:rsidRPr="000906A8" w:rsidRDefault="00544875" w:rsidP="00544875">
      <w:pPr>
        <w:pStyle w:val="FootnoteText"/>
      </w:pPr>
      <w:r w:rsidRPr="000906A8">
        <w:rPr>
          <w:rStyle w:val="FootnoteReference"/>
        </w:rPr>
        <w:footnoteRef/>
      </w:r>
      <w:r w:rsidRPr="000906A8">
        <w:t xml:space="preserve"> Paperwork Reduction Act of 1995 (PRA)</w:t>
      </w:r>
    </w:p>
  </w:footnote>
  <w:footnote w:id="12">
    <w:p w14:paraId="6B29B1D3" w14:textId="54A0B2D0" w:rsidR="00544875" w:rsidRPr="006B6D60" w:rsidRDefault="00544875" w:rsidP="00544875">
      <w:pPr>
        <w:pStyle w:val="FootnoteText"/>
      </w:pPr>
      <w:r w:rsidRPr="000906A8">
        <w:rPr>
          <w:rStyle w:val="FootnoteReference"/>
        </w:rPr>
        <w:footnoteRef/>
      </w:r>
      <w:r w:rsidRPr="000906A8">
        <w:t xml:space="preserve"> The PRA Administrative Cost is a Federal Cost associated with preparing, issuing, and submitting materials necessary</w:t>
      </w:r>
      <w:r w:rsidRPr="006B6D60">
        <w:t xml:space="preserve">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 w:id="13">
    <w:p w14:paraId="548C81FB" w14:textId="71332D10" w:rsidR="000906A8" w:rsidRPr="000906A8" w:rsidRDefault="000906A8" w:rsidP="000906A8">
      <w:pPr>
        <w:pStyle w:val="FootnoteText"/>
      </w:pPr>
      <w:r w:rsidRPr="000906A8">
        <w:rPr>
          <w:rStyle w:val="FootnoteReference"/>
        </w:rPr>
        <w:footnoteRef/>
      </w:r>
      <w:r w:rsidRPr="000906A8">
        <w:t xml:space="preserve"> The estimates for cost per response are derived using the following formula: Average Burden Hou</w:t>
      </w:r>
      <w:r w:rsidR="00915C21">
        <w:t>rs per Response * 72</w:t>
      </w:r>
      <w:r w:rsidRPr="000906A8">
        <w:t>.00 per Hour = Average Cost per Response.  The Cost per hour figure is the 2015 FERC average salary plus benefits.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C8E6B" w14:textId="637285A6" w:rsidR="000C1E9C" w:rsidRDefault="00F16E73">
    <w:pPr>
      <w:pStyle w:val="Header"/>
      <w:rPr>
        <w:rFonts w:ascii="Times New Roman" w:hAnsi="Times New Roman" w:cs="Times New Roman"/>
        <w:sz w:val="26"/>
        <w:szCs w:val="26"/>
      </w:rPr>
    </w:pPr>
    <w:r>
      <w:rPr>
        <w:rFonts w:ascii="Times New Roman" w:hAnsi="Times New Roman" w:cs="Times New Roman"/>
        <w:sz w:val="26"/>
        <w:szCs w:val="26"/>
      </w:rPr>
      <w:t>FERC-585 supporting statement</w:t>
    </w:r>
  </w:p>
  <w:p w14:paraId="6BBD97B9" w14:textId="3B7E0B72" w:rsidR="00F16E73" w:rsidRPr="00F16E73" w:rsidRDefault="00F16E73">
    <w:pPr>
      <w:pStyle w:val="Header"/>
      <w:rPr>
        <w:rFonts w:ascii="Times New Roman" w:hAnsi="Times New Roman" w:cs="Times New Roman"/>
        <w:sz w:val="26"/>
        <w:szCs w:val="26"/>
      </w:rPr>
    </w:pPr>
    <w:r>
      <w:rPr>
        <w:rFonts w:ascii="Times New Roman" w:hAnsi="Times New Roman" w:cs="Times New Roman"/>
        <w:sz w:val="26"/>
        <w:szCs w:val="26"/>
      </w:rPr>
      <w:t>OMB Control No. 1902-0138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1080"/>
        </w:tabs>
        <w:ind w:left="108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8FB2C4E"/>
    <w:multiLevelType w:val="hybridMultilevel"/>
    <w:tmpl w:val="ADE80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C4F6AED"/>
    <w:multiLevelType w:val="hybridMultilevel"/>
    <w:tmpl w:val="A38A8B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F7578FF"/>
    <w:multiLevelType w:val="hybridMultilevel"/>
    <w:tmpl w:val="205CE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6F153DD"/>
    <w:multiLevelType w:val="hybridMultilevel"/>
    <w:tmpl w:val="01E4F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C9467C4"/>
    <w:multiLevelType w:val="hybridMultilevel"/>
    <w:tmpl w:val="3A2AD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D860E12"/>
    <w:multiLevelType w:val="hybridMultilevel"/>
    <w:tmpl w:val="799274A4"/>
    <w:lvl w:ilvl="0" w:tplc="AA2ABBC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37C3118"/>
    <w:multiLevelType w:val="hybridMultilevel"/>
    <w:tmpl w:val="4BBCFE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5"/>
  </w:num>
  <w:num w:numId="6">
    <w:abstractNumId w:val="3"/>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AC"/>
    <w:rsid w:val="00064662"/>
    <w:rsid w:val="000906A8"/>
    <w:rsid w:val="000A45EA"/>
    <w:rsid w:val="000A6167"/>
    <w:rsid w:val="000F5B7A"/>
    <w:rsid w:val="0010764F"/>
    <w:rsid w:val="00130BB0"/>
    <w:rsid w:val="00152B8E"/>
    <w:rsid w:val="00164CE7"/>
    <w:rsid w:val="001668FC"/>
    <w:rsid w:val="00170340"/>
    <w:rsid w:val="00240430"/>
    <w:rsid w:val="0025378B"/>
    <w:rsid w:val="00256B50"/>
    <w:rsid w:val="002B1EBC"/>
    <w:rsid w:val="002B7FAC"/>
    <w:rsid w:val="002E0164"/>
    <w:rsid w:val="00303EB9"/>
    <w:rsid w:val="00323454"/>
    <w:rsid w:val="00367412"/>
    <w:rsid w:val="00372B94"/>
    <w:rsid w:val="00446153"/>
    <w:rsid w:val="004516FF"/>
    <w:rsid w:val="004772E9"/>
    <w:rsid w:val="004A668E"/>
    <w:rsid w:val="004D1BB7"/>
    <w:rsid w:val="004D3EFE"/>
    <w:rsid w:val="004E0D51"/>
    <w:rsid w:val="00540541"/>
    <w:rsid w:val="00544875"/>
    <w:rsid w:val="00586545"/>
    <w:rsid w:val="005D7C1B"/>
    <w:rsid w:val="006269AE"/>
    <w:rsid w:val="00660E99"/>
    <w:rsid w:val="00691DF4"/>
    <w:rsid w:val="006A0CCC"/>
    <w:rsid w:val="00790FD0"/>
    <w:rsid w:val="007C762E"/>
    <w:rsid w:val="00834DE8"/>
    <w:rsid w:val="008B2154"/>
    <w:rsid w:val="008B3BB7"/>
    <w:rsid w:val="008B698C"/>
    <w:rsid w:val="008E5683"/>
    <w:rsid w:val="00915C21"/>
    <w:rsid w:val="009403F2"/>
    <w:rsid w:val="00960D95"/>
    <w:rsid w:val="00967356"/>
    <w:rsid w:val="00993237"/>
    <w:rsid w:val="009A62AE"/>
    <w:rsid w:val="009B7AE5"/>
    <w:rsid w:val="00A71698"/>
    <w:rsid w:val="00A72676"/>
    <w:rsid w:val="00AE7B39"/>
    <w:rsid w:val="00B35257"/>
    <w:rsid w:val="00B757C8"/>
    <w:rsid w:val="00BA32D8"/>
    <w:rsid w:val="00BC51BB"/>
    <w:rsid w:val="00BD0055"/>
    <w:rsid w:val="00BF615C"/>
    <w:rsid w:val="00C236BD"/>
    <w:rsid w:val="00CA1C3D"/>
    <w:rsid w:val="00D27CC7"/>
    <w:rsid w:val="00D75834"/>
    <w:rsid w:val="00DA7AEC"/>
    <w:rsid w:val="00DD4209"/>
    <w:rsid w:val="00DF0AF8"/>
    <w:rsid w:val="00E74F7F"/>
    <w:rsid w:val="00F16E73"/>
    <w:rsid w:val="00F3756A"/>
    <w:rsid w:val="00F41AB5"/>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2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B7FAC"/>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Char,fn1"/>
    <w:basedOn w:val="Normal"/>
    <w:link w:val="FootnoteTextChar2"/>
    <w:rsid w:val="002B7F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rsid w:val="002B7FAC"/>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2B7FAC"/>
    <w:rPr>
      <w:rFonts w:ascii="Times New Roman" w:eastAsia="Times New Roman" w:hAnsi="Times New Roman" w:cs="Times New Roman"/>
      <w:sz w:val="20"/>
      <w:szCs w:val="20"/>
    </w:rPr>
  </w:style>
  <w:style w:type="character" w:styleId="Hyperlink">
    <w:name w:val="Hyperlink"/>
    <w:basedOn w:val="DefaultParagraphFont"/>
    <w:unhideWhenUsed/>
    <w:rsid w:val="002B7FAC"/>
    <w:rPr>
      <w:color w:val="0000FF"/>
      <w:u w:val="single"/>
    </w:rPr>
  </w:style>
  <w:style w:type="character" w:customStyle="1" w:styleId="FERCparanumberChar1">
    <w:name w:val="FERC paranumber Char1"/>
    <w:basedOn w:val="DefaultParagraphFont"/>
    <w:link w:val="FERCparanumber"/>
    <w:locked/>
    <w:rsid w:val="002B7FAC"/>
    <w:rPr>
      <w:sz w:val="24"/>
      <w:szCs w:val="24"/>
    </w:rPr>
  </w:style>
  <w:style w:type="paragraph" w:customStyle="1" w:styleId="FERCparanumber">
    <w:name w:val="FERC paranumber"/>
    <w:basedOn w:val="Normal"/>
    <w:link w:val="FERCparanumberChar1"/>
    <w:rsid w:val="002B7FAC"/>
    <w:pPr>
      <w:widowControl w:val="0"/>
      <w:numPr>
        <w:numId w:val="1"/>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2B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AC"/>
  </w:style>
  <w:style w:type="paragraph" w:styleId="List3">
    <w:name w:val="List 3"/>
    <w:basedOn w:val="Normal"/>
    <w:unhideWhenUsed/>
    <w:rsid w:val="002B7FAC"/>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6"/>
    </w:rPr>
  </w:style>
  <w:style w:type="paragraph" w:styleId="BlockText">
    <w:name w:val="Block Text"/>
    <w:basedOn w:val="Normal"/>
    <w:semiHidden/>
    <w:unhideWhenUsed/>
    <w:rsid w:val="002B7FAC"/>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6"/>
    </w:rPr>
  </w:style>
  <w:style w:type="paragraph" w:styleId="ListParagraph">
    <w:name w:val="List Paragraph"/>
    <w:basedOn w:val="Normal"/>
    <w:uiPriority w:val="34"/>
    <w:qFormat/>
    <w:rsid w:val="00D27CC7"/>
    <w:pPr>
      <w:ind w:left="720"/>
      <w:contextualSpacing/>
    </w:pPr>
  </w:style>
  <w:style w:type="paragraph" w:styleId="BalloonText">
    <w:name w:val="Balloon Text"/>
    <w:basedOn w:val="Normal"/>
    <w:link w:val="BalloonTextChar"/>
    <w:uiPriority w:val="99"/>
    <w:semiHidden/>
    <w:unhideWhenUsed/>
    <w:rsid w:val="0006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2"/>
    <w:rPr>
      <w:rFonts w:ascii="Segoe UI" w:hAnsi="Segoe UI" w:cs="Segoe UI"/>
      <w:sz w:val="18"/>
      <w:szCs w:val="18"/>
    </w:rPr>
  </w:style>
  <w:style w:type="character" w:styleId="CommentReference">
    <w:name w:val="annotation reference"/>
    <w:basedOn w:val="DefaultParagraphFont"/>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line="240" w:lineRule="auto"/>
    </w:pPr>
    <w:rPr>
      <w:sz w:val="20"/>
      <w:szCs w:val="20"/>
    </w:rPr>
  </w:style>
  <w:style w:type="character" w:customStyle="1" w:styleId="CommentTextChar">
    <w:name w:val="Comment Text Char"/>
    <w:basedOn w:val="DefaultParagraphFont"/>
    <w:link w:val="CommentText"/>
    <w:uiPriority w:val="99"/>
    <w:semiHidden/>
    <w:rsid w:val="00834DE8"/>
    <w:rPr>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basedOn w:val="CommentTextChar"/>
    <w:link w:val="CommentSubject"/>
    <w:uiPriority w:val="99"/>
    <w:semiHidden/>
    <w:rsid w:val="00834DE8"/>
    <w:rPr>
      <w:b/>
      <w:bCs/>
      <w:sz w:val="20"/>
      <w:szCs w:val="20"/>
    </w:rPr>
  </w:style>
  <w:style w:type="character" w:styleId="FollowedHyperlink">
    <w:name w:val="FollowedHyperlink"/>
    <w:basedOn w:val="DefaultParagraphFont"/>
    <w:uiPriority w:val="99"/>
    <w:semiHidden/>
    <w:unhideWhenUsed/>
    <w:rsid w:val="00BC51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B7FAC"/>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Char,fn1"/>
    <w:basedOn w:val="Normal"/>
    <w:link w:val="FootnoteTextChar2"/>
    <w:rsid w:val="002B7F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rsid w:val="002B7FAC"/>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2B7FAC"/>
    <w:rPr>
      <w:rFonts w:ascii="Times New Roman" w:eastAsia="Times New Roman" w:hAnsi="Times New Roman" w:cs="Times New Roman"/>
      <w:sz w:val="20"/>
      <w:szCs w:val="20"/>
    </w:rPr>
  </w:style>
  <w:style w:type="character" w:styleId="Hyperlink">
    <w:name w:val="Hyperlink"/>
    <w:basedOn w:val="DefaultParagraphFont"/>
    <w:unhideWhenUsed/>
    <w:rsid w:val="002B7FAC"/>
    <w:rPr>
      <w:color w:val="0000FF"/>
      <w:u w:val="single"/>
    </w:rPr>
  </w:style>
  <w:style w:type="character" w:customStyle="1" w:styleId="FERCparanumberChar1">
    <w:name w:val="FERC paranumber Char1"/>
    <w:basedOn w:val="DefaultParagraphFont"/>
    <w:link w:val="FERCparanumber"/>
    <w:locked/>
    <w:rsid w:val="002B7FAC"/>
    <w:rPr>
      <w:sz w:val="24"/>
      <w:szCs w:val="24"/>
    </w:rPr>
  </w:style>
  <w:style w:type="paragraph" w:customStyle="1" w:styleId="FERCparanumber">
    <w:name w:val="FERC paranumber"/>
    <w:basedOn w:val="Normal"/>
    <w:link w:val="FERCparanumberChar1"/>
    <w:rsid w:val="002B7FAC"/>
    <w:pPr>
      <w:widowControl w:val="0"/>
      <w:numPr>
        <w:numId w:val="1"/>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2B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AC"/>
  </w:style>
  <w:style w:type="paragraph" w:styleId="List3">
    <w:name w:val="List 3"/>
    <w:basedOn w:val="Normal"/>
    <w:unhideWhenUsed/>
    <w:rsid w:val="002B7FAC"/>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6"/>
    </w:rPr>
  </w:style>
  <w:style w:type="paragraph" w:styleId="BlockText">
    <w:name w:val="Block Text"/>
    <w:basedOn w:val="Normal"/>
    <w:semiHidden/>
    <w:unhideWhenUsed/>
    <w:rsid w:val="002B7FAC"/>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6"/>
    </w:rPr>
  </w:style>
  <w:style w:type="paragraph" w:styleId="ListParagraph">
    <w:name w:val="List Paragraph"/>
    <w:basedOn w:val="Normal"/>
    <w:uiPriority w:val="34"/>
    <w:qFormat/>
    <w:rsid w:val="00D27CC7"/>
    <w:pPr>
      <w:ind w:left="720"/>
      <w:contextualSpacing/>
    </w:pPr>
  </w:style>
  <w:style w:type="paragraph" w:styleId="BalloonText">
    <w:name w:val="Balloon Text"/>
    <w:basedOn w:val="Normal"/>
    <w:link w:val="BalloonTextChar"/>
    <w:uiPriority w:val="99"/>
    <w:semiHidden/>
    <w:unhideWhenUsed/>
    <w:rsid w:val="0006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2"/>
    <w:rPr>
      <w:rFonts w:ascii="Segoe UI" w:hAnsi="Segoe UI" w:cs="Segoe UI"/>
      <w:sz w:val="18"/>
      <w:szCs w:val="18"/>
    </w:rPr>
  </w:style>
  <w:style w:type="character" w:styleId="CommentReference">
    <w:name w:val="annotation reference"/>
    <w:basedOn w:val="DefaultParagraphFont"/>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line="240" w:lineRule="auto"/>
    </w:pPr>
    <w:rPr>
      <w:sz w:val="20"/>
      <w:szCs w:val="20"/>
    </w:rPr>
  </w:style>
  <w:style w:type="character" w:customStyle="1" w:styleId="CommentTextChar">
    <w:name w:val="Comment Text Char"/>
    <w:basedOn w:val="DefaultParagraphFont"/>
    <w:link w:val="CommentText"/>
    <w:uiPriority w:val="99"/>
    <w:semiHidden/>
    <w:rsid w:val="00834DE8"/>
    <w:rPr>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basedOn w:val="CommentTextChar"/>
    <w:link w:val="CommentSubject"/>
    <w:uiPriority w:val="99"/>
    <w:semiHidden/>
    <w:rsid w:val="00834DE8"/>
    <w:rPr>
      <w:b/>
      <w:bCs/>
      <w:sz w:val="20"/>
      <w:szCs w:val="20"/>
    </w:rPr>
  </w:style>
  <w:style w:type="character" w:styleId="FollowedHyperlink">
    <w:name w:val="FollowedHyperlink"/>
    <w:basedOn w:val="DefaultParagraphFont"/>
    <w:uiPriority w:val="99"/>
    <w:semiHidden/>
    <w:unhideWhenUsed/>
    <w:rsid w:val="00BC5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1129">
      <w:bodyDiv w:val="1"/>
      <w:marLeft w:val="0"/>
      <w:marRight w:val="0"/>
      <w:marTop w:val="0"/>
      <w:marBottom w:val="0"/>
      <w:divBdr>
        <w:top w:val="none" w:sz="0" w:space="0" w:color="auto"/>
        <w:left w:val="none" w:sz="0" w:space="0" w:color="auto"/>
        <w:bottom w:val="none" w:sz="0" w:space="0" w:color="auto"/>
        <w:right w:val="none" w:sz="0" w:space="0" w:color="auto"/>
      </w:divBdr>
    </w:div>
    <w:div w:id="191725524">
      <w:bodyDiv w:val="1"/>
      <w:marLeft w:val="0"/>
      <w:marRight w:val="0"/>
      <w:marTop w:val="0"/>
      <w:marBottom w:val="0"/>
      <w:divBdr>
        <w:top w:val="none" w:sz="0" w:space="0" w:color="auto"/>
        <w:left w:val="none" w:sz="0" w:space="0" w:color="auto"/>
        <w:bottom w:val="none" w:sz="0" w:space="0" w:color="auto"/>
        <w:right w:val="none" w:sz="0" w:space="0" w:color="auto"/>
      </w:divBdr>
    </w:div>
    <w:div w:id="456602137">
      <w:bodyDiv w:val="1"/>
      <w:marLeft w:val="0"/>
      <w:marRight w:val="0"/>
      <w:marTop w:val="0"/>
      <w:marBottom w:val="0"/>
      <w:divBdr>
        <w:top w:val="none" w:sz="0" w:space="0" w:color="auto"/>
        <w:left w:val="none" w:sz="0" w:space="0" w:color="auto"/>
        <w:bottom w:val="none" w:sz="0" w:space="0" w:color="auto"/>
        <w:right w:val="none" w:sz="0" w:space="0" w:color="auto"/>
      </w:divBdr>
    </w:div>
    <w:div w:id="547180395">
      <w:bodyDiv w:val="1"/>
      <w:marLeft w:val="0"/>
      <w:marRight w:val="0"/>
      <w:marTop w:val="0"/>
      <w:marBottom w:val="0"/>
      <w:divBdr>
        <w:top w:val="none" w:sz="0" w:space="0" w:color="auto"/>
        <w:left w:val="none" w:sz="0" w:space="0" w:color="auto"/>
        <w:bottom w:val="none" w:sz="0" w:space="0" w:color="auto"/>
        <w:right w:val="none" w:sz="0" w:space="0" w:color="auto"/>
      </w:divBdr>
    </w:div>
    <w:div w:id="573205331">
      <w:bodyDiv w:val="1"/>
      <w:marLeft w:val="0"/>
      <w:marRight w:val="0"/>
      <w:marTop w:val="0"/>
      <w:marBottom w:val="0"/>
      <w:divBdr>
        <w:top w:val="none" w:sz="0" w:space="0" w:color="auto"/>
        <w:left w:val="none" w:sz="0" w:space="0" w:color="auto"/>
        <w:bottom w:val="none" w:sz="0" w:space="0" w:color="auto"/>
        <w:right w:val="none" w:sz="0" w:space="0" w:color="auto"/>
      </w:divBdr>
    </w:div>
    <w:div w:id="652415507">
      <w:bodyDiv w:val="1"/>
      <w:marLeft w:val="0"/>
      <w:marRight w:val="0"/>
      <w:marTop w:val="0"/>
      <w:marBottom w:val="0"/>
      <w:divBdr>
        <w:top w:val="none" w:sz="0" w:space="0" w:color="auto"/>
        <w:left w:val="none" w:sz="0" w:space="0" w:color="auto"/>
        <w:bottom w:val="none" w:sz="0" w:space="0" w:color="auto"/>
        <w:right w:val="none" w:sz="0" w:space="0" w:color="auto"/>
      </w:divBdr>
    </w:div>
    <w:div w:id="717045886">
      <w:bodyDiv w:val="1"/>
      <w:marLeft w:val="0"/>
      <w:marRight w:val="0"/>
      <w:marTop w:val="0"/>
      <w:marBottom w:val="0"/>
      <w:divBdr>
        <w:top w:val="none" w:sz="0" w:space="0" w:color="auto"/>
        <w:left w:val="none" w:sz="0" w:space="0" w:color="auto"/>
        <w:bottom w:val="none" w:sz="0" w:space="0" w:color="auto"/>
        <w:right w:val="none" w:sz="0" w:space="0" w:color="auto"/>
      </w:divBdr>
    </w:div>
    <w:div w:id="746345998">
      <w:bodyDiv w:val="1"/>
      <w:marLeft w:val="0"/>
      <w:marRight w:val="0"/>
      <w:marTop w:val="0"/>
      <w:marBottom w:val="0"/>
      <w:divBdr>
        <w:top w:val="none" w:sz="0" w:space="0" w:color="auto"/>
        <w:left w:val="none" w:sz="0" w:space="0" w:color="auto"/>
        <w:bottom w:val="none" w:sz="0" w:space="0" w:color="auto"/>
        <w:right w:val="none" w:sz="0" w:space="0" w:color="auto"/>
      </w:divBdr>
    </w:div>
    <w:div w:id="990401401">
      <w:bodyDiv w:val="1"/>
      <w:marLeft w:val="0"/>
      <w:marRight w:val="0"/>
      <w:marTop w:val="0"/>
      <w:marBottom w:val="0"/>
      <w:divBdr>
        <w:top w:val="none" w:sz="0" w:space="0" w:color="auto"/>
        <w:left w:val="none" w:sz="0" w:space="0" w:color="auto"/>
        <w:bottom w:val="none" w:sz="0" w:space="0" w:color="auto"/>
        <w:right w:val="none" w:sz="0" w:space="0" w:color="auto"/>
      </w:divBdr>
    </w:div>
    <w:div w:id="1477138708">
      <w:bodyDiv w:val="1"/>
      <w:marLeft w:val="0"/>
      <w:marRight w:val="0"/>
      <w:marTop w:val="0"/>
      <w:marBottom w:val="0"/>
      <w:divBdr>
        <w:top w:val="none" w:sz="0" w:space="0" w:color="auto"/>
        <w:left w:val="none" w:sz="0" w:space="0" w:color="auto"/>
        <w:bottom w:val="none" w:sz="0" w:space="0" w:color="auto"/>
        <w:right w:val="none" w:sz="0" w:space="0" w:color="auto"/>
      </w:divBdr>
    </w:div>
    <w:div w:id="1507205315">
      <w:bodyDiv w:val="1"/>
      <w:marLeft w:val="0"/>
      <w:marRight w:val="0"/>
      <w:marTop w:val="0"/>
      <w:marBottom w:val="0"/>
      <w:divBdr>
        <w:top w:val="none" w:sz="0" w:space="0" w:color="auto"/>
        <w:left w:val="none" w:sz="0" w:space="0" w:color="auto"/>
        <w:bottom w:val="none" w:sz="0" w:space="0" w:color="auto"/>
        <w:right w:val="none" w:sz="0" w:space="0" w:color="auto"/>
      </w:divBdr>
    </w:div>
    <w:div w:id="1981877987">
      <w:bodyDiv w:val="1"/>
      <w:marLeft w:val="0"/>
      <w:marRight w:val="0"/>
      <w:marTop w:val="0"/>
      <w:marBottom w:val="0"/>
      <w:divBdr>
        <w:top w:val="none" w:sz="0" w:space="0" w:color="auto"/>
        <w:left w:val="none" w:sz="0" w:space="0" w:color="auto"/>
        <w:bottom w:val="none" w:sz="0" w:space="0" w:color="auto"/>
        <w:right w:val="none" w:sz="0" w:space="0" w:color="auto"/>
      </w:divBdr>
    </w:div>
    <w:div w:id="2013070926">
      <w:bodyDiv w:val="1"/>
      <w:marLeft w:val="0"/>
      <w:marRight w:val="0"/>
      <w:marTop w:val="0"/>
      <w:marBottom w:val="0"/>
      <w:divBdr>
        <w:top w:val="none" w:sz="0" w:space="0" w:color="auto"/>
        <w:left w:val="none" w:sz="0" w:space="0" w:color="auto"/>
        <w:bottom w:val="none" w:sz="0" w:space="0" w:color="auto"/>
        <w:right w:val="none" w:sz="0" w:space="0" w:color="auto"/>
      </w:divBdr>
    </w:div>
    <w:div w:id="20518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filing.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mergency@fer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po.gov/fdsys/pkg/FR-2005-06-16/pdf/05-11554.pdf" TargetMode="External"/><Relationship Id="rId1" Type="http://schemas.openxmlformats.org/officeDocument/2006/relationships/hyperlink" Target="http://www.ferc.gov/industries/electric/gen-info/qual-fac/orders/order-5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585</_x0031__x002e__x0020_Collection_x0020_Number>
    <Date xmlns="d6eefc7d-9817-4fa6-84d5-3bc009be21b8">2015-04-21T00:00:00-04:00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IC15-2</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cd08c67e13db47454a2cd63459fe1cdd">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4747D-495A-48F5-BC01-423B201AE98F}">
  <ds:schemaRefs>
    <ds:schemaRef ds:uri="http://schemas.microsoft.com/office/2006/metadata/customXsn"/>
  </ds:schemaRefs>
</ds:datastoreItem>
</file>

<file path=customXml/itemProps2.xml><?xml version="1.0" encoding="utf-8"?>
<ds:datastoreItem xmlns:ds="http://schemas.openxmlformats.org/officeDocument/2006/customXml" ds:itemID="{8C873F00-40CE-40D4-ACAC-BC59D508734C}">
  <ds:schemaRefs>
    <ds:schemaRef ds:uri="http://purl.org/dc/dcmitype/"/>
    <ds:schemaRef ds:uri="http://purl.org/dc/terms/"/>
    <ds:schemaRef ds:uri="http://www.w3.org/XML/1998/namespace"/>
    <ds:schemaRef ds:uri="http://schemas.microsoft.com/office/infopath/2007/PartnerControls"/>
    <ds:schemaRef ds:uri="d6eefc7d-9817-4fa6-84d5-3bc009be21b8"/>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CDB3825-25EE-4E2D-95BC-547E66F70277}">
  <ds:schemaRefs>
    <ds:schemaRef ds:uri="http://schemas.microsoft.com/sharepoint/v3/contenttype/forms"/>
  </ds:schemaRefs>
</ds:datastoreItem>
</file>

<file path=customXml/itemProps4.xml><?xml version="1.0" encoding="utf-8"?>
<ds:datastoreItem xmlns:ds="http://schemas.openxmlformats.org/officeDocument/2006/customXml" ds:itemID="{F33D6EAB-98F4-461F-B094-AEF4F2CE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Ryan</dc:creator>
  <cp:lastModifiedBy>Ellen Brown</cp:lastModifiedBy>
  <cp:revision>2</cp:revision>
  <dcterms:created xsi:type="dcterms:W3CDTF">2015-04-21T12:18:00Z</dcterms:created>
  <dcterms:modified xsi:type="dcterms:W3CDTF">2015-04-21T12:18:00Z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