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2679C" w14:textId="77777777" w:rsidR="008A34B8" w:rsidRPr="00437143" w:rsidRDefault="008A34B8" w:rsidP="00A530D5">
      <w:pPr>
        <w:pStyle w:val="Cov-Date"/>
      </w:pPr>
      <w:bookmarkStart w:id="0" w:name="_Toc62613679"/>
      <w:bookmarkStart w:id="1" w:name="_Toc62614425"/>
      <w:bookmarkStart w:id="2" w:name="_Toc62630085"/>
      <w:bookmarkStart w:id="3" w:name="_Toc94419923"/>
      <w:bookmarkStart w:id="4" w:name="_GoBack"/>
      <w:bookmarkEnd w:id="4"/>
    </w:p>
    <w:p w14:paraId="078DBBC5" w14:textId="77777777" w:rsidR="008A34B8" w:rsidRPr="00437143" w:rsidRDefault="008A34B8" w:rsidP="00A530D5">
      <w:pPr>
        <w:pStyle w:val="Cov-Date"/>
      </w:pPr>
    </w:p>
    <w:p w14:paraId="375E450D" w14:textId="40F9FF9B" w:rsidR="00E16420" w:rsidRPr="002B5189" w:rsidRDefault="0051412A" w:rsidP="00E16420">
      <w:pPr>
        <w:pStyle w:val="Cov-Title"/>
        <w:rPr>
          <w:sz w:val="40"/>
          <w:szCs w:val="40"/>
        </w:rPr>
      </w:pPr>
      <w:r>
        <w:t>Roads to Success in North Dakota: A Randomized Study of a College and Career Preparation Curriculum</w:t>
      </w:r>
    </w:p>
    <w:p w14:paraId="368BCDE7" w14:textId="77777777" w:rsidR="00E16420" w:rsidRPr="002B5189" w:rsidRDefault="00E16420" w:rsidP="00E16420">
      <w:pPr>
        <w:pStyle w:val="Cov-Title"/>
        <w:rPr>
          <w:b/>
          <w:bCs/>
          <w:sz w:val="40"/>
          <w:szCs w:val="40"/>
        </w:rPr>
      </w:pPr>
    </w:p>
    <w:p w14:paraId="2C66EA04" w14:textId="77777777" w:rsidR="00E16420" w:rsidRPr="002B5189" w:rsidRDefault="00E16420" w:rsidP="00E16420">
      <w:pPr>
        <w:pStyle w:val="Cov-Title"/>
        <w:rPr>
          <w:sz w:val="40"/>
          <w:szCs w:val="40"/>
        </w:rPr>
      </w:pPr>
    </w:p>
    <w:p w14:paraId="032C5FCB" w14:textId="77777777" w:rsidR="00E16420" w:rsidRPr="002B5189" w:rsidRDefault="00E16420" w:rsidP="00E16420">
      <w:pPr>
        <w:pStyle w:val="Cov-Title"/>
        <w:rPr>
          <w:sz w:val="40"/>
          <w:szCs w:val="40"/>
        </w:rPr>
      </w:pPr>
    </w:p>
    <w:p w14:paraId="58639509" w14:textId="77777777" w:rsidR="00E16420" w:rsidRPr="002B5189" w:rsidRDefault="00E16420" w:rsidP="00E16420">
      <w:pPr>
        <w:pStyle w:val="Cov-Title"/>
        <w:rPr>
          <w:sz w:val="40"/>
          <w:szCs w:val="40"/>
        </w:rPr>
      </w:pPr>
      <w:r w:rsidRPr="002B5189">
        <w:rPr>
          <w:sz w:val="40"/>
          <w:szCs w:val="40"/>
        </w:rPr>
        <w:t>Supporting Statement</w:t>
      </w:r>
    </w:p>
    <w:p w14:paraId="7F594D24" w14:textId="056F5212" w:rsidR="00E16420" w:rsidRPr="002B5189" w:rsidRDefault="00E16420" w:rsidP="00E16420">
      <w:pPr>
        <w:pStyle w:val="Cov-Title"/>
        <w:rPr>
          <w:sz w:val="40"/>
          <w:szCs w:val="40"/>
        </w:rPr>
      </w:pPr>
      <w:r w:rsidRPr="002B5189">
        <w:rPr>
          <w:sz w:val="40"/>
          <w:szCs w:val="40"/>
        </w:rPr>
        <w:t xml:space="preserve">Part </w:t>
      </w:r>
      <w:r>
        <w:rPr>
          <w:sz w:val="40"/>
          <w:szCs w:val="40"/>
        </w:rPr>
        <w:t>B</w:t>
      </w:r>
    </w:p>
    <w:p w14:paraId="1FF14AE0" w14:textId="77777777" w:rsidR="00E16420" w:rsidRPr="002B5189" w:rsidRDefault="00E16420" w:rsidP="00E16420">
      <w:pPr>
        <w:pStyle w:val="Cov-Subtitle"/>
      </w:pPr>
    </w:p>
    <w:p w14:paraId="06D24354" w14:textId="77777777" w:rsidR="00E16420" w:rsidRPr="002B5189" w:rsidRDefault="00E16420" w:rsidP="00E16420">
      <w:pPr>
        <w:pStyle w:val="Cov-Subtitle"/>
      </w:pPr>
    </w:p>
    <w:p w14:paraId="4B6D99B9" w14:textId="77777777" w:rsidR="00E16420" w:rsidRPr="002B5189" w:rsidRDefault="00E16420" w:rsidP="00E16420">
      <w:pPr>
        <w:pStyle w:val="Cov-Subtitle"/>
      </w:pPr>
    </w:p>
    <w:p w14:paraId="46AF2E7D" w14:textId="77777777" w:rsidR="00E16420" w:rsidRPr="002B5189" w:rsidRDefault="00E16420" w:rsidP="00E16420">
      <w:pPr>
        <w:pStyle w:val="Cov-Subtitle"/>
      </w:pPr>
    </w:p>
    <w:p w14:paraId="49975AE9" w14:textId="77777777" w:rsidR="00E16420" w:rsidRPr="002B5189" w:rsidRDefault="00E16420" w:rsidP="00E16420">
      <w:pPr>
        <w:pStyle w:val="Cov-Subtitle"/>
      </w:pPr>
    </w:p>
    <w:p w14:paraId="4E876CE4" w14:textId="77777777" w:rsidR="00E16420" w:rsidRPr="002B5189" w:rsidRDefault="00E16420" w:rsidP="00E16420">
      <w:pPr>
        <w:pStyle w:val="Cov-Subtitle"/>
      </w:pPr>
    </w:p>
    <w:p w14:paraId="3C695546" w14:textId="5DA95FC7" w:rsidR="00E16420" w:rsidRPr="002B5189" w:rsidRDefault="00E16420" w:rsidP="0051412A">
      <w:pPr>
        <w:pStyle w:val="Cov-Subtitle"/>
      </w:pPr>
      <w:r w:rsidRPr="002B5189">
        <w:t>Request for OMB Review</w:t>
      </w:r>
      <w:r w:rsidRPr="002B5189">
        <w:br/>
      </w:r>
      <w:r w:rsidR="006126CC" w:rsidRPr="00C20269">
        <w:t>OMB #</w:t>
      </w:r>
      <w:r w:rsidR="00C20269" w:rsidRPr="00C20269">
        <w:t>1830</w:t>
      </w:r>
      <w:r w:rsidR="00C20269">
        <w:t>-NEW</w:t>
      </w:r>
    </w:p>
    <w:p w14:paraId="34836E74" w14:textId="1A73B255" w:rsidR="008A34B8" w:rsidRPr="00437143" w:rsidRDefault="008A34B8">
      <w:pPr>
        <w:pStyle w:val="Cov-Subtitle"/>
      </w:pPr>
    </w:p>
    <w:p w14:paraId="78A019F2" w14:textId="77777777" w:rsidR="008A34B8" w:rsidRPr="00437143" w:rsidRDefault="008A34B8" w:rsidP="00A530D5">
      <w:pPr>
        <w:pStyle w:val="Cov-Date"/>
      </w:pPr>
    </w:p>
    <w:p w14:paraId="31104D81" w14:textId="77777777" w:rsidR="008A34B8" w:rsidRPr="00437143" w:rsidRDefault="008A34B8" w:rsidP="00A530D5">
      <w:pPr>
        <w:pStyle w:val="Cov-Date"/>
      </w:pPr>
    </w:p>
    <w:p w14:paraId="597A199D" w14:textId="77777777" w:rsidR="008A34B8" w:rsidRPr="00437143" w:rsidRDefault="008A34B8" w:rsidP="00A530D5">
      <w:pPr>
        <w:pStyle w:val="Cov-Date"/>
      </w:pPr>
    </w:p>
    <w:p w14:paraId="3C358E60" w14:textId="77777777" w:rsidR="008A34B8" w:rsidRPr="00437143" w:rsidRDefault="008A34B8" w:rsidP="00A530D5">
      <w:pPr>
        <w:pStyle w:val="Cov-Address"/>
      </w:pPr>
    </w:p>
    <w:p w14:paraId="6DA3D9C1" w14:textId="27F726E2" w:rsidR="008A34B8" w:rsidRPr="00437143" w:rsidRDefault="0051412A" w:rsidP="00A530D5">
      <w:pPr>
        <w:pStyle w:val="Cov-Address"/>
      </w:pPr>
      <w:r>
        <w:t>Prepared by RTI International and FHI 360 for:</w:t>
      </w:r>
    </w:p>
    <w:p w14:paraId="028FE953" w14:textId="77777777" w:rsidR="003A4033" w:rsidRDefault="003A4033" w:rsidP="00A530D5">
      <w:pPr>
        <w:pStyle w:val="Cov-Address"/>
      </w:pPr>
    </w:p>
    <w:p w14:paraId="2569FB48" w14:textId="56826FBC" w:rsidR="008A34B8" w:rsidRPr="00437143" w:rsidRDefault="0051412A" w:rsidP="003A4033">
      <w:pPr>
        <w:pStyle w:val="Cov-Author"/>
      </w:pPr>
      <w:r>
        <w:t>Office of Career, Technical, and Adult Education</w:t>
      </w:r>
    </w:p>
    <w:p w14:paraId="6DD9C43B" w14:textId="77777777" w:rsidR="008A34B8" w:rsidRPr="00437143" w:rsidRDefault="008A34B8" w:rsidP="006A07CD">
      <w:pPr>
        <w:pStyle w:val="Cov-Author"/>
      </w:pPr>
      <w:r w:rsidRPr="00437143">
        <w:t>U.S. Department of Education</w:t>
      </w:r>
      <w:bookmarkEnd w:id="0"/>
      <w:bookmarkEnd w:id="1"/>
      <w:bookmarkEnd w:id="2"/>
      <w:bookmarkEnd w:id="3"/>
    </w:p>
    <w:p w14:paraId="564A0BC9" w14:textId="77777777" w:rsidR="008A34B8" w:rsidRPr="00437143" w:rsidRDefault="008A34B8" w:rsidP="00003F7F">
      <w:pPr>
        <w:pStyle w:val="Cov-Author"/>
        <w:jc w:val="left"/>
      </w:pPr>
    </w:p>
    <w:p w14:paraId="71B2FDB3" w14:textId="77777777" w:rsidR="008A34B8" w:rsidRPr="00437143" w:rsidRDefault="008A34B8" w:rsidP="006A07CD">
      <w:pPr>
        <w:pStyle w:val="Cov-Author"/>
        <w:sectPr w:rsidR="008A34B8" w:rsidRPr="00437143" w:rsidSect="00003F7F">
          <w:footerReference w:type="even" r:id="rId9"/>
          <w:footerReference w:type="default" r:id="rId10"/>
          <w:headerReference w:type="first" r:id="rId11"/>
          <w:type w:val="oddPage"/>
          <w:pgSz w:w="12240" w:h="15840" w:code="1"/>
          <w:pgMar w:top="1440" w:right="1440" w:bottom="1440" w:left="1440" w:header="720" w:footer="720" w:gutter="0"/>
          <w:pgNumType w:fmt="lowerRoman"/>
          <w:cols w:space="720"/>
          <w:titlePg/>
        </w:sectPr>
      </w:pPr>
    </w:p>
    <w:p w14:paraId="7ABBBA81" w14:textId="77777777" w:rsidR="008A34B8" w:rsidRPr="00437143" w:rsidRDefault="008A34B8" w:rsidP="00A530D5">
      <w:pPr>
        <w:pStyle w:val="TOC0"/>
      </w:pPr>
      <w:bookmarkStart w:id="5" w:name="_Toc180287331"/>
      <w:bookmarkStart w:id="6" w:name="_Toc182722482"/>
      <w:r w:rsidRPr="00437143">
        <w:lastRenderedPageBreak/>
        <w:t>Table of Contents</w:t>
      </w:r>
      <w:bookmarkEnd w:id="5"/>
      <w:bookmarkEnd w:id="6"/>
    </w:p>
    <w:p w14:paraId="0EEED815" w14:textId="77777777" w:rsidR="008A34B8" w:rsidRPr="00437143" w:rsidRDefault="008A34B8" w:rsidP="00310C63">
      <w:pPr>
        <w:tabs>
          <w:tab w:val="right" w:pos="9360"/>
        </w:tabs>
        <w:rPr>
          <w:b/>
        </w:rPr>
      </w:pPr>
      <w:r w:rsidRPr="00437143">
        <w:rPr>
          <w:b/>
        </w:rPr>
        <w:t>Section</w:t>
      </w:r>
      <w:r w:rsidRPr="00437143">
        <w:rPr>
          <w:b/>
        </w:rPr>
        <w:tab/>
        <w:t>Page</w:t>
      </w:r>
    </w:p>
    <w:p w14:paraId="734E8A2F" w14:textId="77777777" w:rsidR="006126CC" w:rsidRDefault="00FE0163">
      <w:pPr>
        <w:pStyle w:val="TOC1"/>
        <w:tabs>
          <w:tab w:val="left" w:pos="1350"/>
        </w:tabs>
        <w:rPr>
          <w:rFonts w:asciiTheme="minorHAnsi" w:eastAsiaTheme="minorEastAsia" w:hAnsiTheme="minorHAnsi" w:cstheme="minorBidi"/>
          <w:sz w:val="22"/>
          <w:szCs w:val="22"/>
        </w:rPr>
      </w:pPr>
      <w:r>
        <w:fldChar w:fldCharType="begin"/>
      </w:r>
      <w:r>
        <w:instrText xml:space="preserve"> TOC \h \z \t "Heading 1,1,Heading 2,2,Heading 3,3,Heading 1 Caps,1" </w:instrText>
      </w:r>
      <w:r>
        <w:fldChar w:fldCharType="separate"/>
      </w:r>
      <w:hyperlink w:anchor="_Toc409684200" w:history="1">
        <w:r w:rsidR="006126CC" w:rsidRPr="00B25D58">
          <w:rPr>
            <w:rStyle w:val="Hyperlink"/>
          </w:rPr>
          <w:t>B.</w:t>
        </w:r>
        <w:r w:rsidR="006126CC">
          <w:rPr>
            <w:rFonts w:asciiTheme="minorHAnsi" w:eastAsiaTheme="minorEastAsia" w:hAnsiTheme="minorHAnsi" w:cstheme="minorBidi"/>
            <w:sz w:val="22"/>
            <w:szCs w:val="22"/>
          </w:rPr>
          <w:tab/>
        </w:r>
        <w:r w:rsidR="006126CC" w:rsidRPr="00B25D58">
          <w:rPr>
            <w:rStyle w:val="Hyperlink"/>
          </w:rPr>
          <w:t>Collection of Information Employing Statistical Methods</w:t>
        </w:r>
        <w:r w:rsidR="006126CC">
          <w:rPr>
            <w:webHidden/>
          </w:rPr>
          <w:tab/>
        </w:r>
        <w:r w:rsidR="006126CC">
          <w:rPr>
            <w:webHidden/>
          </w:rPr>
          <w:fldChar w:fldCharType="begin"/>
        </w:r>
        <w:r w:rsidR="006126CC">
          <w:rPr>
            <w:webHidden/>
          </w:rPr>
          <w:instrText xml:space="preserve"> PAGEREF _Toc409684200 \h </w:instrText>
        </w:r>
        <w:r w:rsidR="006126CC">
          <w:rPr>
            <w:webHidden/>
          </w:rPr>
        </w:r>
        <w:r w:rsidR="006126CC">
          <w:rPr>
            <w:webHidden/>
          </w:rPr>
          <w:fldChar w:fldCharType="separate"/>
        </w:r>
        <w:r w:rsidR="006126CC">
          <w:rPr>
            <w:webHidden/>
          </w:rPr>
          <w:t>1</w:t>
        </w:r>
        <w:r w:rsidR="006126CC">
          <w:rPr>
            <w:webHidden/>
          </w:rPr>
          <w:fldChar w:fldCharType="end"/>
        </w:r>
      </w:hyperlink>
    </w:p>
    <w:p w14:paraId="27182FAD" w14:textId="77777777" w:rsidR="006126CC" w:rsidRDefault="00783C17">
      <w:pPr>
        <w:pStyle w:val="TOC2"/>
        <w:tabs>
          <w:tab w:val="left" w:pos="1350"/>
        </w:tabs>
        <w:rPr>
          <w:rFonts w:asciiTheme="minorHAnsi" w:eastAsiaTheme="minorEastAsia" w:hAnsiTheme="minorHAnsi" w:cstheme="minorBidi"/>
          <w:sz w:val="22"/>
          <w:szCs w:val="22"/>
        </w:rPr>
      </w:pPr>
      <w:hyperlink w:anchor="_Toc409684201" w:history="1">
        <w:r w:rsidR="006126CC" w:rsidRPr="00B25D58">
          <w:rPr>
            <w:rStyle w:val="Hyperlink"/>
          </w:rPr>
          <w:t>B.1</w:t>
        </w:r>
        <w:r w:rsidR="006126CC">
          <w:rPr>
            <w:rFonts w:asciiTheme="minorHAnsi" w:eastAsiaTheme="minorEastAsia" w:hAnsiTheme="minorHAnsi" w:cstheme="minorBidi"/>
            <w:sz w:val="22"/>
            <w:szCs w:val="22"/>
          </w:rPr>
          <w:tab/>
        </w:r>
        <w:r w:rsidR="006126CC" w:rsidRPr="00B25D58">
          <w:rPr>
            <w:rStyle w:val="Hyperlink"/>
          </w:rPr>
          <w:t>Respondent Universe and Sampling Methods</w:t>
        </w:r>
        <w:r w:rsidR="006126CC">
          <w:rPr>
            <w:webHidden/>
          </w:rPr>
          <w:tab/>
        </w:r>
        <w:r w:rsidR="006126CC">
          <w:rPr>
            <w:webHidden/>
          </w:rPr>
          <w:fldChar w:fldCharType="begin"/>
        </w:r>
        <w:r w:rsidR="006126CC">
          <w:rPr>
            <w:webHidden/>
          </w:rPr>
          <w:instrText xml:space="preserve"> PAGEREF _Toc409684201 \h </w:instrText>
        </w:r>
        <w:r w:rsidR="006126CC">
          <w:rPr>
            <w:webHidden/>
          </w:rPr>
        </w:r>
        <w:r w:rsidR="006126CC">
          <w:rPr>
            <w:webHidden/>
          </w:rPr>
          <w:fldChar w:fldCharType="separate"/>
        </w:r>
        <w:r w:rsidR="006126CC">
          <w:rPr>
            <w:webHidden/>
          </w:rPr>
          <w:t>1</w:t>
        </w:r>
        <w:r w:rsidR="006126CC">
          <w:rPr>
            <w:webHidden/>
          </w:rPr>
          <w:fldChar w:fldCharType="end"/>
        </w:r>
      </w:hyperlink>
    </w:p>
    <w:p w14:paraId="65E9CA66" w14:textId="77777777" w:rsidR="006126CC" w:rsidRDefault="00783C17">
      <w:pPr>
        <w:pStyle w:val="TOC2"/>
        <w:tabs>
          <w:tab w:val="left" w:pos="1350"/>
        </w:tabs>
        <w:rPr>
          <w:rFonts w:asciiTheme="minorHAnsi" w:eastAsiaTheme="minorEastAsia" w:hAnsiTheme="minorHAnsi" w:cstheme="minorBidi"/>
          <w:sz w:val="22"/>
          <w:szCs w:val="22"/>
        </w:rPr>
      </w:pPr>
      <w:hyperlink w:anchor="_Toc409684202" w:history="1">
        <w:r w:rsidR="006126CC" w:rsidRPr="00B25D58">
          <w:rPr>
            <w:rStyle w:val="Hyperlink"/>
          </w:rPr>
          <w:t>B.2</w:t>
        </w:r>
        <w:r w:rsidR="006126CC">
          <w:rPr>
            <w:rFonts w:asciiTheme="minorHAnsi" w:eastAsiaTheme="minorEastAsia" w:hAnsiTheme="minorHAnsi" w:cstheme="minorBidi"/>
            <w:sz w:val="22"/>
            <w:szCs w:val="22"/>
          </w:rPr>
          <w:tab/>
        </w:r>
        <w:r w:rsidR="006126CC" w:rsidRPr="00B25D58">
          <w:rPr>
            <w:rStyle w:val="Hyperlink"/>
          </w:rPr>
          <w:t>Procedures for Collecting Information</w:t>
        </w:r>
        <w:r w:rsidR="006126CC">
          <w:rPr>
            <w:webHidden/>
          </w:rPr>
          <w:tab/>
        </w:r>
        <w:r w:rsidR="006126CC">
          <w:rPr>
            <w:webHidden/>
          </w:rPr>
          <w:fldChar w:fldCharType="begin"/>
        </w:r>
        <w:r w:rsidR="006126CC">
          <w:rPr>
            <w:webHidden/>
          </w:rPr>
          <w:instrText xml:space="preserve"> PAGEREF _Toc409684202 \h </w:instrText>
        </w:r>
        <w:r w:rsidR="006126CC">
          <w:rPr>
            <w:webHidden/>
          </w:rPr>
        </w:r>
        <w:r w:rsidR="006126CC">
          <w:rPr>
            <w:webHidden/>
          </w:rPr>
          <w:fldChar w:fldCharType="separate"/>
        </w:r>
        <w:r w:rsidR="006126CC">
          <w:rPr>
            <w:webHidden/>
          </w:rPr>
          <w:t>1</w:t>
        </w:r>
        <w:r w:rsidR="006126CC">
          <w:rPr>
            <w:webHidden/>
          </w:rPr>
          <w:fldChar w:fldCharType="end"/>
        </w:r>
      </w:hyperlink>
    </w:p>
    <w:p w14:paraId="5506A0FE" w14:textId="77777777" w:rsidR="006126CC" w:rsidRDefault="00783C17">
      <w:pPr>
        <w:pStyle w:val="TOC2"/>
        <w:tabs>
          <w:tab w:val="left" w:pos="1350"/>
        </w:tabs>
        <w:rPr>
          <w:rFonts w:asciiTheme="minorHAnsi" w:eastAsiaTheme="minorEastAsia" w:hAnsiTheme="minorHAnsi" w:cstheme="minorBidi"/>
          <w:sz w:val="22"/>
          <w:szCs w:val="22"/>
        </w:rPr>
      </w:pPr>
      <w:hyperlink w:anchor="_Toc409684203" w:history="1">
        <w:r w:rsidR="006126CC" w:rsidRPr="00B25D58">
          <w:rPr>
            <w:rStyle w:val="Hyperlink"/>
          </w:rPr>
          <w:t>B.3</w:t>
        </w:r>
        <w:r w:rsidR="006126CC">
          <w:rPr>
            <w:rFonts w:asciiTheme="minorHAnsi" w:eastAsiaTheme="minorEastAsia" w:hAnsiTheme="minorHAnsi" w:cstheme="minorBidi"/>
            <w:sz w:val="22"/>
            <w:szCs w:val="22"/>
          </w:rPr>
          <w:tab/>
        </w:r>
        <w:r w:rsidR="006126CC" w:rsidRPr="00B25D58">
          <w:rPr>
            <w:rStyle w:val="Hyperlink"/>
          </w:rPr>
          <w:t>Methods for Maximizing Response Rates and Deal with Nonresponse</w:t>
        </w:r>
        <w:r w:rsidR="006126CC">
          <w:rPr>
            <w:webHidden/>
          </w:rPr>
          <w:tab/>
        </w:r>
        <w:r w:rsidR="006126CC">
          <w:rPr>
            <w:webHidden/>
          </w:rPr>
          <w:fldChar w:fldCharType="begin"/>
        </w:r>
        <w:r w:rsidR="006126CC">
          <w:rPr>
            <w:webHidden/>
          </w:rPr>
          <w:instrText xml:space="preserve"> PAGEREF _Toc409684203 \h </w:instrText>
        </w:r>
        <w:r w:rsidR="006126CC">
          <w:rPr>
            <w:webHidden/>
          </w:rPr>
        </w:r>
        <w:r w:rsidR="006126CC">
          <w:rPr>
            <w:webHidden/>
          </w:rPr>
          <w:fldChar w:fldCharType="separate"/>
        </w:r>
        <w:r w:rsidR="006126CC">
          <w:rPr>
            <w:webHidden/>
          </w:rPr>
          <w:t>3</w:t>
        </w:r>
        <w:r w:rsidR="006126CC">
          <w:rPr>
            <w:webHidden/>
          </w:rPr>
          <w:fldChar w:fldCharType="end"/>
        </w:r>
      </w:hyperlink>
    </w:p>
    <w:p w14:paraId="7A5B065D" w14:textId="77777777" w:rsidR="006126CC" w:rsidRDefault="00783C17">
      <w:pPr>
        <w:pStyle w:val="TOC2"/>
        <w:tabs>
          <w:tab w:val="left" w:pos="1350"/>
        </w:tabs>
        <w:rPr>
          <w:rFonts w:asciiTheme="minorHAnsi" w:eastAsiaTheme="minorEastAsia" w:hAnsiTheme="minorHAnsi" w:cstheme="minorBidi"/>
          <w:sz w:val="22"/>
          <w:szCs w:val="22"/>
        </w:rPr>
      </w:pPr>
      <w:hyperlink w:anchor="_Toc409684204" w:history="1">
        <w:r w:rsidR="006126CC" w:rsidRPr="00B25D58">
          <w:rPr>
            <w:rStyle w:val="Hyperlink"/>
          </w:rPr>
          <w:t>B.4</w:t>
        </w:r>
        <w:r w:rsidR="006126CC">
          <w:rPr>
            <w:rFonts w:asciiTheme="minorHAnsi" w:eastAsiaTheme="minorEastAsia" w:hAnsiTheme="minorHAnsi" w:cstheme="minorBidi"/>
            <w:sz w:val="22"/>
            <w:szCs w:val="22"/>
          </w:rPr>
          <w:tab/>
        </w:r>
        <w:r w:rsidR="006126CC" w:rsidRPr="00B25D58">
          <w:rPr>
            <w:rStyle w:val="Hyperlink"/>
          </w:rPr>
          <w:t>Tests of Procedures or Methods to be Undertaken</w:t>
        </w:r>
        <w:r w:rsidR="006126CC">
          <w:rPr>
            <w:webHidden/>
          </w:rPr>
          <w:tab/>
        </w:r>
        <w:r w:rsidR="006126CC">
          <w:rPr>
            <w:webHidden/>
          </w:rPr>
          <w:fldChar w:fldCharType="begin"/>
        </w:r>
        <w:r w:rsidR="006126CC">
          <w:rPr>
            <w:webHidden/>
          </w:rPr>
          <w:instrText xml:space="preserve"> PAGEREF _Toc409684204 \h </w:instrText>
        </w:r>
        <w:r w:rsidR="006126CC">
          <w:rPr>
            <w:webHidden/>
          </w:rPr>
        </w:r>
        <w:r w:rsidR="006126CC">
          <w:rPr>
            <w:webHidden/>
          </w:rPr>
          <w:fldChar w:fldCharType="separate"/>
        </w:r>
        <w:r w:rsidR="006126CC">
          <w:rPr>
            <w:webHidden/>
          </w:rPr>
          <w:t>5</w:t>
        </w:r>
        <w:r w:rsidR="006126CC">
          <w:rPr>
            <w:webHidden/>
          </w:rPr>
          <w:fldChar w:fldCharType="end"/>
        </w:r>
      </w:hyperlink>
    </w:p>
    <w:p w14:paraId="111012AD" w14:textId="77777777" w:rsidR="006126CC" w:rsidRDefault="00783C17">
      <w:pPr>
        <w:pStyle w:val="TOC2"/>
        <w:tabs>
          <w:tab w:val="left" w:pos="1350"/>
        </w:tabs>
        <w:rPr>
          <w:rFonts w:asciiTheme="minorHAnsi" w:eastAsiaTheme="minorEastAsia" w:hAnsiTheme="minorHAnsi" w:cstheme="minorBidi"/>
          <w:sz w:val="22"/>
          <w:szCs w:val="22"/>
        </w:rPr>
      </w:pPr>
      <w:hyperlink w:anchor="_Toc409684205" w:history="1">
        <w:r w:rsidR="006126CC" w:rsidRPr="00B25D58">
          <w:rPr>
            <w:rStyle w:val="Hyperlink"/>
          </w:rPr>
          <w:t>B.5</w:t>
        </w:r>
        <w:r w:rsidR="006126CC">
          <w:rPr>
            <w:rFonts w:asciiTheme="minorHAnsi" w:eastAsiaTheme="minorEastAsia" w:hAnsiTheme="minorHAnsi" w:cstheme="minorBidi"/>
            <w:sz w:val="22"/>
            <w:szCs w:val="22"/>
          </w:rPr>
          <w:tab/>
        </w:r>
        <w:r w:rsidR="006126CC" w:rsidRPr="00B25D58">
          <w:rPr>
            <w:rStyle w:val="Hyperlink"/>
          </w:rPr>
          <w:t>Individuals Consulted and Individuals Responsible for Collecting and Analyzing the Information</w:t>
        </w:r>
        <w:r w:rsidR="006126CC">
          <w:rPr>
            <w:webHidden/>
          </w:rPr>
          <w:tab/>
        </w:r>
        <w:r w:rsidR="006126CC">
          <w:rPr>
            <w:webHidden/>
          </w:rPr>
          <w:fldChar w:fldCharType="begin"/>
        </w:r>
        <w:r w:rsidR="006126CC">
          <w:rPr>
            <w:webHidden/>
          </w:rPr>
          <w:instrText xml:space="preserve"> PAGEREF _Toc409684205 \h </w:instrText>
        </w:r>
        <w:r w:rsidR="006126CC">
          <w:rPr>
            <w:webHidden/>
          </w:rPr>
        </w:r>
        <w:r w:rsidR="006126CC">
          <w:rPr>
            <w:webHidden/>
          </w:rPr>
          <w:fldChar w:fldCharType="separate"/>
        </w:r>
        <w:r w:rsidR="006126CC">
          <w:rPr>
            <w:webHidden/>
          </w:rPr>
          <w:t>5</w:t>
        </w:r>
        <w:r w:rsidR="006126CC">
          <w:rPr>
            <w:webHidden/>
          </w:rPr>
          <w:fldChar w:fldCharType="end"/>
        </w:r>
      </w:hyperlink>
    </w:p>
    <w:p w14:paraId="291A94A7" w14:textId="1BD93862" w:rsidR="008A34B8" w:rsidRPr="00437143" w:rsidRDefault="00FE0163" w:rsidP="00FE0163">
      <w:pPr>
        <w:spacing w:before="120" w:after="120"/>
        <w:jc w:val="center"/>
      </w:pPr>
      <w:r>
        <w:rPr>
          <w:noProof/>
        </w:rPr>
        <w:fldChar w:fldCharType="end"/>
      </w:r>
    </w:p>
    <w:p w14:paraId="7BC596B8" w14:textId="77777777" w:rsidR="008A34B8" w:rsidRPr="00437143" w:rsidRDefault="008A34B8" w:rsidP="00310C63">
      <w:pPr>
        <w:jc w:val="center"/>
      </w:pPr>
    </w:p>
    <w:p w14:paraId="679F02CA" w14:textId="360DD8E8" w:rsidR="008A34B8" w:rsidRPr="00437143" w:rsidRDefault="008A34B8" w:rsidP="00057A2D">
      <w:pPr>
        <w:pStyle w:val="TOC5"/>
        <w:tabs>
          <w:tab w:val="left" w:pos="1440"/>
        </w:tabs>
      </w:pPr>
    </w:p>
    <w:p w14:paraId="5A3AFEE9" w14:textId="77777777" w:rsidR="008A34B8" w:rsidRPr="00437143" w:rsidRDefault="008A34B8">
      <w:pPr>
        <w:pStyle w:val="Title"/>
        <w:sectPr w:rsidR="008A34B8" w:rsidRPr="00437143" w:rsidSect="00C65028">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440" w:header="720" w:footer="720" w:gutter="0"/>
          <w:pgNumType w:start="1"/>
          <w:cols w:space="720"/>
          <w:docGrid w:linePitch="326"/>
        </w:sectPr>
      </w:pPr>
      <w:bookmarkStart w:id="7" w:name="_Toc99781028"/>
      <w:bookmarkStart w:id="8" w:name="_Toc115671404"/>
    </w:p>
    <w:p w14:paraId="24521054" w14:textId="77777777" w:rsidR="00E81FCE" w:rsidRPr="007C21C6" w:rsidRDefault="00E81FCE" w:rsidP="007C21C6">
      <w:pPr>
        <w:pStyle w:val="Heading1"/>
      </w:pPr>
      <w:bookmarkStart w:id="9" w:name="_Toc409684200"/>
      <w:bookmarkStart w:id="10" w:name="_Toc99781054"/>
      <w:bookmarkStart w:id="11" w:name="_Toc115671431"/>
      <w:bookmarkStart w:id="12" w:name="_Toc192579050"/>
      <w:bookmarkStart w:id="13" w:name="_Toc279414996"/>
      <w:bookmarkEnd w:id="7"/>
      <w:bookmarkEnd w:id="8"/>
      <w:r w:rsidRPr="007C21C6">
        <w:lastRenderedPageBreak/>
        <w:t>B.</w:t>
      </w:r>
      <w:r w:rsidRPr="007C21C6">
        <w:tab/>
        <w:t>Collection of Information Employing Statistical Methods</w:t>
      </w:r>
      <w:bookmarkEnd w:id="9"/>
    </w:p>
    <w:p w14:paraId="7B493EA1" w14:textId="433D077B" w:rsidR="00180A08" w:rsidRPr="001D2887" w:rsidRDefault="00180A08" w:rsidP="001D2887">
      <w:pPr>
        <w:pStyle w:val="BodyText1"/>
        <w:rPr>
          <w:szCs w:val="24"/>
        </w:rPr>
      </w:pPr>
      <w:r w:rsidRPr="001D2887">
        <w:rPr>
          <w:szCs w:val="24"/>
        </w:rPr>
        <w:t xml:space="preserve">This section describes the </w:t>
      </w:r>
      <w:r w:rsidR="001D2887" w:rsidRPr="001D2887">
        <w:rPr>
          <w:szCs w:val="24"/>
        </w:rPr>
        <w:t xml:space="preserve">respondent </w:t>
      </w:r>
      <w:r w:rsidRPr="001D2887">
        <w:rPr>
          <w:szCs w:val="24"/>
        </w:rPr>
        <w:t xml:space="preserve">universe for this study and the sampling and statistical methodologies proposed. </w:t>
      </w:r>
      <w:r w:rsidR="009D6A6A" w:rsidRPr="001D2887">
        <w:rPr>
          <w:szCs w:val="24"/>
        </w:rPr>
        <w:t>This section</w:t>
      </w:r>
      <w:r w:rsidRPr="001D2887">
        <w:rPr>
          <w:szCs w:val="24"/>
        </w:rPr>
        <w:t xml:space="preserve"> also address</w:t>
      </w:r>
      <w:r w:rsidR="009D6A6A" w:rsidRPr="001D2887">
        <w:rPr>
          <w:szCs w:val="24"/>
        </w:rPr>
        <w:t>es</w:t>
      </w:r>
      <w:r w:rsidRPr="001D2887">
        <w:rPr>
          <w:szCs w:val="24"/>
        </w:rPr>
        <w:t xml:space="preserve"> suggested methods for maximizing response rates and for tests of procedures and methods, and introduce</w:t>
      </w:r>
      <w:r w:rsidR="009D6A6A" w:rsidRPr="001D2887">
        <w:rPr>
          <w:szCs w:val="24"/>
        </w:rPr>
        <w:t>s</w:t>
      </w:r>
      <w:r w:rsidRPr="001D2887">
        <w:rPr>
          <w:szCs w:val="24"/>
        </w:rPr>
        <w:t xml:space="preserve"> the statisticians and other technical staff responsible for design and administration of the study.</w:t>
      </w:r>
    </w:p>
    <w:p w14:paraId="196CBFEA" w14:textId="3882A667" w:rsidR="00180A08" w:rsidRPr="00655ECF" w:rsidRDefault="00E81FCE" w:rsidP="007C21C6">
      <w:pPr>
        <w:pStyle w:val="Heading2"/>
      </w:pPr>
      <w:bookmarkStart w:id="14" w:name="_Toc409684201"/>
      <w:r w:rsidRPr="00655ECF">
        <w:t>B.1</w:t>
      </w:r>
      <w:r w:rsidRPr="00655ECF">
        <w:tab/>
      </w:r>
      <w:r w:rsidR="001D2887">
        <w:t xml:space="preserve">Respondent </w:t>
      </w:r>
      <w:r w:rsidRPr="00655ECF">
        <w:t xml:space="preserve">Universe and Sampling </w:t>
      </w:r>
      <w:r w:rsidR="001D2887">
        <w:t>Methods</w:t>
      </w:r>
      <w:bookmarkEnd w:id="14"/>
    </w:p>
    <w:p w14:paraId="7BD62D63" w14:textId="4560A5D0" w:rsidR="001D2887" w:rsidRPr="001D2887" w:rsidRDefault="001D2887" w:rsidP="001D2887">
      <w:pPr>
        <w:pStyle w:val="BodyText1"/>
        <w:rPr>
          <w:szCs w:val="24"/>
        </w:rPr>
      </w:pPr>
      <w:r w:rsidRPr="001D2887">
        <w:rPr>
          <w:szCs w:val="24"/>
        </w:rPr>
        <w:t>The target universe for the study includes all North Dakota public high schools and Bureau of Indian Education  (BIE) schools with both an 11</w:t>
      </w:r>
      <w:r w:rsidRPr="001D2887">
        <w:rPr>
          <w:szCs w:val="24"/>
          <w:vertAlign w:val="superscript"/>
        </w:rPr>
        <w:t>th</w:t>
      </w:r>
      <w:r>
        <w:rPr>
          <w:szCs w:val="24"/>
        </w:rPr>
        <w:t xml:space="preserve"> </w:t>
      </w:r>
      <w:r w:rsidRPr="001D2887">
        <w:rPr>
          <w:szCs w:val="24"/>
        </w:rPr>
        <w:t>and 12</w:t>
      </w:r>
      <w:r w:rsidRPr="001D2887">
        <w:rPr>
          <w:szCs w:val="24"/>
          <w:vertAlign w:val="superscript"/>
        </w:rPr>
        <w:t>th</w:t>
      </w:r>
      <w:r>
        <w:rPr>
          <w:szCs w:val="24"/>
        </w:rPr>
        <w:t xml:space="preserve"> </w:t>
      </w:r>
      <w:r w:rsidRPr="001D2887">
        <w:rPr>
          <w:szCs w:val="24"/>
        </w:rPr>
        <w:t>grade. Schools with very small grade enrollments (fewer than 10) will be excluded from the universe and sampling frame due to the fact that many of these schools provide instruction in ungraded classes, and therefore differentiated 11</w:t>
      </w:r>
      <w:r w:rsidRPr="001D2887">
        <w:rPr>
          <w:szCs w:val="24"/>
          <w:vertAlign w:val="superscript"/>
        </w:rPr>
        <w:t>th</w:t>
      </w:r>
      <w:r>
        <w:rPr>
          <w:szCs w:val="24"/>
        </w:rPr>
        <w:t xml:space="preserve">- </w:t>
      </w:r>
      <w:r w:rsidRPr="001D2887">
        <w:rPr>
          <w:szCs w:val="24"/>
        </w:rPr>
        <w:t>and 12</w:t>
      </w:r>
      <w:r w:rsidRPr="001D2887">
        <w:rPr>
          <w:szCs w:val="24"/>
          <w:vertAlign w:val="superscript"/>
        </w:rPr>
        <w:t>th</w:t>
      </w:r>
      <w:r>
        <w:rPr>
          <w:szCs w:val="24"/>
        </w:rPr>
        <w:t>-</w:t>
      </w:r>
      <w:r w:rsidRPr="001D2887">
        <w:rPr>
          <w:szCs w:val="24"/>
        </w:rPr>
        <w:t xml:space="preserve">grade RTS instruction would not be possible. </w:t>
      </w:r>
    </w:p>
    <w:p w14:paraId="629836CF" w14:textId="12F86998" w:rsidR="001D2887" w:rsidRPr="001D2887" w:rsidRDefault="001D2887" w:rsidP="001D2887">
      <w:pPr>
        <w:pStyle w:val="BodyText1"/>
        <w:rPr>
          <w:szCs w:val="24"/>
        </w:rPr>
      </w:pPr>
      <w:r w:rsidRPr="001D2887">
        <w:rPr>
          <w:szCs w:val="24"/>
        </w:rPr>
        <w:t>According to the ND Educational Directory for 2013-2014, there are 167 public schools with a 12</w:t>
      </w:r>
      <w:r w:rsidRPr="001D2887">
        <w:rPr>
          <w:szCs w:val="24"/>
          <w:vertAlign w:val="superscript"/>
        </w:rPr>
        <w:t>th</w:t>
      </w:r>
      <w:r>
        <w:rPr>
          <w:szCs w:val="24"/>
        </w:rPr>
        <w:t xml:space="preserve"> </w:t>
      </w:r>
      <w:r w:rsidRPr="001D2887">
        <w:rPr>
          <w:szCs w:val="24"/>
        </w:rPr>
        <w:t>and 11</w:t>
      </w:r>
      <w:r w:rsidRPr="001D2887">
        <w:rPr>
          <w:szCs w:val="24"/>
          <w:vertAlign w:val="superscript"/>
        </w:rPr>
        <w:t>th</w:t>
      </w:r>
      <w:r>
        <w:rPr>
          <w:szCs w:val="24"/>
        </w:rPr>
        <w:t xml:space="preserve"> </w:t>
      </w:r>
      <w:r w:rsidRPr="001D2887">
        <w:rPr>
          <w:szCs w:val="24"/>
        </w:rPr>
        <w:t>grade in North Dakota (33 schools with just grade 9-12, and 134 with a combination of high school and lower grades). There are 7,348 12th-grade students and 7,414 11th-grade students. Assuming about 75 percent of schools have not implemented RTS in any grade (based on communication with ND officials), about 125 schools (containing about 5,511 12</w:t>
      </w:r>
      <w:r w:rsidRPr="001D2887">
        <w:rPr>
          <w:szCs w:val="24"/>
          <w:vertAlign w:val="superscript"/>
        </w:rPr>
        <w:t>th</w:t>
      </w:r>
      <w:r>
        <w:rPr>
          <w:szCs w:val="24"/>
        </w:rPr>
        <w:t xml:space="preserve"> graders and 5,560 11</w:t>
      </w:r>
      <w:r w:rsidRPr="001D2887">
        <w:rPr>
          <w:szCs w:val="24"/>
          <w:vertAlign w:val="superscript"/>
        </w:rPr>
        <w:t>th</w:t>
      </w:r>
      <w:r>
        <w:rPr>
          <w:szCs w:val="24"/>
        </w:rPr>
        <w:t xml:space="preserve"> </w:t>
      </w:r>
      <w:r w:rsidRPr="001D2887">
        <w:rPr>
          <w:szCs w:val="24"/>
        </w:rPr>
        <w:t>graders) are potentially eligible for the study, with an average 12</w:t>
      </w:r>
      <w:r w:rsidRPr="001D2887">
        <w:rPr>
          <w:szCs w:val="24"/>
          <w:vertAlign w:val="superscript"/>
        </w:rPr>
        <w:t>th</w:t>
      </w:r>
      <w:r w:rsidRPr="001D2887">
        <w:rPr>
          <w:szCs w:val="24"/>
        </w:rPr>
        <w:t>-grade and 11</w:t>
      </w:r>
      <w:r w:rsidRPr="001D2887">
        <w:rPr>
          <w:szCs w:val="24"/>
          <w:vertAlign w:val="superscript"/>
        </w:rPr>
        <w:t>th</w:t>
      </w:r>
      <w:r>
        <w:rPr>
          <w:szCs w:val="24"/>
        </w:rPr>
        <w:t>-</w:t>
      </w:r>
      <w:r w:rsidRPr="001D2887">
        <w:rPr>
          <w:szCs w:val="24"/>
        </w:rPr>
        <w:t>grade class of 44 students (each grade) per school. With about 30 of these 125 schools excluded due to size, approximately 95 schools and 10,600 students will be eligible for the study.</w:t>
      </w:r>
    </w:p>
    <w:p w14:paraId="407CB3A4" w14:textId="5EF7A8E9" w:rsidR="001D2887" w:rsidRPr="001D2887" w:rsidRDefault="001D2887" w:rsidP="001D2887">
      <w:pPr>
        <w:pStyle w:val="BodyText1"/>
        <w:rPr>
          <w:szCs w:val="24"/>
        </w:rPr>
      </w:pPr>
      <w:r w:rsidRPr="001D2887">
        <w:rPr>
          <w:szCs w:val="24"/>
        </w:rPr>
        <w:t>The school sampling frame will come from the North Dakota Department of Public Instruction, and North Dakota CTE staff and regional CTE coordinators will assist in identifying, in advance, which schools are currently implementing RTS or have implemented RTS in recent years (so that, for example, schools who have provided some RTS programming to grade 10 or 11 students are not included in the study). To prepare for the contingency of encountering schools that have implemented RTS but are unknown to state staff and thus to the research team, our initial contact with schools will screen for prior RTS provision.</w:t>
      </w:r>
    </w:p>
    <w:p w14:paraId="7C0B4095" w14:textId="27FFAA4A" w:rsidR="00E81FCE" w:rsidRPr="00655ECF" w:rsidRDefault="00E81FCE" w:rsidP="007C21C6">
      <w:pPr>
        <w:pStyle w:val="Heading2"/>
      </w:pPr>
      <w:bookmarkStart w:id="15" w:name="_Toc409684202"/>
      <w:r w:rsidRPr="00655ECF">
        <w:t>B.2</w:t>
      </w:r>
      <w:r w:rsidRPr="00655ECF">
        <w:tab/>
        <w:t>Procedures for Collecting Information</w:t>
      </w:r>
      <w:bookmarkEnd w:id="15"/>
    </w:p>
    <w:p w14:paraId="7B810E6F" w14:textId="78FA514C" w:rsidR="00267844" w:rsidRPr="00267844" w:rsidRDefault="00267844" w:rsidP="00267844">
      <w:pPr>
        <w:pStyle w:val="BodyText1"/>
        <w:rPr>
          <w:szCs w:val="24"/>
        </w:rPr>
      </w:pPr>
      <w:r w:rsidRPr="00267844">
        <w:rPr>
          <w:szCs w:val="24"/>
        </w:rPr>
        <w:t>A randomized design will be employed in which target schools are assigned to the treatment or control conditions and all 11</w:t>
      </w:r>
      <w:r w:rsidRPr="00267844">
        <w:rPr>
          <w:szCs w:val="24"/>
          <w:vertAlign w:val="superscript"/>
        </w:rPr>
        <w:t>th</w:t>
      </w:r>
      <w:r>
        <w:rPr>
          <w:szCs w:val="24"/>
        </w:rPr>
        <w:t xml:space="preserve">- </w:t>
      </w:r>
      <w:r w:rsidRPr="00267844">
        <w:rPr>
          <w:szCs w:val="24"/>
        </w:rPr>
        <w:t>and 12</w:t>
      </w:r>
      <w:r w:rsidRPr="00267844">
        <w:rPr>
          <w:szCs w:val="24"/>
          <w:vertAlign w:val="superscript"/>
        </w:rPr>
        <w:t>th</w:t>
      </w:r>
      <w:r>
        <w:rPr>
          <w:szCs w:val="24"/>
        </w:rPr>
        <w:t>-</w:t>
      </w:r>
      <w:r w:rsidRPr="00267844">
        <w:rPr>
          <w:szCs w:val="24"/>
        </w:rPr>
        <w:t>grade students in a treatment school provided with RTS instruction. This design is necessitated by the relatively small size of schools in North Dakota. It also provides the advantage that cross-condition contamination within a school will not be possible.</w:t>
      </w:r>
    </w:p>
    <w:p w14:paraId="2113B6BB" w14:textId="437C0AA7" w:rsidR="00267844" w:rsidRPr="00267844" w:rsidRDefault="00267844" w:rsidP="00267844">
      <w:pPr>
        <w:pStyle w:val="BodyText1"/>
        <w:rPr>
          <w:szCs w:val="24"/>
        </w:rPr>
      </w:pPr>
      <w:r w:rsidRPr="00267844">
        <w:rPr>
          <w:szCs w:val="24"/>
        </w:rPr>
        <w:lastRenderedPageBreak/>
        <w:t>To achieve adequate statistical power, the optimal number of schools for the study would be between 64 and 80 participating schools, depending on various assumptions. However, for maximum statistical power and to better account for the possibility of some schools refusing to participate or dropping out, all 95 estimated eligible schools (125 schools minus the 30 schools with very small 11</w:t>
      </w:r>
      <w:r w:rsidRPr="00267844">
        <w:rPr>
          <w:szCs w:val="24"/>
          <w:vertAlign w:val="superscript"/>
        </w:rPr>
        <w:t>th</w:t>
      </w:r>
      <w:r w:rsidRPr="00267844">
        <w:rPr>
          <w:szCs w:val="24"/>
        </w:rPr>
        <w:t>- and 12</w:t>
      </w:r>
      <w:r w:rsidRPr="00267844">
        <w:rPr>
          <w:szCs w:val="24"/>
          <w:vertAlign w:val="superscript"/>
        </w:rPr>
        <w:t>th</w:t>
      </w:r>
      <w:r w:rsidRPr="00267844">
        <w:rPr>
          <w:szCs w:val="24"/>
        </w:rPr>
        <w:t xml:space="preserve">-grade enrollments) will be included in the study. Half of the schools will be randomly selected into the treatment group, with the remaining placed in the control group (it will randomly be decided if the odd case is in the treatment or control group). This allows the study to have 80% power with an alpha of 0.05. The sampling design assumptions are shown in table 1. </w:t>
      </w:r>
    </w:p>
    <w:p w14:paraId="56AE0C5D" w14:textId="1FDF1C40" w:rsidR="00267844" w:rsidRPr="00267844" w:rsidRDefault="00267844" w:rsidP="00267844">
      <w:pPr>
        <w:pStyle w:val="BodyText1"/>
        <w:rPr>
          <w:szCs w:val="24"/>
        </w:rPr>
      </w:pPr>
      <w:r w:rsidRPr="00267844">
        <w:rPr>
          <w:szCs w:val="24"/>
        </w:rPr>
        <w:t>The average class size of 44 masks the fact that there are only a few larger schools and many smaller schools; the median 12</w:t>
      </w:r>
      <w:r w:rsidRPr="00267844">
        <w:rPr>
          <w:szCs w:val="24"/>
          <w:vertAlign w:val="superscript"/>
        </w:rPr>
        <w:t>th</w:t>
      </w:r>
      <w:r w:rsidRPr="00267844">
        <w:rPr>
          <w:szCs w:val="24"/>
        </w:rPr>
        <w:t>- or 11</w:t>
      </w:r>
      <w:r w:rsidRPr="00267844">
        <w:rPr>
          <w:szCs w:val="24"/>
          <w:vertAlign w:val="superscript"/>
        </w:rPr>
        <w:t>th</w:t>
      </w:r>
      <w:r w:rsidRPr="00267844">
        <w:rPr>
          <w:szCs w:val="24"/>
        </w:rPr>
        <w:t>-grade school class is 19 students, and there are only about 15 schools with over 100 12</w:t>
      </w:r>
      <w:r w:rsidRPr="00267844">
        <w:rPr>
          <w:szCs w:val="24"/>
          <w:vertAlign w:val="superscript"/>
        </w:rPr>
        <w:t>th</w:t>
      </w:r>
      <w:r w:rsidRPr="00267844">
        <w:rPr>
          <w:szCs w:val="24"/>
        </w:rPr>
        <w:t>-grade or 11</w:t>
      </w:r>
      <w:r w:rsidRPr="00267844">
        <w:rPr>
          <w:szCs w:val="24"/>
          <w:vertAlign w:val="superscript"/>
        </w:rPr>
        <w:t>th</w:t>
      </w:r>
      <w:r w:rsidRPr="00267844">
        <w:rPr>
          <w:szCs w:val="24"/>
        </w:rPr>
        <w:t xml:space="preserve">-grade students. Stratification of schools will be by school size (below/above median enrollment) to ensure that large schools have an equal chance of being in either the treatment or control condition. </w:t>
      </w:r>
    </w:p>
    <w:p w14:paraId="6E1D3342" w14:textId="2EF6AC6A" w:rsidR="00267844" w:rsidRPr="00981779" w:rsidRDefault="00267844" w:rsidP="00267844">
      <w:pPr>
        <w:spacing w:line="276" w:lineRule="auto"/>
        <w:rPr>
          <w:b/>
          <w:bCs/>
        </w:rPr>
      </w:pPr>
      <w:r w:rsidRPr="00981779">
        <w:rPr>
          <w:b/>
          <w:bCs/>
        </w:rPr>
        <w:t xml:space="preserve">Table </w:t>
      </w:r>
      <w:r>
        <w:rPr>
          <w:b/>
          <w:bCs/>
        </w:rPr>
        <w:t>1</w:t>
      </w:r>
      <w:r w:rsidRPr="00981779">
        <w:rPr>
          <w:b/>
          <w:bCs/>
        </w:rPr>
        <w:t xml:space="preserve">. Sample </w:t>
      </w:r>
      <w:r>
        <w:rPr>
          <w:b/>
          <w:bCs/>
        </w:rPr>
        <w:t>D</w:t>
      </w:r>
      <w:r w:rsidRPr="00981779">
        <w:rPr>
          <w:b/>
          <w:bCs/>
        </w:rPr>
        <w:t xml:space="preserve">esign </w:t>
      </w:r>
      <w:r>
        <w:rPr>
          <w:b/>
          <w:bCs/>
        </w:rPr>
        <w:t>A</w:t>
      </w:r>
      <w:r w:rsidRPr="00981779">
        <w:rPr>
          <w:b/>
          <w:bCs/>
        </w:rPr>
        <w:t>ssumptions</w:t>
      </w:r>
    </w:p>
    <w:tbl>
      <w:tblPr>
        <w:tblW w:w="42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tblGrid>
      <w:tr w:rsidR="00267844" w:rsidRPr="002A4081" w14:paraId="67ED7F99" w14:textId="77777777" w:rsidTr="00267844">
        <w:trPr>
          <w:trHeight w:val="288"/>
        </w:trPr>
        <w:tc>
          <w:tcPr>
            <w:tcW w:w="4297" w:type="dxa"/>
            <w:shd w:val="clear" w:color="auto" w:fill="C6D9F1" w:themeFill="text2" w:themeFillTint="33"/>
            <w:noWrap/>
            <w:vAlign w:val="bottom"/>
            <w:hideMark/>
          </w:tcPr>
          <w:p w14:paraId="71446542" w14:textId="77777777" w:rsidR="00267844" w:rsidRPr="002A4081" w:rsidRDefault="00267844" w:rsidP="00C83CEC">
            <w:pPr>
              <w:spacing w:line="276" w:lineRule="auto"/>
              <w:rPr>
                <w:b/>
                <w:bCs/>
                <w:color w:val="000000"/>
              </w:rPr>
            </w:pPr>
            <w:r w:rsidRPr="002A4081">
              <w:rPr>
                <w:b/>
                <w:bCs/>
                <w:color w:val="000000"/>
              </w:rPr>
              <w:t>Assumption</w:t>
            </w:r>
          </w:p>
        </w:tc>
      </w:tr>
      <w:tr w:rsidR="00267844" w:rsidRPr="002A4081" w14:paraId="7A9F6359" w14:textId="77777777" w:rsidTr="00C83CEC">
        <w:trPr>
          <w:trHeight w:val="288"/>
        </w:trPr>
        <w:tc>
          <w:tcPr>
            <w:tcW w:w="4297" w:type="dxa"/>
            <w:shd w:val="clear" w:color="auto" w:fill="auto"/>
            <w:noWrap/>
            <w:vAlign w:val="center"/>
            <w:hideMark/>
          </w:tcPr>
          <w:p w14:paraId="1D44FCB5" w14:textId="77777777" w:rsidR="00267844" w:rsidRPr="002A4081" w:rsidRDefault="00267844" w:rsidP="00C83CEC">
            <w:pPr>
              <w:spacing w:line="276" w:lineRule="auto"/>
              <w:rPr>
                <w:color w:val="000000"/>
              </w:rPr>
            </w:pPr>
            <w:r w:rsidRPr="002A4081">
              <w:rPr>
                <w:rFonts w:eastAsia="Symbol"/>
                <w:color w:val="000000"/>
                <w:sz w:val="14"/>
                <w:szCs w:val="14"/>
              </w:rPr>
              <w:t xml:space="preserve"> </w:t>
            </w:r>
            <w:r w:rsidRPr="002A4081">
              <w:rPr>
                <w:rFonts w:eastAsia="Symbol"/>
                <w:color w:val="000000"/>
              </w:rPr>
              <w:t>α = 0.05</w:t>
            </w:r>
          </w:p>
        </w:tc>
      </w:tr>
      <w:tr w:rsidR="00267844" w:rsidRPr="002A4081" w14:paraId="2B6AA143" w14:textId="77777777" w:rsidTr="00C83CEC">
        <w:trPr>
          <w:trHeight w:val="324"/>
        </w:trPr>
        <w:tc>
          <w:tcPr>
            <w:tcW w:w="4297" w:type="dxa"/>
            <w:shd w:val="clear" w:color="auto" w:fill="auto"/>
            <w:noWrap/>
            <w:vAlign w:val="center"/>
            <w:hideMark/>
          </w:tcPr>
          <w:p w14:paraId="4FB344FE" w14:textId="77777777" w:rsidR="00267844" w:rsidRPr="002A4081" w:rsidRDefault="00267844" w:rsidP="00C83CEC">
            <w:pPr>
              <w:spacing w:line="276" w:lineRule="auto"/>
              <w:rPr>
                <w:color w:val="000000"/>
              </w:rPr>
            </w:pPr>
            <w:r w:rsidRPr="002A4081">
              <w:rPr>
                <w:rFonts w:eastAsia="Symbol"/>
                <w:color w:val="000000"/>
                <w:sz w:val="14"/>
                <w:szCs w:val="14"/>
              </w:rPr>
              <w:t xml:space="preserve"> </w:t>
            </w:r>
            <w:r>
              <w:rPr>
                <w:rFonts w:eastAsia="Symbol"/>
                <w:color w:val="000000"/>
              </w:rPr>
              <w:t>44</w:t>
            </w:r>
            <w:r w:rsidRPr="002A4081">
              <w:rPr>
                <w:rFonts w:eastAsia="Symbol"/>
                <w:color w:val="000000"/>
              </w:rPr>
              <w:t xml:space="preserve"> 12</w:t>
            </w:r>
            <w:r w:rsidRPr="002A4081">
              <w:rPr>
                <w:rFonts w:eastAsia="Symbol"/>
                <w:color w:val="000000"/>
                <w:vertAlign w:val="superscript"/>
              </w:rPr>
              <w:t>th</w:t>
            </w:r>
            <w:r w:rsidRPr="002A4081">
              <w:rPr>
                <w:rFonts w:eastAsia="Symbol"/>
                <w:color w:val="000000"/>
              </w:rPr>
              <w:t xml:space="preserve"> grade</w:t>
            </w:r>
            <w:r>
              <w:rPr>
                <w:rFonts w:eastAsia="Symbol"/>
                <w:color w:val="000000"/>
              </w:rPr>
              <w:t>rs and 44 11</w:t>
            </w:r>
            <w:r w:rsidRPr="0025766C">
              <w:rPr>
                <w:rFonts w:eastAsia="Symbol"/>
                <w:color w:val="000000"/>
                <w:vertAlign w:val="superscript"/>
              </w:rPr>
              <w:t>th</w:t>
            </w:r>
            <w:r>
              <w:rPr>
                <w:rFonts w:eastAsia="Symbol"/>
                <w:color w:val="000000"/>
              </w:rPr>
              <w:t xml:space="preserve"> graders</w:t>
            </w:r>
            <w:r w:rsidRPr="002A4081">
              <w:rPr>
                <w:rFonts w:eastAsia="Symbol"/>
                <w:color w:val="000000"/>
              </w:rPr>
              <w:t xml:space="preserve"> per school</w:t>
            </w:r>
            <w:r>
              <w:rPr>
                <w:rFonts w:eastAsia="Symbol"/>
                <w:color w:val="000000"/>
              </w:rPr>
              <w:t>, on average</w:t>
            </w:r>
          </w:p>
        </w:tc>
      </w:tr>
      <w:tr w:rsidR="00267844" w:rsidRPr="002A4081" w14:paraId="43767A0D" w14:textId="77777777" w:rsidTr="00C83CEC">
        <w:trPr>
          <w:trHeight w:val="288"/>
        </w:trPr>
        <w:tc>
          <w:tcPr>
            <w:tcW w:w="4297" w:type="dxa"/>
            <w:shd w:val="clear" w:color="auto" w:fill="auto"/>
            <w:noWrap/>
            <w:vAlign w:val="center"/>
            <w:hideMark/>
          </w:tcPr>
          <w:p w14:paraId="34B94AC7" w14:textId="77777777" w:rsidR="00267844" w:rsidRPr="002A4081" w:rsidRDefault="00267844" w:rsidP="00C83CEC">
            <w:pPr>
              <w:spacing w:line="276" w:lineRule="auto"/>
              <w:rPr>
                <w:color w:val="000000"/>
              </w:rPr>
            </w:pPr>
            <w:r w:rsidRPr="002A4081">
              <w:rPr>
                <w:rFonts w:eastAsia="Symbol"/>
                <w:color w:val="000000"/>
              </w:rPr>
              <w:t>Power of 80%</w:t>
            </w:r>
          </w:p>
        </w:tc>
      </w:tr>
      <w:tr w:rsidR="00267844" w:rsidRPr="002A4081" w14:paraId="188064E0" w14:textId="77777777" w:rsidTr="00C83CEC">
        <w:trPr>
          <w:trHeight w:val="288"/>
        </w:trPr>
        <w:tc>
          <w:tcPr>
            <w:tcW w:w="4297" w:type="dxa"/>
            <w:shd w:val="clear" w:color="auto" w:fill="auto"/>
            <w:noWrap/>
            <w:vAlign w:val="center"/>
            <w:hideMark/>
          </w:tcPr>
          <w:p w14:paraId="333522AF" w14:textId="77777777" w:rsidR="00267844" w:rsidRPr="002A4081" w:rsidRDefault="00267844" w:rsidP="00C83CEC">
            <w:pPr>
              <w:spacing w:line="276" w:lineRule="auto"/>
              <w:rPr>
                <w:color w:val="000000"/>
              </w:rPr>
            </w:pPr>
            <w:proofErr w:type="spellStart"/>
            <w:r w:rsidRPr="002A4081">
              <w:rPr>
                <w:rFonts w:eastAsia="Symbol"/>
                <w:color w:val="000000"/>
              </w:rPr>
              <w:t>Intraclass</w:t>
            </w:r>
            <w:proofErr w:type="spellEnd"/>
            <w:r w:rsidRPr="002A4081">
              <w:rPr>
                <w:rFonts w:eastAsia="Symbol"/>
                <w:color w:val="000000"/>
              </w:rPr>
              <w:t xml:space="preserve"> correlation of 0.15; </w:t>
            </w:r>
          </w:p>
        </w:tc>
      </w:tr>
      <w:tr w:rsidR="00267844" w:rsidRPr="002A4081" w14:paraId="7C2C8F90" w14:textId="77777777" w:rsidTr="00C83CEC">
        <w:trPr>
          <w:trHeight w:val="288"/>
        </w:trPr>
        <w:tc>
          <w:tcPr>
            <w:tcW w:w="4297" w:type="dxa"/>
            <w:shd w:val="clear" w:color="auto" w:fill="auto"/>
            <w:noWrap/>
            <w:vAlign w:val="center"/>
            <w:hideMark/>
          </w:tcPr>
          <w:p w14:paraId="10AA9BED" w14:textId="77777777" w:rsidR="00267844" w:rsidRPr="002A4081" w:rsidRDefault="00267844" w:rsidP="00C83CEC">
            <w:pPr>
              <w:spacing w:line="276" w:lineRule="auto"/>
              <w:rPr>
                <w:color w:val="000000"/>
              </w:rPr>
            </w:pPr>
            <w:r w:rsidRPr="002A4081">
              <w:rPr>
                <w:rFonts w:eastAsia="Symbol"/>
                <w:color w:val="000000"/>
              </w:rPr>
              <w:t>Proportion of variance explained by the REAs is 0.3</w:t>
            </w:r>
          </w:p>
        </w:tc>
      </w:tr>
      <w:tr w:rsidR="00267844" w:rsidRPr="002A4081" w14:paraId="2BD36053" w14:textId="77777777" w:rsidTr="00C83CEC">
        <w:trPr>
          <w:trHeight w:val="288"/>
        </w:trPr>
        <w:tc>
          <w:tcPr>
            <w:tcW w:w="4297" w:type="dxa"/>
            <w:shd w:val="clear" w:color="auto" w:fill="auto"/>
            <w:noWrap/>
            <w:vAlign w:val="center"/>
            <w:hideMark/>
          </w:tcPr>
          <w:p w14:paraId="548C778E" w14:textId="77777777" w:rsidR="00267844" w:rsidRPr="002A4081" w:rsidRDefault="00267844" w:rsidP="00C83CEC">
            <w:pPr>
              <w:spacing w:line="276" w:lineRule="auto"/>
              <w:rPr>
                <w:color w:val="000000"/>
              </w:rPr>
            </w:pPr>
            <w:r w:rsidRPr="002A4081">
              <w:rPr>
                <w:rFonts w:eastAsia="Symbol"/>
                <w:color w:val="000000"/>
              </w:rPr>
              <w:t>Proportion of variance explained by school covariates is 0.2</w:t>
            </w:r>
          </w:p>
        </w:tc>
      </w:tr>
      <w:tr w:rsidR="00267844" w:rsidRPr="002A4081" w14:paraId="46A519C5" w14:textId="77777777" w:rsidTr="00C83CEC">
        <w:trPr>
          <w:trHeight w:val="288"/>
        </w:trPr>
        <w:tc>
          <w:tcPr>
            <w:tcW w:w="4297" w:type="dxa"/>
            <w:shd w:val="clear" w:color="auto" w:fill="auto"/>
            <w:noWrap/>
            <w:vAlign w:val="center"/>
            <w:hideMark/>
          </w:tcPr>
          <w:p w14:paraId="67230C8B" w14:textId="77777777" w:rsidR="00267844" w:rsidRPr="002A4081" w:rsidRDefault="00267844" w:rsidP="00C83CEC">
            <w:pPr>
              <w:spacing w:line="276" w:lineRule="auto"/>
              <w:rPr>
                <w:color w:val="000000"/>
              </w:rPr>
            </w:pPr>
            <w:r w:rsidRPr="002A4081">
              <w:rPr>
                <w:rFonts w:eastAsia="Symbol"/>
                <w:color w:val="000000"/>
              </w:rPr>
              <w:t>Estimated proportions of students being tested are 0.3 for the control group</w:t>
            </w:r>
          </w:p>
        </w:tc>
      </w:tr>
    </w:tbl>
    <w:p w14:paraId="46DA7C46" w14:textId="77777777" w:rsidR="00267844" w:rsidRDefault="00267844" w:rsidP="00267844"/>
    <w:p w14:paraId="46DE5DE0" w14:textId="4CE2BD5C" w:rsidR="00267844" w:rsidRPr="00267844" w:rsidRDefault="00267844" w:rsidP="00267844">
      <w:pPr>
        <w:pStyle w:val="BodyText1"/>
        <w:rPr>
          <w:szCs w:val="24"/>
        </w:rPr>
      </w:pPr>
      <w:r w:rsidRPr="00267844">
        <w:rPr>
          <w:szCs w:val="24"/>
        </w:rPr>
        <w:t>Most schools in the study sample would be in their own school districts; i.e., assigning two or more schools within a district to different treatment and control conditions will likely not be possible. For example, ND contains a high number of school districts (148) relative to its number of schools with a 12</w:t>
      </w:r>
      <w:r w:rsidRPr="00267844">
        <w:rPr>
          <w:szCs w:val="24"/>
          <w:vertAlign w:val="superscript"/>
        </w:rPr>
        <w:t>th</w:t>
      </w:r>
      <w:r>
        <w:rPr>
          <w:szCs w:val="24"/>
        </w:rPr>
        <w:t xml:space="preserve"> </w:t>
      </w:r>
      <w:r w:rsidRPr="00267844">
        <w:rPr>
          <w:szCs w:val="24"/>
        </w:rPr>
        <w:t>grade (167), meaning that most school districts only contain one school with a 12</w:t>
      </w:r>
      <w:r w:rsidRPr="00267844">
        <w:rPr>
          <w:szCs w:val="24"/>
          <w:vertAlign w:val="superscript"/>
        </w:rPr>
        <w:t>th</w:t>
      </w:r>
      <w:r>
        <w:rPr>
          <w:szCs w:val="24"/>
        </w:rPr>
        <w:t xml:space="preserve"> </w:t>
      </w:r>
      <w:r w:rsidRPr="00267844">
        <w:rPr>
          <w:szCs w:val="24"/>
        </w:rPr>
        <w:t xml:space="preserve">grade. Though this theoretically limits the ability to reduce variation prior to assignment, in practice the student population of ND is homogeneous and the district policies and supports are fairly consistent. The primary diversity is between White and Native American students; White students make up about 83 percent of the ND student population and Native American students make up about 9 percent (Black and Hispanic students </w:t>
      </w:r>
      <w:r w:rsidRPr="00267844">
        <w:rPr>
          <w:szCs w:val="24"/>
        </w:rPr>
        <w:lastRenderedPageBreak/>
        <w:t xml:space="preserve">make up 2-3 percent of the population each; the remaining 2 percent are divided between Asian and Two or More Races). About 31 percent of the student population is free or reduced-price lunch eligible. </w:t>
      </w:r>
    </w:p>
    <w:p w14:paraId="5BC4290C" w14:textId="77777777" w:rsidR="00267844" w:rsidRPr="00267844" w:rsidRDefault="00267844" w:rsidP="00267844">
      <w:pPr>
        <w:pStyle w:val="BodyText1"/>
        <w:rPr>
          <w:szCs w:val="24"/>
        </w:rPr>
      </w:pPr>
      <w:r w:rsidRPr="00267844">
        <w:rPr>
          <w:szCs w:val="24"/>
        </w:rPr>
        <w:t xml:space="preserve">Nevertheless, schools will be assigned to different treatment and control conditions within a regional educational association (REA, a kind of super-district). There are eight REAs which provide support services to member school districts; two are small and will be combined into one, yielding seven REAs to use in stratifying the schools (with the size stratification being within REA). The REAs cooperate on programs and services to increase district operating efficiencies. Stratifying by REA enables us to split the schools in a REA between the treatment and control groups and can help ensure balance across experimental conditions. </w:t>
      </w:r>
    </w:p>
    <w:p w14:paraId="0F67A6ED" w14:textId="7036B13E" w:rsidR="00267844" w:rsidRPr="00267844" w:rsidRDefault="00267844" w:rsidP="00267844">
      <w:pPr>
        <w:pStyle w:val="BodyText1"/>
        <w:rPr>
          <w:szCs w:val="24"/>
        </w:rPr>
      </w:pPr>
      <w:r w:rsidRPr="00267844">
        <w:rPr>
          <w:szCs w:val="24"/>
        </w:rPr>
        <w:t>In addition to the fact that there are few districts with multiple high schools, there are also few schools with multiple 12</w:t>
      </w:r>
      <w:r w:rsidRPr="00267844">
        <w:rPr>
          <w:szCs w:val="24"/>
          <w:vertAlign w:val="superscript"/>
        </w:rPr>
        <w:t>th</w:t>
      </w:r>
      <w:r w:rsidRPr="00267844">
        <w:rPr>
          <w:szCs w:val="24"/>
        </w:rPr>
        <w:t>-grade or 11</w:t>
      </w:r>
      <w:r w:rsidRPr="00267844">
        <w:rPr>
          <w:szCs w:val="24"/>
          <w:vertAlign w:val="superscript"/>
        </w:rPr>
        <w:t>th</w:t>
      </w:r>
      <w:r w:rsidRPr="00267844">
        <w:rPr>
          <w:szCs w:val="24"/>
        </w:rPr>
        <w:t>-grade classrooms, due to the small size of most ND high schools. Even where there are multiple classrooms or teachers in schools, the schools are still relatively small, which makes spillover effects likely. Thus classrooms within schools will not be assigned to different treatment and control conditions. Therefore, within each sampled school, all 11</w:t>
      </w:r>
      <w:r w:rsidRPr="00267844">
        <w:rPr>
          <w:szCs w:val="24"/>
          <w:vertAlign w:val="superscript"/>
        </w:rPr>
        <w:t>th</w:t>
      </w:r>
      <w:r>
        <w:rPr>
          <w:szCs w:val="24"/>
        </w:rPr>
        <w:t xml:space="preserve"> </w:t>
      </w:r>
      <w:r w:rsidRPr="00267844">
        <w:rPr>
          <w:szCs w:val="24"/>
        </w:rPr>
        <w:t>and 12</w:t>
      </w:r>
      <w:r w:rsidRPr="00267844">
        <w:rPr>
          <w:szCs w:val="24"/>
          <w:vertAlign w:val="superscript"/>
        </w:rPr>
        <w:t>th</w:t>
      </w:r>
      <w:r>
        <w:rPr>
          <w:szCs w:val="24"/>
        </w:rPr>
        <w:t xml:space="preserve"> </w:t>
      </w:r>
      <w:r w:rsidRPr="00267844">
        <w:rPr>
          <w:szCs w:val="24"/>
        </w:rPr>
        <w:t>graders will be included in the study.</w:t>
      </w:r>
    </w:p>
    <w:p w14:paraId="23046AC7" w14:textId="76AE3B8F" w:rsidR="00267844" w:rsidRPr="00267844" w:rsidRDefault="00267844" w:rsidP="00267844">
      <w:pPr>
        <w:pStyle w:val="BodyText1"/>
        <w:rPr>
          <w:szCs w:val="24"/>
        </w:rPr>
      </w:pPr>
      <w:r w:rsidRPr="00267844">
        <w:rPr>
          <w:szCs w:val="24"/>
        </w:rPr>
        <w:t>In the western part of the state, where school growth (mostly at the elementary and middle school level) has been very rapid in recent years, there may also be a relatively greater number of transfer students; however, the numbers of 11</w:t>
      </w:r>
      <w:r w:rsidRPr="00267844">
        <w:rPr>
          <w:szCs w:val="24"/>
          <w:vertAlign w:val="superscript"/>
        </w:rPr>
        <w:t>th</w:t>
      </w:r>
      <w:r w:rsidRPr="00267844">
        <w:rPr>
          <w:szCs w:val="24"/>
        </w:rPr>
        <w:t>- and 12</w:t>
      </w:r>
      <w:r w:rsidRPr="00267844">
        <w:rPr>
          <w:szCs w:val="24"/>
          <w:vertAlign w:val="superscript"/>
        </w:rPr>
        <w:t>th</w:t>
      </w:r>
      <w:r w:rsidRPr="00267844">
        <w:rPr>
          <w:szCs w:val="24"/>
        </w:rPr>
        <w:t xml:space="preserve">-grade transfer students is expected to be low because workers in the gas industry are often not bringing their families with them initially—and would be less likely to do so if they have children nearing high school completion. Nevertheless, district-level differences in population are another aspect of the students’ environments about which information will be gathered. </w:t>
      </w:r>
    </w:p>
    <w:p w14:paraId="40A5D67E" w14:textId="5CA416D5" w:rsidR="008A34B8" w:rsidRPr="007C21C6" w:rsidRDefault="008A34B8" w:rsidP="007C21C6">
      <w:pPr>
        <w:pStyle w:val="Heading2"/>
      </w:pPr>
      <w:bookmarkStart w:id="16" w:name="_Toc499087147"/>
      <w:bookmarkStart w:id="17" w:name="_Toc192579056"/>
      <w:bookmarkStart w:id="18" w:name="_Toc279415006"/>
      <w:bookmarkStart w:id="19" w:name="_Toc409684203"/>
      <w:bookmarkStart w:id="20" w:name="_Toc192578758"/>
      <w:bookmarkEnd w:id="10"/>
      <w:bookmarkEnd w:id="11"/>
      <w:bookmarkEnd w:id="12"/>
      <w:bookmarkEnd w:id="13"/>
      <w:r w:rsidRPr="007C21C6">
        <w:t>B.3</w:t>
      </w:r>
      <w:r w:rsidRPr="007C21C6">
        <w:tab/>
        <w:t>Methods for Maximizing Response Rates</w:t>
      </w:r>
      <w:bookmarkEnd w:id="16"/>
      <w:bookmarkEnd w:id="17"/>
      <w:bookmarkEnd w:id="18"/>
      <w:r w:rsidR="007C21C6" w:rsidRPr="007C21C6">
        <w:t xml:space="preserve"> and Deal with Nonresponse</w:t>
      </w:r>
      <w:bookmarkEnd w:id="19"/>
    </w:p>
    <w:bookmarkEnd w:id="20"/>
    <w:p w14:paraId="2A758BF4" w14:textId="77777777" w:rsidR="007C21C6" w:rsidRPr="007C21C6" w:rsidRDefault="007C21C6" w:rsidP="007C21C6">
      <w:pPr>
        <w:pStyle w:val="BodyText1"/>
        <w:rPr>
          <w:szCs w:val="24"/>
        </w:rPr>
      </w:pPr>
      <w:r w:rsidRPr="007C21C6">
        <w:rPr>
          <w:szCs w:val="24"/>
        </w:rPr>
        <w:t xml:space="preserve">Procedures for maximizing response rates at the institution and respondent levels are based on successful experiences in similar school-based studies. In this section, methods for maximizing response rates for schools, students, teachers, and school administrators are discussed. </w:t>
      </w:r>
    </w:p>
    <w:p w14:paraId="7A86EA01" w14:textId="77777777" w:rsidR="007C21C6" w:rsidRPr="007C21C6" w:rsidRDefault="007C21C6" w:rsidP="007C21C6">
      <w:pPr>
        <w:pStyle w:val="BodyText1"/>
        <w:rPr>
          <w:szCs w:val="24"/>
        </w:rPr>
      </w:pPr>
      <w:r w:rsidRPr="007C21C6">
        <w:rPr>
          <w:szCs w:val="24"/>
        </w:rPr>
        <w:t xml:space="preserve">The recruitment of schools into the study will begin with the dissemination of information to school counselors and district leaders to notify districts and schools about the study and to express the support of the state of North Dakota.  School administrator conferences in late January/early February 2015, and a midwinter counselor’s conference in late February 2015 will be the vehicles for informing potential school participants of the study and its general outlines. The ND Department of CTE will announce the project in general terms and help build awareness of the importance of the study, as well as </w:t>
      </w:r>
      <w:r w:rsidRPr="007C21C6">
        <w:rPr>
          <w:szCs w:val="24"/>
        </w:rPr>
        <w:lastRenderedPageBreak/>
        <w:t xml:space="preserve">interest in participating, at these events. However, no information about selected schools or which schools are in the experimental or control group will be shared prior to the receipt of OMB approval.   </w:t>
      </w:r>
    </w:p>
    <w:p w14:paraId="24CC1B75" w14:textId="34D20CC9" w:rsidR="007C21C6" w:rsidRPr="007C21C6" w:rsidRDefault="007C21C6" w:rsidP="007C21C6">
      <w:pPr>
        <w:pStyle w:val="BodyText1"/>
        <w:rPr>
          <w:szCs w:val="24"/>
        </w:rPr>
      </w:pPr>
      <w:r w:rsidRPr="007C21C6">
        <w:rPr>
          <w:szCs w:val="24"/>
        </w:rPr>
        <w:t xml:space="preserve"> After OMB clearance and IRB approval are received, we will contact districts and initiate the process of obtaining any required research applications for conducting research in their schools. Our contact with districts and schools will include cover letters that present the endorsement of the ND Department of CTE and the Department of Education, emphasizing the importance of the study and the value of its findings. All contacting mate</w:t>
      </w:r>
      <w:r>
        <w:rPr>
          <w:szCs w:val="24"/>
        </w:rPr>
        <w:t>rials are included in Appendix A</w:t>
      </w:r>
      <w:r w:rsidRPr="007C21C6">
        <w:rPr>
          <w:szCs w:val="24"/>
        </w:rPr>
        <w:t>.</w:t>
      </w:r>
    </w:p>
    <w:p w14:paraId="45460AFB" w14:textId="77777777" w:rsidR="007C21C6" w:rsidRPr="007C21C6" w:rsidRDefault="007C21C6" w:rsidP="007C21C6">
      <w:pPr>
        <w:pStyle w:val="BodyText1"/>
        <w:rPr>
          <w:szCs w:val="24"/>
        </w:rPr>
      </w:pPr>
      <w:r w:rsidRPr="007C21C6">
        <w:rPr>
          <w:szCs w:val="24"/>
        </w:rPr>
        <w:t xml:space="preserve">Once any required district approval is obtained, we will begin contacting schools selected into the study through packets sent through Federal Express informing them of the nature of the study, its purpose, and its value to them and to the state, and asking for their participation. Packets will include endorsement letters, a sheet of frequently asked questions, and contact information to answer further questions. Several days after receipt of the package, a recruitment specialist from the NCICTE research team will contact the school, ask for their participation, address any questions or concerns they may have, and, if they agree to participate, begin the process of identifying a school staff member or members to serve as the RTS instructor and a separate (where possible) school coordinator to assist in the administration of the surveys and site visits. Recruitment specialists will document any refusals to participate and follow-up an additional time via email and phone to attempt to convert refusals into acceptance. The recruitment specialist will remain the primary point of contact between NCICTE and the school, coordinating site visits and ensuring continuity in communications and a single source of information and help for any issues that arise. </w:t>
      </w:r>
    </w:p>
    <w:p w14:paraId="2B2010DB" w14:textId="77BE02D1" w:rsidR="007C21C6" w:rsidRPr="007C21C6" w:rsidRDefault="007C21C6" w:rsidP="007C21C6">
      <w:pPr>
        <w:pStyle w:val="BodyText1"/>
        <w:rPr>
          <w:szCs w:val="24"/>
        </w:rPr>
      </w:pPr>
      <w:r w:rsidRPr="007C21C6">
        <w:rPr>
          <w:szCs w:val="24"/>
        </w:rPr>
        <w:t>We will provide school coordinators with a website for the uploading and tracking of student survey participation and parental consent. North Dakota staff inform us that passive (implicit) parental consent is used statewide; therefore, consent forms will be sent to parents via students. Parents or guardians will receive a letter informing them of the nature of the study, the authorization to conduct it, the protection of their child’s data, and other information as required. They will also receive a consent form that they must return if they do not want their student to participate; such implicit consent usually yields higher participation rates than explicit consent. A sample cover letter and implicit consent form is also inc</w:t>
      </w:r>
      <w:r>
        <w:rPr>
          <w:szCs w:val="24"/>
        </w:rPr>
        <w:t>luded in Appendix A</w:t>
      </w:r>
      <w:r w:rsidRPr="007C21C6">
        <w:rPr>
          <w:szCs w:val="24"/>
        </w:rPr>
        <w:t>. School coordinators will track parental consent forms and note exclusions for data collection (such students can receive the treatment but not be surveyed or otherwise have data gathered about them). School coordinators will also provide lists of names and other identifying information for students in the 11</w:t>
      </w:r>
      <w:r w:rsidRPr="007C21C6">
        <w:rPr>
          <w:szCs w:val="24"/>
          <w:vertAlign w:val="superscript"/>
        </w:rPr>
        <w:t>th</w:t>
      </w:r>
      <w:r>
        <w:rPr>
          <w:szCs w:val="24"/>
        </w:rPr>
        <w:t xml:space="preserve"> </w:t>
      </w:r>
      <w:r w:rsidRPr="007C21C6">
        <w:rPr>
          <w:szCs w:val="24"/>
        </w:rPr>
        <w:t>and 12</w:t>
      </w:r>
      <w:r w:rsidRPr="007C21C6">
        <w:rPr>
          <w:szCs w:val="24"/>
          <w:vertAlign w:val="superscript"/>
        </w:rPr>
        <w:t>th</w:t>
      </w:r>
      <w:r>
        <w:rPr>
          <w:szCs w:val="24"/>
        </w:rPr>
        <w:t xml:space="preserve"> </w:t>
      </w:r>
      <w:r w:rsidRPr="007C21C6">
        <w:rPr>
          <w:szCs w:val="24"/>
        </w:rPr>
        <w:t xml:space="preserve">grades, from which individual usernames and passwords will be generated, to enable the linking of student responses across the two surveys, and enabling eventual </w:t>
      </w:r>
      <w:r w:rsidRPr="007C21C6">
        <w:rPr>
          <w:szCs w:val="24"/>
        </w:rPr>
        <w:lastRenderedPageBreak/>
        <w:t>linking with administrative data. Since all students in the 11</w:t>
      </w:r>
      <w:r w:rsidRPr="007C21C6">
        <w:rPr>
          <w:szCs w:val="24"/>
          <w:vertAlign w:val="superscript"/>
        </w:rPr>
        <w:t>th</w:t>
      </w:r>
      <w:r>
        <w:rPr>
          <w:szCs w:val="24"/>
        </w:rPr>
        <w:t xml:space="preserve"> </w:t>
      </w:r>
      <w:r w:rsidRPr="007C21C6">
        <w:rPr>
          <w:szCs w:val="24"/>
        </w:rPr>
        <w:t>and 12</w:t>
      </w:r>
      <w:r w:rsidRPr="007C21C6">
        <w:rPr>
          <w:szCs w:val="24"/>
          <w:vertAlign w:val="superscript"/>
        </w:rPr>
        <w:t>th</w:t>
      </w:r>
      <w:r>
        <w:rPr>
          <w:szCs w:val="24"/>
        </w:rPr>
        <w:t xml:space="preserve"> </w:t>
      </w:r>
      <w:r w:rsidRPr="007C21C6">
        <w:rPr>
          <w:szCs w:val="24"/>
        </w:rPr>
        <w:t xml:space="preserve">grades will be included in the sample and survey participation will be a class activity, we anticipate a high level of student participation.  </w:t>
      </w:r>
    </w:p>
    <w:p w14:paraId="6A5AA8C7" w14:textId="4BD155C3" w:rsidR="007C21C6" w:rsidRPr="007C21C6" w:rsidRDefault="007C21C6" w:rsidP="007C21C6">
      <w:pPr>
        <w:pStyle w:val="BodyText1"/>
        <w:rPr>
          <w:szCs w:val="24"/>
        </w:rPr>
      </w:pPr>
      <w:r w:rsidRPr="007C21C6">
        <w:rPr>
          <w:szCs w:val="24"/>
        </w:rPr>
        <w:t>Plans for incentives are provided in Part A. Multiple incentives will be given to RTS instructors, school coordinators, and principals to motivate participation in the study. For teachers, counselors, or career advisors who will be delivering RTS, we will offer between $</w:t>
      </w:r>
      <w:r>
        <w:rPr>
          <w:szCs w:val="24"/>
        </w:rPr>
        <w:t>50</w:t>
      </w:r>
      <w:r w:rsidRPr="007C21C6">
        <w:rPr>
          <w:szCs w:val="24"/>
        </w:rPr>
        <w:t>-$</w:t>
      </w:r>
      <w:r>
        <w:rPr>
          <w:szCs w:val="24"/>
        </w:rPr>
        <w:t>100</w:t>
      </w:r>
      <w:r w:rsidRPr="007C21C6">
        <w:rPr>
          <w:szCs w:val="24"/>
        </w:rPr>
        <w:t xml:space="preserve"> for participation, in addition to paying for costs associated with training </w:t>
      </w:r>
      <w:r>
        <w:rPr>
          <w:szCs w:val="24"/>
        </w:rPr>
        <w:t xml:space="preserve">totaling no more than $200 per instructor </w:t>
      </w:r>
      <w:r w:rsidRPr="007C21C6">
        <w:rPr>
          <w:szCs w:val="24"/>
        </w:rPr>
        <w:t>(e.g., registration fees). Staff in ND will also work to enable instructors to receive college credit for participating in RTS training; this is believed to be a strong incentive for participation in the training (and therefore the study as a whole). This size of incentive is commensurate with the burden placed on instructors for completing two surveys throughout the school year for each class ($25 per survey). Principals at both treatment and control schools will receive a small incentive ($25) for their participation in principal interviews. School coordinators will receive up to a $150 incentive for managing consent forms, scheduling the student surveys, and coordinating with NCICTE researchers to plan site visit logistics where applicable. In addition, consistent with our experience on other interventions, we propose a school-level incentive for control schools which otherwise have little motivation to participate in the study.</w:t>
      </w:r>
    </w:p>
    <w:p w14:paraId="36CF008C" w14:textId="57EF80A0" w:rsidR="00DB775F" w:rsidRPr="00655ECF" w:rsidRDefault="00DB775F" w:rsidP="003C00A1">
      <w:pPr>
        <w:pStyle w:val="Heading2"/>
      </w:pPr>
      <w:bookmarkStart w:id="21" w:name="_Toc409684204"/>
      <w:r w:rsidRPr="00655ECF">
        <w:t>B.</w:t>
      </w:r>
      <w:r w:rsidR="00226A62" w:rsidRPr="00655ECF">
        <w:t>4</w:t>
      </w:r>
      <w:r w:rsidRPr="00655ECF">
        <w:tab/>
      </w:r>
      <w:r w:rsidR="00062111" w:rsidRPr="00655ECF">
        <w:t>Test</w:t>
      </w:r>
      <w:r w:rsidR="003C00A1">
        <w:t>s</w:t>
      </w:r>
      <w:r w:rsidR="00062111" w:rsidRPr="00655ECF">
        <w:t xml:space="preserve"> </w:t>
      </w:r>
      <w:r w:rsidR="003C00A1">
        <w:t>of Procedures or Methods to be Undertaken</w:t>
      </w:r>
      <w:bookmarkEnd w:id="21"/>
    </w:p>
    <w:p w14:paraId="785C658D" w14:textId="394F17A7" w:rsidR="003A4033" w:rsidRDefault="00994FB8" w:rsidP="00166545">
      <w:pPr>
        <w:pStyle w:val="BodyText1"/>
        <w:rPr>
          <w:szCs w:val="24"/>
        </w:rPr>
      </w:pPr>
      <w:r w:rsidRPr="00994FB8">
        <w:rPr>
          <w:szCs w:val="24"/>
        </w:rPr>
        <w:t>As noted in the content justifications in Part A of this submission, items developed for the surveys drew upon existing surveys and RTS documentation to the greatest extent possible</w:t>
      </w:r>
      <w:r>
        <w:rPr>
          <w:szCs w:val="24"/>
        </w:rPr>
        <w:t>, and site visit protocols derive from prior experience conducting numerous similar case studies</w:t>
      </w:r>
      <w:r w:rsidRPr="00994FB8">
        <w:rPr>
          <w:szCs w:val="24"/>
        </w:rPr>
        <w:t>.</w:t>
      </w:r>
      <w:r>
        <w:rPr>
          <w:szCs w:val="24"/>
        </w:rPr>
        <w:t xml:space="preserve"> </w:t>
      </w:r>
      <w:r w:rsidR="00166545">
        <w:rPr>
          <w:szCs w:val="24"/>
        </w:rPr>
        <w:t xml:space="preserve">Likewise, recruitment strategies and other communications materials were developed based on procedures utilized for NCES’s secondary longitudinal studies (High School Longitudinal Study of 2009; Education Longitudinal Study of 2002). </w:t>
      </w:r>
      <w:r>
        <w:rPr>
          <w:szCs w:val="24"/>
        </w:rPr>
        <w:t>Therefore, no tests of procedures or methods are planned for the study.</w:t>
      </w:r>
    </w:p>
    <w:p w14:paraId="68767648" w14:textId="2D762C90" w:rsidR="00646C82" w:rsidRPr="00655ECF" w:rsidRDefault="00646C82" w:rsidP="006126CC">
      <w:pPr>
        <w:pStyle w:val="Heading2"/>
      </w:pPr>
      <w:bookmarkStart w:id="22" w:name="_Toc409684205"/>
      <w:r w:rsidRPr="00655ECF">
        <w:t>B.5</w:t>
      </w:r>
      <w:r w:rsidRPr="00655ECF">
        <w:tab/>
      </w:r>
      <w:r w:rsidR="006126CC">
        <w:t xml:space="preserve">Individuals Consulted </w:t>
      </w:r>
      <w:r w:rsidRPr="00655ECF">
        <w:t>and Individuals Responsible fo</w:t>
      </w:r>
      <w:r w:rsidR="00BD6C1C" w:rsidRPr="00655ECF">
        <w:t xml:space="preserve">r </w:t>
      </w:r>
      <w:r w:rsidR="006126CC">
        <w:t>Collecting and Analyzing the Information</w:t>
      </w:r>
      <w:bookmarkEnd w:id="22"/>
    </w:p>
    <w:p w14:paraId="14CC3A89" w14:textId="3938CD85" w:rsidR="00646C82" w:rsidRPr="00166545" w:rsidRDefault="00646C82" w:rsidP="006126CC">
      <w:pPr>
        <w:pStyle w:val="BodyText1"/>
        <w:rPr>
          <w:szCs w:val="24"/>
        </w:rPr>
      </w:pPr>
      <w:r w:rsidRPr="00166545">
        <w:rPr>
          <w:szCs w:val="24"/>
        </w:rPr>
        <w:t xml:space="preserve">The following </w:t>
      </w:r>
      <w:r w:rsidR="006126CC">
        <w:rPr>
          <w:szCs w:val="24"/>
        </w:rPr>
        <w:t xml:space="preserve">individuals </w:t>
      </w:r>
      <w:r w:rsidR="00C20269">
        <w:rPr>
          <w:szCs w:val="24"/>
        </w:rPr>
        <w:t xml:space="preserve">in the U.S. Department of Education </w:t>
      </w:r>
      <w:r w:rsidR="006126CC">
        <w:rPr>
          <w:szCs w:val="24"/>
        </w:rPr>
        <w:t xml:space="preserve">were consulted on the design, data collection, and analysis approach: </w:t>
      </w:r>
      <w:r w:rsidR="00C20269">
        <w:rPr>
          <w:szCs w:val="24"/>
        </w:rPr>
        <w:t>Braden Goetz in the Office of Career, Technical, and Adult Education and Marsha Silverberg in the Institute of Education Sciences.  T</w:t>
      </w:r>
      <w:r w:rsidR="003F7FA6" w:rsidRPr="00166545">
        <w:rPr>
          <w:szCs w:val="24"/>
        </w:rPr>
        <w:t xml:space="preserve">he following </w:t>
      </w:r>
      <w:r w:rsidRPr="00166545">
        <w:rPr>
          <w:szCs w:val="24"/>
        </w:rPr>
        <w:t xml:space="preserve">RTI </w:t>
      </w:r>
      <w:r w:rsidR="006126CC">
        <w:rPr>
          <w:szCs w:val="24"/>
        </w:rPr>
        <w:t xml:space="preserve">International </w:t>
      </w:r>
      <w:r w:rsidRPr="00166545">
        <w:rPr>
          <w:szCs w:val="24"/>
        </w:rPr>
        <w:t xml:space="preserve">staff work on the statistical </w:t>
      </w:r>
      <w:r w:rsidR="006126CC">
        <w:rPr>
          <w:szCs w:val="24"/>
        </w:rPr>
        <w:t xml:space="preserve">and methodological </w:t>
      </w:r>
      <w:r w:rsidRPr="00166545">
        <w:rPr>
          <w:szCs w:val="24"/>
        </w:rPr>
        <w:t>aspects of the study design</w:t>
      </w:r>
      <w:r w:rsidR="00351DDE" w:rsidRPr="00166545">
        <w:rPr>
          <w:szCs w:val="24"/>
        </w:rPr>
        <w:t xml:space="preserve">: </w:t>
      </w:r>
      <w:r w:rsidR="006126CC">
        <w:rPr>
          <w:szCs w:val="24"/>
        </w:rPr>
        <w:t xml:space="preserve">Ben Dalton, Peter Siegel, Deborah </w:t>
      </w:r>
      <w:proofErr w:type="spellStart"/>
      <w:r w:rsidR="006126CC">
        <w:rPr>
          <w:szCs w:val="24"/>
        </w:rPr>
        <w:t>Herget</w:t>
      </w:r>
      <w:proofErr w:type="spellEnd"/>
      <w:r w:rsidR="006126CC">
        <w:rPr>
          <w:szCs w:val="24"/>
        </w:rPr>
        <w:t xml:space="preserve">, and Michael Nelson. </w:t>
      </w:r>
      <w:r w:rsidR="009244D7">
        <w:rPr>
          <w:szCs w:val="24"/>
        </w:rPr>
        <w:t xml:space="preserve"> They can be reached at </w:t>
      </w:r>
      <w:r w:rsidR="009244D7" w:rsidRPr="009244D7">
        <w:rPr>
          <w:szCs w:val="24"/>
        </w:rPr>
        <w:t>(919) 541-7228</w:t>
      </w:r>
      <w:r w:rsidR="009244D7">
        <w:rPr>
          <w:szCs w:val="24"/>
        </w:rPr>
        <w:t xml:space="preserve">. </w:t>
      </w:r>
      <w:r w:rsidR="006126CC">
        <w:rPr>
          <w:szCs w:val="24"/>
        </w:rPr>
        <w:t xml:space="preserve">The following FHI 360 staff work on methodological and analytical components pertaining to the site visits: Ivan </w:t>
      </w:r>
      <w:proofErr w:type="spellStart"/>
      <w:r w:rsidR="006126CC">
        <w:rPr>
          <w:szCs w:val="24"/>
        </w:rPr>
        <w:t>Charner</w:t>
      </w:r>
      <w:proofErr w:type="spellEnd"/>
      <w:r w:rsidR="006126CC">
        <w:rPr>
          <w:szCs w:val="24"/>
        </w:rPr>
        <w:t xml:space="preserve"> and Caitlin Rose Dailey</w:t>
      </w:r>
      <w:r w:rsidRPr="00166545">
        <w:rPr>
          <w:szCs w:val="24"/>
        </w:rPr>
        <w:t>.</w:t>
      </w:r>
    </w:p>
    <w:p w14:paraId="42B169DA" w14:textId="5DDB999D" w:rsidR="00EC390C" w:rsidRPr="00655ECF" w:rsidRDefault="00EC390C">
      <w:pPr>
        <w:rPr>
          <w:rFonts w:ascii="Times New Roman Bold" w:hAnsi="Times New Roman Bold"/>
          <w:b/>
          <w:bCs/>
          <w:caps/>
          <w:sz w:val="22"/>
          <w:szCs w:val="22"/>
        </w:rPr>
      </w:pPr>
    </w:p>
    <w:p w14:paraId="2BCC5E72" w14:textId="77777777" w:rsidR="00330C7A" w:rsidRPr="00655ECF" w:rsidRDefault="00330C7A" w:rsidP="00330C7A">
      <w:pPr>
        <w:pStyle w:val="FootnoteText"/>
        <w:rPr>
          <w:sz w:val="22"/>
          <w:szCs w:val="22"/>
        </w:rPr>
      </w:pPr>
    </w:p>
    <w:p w14:paraId="007EDF19" w14:textId="77777777" w:rsidR="00DB775F" w:rsidRPr="00655ECF" w:rsidRDefault="00DB775F" w:rsidP="0012039E">
      <w:pPr>
        <w:pStyle w:val="R-Pubs-Pres"/>
        <w:spacing w:after="120"/>
        <w:rPr>
          <w:szCs w:val="22"/>
        </w:rPr>
      </w:pPr>
    </w:p>
    <w:sectPr w:rsidR="00DB775F" w:rsidRPr="00655ECF" w:rsidSect="00F421B9">
      <w:headerReference w:type="even" r:id="rId18"/>
      <w:headerReference w:type="default" r:id="rId19"/>
      <w:footerReference w:type="even" r:id="rId20"/>
      <w:footerReference w:type="default" r:id="rId21"/>
      <w:headerReference w:type="first" r:id="rId22"/>
      <w:footerReference w:type="first" r:id="rId23"/>
      <w:pgSz w:w="12240" w:h="15840" w:code="1"/>
      <w:pgMar w:top="1008" w:right="1008" w:bottom="1008" w:left="1008" w:header="432" w:footer="43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72EB5" w14:textId="77777777" w:rsidR="00783C17" w:rsidRDefault="00783C17">
      <w:r>
        <w:separator/>
      </w:r>
    </w:p>
  </w:endnote>
  <w:endnote w:type="continuationSeparator" w:id="0">
    <w:p w14:paraId="376E3C80" w14:textId="77777777" w:rsidR="00783C17" w:rsidRDefault="00783C17">
      <w:r>
        <w:continuationSeparator/>
      </w:r>
    </w:p>
  </w:endnote>
  <w:endnote w:type="continuationNotice" w:id="1">
    <w:p w14:paraId="63F3B1B2" w14:textId="77777777" w:rsidR="00783C17" w:rsidRDefault="00783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TC Avant Garde Std B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E7910" w14:textId="77777777" w:rsidR="00057A2D" w:rsidRDefault="00057A2D"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sidR="00E16420">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6FB83" w14:textId="77777777" w:rsidR="00057A2D" w:rsidRDefault="00057A2D"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3B1B" w14:textId="77777777" w:rsidR="00057A2D" w:rsidRPr="00003F7F" w:rsidRDefault="00057A2D"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F7BC" w14:textId="77777777" w:rsidR="00057A2D" w:rsidRDefault="00057A2D" w:rsidP="00003F7F">
    <w:pPr>
      <w:pStyle w:val="Footer"/>
    </w:pPr>
    <w:r>
      <w:fldChar w:fldCharType="begin"/>
    </w:r>
    <w:r>
      <w:instrText xml:space="preserve"> PAGE  \* roman  \* MERGEFORMAT </w:instrText>
    </w:r>
    <w:r>
      <w:fldChar w:fldCharType="separate"/>
    </w:r>
    <w:r w:rsidR="00CE5C12">
      <w:rPr>
        <w:noProof/>
      </w:rPr>
      <w:t>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041A" w14:textId="77777777" w:rsidR="00057A2D" w:rsidRPr="00003F7F" w:rsidRDefault="00057A2D"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5D989" w14:textId="77777777" w:rsidR="00057A2D" w:rsidRPr="00003F7F" w:rsidRDefault="00057A2D" w:rsidP="00003F7F">
    <w:pPr>
      <w:pStyle w:val="Footer"/>
      <w:tabs>
        <w:tab w:val="clear" w:pos="4320"/>
        <w:tab w:val="clear" w:pos="8640"/>
        <w:tab w:val="right" w:pos="9360"/>
      </w:tabs>
    </w:pPr>
    <w:r>
      <w:fldChar w:fldCharType="begin"/>
    </w:r>
    <w:r>
      <w:instrText xml:space="preserve"> PAGE   \* MERGEFORMAT </w:instrText>
    </w:r>
    <w:r>
      <w:fldChar w:fldCharType="separate"/>
    </w:r>
    <w:r w:rsidR="00CE5C12">
      <w:rPr>
        <w:noProof/>
      </w:rPr>
      <w:t>6</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0E53E" w14:textId="77777777" w:rsidR="00057A2D" w:rsidRPr="00003F7F" w:rsidRDefault="00057A2D" w:rsidP="00025A65">
    <w:pPr>
      <w:pStyle w:val="Footer"/>
      <w:tabs>
        <w:tab w:val="clear" w:pos="4320"/>
        <w:tab w:val="clear" w:pos="8640"/>
        <w:tab w:val="right" w:pos="9360"/>
      </w:tabs>
    </w:pPr>
    <w:r>
      <w:fldChar w:fldCharType="begin"/>
    </w:r>
    <w:r>
      <w:instrText xml:space="preserve"> PAGE   \* MERGEFORMAT </w:instrText>
    </w:r>
    <w:r>
      <w:fldChar w:fldCharType="separate"/>
    </w:r>
    <w:r w:rsidR="00CE5C12">
      <w:rPr>
        <w:noProof/>
      </w:rPr>
      <w:t>5</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8B11" w14:textId="5735CCFE" w:rsidR="00057A2D" w:rsidRDefault="00057A2D" w:rsidP="00C65028">
    <w:pPr>
      <w:pStyle w:val="Footer"/>
      <w:tabs>
        <w:tab w:val="clear" w:pos="4320"/>
        <w:tab w:val="clear" w:pos="8640"/>
        <w:tab w:val="right" w:pos="9360"/>
      </w:tabs>
    </w:pPr>
    <w:r>
      <w:fldChar w:fldCharType="begin"/>
    </w:r>
    <w:r>
      <w:instrText xml:space="preserve"> PAGE   \* MERGEFORMAT </w:instrText>
    </w:r>
    <w:r>
      <w:fldChar w:fldCharType="separate"/>
    </w:r>
    <w:r w:rsidR="00CE5C1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70FF9" w14:textId="77777777" w:rsidR="00783C17" w:rsidRDefault="00783C17">
      <w:r>
        <w:separator/>
      </w:r>
    </w:p>
  </w:footnote>
  <w:footnote w:type="continuationSeparator" w:id="0">
    <w:p w14:paraId="199D7A98" w14:textId="77777777" w:rsidR="00783C17" w:rsidRDefault="00783C17">
      <w:r>
        <w:continuationSeparator/>
      </w:r>
    </w:p>
  </w:footnote>
  <w:footnote w:type="continuationNotice" w:id="1">
    <w:p w14:paraId="202E423A" w14:textId="77777777" w:rsidR="00783C17" w:rsidRDefault="00783C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4C4EA" w14:textId="77777777" w:rsidR="00057A2D" w:rsidRDefault="00057A2D" w:rsidP="00B11E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39FE" w14:textId="2CB6CE55" w:rsidR="00057A2D" w:rsidRDefault="00057A2D" w:rsidP="00003F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26591" w14:textId="7C166BF7" w:rsidR="00057A2D" w:rsidRDefault="00057A2D" w:rsidP="00B11E1E">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CDEC" w14:textId="75ADEF00" w:rsidR="00057A2D" w:rsidRDefault="00057A2D" w:rsidP="00003F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0C18" w14:textId="383B9E70" w:rsidR="00057A2D" w:rsidRDefault="00057A2D" w:rsidP="00B11E1E">
    <w:pPr>
      <w:pStyle w:val="Header"/>
      <w:tabs>
        <w:tab w:val="clear" w:pos="9360"/>
        <w:tab w:val="right" w:pos="10224"/>
      </w:tabs>
    </w:pPr>
    <w:r>
      <w:t xml:space="preserve">B. </w:t>
    </w:r>
    <w:r w:rsidRPr="001C1423">
      <w:t>Collection of Information Employing Statistical Methods</w:t>
    </w:r>
    <w:r>
      <w:tab/>
    </w:r>
    <w:r w:rsidRPr="00003F7F">
      <w:t>Supporting Statement Request for OMB Review (SF83I)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C1A5" w14:textId="6239F92B" w:rsidR="00057A2D" w:rsidRDefault="00057A2D" w:rsidP="00B11E1E">
    <w:pPr>
      <w:pStyle w:val="Header"/>
      <w:tabs>
        <w:tab w:val="clear" w:pos="9360"/>
        <w:tab w:val="right" w:pos="10224"/>
      </w:tabs>
    </w:pPr>
    <w:r w:rsidRPr="00003F7F">
      <w:t>Supporting Statement Request for OMB Review (SF83I)</w:t>
    </w:r>
    <w:r>
      <w:tab/>
      <w:t xml:space="preserve">B. </w:t>
    </w:r>
    <w:r w:rsidRPr="001C1423">
      <w:t>Collection of Information Employing Statistical Methods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21F0" w14:textId="0338E1D0" w:rsidR="00057A2D" w:rsidRDefault="00057A2D"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8"/>
    <w:multiLevelType w:val="singleLevel"/>
    <w:tmpl w:val="26FE5AA4"/>
    <w:lvl w:ilvl="0">
      <w:start w:val="1"/>
      <w:numFmt w:val="decimal"/>
      <w:pStyle w:val="ListNumber"/>
      <w:lvlText w:val="%1."/>
      <w:lvlJc w:val="left"/>
      <w:pPr>
        <w:tabs>
          <w:tab w:val="num" w:pos="360"/>
        </w:tabs>
        <w:ind w:left="360" w:hanging="360"/>
      </w:pPr>
    </w:lvl>
  </w:abstractNum>
  <w:abstractNum w:abstractNumId="2">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1BC2792"/>
    <w:multiLevelType w:val="hybridMultilevel"/>
    <w:tmpl w:val="942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C361474"/>
    <w:multiLevelType w:val="hybridMultilevel"/>
    <w:tmpl w:val="B374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2DA4"/>
    <w:multiLevelType w:val="hybridMultilevel"/>
    <w:tmpl w:val="32F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9">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A207A19"/>
    <w:multiLevelType w:val="hybridMultilevel"/>
    <w:tmpl w:val="B3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9">
    <w:nsid w:val="37142665"/>
    <w:multiLevelType w:val="hybridMultilevel"/>
    <w:tmpl w:val="6500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1">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410E9A"/>
    <w:multiLevelType w:val="hybridMultilevel"/>
    <w:tmpl w:val="DCC4EC14"/>
    <w:lvl w:ilvl="0" w:tplc="58C63E6A">
      <w:numFmt w:val="bullet"/>
      <w:lvlText w:val=""/>
      <w:lvlJc w:val="left"/>
      <w:pPr>
        <w:ind w:left="1080" w:hanging="360"/>
      </w:pPr>
      <w:rPr>
        <w:rFonts w:ascii="Symbol" w:eastAsia="Calibri" w:hAnsi="Symbol" w:cs="Courier New"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0"/>
  </w:num>
  <w:num w:numId="4">
    <w:abstractNumId w:val="2"/>
  </w:num>
  <w:num w:numId="5">
    <w:abstractNumId w:val="0"/>
  </w:num>
  <w:num w:numId="6">
    <w:abstractNumId w:val="20"/>
  </w:num>
  <w:num w:numId="7">
    <w:abstractNumId w:val="8"/>
  </w:num>
  <w:num w:numId="8">
    <w:abstractNumId w:val="18"/>
  </w:num>
  <w:num w:numId="9">
    <w:abstractNumId w:val="13"/>
  </w:num>
  <w:num w:numId="10">
    <w:abstractNumId w:val="5"/>
  </w:num>
  <w:num w:numId="11">
    <w:abstractNumId w:val="3"/>
    <w:lvlOverride w:ilvl="0">
      <w:lvl w:ilvl="0">
        <w:start w:val="1"/>
        <w:numFmt w:val="decimal"/>
        <w:pStyle w:val="1"/>
        <w:lvlText w:val="%1."/>
        <w:lvlJc w:val="left"/>
        <w:rPr>
          <w:rFonts w:cs="Times New Roman"/>
        </w:rPr>
      </w:lvl>
    </w:lvlOverride>
  </w:num>
  <w:num w:numId="12">
    <w:abstractNumId w:val="14"/>
  </w:num>
  <w:num w:numId="13">
    <w:abstractNumId w:val="25"/>
  </w:num>
  <w:num w:numId="14">
    <w:abstractNumId w:val="28"/>
  </w:num>
  <w:num w:numId="15">
    <w:abstractNumId w:val="16"/>
  </w:num>
  <w:num w:numId="16">
    <w:abstractNumId w:val="22"/>
  </w:num>
  <w:num w:numId="17">
    <w:abstractNumId w:val="24"/>
  </w:num>
  <w:num w:numId="18">
    <w:abstractNumId w:val="12"/>
  </w:num>
  <w:num w:numId="19">
    <w:abstractNumId w:val="26"/>
  </w:num>
  <w:num w:numId="20">
    <w:abstractNumId w:val="9"/>
  </w:num>
  <w:num w:numId="21">
    <w:abstractNumId w:val="10"/>
  </w:num>
  <w:num w:numId="22">
    <w:abstractNumId w:val="15"/>
  </w:num>
  <w:num w:numId="23">
    <w:abstractNumId w:val="1"/>
  </w:num>
  <w:num w:numId="24">
    <w:abstractNumId w:val="21"/>
  </w:num>
  <w:num w:numId="25">
    <w:abstractNumId w:val="4"/>
  </w:num>
  <w:num w:numId="26">
    <w:abstractNumId w:val="11"/>
  </w:num>
  <w:num w:numId="27">
    <w:abstractNumId w:val="19"/>
  </w:num>
  <w:num w:numId="28">
    <w:abstractNumId w:val="6"/>
  </w:num>
  <w:num w:numId="29">
    <w:abstractNumId w:val="7"/>
  </w:num>
  <w:num w:numId="30">
    <w:abstractNumId w:val="23"/>
  </w:num>
  <w:num w:numId="31">
    <w:abstractNumId w:val="17"/>
  </w:num>
  <w:num w:numId="32">
    <w:abstractNumId w:val="27"/>
  </w:num>
  <w:num w:numId="3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4F44"/>
    <w:rsid w:val="00005467"/>
    <w:rsid w:val="0000572A"/>
    <w:rsid w:val="0000653A"/>
    <w:rsid w:val="00006D0C"/>
    <w:rsid w:val="00012601"/>
    <w:rsid w:val="000131D9"/>
    <w:rsid w:val="00017CE2"/>
    <w:rsid w:val="00020665"/>
    <w:rsid w:val="00020B6F"/>
    <w:rsid w:val="0002164B"/>
    <w:rsid w:val="000228E3"/>
    <w:rsid w:val="00023EFA"/>
    <w:rsid w:val="00024DC0"/>
    <w:rsid w:val="00025A65"/>
    <w:rsid w:val="00025B26"/>
    <w:rsid w:val="000310CC"/>
    <w:rsid w:val="00034EB0"/>
    <w:rsid w:val="000355C3"/>
    <w:rsid w:val="000374CC"/>
    <w:rsid w:val="00037740"/>
    <w:rsid w:val="00037AE5"/>
    <w:rsid w:val="00054969"/>
    <w:rsid w:val="000564FE"/>
    <w:rsid w:val="00056B39"/>
    <w:rsid w:val="00057A2D"/>
    <w:rsid w:val="000620F8"/>
    <w:rsid w:val="00062111"/>
    <w:rsid w:val="00062FE0"/>
    <w:rsid w:val="000631BB"/>
    <w:rsid w:val="000637EE"/>
    <w:rsid w:val="00065393"/>
    <w:rsid w:val="0006690D"/>
    <w:rsid w:val="00071A84"/>
    <w:rsid w:val="00074223"/>
    <w:rsid w:val="00074788"/>
    <w:rsid w:val="000771CD"/>
    <w:rsid w:val="000824D7"/>
    <w:rsid w:val="00083F1C"/>
    <w:rsid w:val="00084B36"/>
    <w:rsid w:val="000858C6"/>
    <w:rsid w:val="00086D9E"/>
    <w:rsid w:val="000924CC"/>
    <w:rsid w:val="00093C14"/>
    <w:rsid w:val="00094D3C"/>
    <w:rsid w:val="00094DAB"/>
    <w:rsid w:val="000961C5"/>
    <w:rsid w:val="00097C87"/>
    <w:rsid w:val="000A2D00"/>
    <w:rsid w:val="000A305D"/>
    <w:rsid w:val="000A42CD"/>
    <w:rsid w:val="000A4C56"/>
    <w:rsid w:val="000A5756"/>
    <w:rsid w:val="000A6365"/>
    <w:rsid w:val="000A7771"/>
    <w:rsid w:val="000B06B5"/>
    <w:rsid w:val="000B1786"/>
    <w:rsid w:val="000B2E86"/>
    <w:rsid w:val="000B6B59"/>
    <w:rsid w:val="000B78E3"/>
    <w:rsid w:val="000C0CBA"/>
    <w:rsid w:val="000C5D55"/>
    <w:rsid w:val="000E24FF"/>
    <w:rsid w:val="000E355E"/>
    <w:rsid w:val="000E3FCC"/>
    <w:rsid w:val="000F2C97"/>
    <w:rsid w:val="000F3D1A"/>
    <w:rsid w:val="000F5FD2"/>
    <w:rsid w:val="000F76FB"/>
    <w:rsid w:val="000F7FAF"/>
    <w:rsid w:val="001037D5"/>
    <w:rsid w:val="001039C4"/>
    <w:rsid w:val="00107C11"/>
    <w:rsid w:val="00111567"/>
    <w:rsid w:val="001129D6"/>
    <w:rsid w:val="00113F25"/>
    <w:rsid w:val="0011510C"/>
    <w:rsid w:val="00117B12"/>
    <w:rsid w:val="00117FA3"/>
    <w:rsid w:val="0012039E"/>
    <w:rsid w:val="0012130D"/>
    <w:rsid w:val="00122814"/>
    <w:rsid w:val="00124E15"/>
    <w:rsid w:val="001265CD"/>
    <w:rsid w:val="001267EF"/>
    <w:rsid w:val="00135D4B"/>
    <w:rsid w:val="00136CEF"/>
    <w:rsid w:val="00137386"/>
    <w:rsid w:val="00140DB8"/>
    <w:rsid w:val="00141D9E"/>
    <w:rsid w:val="0014351F"/>
    <w:rsid w:val="00144BCB"/>
    <w:rsid w:val="00147279"/>
    <w:rsid w:val="001474C9"/>
    <w:rsid w:val="00151267"/>
    <w:rsid w:val="00152739"/>
    <w:rsid w:val="00154338"/>
    <w:rsid w:val="00154452"/>
    <w:rsid w:val="0016077B"/>
    <w:rsid w:val="00164A09"/>
    <w:rsid w:val="0016514D"/>
    <w:rsid w:val="00166545"/>
    <w:rsid w:val="00166AC8"/>
    <w:rsid w:val="00166AF2"/>
    <w:rsid w:val="00166E71"/>
    <w:rsid w:val="001672AF"/>
    <w:rsid w:val="00167764"/>
    <w:rsid w:val="00171B6D"/>
    <w:rsid w:val="00173477"/>
    <w:rsid w:val="00175434"/>
    <w:rsid w:val="001755C4"/>
    <w:rsid w:val="00176CED"/>
    <w:rsid w:val="00177D52"/>
    <w:rsid w:val="00180A08"/>
    <w:rsid w:val="00180CFA"/>
    <w:rsid w:val="0018415B"/>
    <w:rsid w:val="00184778"/>
    <w:rsid w:val="00190B30"/>
    <w:rsid w:val="0019237D"/>
    <w:rsid w:val="001924DA"/>
    <w:rsid w:val="00194FBF"/>
    <w:rsid w:val="00195242"/>
    <w:rsid w:val="00196134"/>
    <w:rsid w:val="00196959"/>
    <w:rsid w:val="001A003F"/>
    <w:rsid w:val="001A41AD"/>
    <w:rsid w:val="001A43BC"/>
    <w:rsid w:val="001A4E95"/>
    <w:rsid w:val="001B1333"/>
    <w:rsid w:val="001B1C56"/>
    <w:rsid w:val="001B1E22"/>
    <w:rsid w:val="001C1423"/>
    <w:rsid w:val="001C1AEF"/>
    <w:rsid w:val="001C28AC"/>
    <w:rsid w:val="001C3193"/>
    <w:rsid w:val="001C4FE2"/>
    <w:rsid w:val="001D129D"/>
    <w:rsid w:val="001D1E0D"/>
    <w:rsid w:val="001D2308"/>
    <w:rsid w:val="001D2887"/>
    <w:rsid w:val="001D6E71"/>
    <w:rsid w:val="001E285B"/>
    <w:rsid w:val="001E2E61"/>
    <w:rsid w:val="001E686F"/>
    <w:rsid w:val="001E7558"/>
    <w:rsid w:val="001E7BE4"/>
    <w:rsid w:val="001F0F4F"/>
    <w:rsid w:val="001F22E4"/>
    <w:rsid w:val="001F2C95"/>
    <w:rsid w:val="001F2E61"/>
    <w:rsid w:val="001F4AFC"/>
    <w:rsid w:val="001F6705"/>
    <w:rsid w:val="001F6C3C"/>
    <w:rsid w:val="001F7584"/>
    <w:rsid w:val="001F7BCE"/>
    <w:rsid w:val="00200FCC"/>
    <w:rsid w:val="00204464"/>
    <w:rsid w:val="00205492"/>
    <w:rsid w:val="00210FF5"/>
    <w:rsid w:val="00211BB6"/>
    <w:rsid w:val="002150EB"/>
    <w:rsid w:val="002156F9"/>
    <w:rsid w:val="00215AB1"/>
    <w:rsid w:val="00221291"/>
    <w:rsid w:val="00221530"/>
    <w:rsid w:val="00221BC8"/>
    <w:rsid w:val="00221CDC"/>
    <w:rsid w:val="00224384"/>
    <w:rsid w:val="00224F55"/>
    <w:rsid w:val="00225CC0"/>
    <w:rsid w:val="00226A62"/>
    <w:rsid w:val="00226F3B"/>
    <w:rsid w:val="00230CCB"/>
    <w:rsid w:val="00235D75"/>
    <w:rsid w:val="00241C7F"/>
    <w:rsid w:val="00241D7C"/>
    <w:rsid w:val="0024406E"/>
    <w:rsid w:val="00252008"/>
    <w:rsid w:val="00254405"/>
    <w:rsid w:val="00254410"/>
    <w:rsid w:val="00254586"/>
    <w:rsid w:val="002549A0"/>
    <w:rsid w:val="00254F58"/>
    <w:rsid w:val="002559FF"/>
    <w:rsid w:val="00257416"/>
    <w:rsid w:val="002602A4"/>
    <w:rsid w:val="002626D9"/>
    <w:rsid w:val="00262777"/>
    <w:rsid w:val="00262ADB"/>
    <w:rsid w:val="00264D22"/>
    <w:rsid w:val="00265879"/>
    <w:rsid w:val="00266C17"/>
    <w:rsid w:val="00266E72"/>
    <w:rsid w:val="00267844"/>
    <w:rsid w:val="00267AB3"/>
    <w:rsid w:val="00267B05"/>
    <w:rsid w:val="00271156"/>
    <w:rsid w:val="00271A27"/>
    <w:rsid w:val="00273921"/>
    <w:rsid w:val="00273B0F"/>
    <w:rsid w:val="002758A7"/>
    <w:rsid w:val="0028063C"/>
    <w:rsid w:val="00280964"/>
    <w:rsid w:val="00281590"/>
    <w:rsid w:val="0028421B"/>
    <w:rsid w:val="002848A3"/>
    <w:rsid w:val="00286ACC"/>
    <w:rsid w:val="00290054"/>
    <w:rsid w:val="002921F0"/>
    <w:rsid w:val="00294223"/>
    <w:rsid w:val="00297547"/>
    <w:rsid w:val="00297A49"/>
    <w:rsid w:val="002A0E0B"/>
    <w:rsid w:val="002A19D1"/>
    <w:rsid w:val="002A393B"/>
    <w:rsid w:val="002A405F"/>
    <w:rsid w:val="002A4957"/>
    <w:rsid w:val="002A5930"/>
    <w:rsid w:val="002A6C88"/>
    <w:rsid w:val="002A7F9F"/>
    <w:rsid w:val="002B1D4D"/>
    <w:rsid w:val="002B2D62"/>
    <w:rsid w:val="002B4A61"/>
    <w:rsid w:val="002B5B0A"/>
    <w:rsid w:val="002C1C8F"/>
    <w:rsid w:val="002C26C3"/>
    <w:rsid w:val="002C51CE"/>
    <w:rsid w:val="002D26FC"/>
    <w:rsid w:val="002D61A5"/>
    <w:rsid w:val="002D781C"/>
    <w:rsid w:val="002D7A46"/>
    <w:rsid w:val="002E0EAA"/>
    <w:rsid w:val="002E1159"/>
    <w:rsid w:val="002E31F2"/>
    <w:rsid w:val="002E32C8"/>
    <w:rsid w:val="002E36B0"/>
    <w:rsid w:val="002E3ADF"/>
    <w:rsid w:val="002E4F05"/>
    <w:rsid w:val="002E5772"/>
    <w:rsid w:val="002F03AF"/>
    <w:rsid w:val="002F6F7D"/>
    <w:rsid w:val="00300466"/>
    <w:rsid w:val="0030192E"/>
    <w:rsid w:val="00303080"/>
    <w:rsid w:val="0030380A"/>
    <w:rsid w:val="0030393D"/>
    <w:rsid w:val="00310C63"/>
    <w:rsid w:val="00311BAB"/>
    <w:rsid w:val="00311E5E"/>
    <w:rsid w:val="00312120"/>
    <w:rsid w:val="00315D69"/>
    <w:rsid w:val="00320564"/>
    <w:rsid w:val="003233F2"/>
    <w:rsid w:val="0032373E"/>
    <w:rsid w:val="0032471B"/>
    <w:rsid w:val="003255BB"/>
    <w:rsid w:val="00325B05"/>
    <w:rsid w:val="00327F62"/>
    <w:rsid w:val="00330C2A"/>
    <w:rsid w:val="00330C7A"/>
    <w:rsid w:val="003317AF"/>
    <w:rsid w:val="00334DE0"/>
    <w:rsid w:val="003356EC"/>
    <w:rsid w:val="003368ED"/>
    <w:rsid w:val="00336EF8"/>
    <w:rsid w:val="00337455"/>
    <w:rsid w:val="00342795"/>
    <w:rsid w:val="0034469A"/>
    <w:rsid w:val="00344F12"/>
    <w:rsid w:val="0034575C"/>
    <w:rsid w:val="0034672B"/>
    <w:rsid w:val="00347F34"/>
    <w:rsid w:val="0035162B"/>
    <w:rsid w:val="003516BA"/>
    <w:rsid w:val="003519E2"/>
    <w:rsid w:val="00351DDE"/>
    <w:rsid w:val="00353219"/>
    <w:rsid w:val="00353648"/>
    <w:rsid w:val="00355479"/>
    <w:rsid w:val="00357116"/>
    <w:rsid w:val="00357228"/>
    <w:rsid w:val="00361DB2"/>
    <w:rsid w:val="00361F33"/>
    <w:rsid w:val="003625C7"/>
    <w:rsid w:val="00364493"/>
    <w:rsid w:val="00367E8B"/>
    <w:rsid w:val="00371224"/>
    <w:rsid w:val="00371C37"/>
    <w:rsid w:val="0037320E"/>
    <w:rsid w:val="00374594"/>
    <w:rsid w:val="0037527C"/>
    <w:rsid w:val="00376124"/>
    <w:rsid w:val="00377BF8"/>
    <w:rsid w:val="003804DF"/>
    <w:rsid w:val="00380915"/>
    <w:rsid w:val="00383151"/>
    <w:rsid w:val="00385384"/>
    <w:rsid w:val="003951B0"/>
    <w:rsid w:val="00396249"/>
    <w:rsid w:val="00396701"/>
    <w:rsid w:val="003A0BB7"/>
    <w:rsid w:val="003A32FB"/>
    <w:rsid w:val="003A39CD"/>
    <w:rsid w:val="003A3FE7"/>
    <w:rsid w:val="003A4033"/>
    <w:rsid w:val="003A762D"/>
    <w:rsid w:val="003B0509"/>
    <w:rsid w:val="003B0FA3"/>
    <w:rsid w:val="003B146D"/>
    <w:rsid w:val="003B3E19"/>
    <w:rsid w:val="003B4B76"/>
    <w:rsid w:val="003B573E"/>
    <w:rsid w:val="003B666B"/>
    <w:rsid w:val="003B72A4"/>
    <w:rsid w:val="003B75BD"/>
    <w:rsid w:val="003C00A1"/>
    <w:rsid w:val="003C031C"/>
    <w:rsid w:val="003C17EA"/>
    <w:rsid w:val="003C23A4"/>
    <w:rsid w:val="003C2DC6"/>
    <w:rsid w:val="003C3982"/>
    <w:rsid w:val="003C6E57"/>
    <w:rsid w:val="003C7456"/>
    <w:rsid w:val="003D085F"/>
    <w:rsid w:val="003D2165"/>
    <w:rsid w:val="003D50D1"/>
    <w:rsid w:val="003D6676"/>
    <w:rsid w:val="003E7517"/>
    <w:rsid w:val="003E7D32"/>
    <w:rsid w:val="003F08FD"/>
    <w:rsid w:val="003F14AF"/>
    <w:rsid w:val="003F17C7"/>
    <w:rsid w:val="003F25D3"/>
    <w:rsid w:val="003F2811"/>
    <w:rsid w:val="003F308F"/>
    <w:rsid w:val="003F3518"/>
    <w:rsid w:val="003F5865"/>
    <w:rsid w:val="003F7FA6"/>
    <w:rsid w:val="004015D4"/>
    <w:rsid w:val="00402C48"/>
    <w:rsid w:val="00403C45"/>
    <w:rsid w:val="0040401A"/>
    <w:rsid w:val="0041070D"/>
    <w:rsid w:val="004111FA"/>
    <w:rsid w:val="00411DD5"/>
    <w:rsid w:val="00413AD4"/>
    <w:rsid w:val="0041439B"/>
    <w:rsid w:val="004161C9"/>
    <w:rsid w:val="00416E8F"/>
    <w:rsid w:val="00417417"/>
    <w:rsid w:val="004177DB"/>
    <w:rsid w:val="00417CF8"/>
    <w:rsid w:val="0042519F"/>
    <w:rsid w:val="004252A6"/>
    <w:rsid w:val="0043068F"/>
    <w:rsid w:val="00430B45"/>
    <w:rsid w:val="00430B8C"/>
    <w:rsid w:val="00435077"/>
    <w:rsid w:val="0043515F"/>
    <w:rsid w:val="004367AB"/>
    <w:rsid w:val="00437143"/>
    <w:rsid w:val="00437DCC"/>
    <w:rsid w:val="00437F84"/>
    <w:rsid w:val="0044075D"/>
    <w:rsid w:val="00440935"/>
    <w:rsid w:val="00440995"/>
    <w:rsid w:val="00440D24"/>
    <w:rsid w:val="004414FF"/>
    <w:rsid w:val="00443C68"/>
    <w:rsid w:val="0044488E"/>
    <w:rsid w:val="00445E64"/>
    <w:rsid w:val="00446F31"/>
    <w:rsid w:val="00447C51"/>
    <w:rsid w:val="00450316"/>
    <w:rsid w:val="004519E6"/>
    <w:rsid w:val="00452250"/>
    <w:rsid w:val="00462209"/>
    <w:rsid w:val="00462F94"/>
    <w:rsid w:val="00464773"/>
    <w:rsid w:val="004663A0"/>
    <w:rsid w:val="00466E0B"/>
    <w:rsid w:val="00466F49"/>
    <w:rsid w:val="00472E50"/>
    <w:rsid w:val="00474CB1"/>
    <w:rsid w:val="00475FA6"/>
    <w:rsid w:val="004765BF"/>
    <w:rsid w:val="00476B26"/>
    <w:rsid w:val="00485BF0"/>
    <w:rsid w:val="00485FD2"/>
    <w:rsid w:val="00487741"/>
    <w:rsid w:val="004903A4"/>
    <w:rsid w:val="00490BED"/>
    <w:rsid w:val="0049428B"/>
    <w:rsid w:val="00496EAF"/>
    <w:rsid w:val="004A0884"/>
    <w:rsid w:val="004B22EB"/>
    <w:rsid w:val="004B4398"/>
    <w:rsid w:val="004B4A6F"/>
    <w:rsid w:val="004B71F6"/>
    <w:rsid w:val="004B7383"/>
    <w:rsid w:val="004B7452"/>
    <w:rsid w:val="004C0B18"/>
    <w:rsid w:val="004C1B63"/>
    <w:rsid w:val="004C3026"/>
    <w:rsid w:val="004C38AA"/>
    <w:rsid w:val="004C3DB8"/>
    <w:rsid w:val="004C65EF"/>
    <w:rsid w:val="004D0E07"/>
    <w:rsid w:val="004D11E5"/>
    <w:rsid w:val="004D18A4"/>
    <w:rsid w:val="004D1F69"/>
    <w:rsid w:val="004D2017"/>
    <w:rsid w:val="004D2336"/>
    <w:rsid w:val="004D4506"/>
    <w:rsid w:val="004E22BB"/>
    <w:rsid w:val="004E4712"/>
    <w:rsid w:val="004F00AB"/>
    <w:rsid w:val="004F104B"/>
    <w:rsid w:val="004F3016"/>
    <w:rsid w:val="004F348B"/>
    <w:rsid w:val="005029BB"/>
    <w:rsid w:val="00504295"/>
    <w:rsid w:val="0050520F"/>
    <w:rsid w:val="005101A7"/>
    <w:rsid w:val="0051311B"/>
    <w:rsid w:val="0051412A"/>
    <w:rsid w:val="00515E4E"/>
    <w:rsid w:val="00520194"/>
    <w:rsid w:val="00520A68"/>
    <w:rsid w:val="00523D4E"/>
    <w:rsid w:val="00524F20"/>
    <w:rsid w:val="00526FAF"/>
    <w:rsid w:val="00527375"/>
    <w:rsid w:val="00527EB1"/>
    <w:rsid w:val="00534C01"/>
    <w:rsid w:val="00543876"/>
    <w:rsid w:val="0054679C"/>
    <w:rsid w:val="0054748B"/>
    <w:rsid w:val="00550768"/>
    <w:rsid w:val="005508A5"/>
    <w:rsid w:val="00550B29"/>
    <w:rsid w:val="00552BE6"/>
    <w:rsid w:val="005537C9"/>
    <w:rsid w:val="00553DBC"/>
    <w:rsid w:val="00555106"/>
    <w:rsid w:val="005560BC"/>
    <w:rsid w:val="00556B14"/>
    <w:rsid w:val="00557710"/>
    <w:rsid w:val="005618E1"/>
    <w:rsid w:val="00562117"/>
    <w:rsid w:val="0056661E"/>
    <w:rsid w:val="005671FC"/>
    <w:rsid w:val="00570D03"/>
    <w:rsid w:val="00571102"/>
    <w:rsid w:val="00573A58"/>
    <w:rsid w:val="0057447B"/>
    <w:rsid w:val="00581BCA"/>
    <w:rsid w:val="00582B4F"/>
    <w:rsid w:val="00582BAF"/>
    <w:rsid w:val="0058330B"/>
    <w:rsid w:val="00586BE4"/>
    <w:rsid w:val="0059064B"/>
    <w:rsid w:val="005907F5"/>
    <w:rsid w:val="00593BBE"/>
    <w:rsid w:val="0059498B"/>
    <w:rsid w:val="005972D9"/>
    <w:rsid w:val="005A0363"/>
    <w:rsid w:val="005A3AF2"/>
    <w:rsid w:val="005A7747"/>
    <w:rsid w:val="005B228E"/>
    <w:rsid w:val="005B5AC7"/>
    <w:rsid w:val="005B6961"/>
    <w:rsid w:val="005C0A7A"/>
    <w:rsid w:val="005C1417"/>
    <w:rsid w:val="005C34C2"/>
    <w:rsid w:val="005C424F"/>
    <w:rsid w:val="005C5C62"/>
    <w:rsid w:val="005C5DE6"/>
    <w:rsid w:val="005C5E23"/>
    <w:rsid w:val="005C7005"/>
    <w:rsid w:val="005D00FA"/>
    <w:rsid w:val="005D5615"/>
    <w:rsid w:val="005D7DE4"/>
    <w:rsid w:val="005E29D6"/>
    <w:rsid w:val="005E2DA8"/>
    <w:rsid w:val="005E3252"/>
    <w:rsid w:val="005E3395"/>
    <w:rsid w:val="005E573D"/>
    <w:rsid w:val="005E72A7"/>
    <w:rsid w:val="005F1380"/>
    <w:rsid w:val="005F1CCF"/>
    <w:rsid w:val="005F2A67"/>
    <w:rsid w:val="005F5F9D"/>
    <w:rsid w:val="0060157E"/>
    <w:rsid w:val="00602404"/>
    <w:rsid w:val="00603285"/>
    <w:rsid w:val="006046CE"/>
    <w:rsid w:val="0060502F"/>
    <w:rsid w:val="00607954"/>
    <w:rsid w:val="00610E32"/>
    <w:rsid w:val="006118E6"/>
    <w:rsid w:val="00612482"/>
    <w:rsid w:val="006126CC"/>
    <w:rsid w:val="006148E2"/>
    <w:rsid w:val="00614E73"/>
    <w:rsid w:val="00617B67"/>
    <w:rsid w:val="006202A6"/>
    <w:rsid w:val="0062348F"/>
    <w:rsid w:val="00627CA6"/>
    <w:rsid w:val="00627FD1"/>
    <w:rsid w:val="00633535"/>
    <w:rsid w:val="00633D3E"/>
    <w:rsid w:val="00635103"/>
    <w:rsid w:val="0063676B"/>
    <w:rsid w:val="00636A35"/>
    <w:rsid w:val="00637F51"/>
    <w:rsid w:val="00640E81"/>
    <w:rsid w:val="006418E2"/>
    <w:rsid w:val="006423FA"/>
    <w:rsid w:val="00643F23"/>
    <w:rsid w:val="00646C82"/>
    <w:rsid w:val="00647222"/>
    <w:rsid w:val="00650D3C"/>
    <w:rsid w:val="00654119"/>
    <w:rsid w:val="006544A8"/>
    <w:rsid w:val="00655385"/>
    <w:rsid w:val="00655ECF"/>
    <w:rsid w:val="006569CD"/>
    <w:rsid w:val="00660DCA"/>
    <w:rsid w:val="006664A1"/>
    <w:rsid w:val="006667EC"/>
    <w:rsid w:val="00666B56"/>
    <w:rsid w:val="006670D6"/>
    <w:rsid w:val="00671D3A"/>
    <w:rsid w:val="00674E39"/>
    <w:rsid w:val="00677972"/>
    <w:rsid w:val="00677D81"/>
    <w:rsid w:val="00681BCC"/>
    <w:rsid w:val="0068242D"/>
    <w:rsid w:val="006866D9"/>
    <w:rsid w:val="00690A5F"/>
    <w:rsid w:val="00690D1E"/>
    <w:rsid w:val="00691229"/>
    <w:rsid w:val="00691DF0"/>
    <w:rsid w:val="00691EB2"/>
    <w:rsid w:val="00695A22"/>
    <w:rsid w:val="006960A1"/>
    <w:rsid w:val="006976B4"/>
    <w:rsid w:val="006A07CD"/>
    <w:rsid w:val="006A34B0"/>
    <w:rsid w:val="006A4117"/>
    <w:rsid w:val="006A55D7"/>
    <w:rsid w:val="006B0BEF"/>
    <w:rsid w:val="006B2DC5"/>
    <w:rsid w:val="006B4B72"/>
    <w:rsid w:val="006B6918"/>
    <w:rsid w:val="006C023C"/>
    <w:rsid w:val="006C0D69"/>
    <w:rsid w:val="006C2C15"/>
    <w:rsid w:val="006C38A4"/>
    <w:rsid w:val="006C6102"/>
    <w:rsid w:val="006C6271"/>
    <w:rsid w:val="006D2E8F"/>
    <w:rsid w:val="006D32D4"/>
    <w:rsid w:val="006D34C9"/>
    <w:rsid w:val="006D3AE5"/>
    <w:rsid w:val="006D49B2"/>
    <w:rsid w:val="006D4A5C"/>
    <w:rsid w:val="006D5B94"/>
    <w:rsid w:val="006D5FA2"/>
    <w:rsid w:val="006D6A8C"/>
    <w:rsid w:val="006D6B09"/>
    <w:rsid w:val="006D767A"/>
    <w:rsid w:val="006E22CE"/>
    <w:rsid w:val="006E3F78"/>
    <w:rsid w:val="006E7C52"/>
    <w:rsid w:val="006F5662"/>
    <w:rsid w:val="006F5C58"/>
    <w:rsid w:val="006F7046"/>
    <w:rsid w:val="007006FF"/>
    <w:rsid w:val="00700997"/>
    <w:rsid w:val="007023E1"/>
    <w:rsid w:val="00702549"/>
    <w:rsid w:val="00702795"/>
    <w:rsid w:val="007065AD"/>
    <w:rsid w:val="0070670C"/>
    <w:rsid w:val="007072F2"/>
    <w:rsid w:val="00710D78"/>
    <w:rsid w:val="0071615B"/>
    <w:rsid w:val="007174A4"/>
    <w:rsid w:val="00717B4E"/>
    <w:rsid w:val="00717FDE"/>
    <w:rsid w:val="00721A25"/>
    <w:rsid w:val="00726301"/>
    <w:rsid w:val="00726716"/>
    <w:rsid w:val="00727D65"/>
    <w:rsid w:val="007302BF"/>
    <w:rsid w:val="007317FF"/>
    <w:rsid w:val="00733464"/>
    <w:rsid w:val="007376F3"/>
    <w:rsid w:val="00740332"/>
    <w:rsid w:val="0074044A"/>
    <w:rsid w:val="00743468"/>
    <w:rsid w:val="0074460A"/>
    <w:rsid w:val="007446AB"/>
    <w:rsid w:val="00744E3C"/>
    <w:rsid w:val="00745E37"/>
    <w:rsid w:val="007465EC"/>
    <w:rsid w:val="00746F86"/>
    <w:rsid w:val="00750B9D"/>
    <w:rsid w:val="00751B42"/>
    <w:rsid w:val="00751FE1"/>
    <w:rsid w:val="00755256"/>
    <w:rsid w:val="007570CA"/>
    <w:rsid w:val="00762E16"/>
    <w:rsid w:val="00763DAF"/>
    <w:rsid w:val="00764E4D"/>
    <w:rsid w:val="00766068"/>
    <w:rsid w:val="007670BD"/>
    <w:rsid w:val="00773065"/>
    <w:rsid w:val="007749F1"/>
    <w:rsid w:val="00774B93"/>
    <w:rsid w:val="00777B47"/>
    <w:rsid w:val="007801FF"/>
    <w:rsid w:val="007816EE"/>
    <w:rsid w:val="00782C5C"/>
    <w:rsid w:val="00783C17"/>
    <w:rsid w:val="00783E50"/>
    <w:rsid w:val="00786CF4"/>
    <w:rsid w:val="00790B4E"/>
    <w:rsid w:val="0079118D"/>
    <w:rsid w:val="00791B11"/>
    <w:rsid w:val="00792A0F"/>
    <w:rsid w:val="00792F3D"/>
    <w:rsid w:val="00794266"/>
    <w:rsid w:val="00794C61"/>
    <w:rsid w:val="00797D71"/>
    <w:rsid w:val="007A01C0"/>
    <w:rsid w:val="007A0B46"/>
    <w:rsid w:val="007A1565"/>
    <w:rsid w:val="007A1759"/>
    <w:rsid w:val="007A1AE8"/>
    <w:rsid w:val="007A3DEF"/>
    <w:rsid w:val="007A3EA8"/>
    <w:rsid w:val="007A4D22"/>
    <w:rsid w:val="007A734E"/>
    <w:rsid w:val="007B19B9"/>
    <w:rsid w:val="007B2F4F"/>
    <w:rsid w:val="007B6233"/>
    <w:rsid w:val="007B6277"/>
    <w:rsid w:val="007B77A2"/>
    <w:rsid w:val="007B7A79"/>
    <w:rsid w:val="007B7BAC"/>
    <w:rsid w:val="007C04FA"/>
    <w:rsid w:val="007C0FD8"/>
    <w:rsid w:val="007C207F"/>
    <w:rsid w:val="007C21C6"/>
    <w:rsid w:val="007C33E9"/>
    <w:rsid w:val="007C6DB4"/>
    <w:rsid w:val="007D05B9"/>
    <w:rsid w:val="007D1241"/>
    <w:rsid w:val="007D148D"/>
    <w:rsid w:val="007D3711"/>
    <w:rsid w:val="007D5E79"/>
    <w:rsid w:val="007E08B5"/>
    <w:rsid w:val="007E28C8"/>
    <w:rsid w:val="007E4EB1"/>
    <w:rsid w:val="007E592E"/>
    <w:rsid w:val="007E6952"/>
    <w:rsid w:val="007F0755"/>
    <w:rsid w:val="007F0D1F"/>
    <w:rsid w:val="007F1857"/>
    <w:rsid w:val="007F3858"/>
    <w:rsid w:val="007F413A"/>
    <w:rsid w:val="007F414E"/>
    <w:rsid w:val="007F4900"/>
    <w:rsid w:val="007F6832"/>
    <w:rsid w:val="007F740A"/>
    <w:rsid w:val="00800B82"/>
    <w:rsid w:val="008015EE"/>
    <w:rsid w:val="008036AD"/>
    <w:rsid w:val="00804C24"/>
    <w:rsid w:val="008062DC"/>
    <w:rsid w:val="0080663A"/>
    <w:rsid w:val="0080708A"/>
    <w:rsid w:val="00810E27"/>
    <w:rsid w:val="00811E4C"/>
    <w:rsid w:val="00813D71"/>
    <w:rsid w:val="00814AC1"/>
    <w:rsid w:val="00814C95"/>
    <w:rsid w:val="00816C61"/>
    <w:rsid w:val="00821B9E"/>
    <w:rsid w:val="00821C82"/>
    <w:rsid w:val="0082371B"/>
    <w:rsid w:val="00823844"/>
    <w:rsid w:val="00823BD2"/>
    <w:rsid w:val="00824A43"/>
    <w:rsid w:val="008252C3"/>
    <w:rsid w:val="0083050A"/>
    <w:rsid w:val="00830DE8"/>
    <w:rsid w:val="00831791"/>
    <w:rsid w:val="00834293"/>
    <w:rsid w:val="00837164"/>
    <w:rsid w:val="008373D0"/>
    <w:rsid w:val="00841FDE"/>
    <w:rsid w:val="0085235F"/>
    <w:rsid w:val="00852A3B"/>
    <w:rsid w:val="00860365"/>
    <w:rsid w:val="00863A03"/>
    <w:rsid w:val="0086411D"/>
    <w:rsid w:val="00870BCB"/>
    <w:rsid w:val="0087325E"/>
    <w:rsid w:val="00875012"/>
    <w:rsid w:val="008759AC"/>
    <w:rsid w:val="008766C1"/>
    <w:rsid w:val="00876FDB"/>
    <w:rsid w:val="00882A20"/>
    <w:rsid w:val="008836FB"/>
    <w:rsid w:val="008837DA"/>
    <w:rsid w:val="00883D9E"/>
    <w:rsid w:val="0088461A"/>
    <w:rsid w:val="00890371"/>
    <w:rsid w:val="008906F4"/>
    <w:rsid w:val="0089073C"/>
    <w:rsid w:val="00893A71"/>
    <w:rsid w:val="00894C6B"/>
    <w:rsid w:val="00895BE1"/>
    <w:rsid w:val="00895F03"/>
    <w:rsid w:val="008A192E"/>
    <w:rsid w:val="008A34B8"/>
    <w:rsid w:val="008A6F5C"/>
    <w:rsid w:val="008B3974"/>
    <w:rsid w:val="008B503F"/>
    <w:rsid w:val="008C0811"/>
    <w:rsid w:val="008C673F"/>
    <w:rsid w:val="008C73FF"/>
    <w:rsid w:val="008C75B1"/>
    <w:rsid w:val="008D0377"/>
    <w:rsid w:val="008D26FB"/>
    <w:rsid w:val="008D499D"/>
    <w:rsid w:val="008D5B12"/>
    <w:rsid w:val="008E3253"/>
    <w:rsid w:val="008E4641"/>
    <w:rsid w:val="008E6113"/>
    <w:rsid w:val="008E6AAB"/>
    <w:rsid w:val="008E779D"/>
    <w:rsid w:val="008F4B80"/>
    <w:rsid w:val="00903BDB"/>
    <w:rsid w:val="009042D7"/>
    <w:rsid w:val="00904F18"/>
    <w:rsid w:val="00907474"/>
    <w:rsid w:val="0091247A"/>
    <w:rsid w:val="00912C74"/>
    <w:rsid w:val="00914659"/>
    <w:rsid w:val="009147D0"/>
    <w:rsid w:val="0091551A"/>
    <w:rsid w:val="00915789"/>
    <w:rsid w:val="00915859"/>
    <w:rsid w:val="009209A1"/>
    <w:rsid w:val="00922F5E"/>
    <w:rsid w:val="009244D7"/>
    <w:rsid w:val="0092457B"/>
    <w:rsid w:val="00925014"/>
    <w:rsid w:val="00925EC1"/>
    <w:rsid w:val="00926181"/>
    <w:rsid w:val="00927922"/>
    <w:rsid w:val="00927F4A"/>
    <w:rsid w:val="00932CE8"/>
    <w:rsid w:val="00940B74"/>
    <w:rsid w:val="00941D49"/>
    <w:rsid w:val="009425A0"/>
    <w:rsid w:val="0094279B"/>
    <w:rsid w:val="009467D9"/>
    <w:rsid w:val="00946D3B"/>
    <w:rsid w:val="0095046D"/>
    <w:rsid w:val="00950518"/>
    <w:rsid w:val="0095467D"/>
    <w:rsid w:val="00954696"/>
    <w:rsid w:val="00957ACE"/>
    <w:rsid w:val="00957CFC"/>
    <w:rsid w:val="00962C7A"/>
    <w:rsid w:val="00962E91"/>
    <w:rsid w:val="009648C4"/>
    <w:rsid w:val="0096675E"/>
    <w:rsid w:val="00971B03"/>
    <w:rsid w:val="00972348"/>
    <w:rsid w:val="00972C4B"/>
    <w:rsid w:val="00973A04"/>
    <w:rsid w:val="0097597D"/>
    <w:rsid w:val="0097726F"/>
    <w:rsid w:val="0098182B"/>
    <w:rsid w:val="009818C4"/>
    <w:rsid w:val="0098302A"/>
    <w:rsid w:val="00983ABA"/>
    <w:rsid w:val="00985E38"/>
    <w:rsid w:val="009900BA"/>
    <w:rsid w:val="009908E7"/>
    <w:rsid w:val="00990B97"/>
    <w:rsid w:val="00991584"/>
    <w:rsid w:val="00991F22"/>
    <w:rsid w:val="00994FB8"/>
    <w:rsid w:val="009973A6"/>
    <w:rsid w:val="00997843"/>
    <w:rsid w:val="00997A0C"/>
    <w:rsid w:val="009A0BA6"/>
    <w:rsid w:val="009A16AD"/>
    <w:rsid w:val="009A1FEA"/>
    <w:rsid w:val="009A24F5"/>
    <w:rsid w:val="009A32B8"/>
    <w:rsid w:val="009B2210"/>
    <w:rsid w:val="009B2434"/>
    <w:rsid w:val="009B6B3E"/>
    <w:rsid w:val="009B7D48"/>
    <w:rsid w:val="009C1ED8"/>
    <w:rsid w:val="009C4690"/>
    <w:rsid w:val="009C4C67"/>
    <w:rsid w:val="009C681E"/>
    <w:rsid w:val="009C7317"/>
    <w:rsid w:val="009C7BE8"/>
    <w:rsid w:val="009D32E6"/>
    <w:rsid w:val="009D3C6D"/>
    <w:rsid w:val="009D416D"/>
    <w:rsid w:val="009D4DE2"/>
    <w:rsid w:val="009D5569"/>
    <w:rsid w:val="009D6A6A"/>
    <w:rsid w:val="009D7CF4"/>
    <w:rsid w:val="009D7EDC"/>
    <w:rsid w:val="009E1E4A"/>
    <w:rsid w:val="009E4453"/>
    <w:rsid w:val="009E50DE"/>
    <w:rsid w:val="009F0728"/>
    <w:rsid w:val="009F18D9"/>
    <w:rsid w:val="009F3DC7"/>
    <w:rsid w:val="009F440E"/>
    <w:rsid w:val="009F54E8"/>
    <w:rsid w:val="009F5EF8"/>
    <w:rsid w:val="009F65B4"/>
    <w:rsid w:val="00A01393"/>
    <w:rsid w:val="00A1037F"/>
    <w:rsid w:val="00A109E5"/>
    <w:rsid w:val="00A132D1"/>
    <w:rsid w:val="00A14419"/>
    <w:rsid w:val="00A20084"/>
    <w:rsid w:val="00A20F7A"/>
    <w:rsid w:val="00A2390B"/>
    <w:rsid w:val="00A2465F"/>
    <w:rsid w:val="00A2533A"/>
    <w:rsid w:val="00A26101"/>
    <w:rsid w:val="00A26BA0"/>
    <w:rsid w:val="00A270F6"/>
    <w:rsid w:val="00A27281"/>
    <w:rsid w:val="00A2742B"/>
    <w:rsid w:val="00A32DF2"/>
    <w:rsid w:val="00A34495"/>
    <w:rsid w:val="00A42B7C"/>
    <w:rsid w:val="00A4312E"/>
    <w:rsid w:val="00A4655D"/>
    <w:rsid w:val="00A470A0"/>
    <w:rsid w:val="00A5073E"/>
    <w:rsid w:val="00A50A20"/>
    <w:rsid w:val="00A52E7F"/>
    <w:rsid w:val="00A530D5"/>
    <w:rsid w:val="00A537EA"/>
    <w:rsid w:val="00A53C0A"/>
    <w:rsid w:val="00A57466"/>
    <w:rsid w:val="00A5782C"/>
    <w:rsid w:val="00A619EE"/>
    <w:rsid w:val="00A622FA"/>
    <w:rsid w:val="00A62EAC"/>
    <w:rsid w:val="00A6321D"/>
    <w:rsid w:val="00A63255"/>
    <w:rsid w:val="00A64D16"/>
    <w:rsid w:val="00A662E5"/>
    <w:rsid w:val="00A67AD3"/>
    <w:rsid w:val="00A67CA0"/>
    <w:rsid w:val="00A71C59"/>
    <w:rsid w:val="00A727A5"/>
    <w:rsid w:val="00A72CDA"/>
    <w:rsid w:val="00A7561A"/>
    <w:rsid w:val="00A80149"/>
    <w:rsid w:val="00A869E7"/>
    <w:rsid w:val="00A911AA"/>
    <w:rsid w:val="00A922A1"/>
    <w:rsid w:val="00A936C1"/>
    <w:rsid w:val="00A93FC9"/>
    <w:rsid w:val="00A940FB"/>
    <w:rsid w:val="00A952F8"/>
    <w:rsid w:val="00A9639B"/>
    <w:rsid w:val="00A96599"/>
    <w:rsid w:val="00A96F79"/>
    <w:rsid w:val="00A977C3"/>
    <w:rsid w:val="00A97F96"/>
    <w:rsid w:val="00AA3834"/>
    <w:rsid w:val="00AA57C5"/>
    <w:rsid w:val="00AA5AA1"/>
    <w:rsid w:val="00AB0098"/>
    <w:rsid w:val="00AB00C2"/>
    <w:rsid w:val="00AB0532"/>
    <w:rsid w:val="00AB1477"/>
    <w:rsid w:val="00AB2C7B"/>
    <w:rsid w:val="00AB2F16"/>
    <w:rsid w:val="00AB3FCE"/>
    <w:rsid w:val="00AB6D5D"/>
    <w:rsid w:val="00AC5479"/>
    <w:rsid w:val="00AC5548"/>
    <w:rsid w:val="00AC59D5"/>
    <w:rsid w:val="00AD15B5"/>
    <w:rsid w:val="00AD3EA6"/>
    <w:rsid w:val="00AD656C"/>
    <w:rsid w:val="00AD6BCB"/>
    <w:rsid w:val="00AE1A95"/>
    <w:rsid w:val="00AE242A"/>
    <w:rsid w:val="00AE4969"/>
    <w:rsid w:val="00AE5D70"/>
    <w:rsid w:val="00AE7635"/>
    <w:rsid w:val="00AE7D1A"/>
    <w:rsid w:val="00AF148E"/>
    <w:rsid w:val="00AF2C9E"/>
    <w:rsid w:val="00AF7982"/>
    <w:rsid w:val="00B02E37"/>
    <w:rsid w:val="00B030F9"/>
    <w:rsid w:val="00B03E63"/>
    <w:rsid w:val="00B05980"/>
    <w:rsid w:val="00B11E1E"/>
    <w:rsid w:val="00B11FBF"/>
    <w:rsid w:val="00B13A56"/>
    <w:rsid w:val="00B1687A"/>
    <w:rsid w:val="00B22268"/>
    <w:rsid w:val="00B30AA6"/>
    <w:rsid w:val="00B313A7"/>
    <w:rsid w:val="00B34703"/>
    <w:rsid w:val="00B37837"/>
    <w:rsid w:val="00B3798C"/>
    <w:rsid w:val="00B41C75"/>
    <w:rsid w:val="00B5002B"/>
    <w:rsid w:val="00B52431"/>
    <w:rsid w:val="00B5389D"/>
    <w:rsid w:val="00B548A3"/>
    <w:rsid w:val="00B551B6"/>
    <w:rsid w:val="00B55FEC"/>
    <w:rsid w:val="00B60286"/>
    <w:rsid w:val="00B608CF"/>
    <w:rsid w:val="00B64537"/>
    <w:rsid w:val="00B65A7F"/>
    <w:rsid w:val="00B65FA9"/>
    <w:rsid w:val="00B66A50"/>
    <w:rsid w:val="00B705C1"/>
    <w:rsid w:val="00B72787"/>
    <w:rsid w:val="00B74AF3"/>
    <w:rsid w:val="00B74BC9"/>
    <w:rsid w:val="00B82526"/>
    <w:rsid w:val="00B8462E"/>
    <w:rsid w:val="00B85F60"/>
    <w:rsid w:val="00B90961"/>
    <w:rsid w:val="00B920A3"/>
    <w:rsid w:val="00B92AAC"/>
    <w:rsid w:val="00B92EEB"/>
    <w:rsid w:val="00B92F91"/>
    <w:rsid w:val="00B94914"/>
    <w:rsid w:val="00B94C14"/>
    <w:rsid w:val="00B960F9"/>
    <w:rsid w:val="00BA2088"/>
    <w:rsid w:val="00BA212F"/>
    <w:rsid w:val="00BA251B"/>
    <w:rsid w:val="00BA366C"/>
    <w:rsid w:val="00BA574C"/>
    <w:rsid w:val="00BA5EF7"/>
    <w:rsid w:val="00BB0931"/>
    <w:rsid w:val="00BB7482"/>
    <w:rsid w:val="00BC0A5A"/>
    <w:rsid w:val="00BC16A8"/>
    <w:rsid w:val="00BC2081"/>
    <w:rsid w:val="00BC2F26"/>
    <w:rsid w:val="00BC45FE"/>
    <w:rsid w:val="00BC7F36"/>
    <w:rsid w:val="00BD0B55"/>
    <w:rsid w:val="00BD173C"/>
    <w:rsid w:val="00BD335E"/>
    <w:rsid w:val="00BD4CE7"/>
    <w:rsid w:val="00BD52CA"/>
    <w:rsid w:val="00BD56B2"/>
    <w:rsid w:val="00BD5979"/>
    <w:rsid w:val="00BD610B"/>
    <w:rsid w:val="00BD6C1C"/>
    <w:rsid w:val="00BD6F8F"/>
    <w:rsid w:val="00BD783C"/>
    <w:rsid w:val="00BD79E1"/>
    <w:rsid w:val="00BE2160"/>
    <w:rsid w:val="00BE293C"/>
    <w:rsid w:val="00BE6675"/>
    <w:rsid w:val="00BE69AD"/>
    <w:rsid w:val="00BF2DA7"/>
    <w:rsid w:val="00BF3267"/>
    <w:rsid w:val="00BF33A8"/>
    <w:rsid w:val="00BF3AFB"/>
    <w:rsid w:val="00BF42E3"/>
    <w:rsid w:val="00BF482B"/>
    <w:rsid w:val="00BF539A"/>
    <w:rsid w:val="00BF7E75"/>
    <w:rsid w:val="00C02CA0"/>
    <w:rsid w:val="00C02D27"/>
    <w:rsid w:val="00C02DDB"/>
    <w:rsid w:val="00C03214"/>
    <w:rsid w:val="00C03803"/>
    <w:rsid w:val="00C045E8"/>
    <w:rsid w:val="00C0512F"/>
    <w:rsid w:val="00C06D3A"/>
    <w:rsid w:val="00C0775B"/>
    <w:rsid w:val="00C0780D"/>
    <w:rsid w:val="00C07BEA"/>
    <w:rsid w:val="00C100B5"/>
    <w:rsid w:val="00C1209C"/>
    <w:rsid w:val="00C12514"/>
    <w:rsid w:val="00C15601"/>
    <w:rsid w:val="00C15A91"/>
    <w:rsid w:val="00C20269"/>
    <w:rsid w:val="00C218BB"/>
    <w:rsid w:val="00C22B1C"/>
    <w:rsid w:val="00C24C13"/>
    <w:rsid w:val="00C24F29"/>
    <w:rsid w:val="00C3059A"/>
    <w:rsid w:val="00C31EA0"/>
    <w:rsid w:val="00C3253A"/>
    <w:rsid w:val="00C34246"/>
    <w:rsid w:val="00C366DA"/>
    <w:rsid w:val="00C36B76"/>
    <w:rsid w:val="00C40B56"/>
    <w:rsid w:val="00C41A05"/>
    <w:rsid w:val="00C432FC"/>
    <w:rsid w:val="00C436C5"/>
    <w:rsid w:val="00C43972"/>
    <w:rsid w:val="00C445CB"/>
    <w:rsid w:val="00C463A0"/>
    <w:rsid w:val="00C466D7"/>
    <w:rsid w:val="00C5209C"/>
    <w:rsid w:val="00C53A44"/>
    <w:rsid w:val="00C550C1"/>
    <w:rsid w:val="00C55335"/>
    <w:rsid w:val="00C57554"/>
    <w:rsid w:val="00C578A7"/>
    <w:rsid w:val="00C648BC"/>
    <w:rsid w:val="00C65028"/>
    <w:rsid w:val="00C70FD3"/>
    <w:rsid w:val="00C716A7"/>
    <w:rsid w:val="00C7444F"/>
    <w:rsid w:val="00C74849"/>
    <w:rsid w:val="00C7547A"/>
    <w:rsid w:val="00C76862"/>
    <w:rsid w:val="00C77DAC"/>
    <w:rsid w:val="00C81D74"/>
    <w:rsid w:val="00C85631"/>
    <w:rsid w:val="00C9097D"/>
    <w:rsid w:val="00C90B8B"/>
    <w:rsid w:val="00C92F8D"/>
    <w:rsid w:val="00C94486"/>
    <w:rsid w:val="00C9613E"/>
    <w:rsid w:val="00CA3F2B"/>
    <w:rsid w:val="00CA4473"/>
    <w:rsid w:val="00CA45AA"/>
    <w:rsid w:val="00CA4813"/>
    <w:rsid w:val="00CA6386"/>
    <w:rsid w:val="00CA69AB"/>
    <w:rsid w:val="00CA7ECA"/>
    <w:rsid w:val="00CB11DD"/>
    <w:rsid w:val="00CB2891"/>
    <w:rsid w:val="00CB5676"/>
    <w:rsid w:val="00CB6D58"/>
    <w:rsid w:val="00CB6F3C"/>
    <w:rsid w:val="00CB7D3A"/>
    <w:rsid w:val="00CC0195"/>
    <w:rsid w:val="00CC312C"/>
    <w:rsid w:val="00CC6539"/>
    <w:rsid w:val="00CC7786"/>
    <w:rsid w:val="00CC7F23"/>
    <w:rsid w:val="00CD01B5"/>
    <w:rsid w:val="00CD1547"/>
    <w:rsid w:val="00CD335D"/>
    <w:rsid w:val="00CD41EF"/>
    <w:rsid w:val="00CD4B51"/>
    <w:rsid w:val="00CD50A0"/>
    <w:rsid w:val="00CE0096"/>
    <w:rsid w:val="00CE09A1"/>
    <w:rsid w:val="00CE1DBB"/>
    <w:rsid w:val="00CE2E1E"/>
    <w:rsid w:val="00CE2EAD"/>
    <w:rsid w:val="00CE2EAE"/>
    <w:rsid w:val="00CE5490"/>
    <w:rsid w:val="00CE5C12"/>
    <w:rsid w:val="00CE73F7"/>
    <w:rsid w:val="00CF27C4"/>
    <w:rsid w:val="00CF402A"/>
    <w:rsid w:val="00CF6AD3"/>
    <w:rsid w:val="00CF6F8B"/>
    <w:rsid w:val="00D037DA"/>
    <w:rsid w:val="00D03C7F"/>
    <w:rsid w:val="00D04208"/>
    <w:rsid w:val="00D04392"/>
    <w:rsid w:val="00D04CA1"/>
    <w:rsid w:val="00D0505F"/>
    <w:rsid w:val="00D05681"/>
    <w:rsid w:val="00D10101"/>
    <w:rsid w:val="00D12461"/>
    <w:rsid w:val="00D1268A"/>
    <w:rsid w:val="00D12B08"/>
    <w:rsid w:val="00D132B3"/>
    <w:rsid w:val="00D1478B"/>
    <w:rsid w:val="00D15198"/>
    <w:rsid w:val="00D272F2"/>
    <w:rsid w:val="00D2731B"/>
    <w:rsid w:val="00D316FD"/>
    <w:rsid w:val="00D36195"/>
    <w:rsid w:val="00D37472"/>
    <w:rsid w:val="00D41A70"/>
    <w:rsid w:val="00D435AB"/>
    <w:rsid w:val="00D43B94"/>
    <w:rsid w:val="00D4596B"/>
    <w:rsid w:val="00D5238F"/>
    <w:rsid w:val="00D55B49"/>
    <w:rsid w:val="00D56A46"/>
    <w:rsid w:val="00D56FA4"/>
    <w:rsid w:val="00D57D25"/>
    <w:rsid w:val="00D60BCC"/>
    <w:rsid w:val="00D61994"/>
    <w:rsid w:val="00D63315"/>
    <w:rsid w:val="00D63E9E"/>
    <w:rsid w:val="00D640D2"/>
    <w:rsid w:val="00D67CEC"/>
    <w:rsid w:val="00D713A9"/>
    <w:rsid w:val="00D7442C"/>
    <w:rsid w:val="00D75348"/>
    <w:rsid w:val="00D75DFF"/>
    <w:rsid w:val="00D7658F"/>
    <w:rsid w:val="00D7731C"/>
    <w:rsid w:val="00D80F1D"/>
    <w:rsid w:val="00D81977"/>
    <w:rsid w:val="00D81BB2"/>
    <w:rsid w:val="00D81D81"/>
    <w:rsid w:val="00D82F7D"/>
    <w:rsid w:val="00D87698"/>
    <w:rsid w:val="00D905AC"/>
    <w:rsid w:val="00D906BE"/>
    <w:rsid w:val="00D90C53"/>
    <w:rsid w:val="00D9310C"/>
    <w:rsid w:val="00D94914"/>
    <w:rsid w:val="00D94E09"/>
    <w:rsid w:val="00D955FA"/>
    <w:rsid w:val="00D95A1A"/>
    <w:rsid w:val="00D96392"/>
    <w:rsid w:val="00D967DE"/>
    <w:rsid w:val="00DA030D"/>
    <w:rsid w:val="00DA2319"/>
    <w:rsid w:val="00DA408E"/>
    <w:rsid w:val="00DA6FEB"/>
    <w:rsid w:val="00DB104F"/>
    <w:rsid w:val="00DB2D54"/>
    <w:rsid w:val="00DB3D4B"/>
    <w:rsid w:val="00DB4564"/>
    <w:rsid w:val="00DB544E"/>
    <w:rsid w:val="00DB5B84"/>
    <w:rsid w:val="00DB5BA5"/>
    <w:rsid w:val="00DB6296"/>
    <w:rsid w:val="00DB72E7"/>
    <w:rsid w:val="00DB775F"/>
    <w:rsid w:val="00DC0DFB"/>
    <w:rsid w:val="00DC104E"/>
    <w:rsid w:val="00DC505B"/>
    <w:rsid w:val="00DC577A"/>
    <w:rsid w:val="00DC7C2E"/>
    <w:rsid w:val="00DD170A"/>
    <w:rsid w:val="00DD4847"/>
    <w:rsid w:val="00DD58C4"/>
    <w:rsid w:val="00DD5B75"/>
    <w:rsid w:val="00DD753A"/>
    <w:rsid w:val="00DE2E45"/>
    <w:rsid w:val="00DE3237"/>
    <w:rsid w:val="00DE374A"/>
    <w:rsid w:val="00DE56B4"/>
    <w:rsid w:val="00DE607B"/>
    <w:rsid w:val="00DE7194"/>
    <w:rsid w:val="00DE72F9"/>
    <w:rsid w:val="00DF0361"/>
    <w:rsid w:val="00DF33FA"/>
    <w:rsid w:val="00DF3591"/>
    <w:rsid w:val="00DF56DF"/>
    <w:rsid w:val="00DF65CA"/>
    <w:rsid w:val="00DF70A0"/>
    <w:rsid w:val="00E00FA5"/>
    <w:rsid w:val="00E043CB"/>
    <w:rsid w:val="00E04F60"/>
    <w:rsid w:val="00E05BA0"/>
    <w:rsid w:val="00E075E1"/>
    <w:rsid w:val="00E07F18"/>
    <w:rsid w:val="00E102CE"/>
    <w:rsid w:val="00E11875"/>
    <w:rsid w:val="00E13AD2"/>
    <w:rsid w:val="00E16420"/>
    <w:rsid w:val="00E16C0C"/>
    <w:rsid w:val="00E17259"/>
    <w:rsid w:val="00E201E6"/>
    <w:rsid w:val="00E2455D"/>
    <w:rsid w:val="00E26E14"/>
    <w:rsid w:val="00E308BC"/>
    <w:rsid w:val="00E30A79"/>
    <w:rsid w:val="00E32B61"/>
    <w:rsid w:val="00E340FB"/>
    <w:rsid w:val="00E35C1F"/>
    <w:rsid w:val="00E368F4"/>
    <w:rsid w:val="00E371A7"/>
    <w:rsid w:val="00E40485"/>
    <w:rsid w:val="00E42093"/>
    <w:rsid w:val="00E43485"/>
    <w:rsid w:val="00E436E0"/>
    <w:rsid w:val="00E440D8"/>
    <w:rsid w:val="00E51C66"/>
    <w:rsid w:val="00E5286A"/>
    <w:rsid w:val="00E53321"/>
    <w:rsid w:val="00E54741"/>
    <w:rsid w:val="00E56EF2"/>
    <w:rsid w:val="00E60D1D"/>
    <w:rsid w:val="00E640C1"/>
    <w:rsid w:val="00E64829"/>
    <w:rsid w:val="00E65925"/>
    <w:rsid w:val="00E71E31"/>
    <w:rsid w:val="00E7558C"/>
    <w:rsid w:val="00E75846"/>
    <w:rsid w:val="00E76369"/>
    <w:rsid w:val="00E76AD5"/>
    <w:rsid w:val="00E77AF1"/>
    <w:rsid w:val="00E77EC7"/>
    <w:rsid w:val="00E810AB"/>
    <w:rsid w:val="00E81FCE"/>
    <w:rsid w:val="00E869DE"/>
    <w:rsid w:val="00E86B4B"/>
    <w:rsid w:val="00E91D58"/>
    <w:rsid w:val="00E956B2"/>
    <w:rsid w:val="00EA09BF"/>
    <w:rsid w:val="00EA206C"/>
    <w:rsid w:val="00EA336A"/>
    <w:rsid w:val="00EA4F46"/>
    <w:rsid w:val="00EA4FC0"/>
    <w:rsid w:val="00EA697B"/>
    <w:rsid w:val="00EB025D"/>
    <w:rsid w:val="00EB11BD"/>
    <w:rsid w:val="00EB254D"/>
    <w:rsid w:val="00EB29FF"/>
    <w:rsid w:val="00EB42BB"/>
    <w:rsid w:val="00EB5284"/>
    <w:rsid w:val="00EB5DF0"/>
    <w:rsid w:val="00EC0F50"/>
    <w:rsid w:val="00EC1D3E"/>
    <w:rsid w:val="00EC2888"/>
    <w:rsid w:val="00EC3478"/>
    <w:rsid w:val="00EC390C"/>
    <w:rsid w:val="00EC43F2"/>
    <w:rsid w:val="00EC69DC"/>
    <w:rsid w:val="00ED3A8D"/>
    <w:rsid w:val="00ED436D"/>
    <w:rsid w:val="00EE068C"/>
    <w:rsid w:val="00EE4659"/>
    <w:rsid w:val="00EE4F32"/>
    <w:rsid w:val="00EF0803"/>
    <w:rsid w:val="00EF286C"/>
    <w:rsid w:val="00EF7A76"/>
    <w:rsid w:val="00F03886"/>
    <w:rsid w:val="00F04312"/>
    <w:rsid w:val="00F07DD8"/>
    <w:rsid w:val="00F105F7"/>
    <w:rsid w:val="00F10BD8"/>
    <w:rsid w:val="00F121EF"/>
    <w:rsid w:val="00F12AB8"/>
    <w:rsid w:val="00F16A6D"/>
    <w:rsid w:val="00F22867"/>
    <w:rsid w:val="00F33E89"/>
    <w:rsid w:val="00F34277"/>
    <w:rsid w:val="00F371DA"/>
    <w:rsid w:val="00F374D2"/>
    <w:rsid w:val="00F37E26"/>
    <w:rsid w:val="00F4219E"/>
    <w:rsid w:val="00F421B9"/>
    <w:rsid w:val="00F4255D"/>
    <w:rsid w:val="00F42896"/>
    <w:rsid w:val="00F42D85"/>
    <w:rsid w:val="00F43A43"/>
    <w:rsid w:val="00F466A6"/>
    <w:rsid w:val="00F519DC"/>
    <w:rsid w:val="00F5377E"/>
    <w:rsid w:val="00F5755D"/>
    <w:rsid w:val="00F611B9"/>
    <w:rsid w:val="00F6154F"/>
    <w:rsid w:val="00F63263"/>
    <w:rsid w:val="00F636FC"/>
    <w:rsid w:val="00F656A7"/>
    <w:rsid w:val="00F6597B"/>
    <w:rsid w:val="00F67054"/>
    <w:rsid w:val="00F704C2"/>
    <w:rsid w:val="00F721D4"/>
    <w:rsid w:val="00F727DF"/>
    <w:rsid w:val="00F7343F"/>
    <w:rsid w:val="00F74B8B"/>
    <w:rsid w:val="00F753D8"/>
    <w:rsid w:val="00F75F30"/>
    <w:rsid w:val="00F8001B"/>
    <w:rsid w:val="00F81A5A"/>
    <w:rsid w:val="00F82737"/>
    <w:rsid w:val="00F84767"/>
    <w:rsid w:val="00F84B65"/>
    <w:rsid w:val="00F872A7"/>
    <w:rsid w:val="00F90CEB"/>
    <w:rsid w:val="00F91B33"/>
    <w:rsid w:val="00F93925"/>
    <w:rsid w:val="00F93BE1"/>
    <w:rsid w:val="00F944CF"/>
    <w:rsid w:val="00F94CEB"/>
    <w:rsid w:val="00F956BA"/>
    <w:rsid w:val="00F96BC0"/>
    <w:rsid w:val="00F96D1B"/>
    <w:rsid w:val="00F96EEC"/>
    <w:rsid w:val="00F97361"/>
    <w:rsid w:val="00FA17C0"/>
    <w:rsid w:val="00FA77A5"/>
    <w:rsid w:val="00FB48E3"/>
    <w:rsid w:val="00FC16F4"/>
    <w:rsid w:val="00FC1720"/>
    <w:rsid w:val="00FC1996"/>
    <w:rsid w:val="00FC3FBB"/>
    <w:rsid w:val="00FC40AF"/>
    <w:rsid w:val="00FC458E"/>
    <w:rsid w:val="00FC572D"/>
    <w:rsid w:val="00FC5CC9"/>
    <w:rsid w:val="00FC6338"/>
    <w:rsid w:val="00FD228F"/>
    <w:rsid w:val="00FD2BB0"/>
    <w:rsid w:val="00FD3932"/>
    <w:rsid w:val="00FD61FA"/>
    <w:rsid w:val="00FE0163"/>
    <w:rsid w:val="00FE1E84"/>
    <w:rsid w:val="00FE2596"/>
    <w:rsid w:val="00FE3ED0"/>
    <w:rsid w:val="00FE401D"/>
    <w:rsid w:val="00FF07DF"/>
    <w:rsid w:val="00FF0BB3"/>
    <w:rsid w:val="00FF0C9D"/>
    <w:rsid w:val="00FF33FC"/>
    <w:rsid w:val="00FF3969"/>
    <w:rsid w:val="00FF4A98"/>
    <w:rsid w:val="00FF4C01"/>
    <w:rsid w:val="00FF6C9B"/>
    <w:rsid w:val="00FF73FE"/>
    <w:rsid w:val="00FF7D0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44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7C21C6"/>
    <w:pPr>
      <w:keepNext/>
      <w:spacing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7C21C6"/>
    <w:pPr>
      <w:keepNext/>
      <w:spacing w:before="120" w:after="120"/>
      <w:ind w:left="720" w:hanging="720"/>
      <w:outlineLvl w:val="1"/>
    </w:pPr>
    <w:rPr>
      <w:rFonts w:cs="Arial"/>
      <w:b/>
      <w:bCs/>
      <w:iCs/>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21C6"/>
    <w:rPr>
      <w:rFonts w:ascii="Times New Roman Bold" w:hAnsi="Times New Roman Bold"/>
      <w:b/>
      <w:bCs/>
      <w:caps/>
      <w:sz w:val="24"/>
      <w:szCs w:val="24"/>
    </w:rPr>
  </w:style>
  <w:style w:type="character" w:customStyle="1" w:styleId="Heading2Char">
    <w:name w:val="Heading 2 Char"/>
    <w:basedOn w:val="DefaultParagraphFont"/>
    <w:link w:val="Heading2"/>
    <w:uiPriority w:val="99"/>
    <w:locked/>
    <w:rsid w:val="007C21C6"/>
    <w:rPr>
      <w:rFonts w:cs="Arial"/>
      <w:b/>
      <w:bCs/>
      <w:iCs/>
      <w:sz w:val="24"/>
      <w:szCs w:val="24"/>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semiHidden/>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5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7C21C6"/>
    <w:pPr>
      <w:keepNext/>
      <w:spacing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7C21C6"/>
    <w:pPr>
      <w:keepNext/>
      <w:spacing w:before="120" w:after="120"/>
      <w:ind w:left="720" w:hanging="720"/>
      <w:outlineLvl w:val="1"/>
    </w:pPr>
    <w:rPr>
      <w:rFonts w:cs="Arial"/>
      <w:b/>
      <w:bCs/>
      <w:iCs/>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21C6"/>
    <w:rPr>
      <w:rFonts w:ascii="Times New Roman Bold" w:hAnsi="Times New Roman Bold"/>
      <w:b/>
      <w:bCs/>
      <w:caps/>
      <w:sz w:val="24"/>
      <w:szCs w:val="24"/>
    </w:rPr>
  </w:style>
  <w:style w:type="character" w:customStyle="1" w:styleId="Heading2Char">
    <w:name w:val="Heading 2 Char"/>
    <w:basedOn w:val="DefaultParagraphFont"/>
    <w:link w:val="Heading2"/>
    <w:uiPriority w:val="99"/>
    <w:locked/>
    <w:rsid w:val="007C21C6"/>
    <w:rPr>
      <w:rFonts w:cs="Arial"/>
      <w:b/>
      <w:bCs/>
      <w:iCs/>
      <w:sz w:val="24"/>
      <w:szCs w:val="24"/>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semiHidden/>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59"/>
    <w:rsid w:val="00003F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0554">
      <w:bodyDiv w:val="1"/>
      <w:marLeft w:val="0"/>
      <w:marRight w:val="0"/>
      <w:marTop w:val="0"/>
      <w:marBottom w:val="0"/>
      <w:divBdr>
        <w:top w:val="none" w:sz="0" w:space="0" w:color="auto"/>
        <w:left w:val="none" w:sz="0" w:space="0" w:color="auto"/>
        <w:bottom w:val="none" w:sz="0" w:space="0" w:color="auto"/>
        <w:right w:val="none" w:sz="0" w:space="0" w:color="auto"/>
      </w:divBdr>
    </w:div>
    <w:div w:id="317224760">
      <w:bodyDiv w:val="1"/>
      <w:marLeft w:val="0"/>
      <w:marRight w:val="0"/>
      <w:marTop w:val="0"/>
      <w:marBottom w:val="0"/>
      <w:divBdr>
        <w:top w:val="none" w:sz="0" w:space="0" w:color="auto"/>
        <w:left w:val="none" w:sz="0" w:space="0" w:color="auto"/>
        <w:bottom w:val="none" w:sz="0" w:space="0" w:color="auto"/>
        <w:right w:val="none" w:sz="0" w:space="0" w:color="auto"/>
      </w:divBdr>
    </w:div>
    <w:div w:id="333996723">
      <w:bodyDiv w:val="1"/>
      <w:marLeft w:val="0"/>
      <w:marRight w:val="0"/>
      <w:marTop w:val="0"/>
      <w:marBottom w:val="0"/>
      <w:divBdr>
        <w:top w:val="none" w:sz="0" w:space="0" w:color="auto"/>
        <w:left w:val="none" w:sz="0" w:space="0" w:color="auto"/>
        <w:bottom w:val="none" w:sz="0" w:space="0" w:color="auto"/>
        <w:right w:val="none" w:sz="0" w:space="0" w:color="auto"/>
      </w:divBdr>
    </w:div>
    <w:div w:id="926303453">
      <w:bodyDiv w:val="1"/>
      <w:marLeft w:val="0"/>
      <w:marRight w:val="0"/>
      <w:marTop w:val="0"/>
      <w:marBottom w:val="0"/>
      <w:divBdr>
        <w:top w:val="none" w:sz="0" w:space="0" w:color="auto"/>
        <w:left w:val="none" w:sz="0" w:space="0" w:color="auto"/>
        <w:bottom w:val="none" w:sz="0" w:space="0" w:color="auto"/>
        <w:right w:val="none" w:sz="0" w:space="0" w:color="auto"/>
      </w:divBdr>
    </w:div>
    <w:div w:id="1031765188">
      <w:bodyDiv w:val="1"/>
      <w:marLeft w:val="0"/>
      <w:marRight w:val="0"/>
      <w:marTop w:val="0"/>
      <w:marBottom w:val="0"/>
      <w:divBdr>
        <w:top w:val="none" w:sz="0" w:space="0" w:color="auto"/>
        <w:left w:val="none" w:sz="0" w:space="0" w:color="auto"/>
        <w:bottom w:val="none" w:sz="0" w:space="0" w:color="auto"/>
        <w:right w:val="none" w:sz="0" w:space="0" w:color="auto"/>
      </w:divBdr>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400132389">
      <w:marLeft w:val="0"/>
      <w:marRight w:val="0"/>
      <w:marTop w:val="0"/>
      <w:marBottom w:val="0"/>
      <w:divBdr>
        <w:top w:val="none" w:sz="0" w:space="0" w:color="auto"/>
        <w:left w:val="none" w:sz="0" w:space="0" w:color="auto"/>
        <w:bottom w:val="none" w:sz="0" w:space="0" w:color="auto"/>
        <w:right w:val="none" w:sz="0" w:space="0" w:color="auto"/>
      </w:divBdr>
    </w:div>
    <w:div w:id="1400132390">
      <w:marLeft w:val="0"/>
      <w:marRight w:val="0"/>
      <w:marTop w:val="0"/>
      <w:marBottom w:val="0"/>
      <w:divBdr>
        <w:top w:val="none" w:sz="0" w:space="0" w:color="auto"/>
        <w:left w:val="none" w:sz="0" w:space="0" w:color="auto"/>
        <w:bottom w:val="none" w:sz="0" w:space="0" w:color="auto"/>
        <w:right w:val="none" w:sz="0" w:space="0" w:color="auto"/>
      </w:divBdr>
    </w:div>
    <w:div w:id="1400132391">
      <w:marLeft w:val="0"/>
      <w:marRight w:val="0"/>
      <w:marTop w:val="0"/>
      <w:marBottom w:val="0"/>
      <w:divBdr>
        <w:top w:val="none" w:sz="0" w:space="0" w:color="auto"/>
        <w:left w:val="none" w:sz="0" w:space="0" w:color="auto"/>
        <w:bottom w:val="none" w:sz="0" w:space="0" w:color="auto"/>
        <w:right w:val="none" w:sz="0" w:space="0" w:color="auto"/>
      </w:divBdr>
    </w:div>
    <w:div w:id="1400132392">
      <w:marLeft w:val="0"/>
      <w:marRight w:val="0"/>
      <w:marTop w:val="0"/>
      <w:marBottom w:val="0"/>
      <w:divBdr>
        <w:top w:val="none" w:sz="0" w:space="0" w:color="auto"/>
        <w:left w:val="none" w:sz="0" w:space="0" w:color="auto"/>
        <w:bottom w:val="none" w:sz="0" w:space="0" w:color="auto"/>
        <w:right w:val="none" w:sz="0" w:space="0" w:color="auto"/>
      </w:divBdr>
    </w:div>
    <w:div w:id="1400132393">
      <w:marLeft w:val="0"/>
      <w:marRight w:val="0"/>
      <w:marTop w:val="0"/>
      <w:marBottom w:val="0"/>
      <w:divBdr>
        <w:top w:val="none" w:sz="0" w:space="0" w:color="auto"/>
        <w:left w:val="none" w:sz="0" w:space="0" w:color="auto"/>
        <w:bottom w:val="none" w:sz="0" w:space="0" w:color="auto"/>
        <w:right w:val="none" w:sz="0" w:space="0" w:color="auto"/>
      </w:divBdr>
    </w:div>
    <w:div w:id="1400132394">
      <w:marLeft w:val="0"/>
      <w:marRight w:val="0"/>
      <w:marTop w:val="0"/>
      <w:marBottom w:val="0"/>
      <w:divBdr>
        <w:top w:val="none" w:sz="0" w:space="0" w:color="auto"/>
        <w:left w:val="none" w:sz="0" w:space="0" w:color="auto"/>
        <w:bottom w:val="none" w:sz="0" w:space="0" w:color="auto"/>
        <w:right w:val="none" w:sz="0" w:space="0" w:color="auto"/>
      </w:divBdr>
    </w:div>
    <w:div w:id="1400132395">
      <w:marLeft w:val="0"/>
      <w:marRight w:val="0"/>
      <w:marTop w:val="0"/>
      <w:marBottom w:val="0"/>
      <w:divBdr>
        <w:top w:val="none" w:sz="0" w:space="0" w:color="auto"/>
        <w:left w:val="none" w:sz="0" w:space="0" w:color="auto"/>
        <w:bottom w:val="none" w:sz="0" w:space="0" w:color="auto"/>
        <w:right w:val="none" w:sz="0" w:space="0" w:color="auto"/>
      </w:divBdr>
    </w:div>
    <w:div w:id="1400132396">
      <w:marLeft w:val="0"/>
      <w:marRight w:val="0"/>
      <w:marTop w:val="0"/>
      <w:marBottom w:val="0"/>
      <w:divBdr>
        <w:top w:val="none" w:sz="0" w:space="0" w:color="auto"/>
        <w:left w:val="none" w:sz="0" w:space="0" w:color="auto"/>
        <w:bottom w:val="none" w:sz="0" w:space="0" w:color="auto"/>
        <w:right w:val="none" w:sz="0" w:space="0" w:color="auto"/>
      </w:divBdr>
    </w:div>
    <w:div w:id="1400132397">
      <w:marLeft w:val="0"/>
      <w:marRight w:val="0"/>
      <w:marTop w:val="0"/>
      <w:marBottom w:val="0"/>
      <w:divBdr>
        <w:top w:val="none" w:sz="0" w:space="0" w:color="auto"/>
        <w:left w:val="none" w:sz="0" w:space="0" w:color="auto"/>
        <w:bottom w:val="none" w:sz="0" w:space="0" w:color="auto"/>
        <w:right w:val="none" w:sz="0" w:space="0" w:color="auto"/>
      </w:divBdr>
    </w:div>
    <w:div w:id="1400132398">
      <w:marLeft w:val="0"/>
      <w:marRight w:val="0"/>
      <w:marTop w:val="0"/>
      <w:marBottom w:val="0"/>
      <w:divBdr>
        <w:top w:val="none" w:sz="0" w:space="0" w:color="auto"/>
        <w:left w:val="none" w:sz="0" w:space="0" w:color="auto"/>
        <w:bottom w:val="none" w:sz="0" w:space="0" w:color="auto"/>
        <w:right w:val="none" w:sz="0" w:space="0" w:color="auto"/>
      </w:divBdr>
    </w:div>
    <w:div w:id="1400132399">
      <w:marLeft w:val="0"/>
      <w:marRight w:val="0"/>
      <w:marTop w:val="0"/>
      <w:marBottom w:val="0"/>
      <w:divBdr>
        <w:top w:val="none" w:sz="0" w:space="0" w:color="auto"/>
        <w:left w:val="none" w:sz="0" w:space="0" w:color="auto"/>
        <w:bottom w:val="none" w:sz="0" w:space="0" w:color="auto"/>
        <w:right w:val="none" w:sz="0" w:space="0" w:color="auto"/>
      </w:divBdr>
    </w:div>
    <w:div w:id="1400132400">
      <w:marLeft w:val="0"/>
      <w:marRight w:val="0"/>
      <w:marTop w:val="0"/>
      <w:marBottom w:val="0"/>
      <w:divBdr>
        <w:top w:val="none" w:sz="0" w:space="0" w:color="auto"/>
        <w:left w:val="none" w:sz="0" w:space="0" w:color="auto"/>
        <w:bottom w:val="none" w:sz="0" w:space="0" w:color="auto"/>
        <w:right w:val="none" w:sz="0" w:space="0" w:color="auto"/>
      </w:divBdr>
    </w:div>
    <w:div w:id="1674646254">
      <w:bodyDiv w:val="1"/>
      <w:marLeft w:val="0"/>
      <w:marRight w:val="0"/>
      <w:marTop w:val="0"/>
      <w:marBottom w:val="0"/>
      <w:divBdr>
        <w:top w:val="none" w:sz="0" w:space="0" w:color="auto"/>
        <w:left w:val="none" w:sz="0" w:space="0" w:color="auto"/>
        <w:bottom w:val="none" w:sz="0" w:space="0" w:color="auto"/>
        <w:right w:val="none" w:sz="0" w:space="0" w:color="auto"/>
      </w:divBdr>
    </w:div>
    <w:div w:id="2029913935">
      <w:bodyDiv w:val="1"/>
      <w:marLeft w:val="0"/>
      <w:marRight w:val="0"/>
      <w:marTop w:val="0"/>
      <w:marBottom w:val="0"/>
      <w:divBdr>
        <w:top w:val="none" w:sz="0" w:space="0" w:color="auto"/>
        <w:left w:val="none" w:sz="0" w:space="0" w:color="auto"/>
        <w:bottom w:val="none" w:sz="0" w:space="0" w:color="auto"/>
        <w:right w:val="none" w:sz="0" w:space="0" w:color="auto"/>
      </w:divBdr>
    </w:div>
    <w:div w:id="2105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FA5B0-934B-4ACE-B1A5-6D112628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Tomakie Washington</cp:lastModifiedBy>
  <cp:revision>2</cp:revision>
  <cp:lastPrinted>2014-10-24T17:43:00Z</cp:lastPrinted>
  <dcterms:created xsi:type="dcterms:W3CDTF">2015-05-08T17:56:00Z</dcterms:created>
  <dcterms:modified xsi:type="dcterms:W3CDTF">2015-05-08T17:56:00Z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2045421433</vt:i4>
  </property>
</Properties>
</file>