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EE" w:rsidRDefault="000609FE">
      <w:pPr>
        <w:tabs>
          <w:tab w:val="center" w:pos="4680"/>
        </w:tabs>
        <w:suppressAutoHyphens/>
        <w:jc w:val="center"/>
        <w:rPr>
          <w:rFonts w:ascii="Times New Roman" w:hAnsi="Times New Roman"/>
          <w:b/>
          <w:bCs/>
          <w:sz w:val="24"/>
        </w:rPr>
      </w:pPr>
      <w:bookmarkStart w:id="0" w:name="_GoBack"/>
      <w:bookmarkEnd w:id="0"/>
      <w:r>
        <w:rPr>
          <w:rFonts w:ascii="Times New Roman" w:hAnsi="Times New Roman"/>
          <w:b/>
          <w:bCs/>
          <w:sz w:val="24"/>
        </w:rPr>
        <w:t xml:space="preserve"> </w:t>
      </w:r>
      <w:r w:rsidR="00661FEE">
        <w:rPr>
          <w:rFonts w:ascii="Times New Roman" w:hAnsi="Times New Roman"/>
          <w:b/>
          <w:bCs/>
          <w:sz w:val="24"/>
        </w:rPr>
        <w:t>SUPPORTING STATEMENT</w:t>
      </w:r>
      <w:r w:rsidR="006F697D">
        <w:rPr>
          <w:rFonts w:ascii="Times New Roman" w:hAnsi="Times New Roman"/>
          <w:b/>
          <w:bCs/>
          <w:sz w:val="24"/>
        </w:rPr>
        <w:fldChar w:fldCharType="begin"/>
      </w:r>
      <w:r w:rsidR="00661FEE">
        <w:rPr>
          <w:rFonts w:ascii="Times New Roman" w:hAnsi="Times New Roman"/>
          <w:b/>
          <w:bCs/>
          <w:sz w:val="24"/>
        </w:rPr>
        <w:instrText xml:space="preserve">PRIVATE </w:instrText>
      </w:r>
      <w:r w:rsidR="006F697D">
        <w:rPr>
          <w:rFonts w:ascii="Times New Roman" w:hAnsi="Times New Roman"/>
          <w:b/>
          <w:bCs/>
          <w:sz w:val="24"/>
        </w:rPr>
        <w:fldChar w:fldCharType="end"/>
      </w:r>
    </w:p>
    <w:p w:rsidR="00661FEE" w:rsidRDefault="00661FEE">
      <w:pPr>
        <w:tabs>
          <w:tab w:val="center" w:pos="4680"/>
        </w:tabs>
        <w:suppressAutoHyphens/>
        <w:jc w:val="center"/>
        <w:rPr>
          <w:rFonts w:ascii="Times New Roman" w:hAnsi="Times New Roman"/>
          <w:b/>
          <w:bCs/>
          <w:sz w:val="24"/>
        </w:rPr>
      </w:pPr>
      <w:r>
        <w:rPr>
          <w:rFonts w:ascii="Times New Roman" w:hAnsi="Times New Roman"/>
          <w:b/>
          <w:bCs/>
          <w:sz w:val="24"/>
        </w:rPr>
        <w:t>FOR PAPERWORK REDUCTION ACT SUBMISSION</w:t>
      </w:r>
    </w:p>
    <w:p w:rsidR="00661FEE" w:rsidRDefault="00661FEE">
      <w:pPr>
        <w:tabs>
          <w:tab w:val="left" w:pos="-720"/>
        </w:tabs>
        <w:suppressAutoHyphens/>
        <w:jc w:val="center"/>
        <w:rPr>
          <w:rFonts w:ascii="Times New Roman" w:hAnsi="Times New Roman"/>
          <w:b/>
          <w:bCs/>
          <w:sz w:val="24"/>
        </w:rPr>
      </w:pPr>
    </w:p>
    <w:p w:rsidR="00661FEE" w:rsidRDefault="00661FEE">
      <w:pPr>
        <w:pStyle w:val="Heading1"/>
      </w:pPr>
      <w:r>
        <w:rPr>
          <w:rFonts w:ascii="Times New Roman" w:hAnsi="Times New Roman"/>
          <w:b/>
          <w:bCs/>
        </w:rPr>
        <w:t xml:space="preserve">Indian Education </w:t>
      </w:r>
      <w:r w:rsidR="00454C6C">
        <w:rPr>
          <w:rFonts w:ascii="Times New Roman" w:hAnsi="Times New Roman"/>
          <w:b/>
          <w:bCs/>
        </w:rPr>
        <w:t xml:space="preserve">Demonstration </w:t>
      </w:r>
      <w:r>
        <w:rPr>
          <w:rFonts w:ascii="Times New Roman" w:hAnsi="Times New Roman"/>
          <w:b/>
          <w:bCs/>
        </w:rPr>
        <w:t>Grant Program Application</w:t>
      </w:r>
    </w:p>
    <w:p w:rsidR="00661FEE" w:rsidRDefault="00661FEE">
      <w:pPr>
        <w:tabs>
          <w:tab w:val="left" w:pos="-720"/>
        </w:tabs>
        <w:suppressAutoHyphens/>
        <w:rPr>
          <w:rFonts w:ascii="Tahoma" w:hAnsi="Tahoma"/>
          <w:sz w:val="24"/>
        </w:rPr>
      </w:pPr>
    </w:p>
    <w:p w:rsidR="00661FEE" w:rsidRDefault="00661FEE">
      <w:pPr>
        <w:tabs>
          <w:tab w:val="left" w:pos="-720"/>
        </w:tabs>
        <w:suppressAutoHyphens/>
        <w:rPr>
          <w:rFonts w:ascii="Times New Roman" w:eastAsia="Arial Unicode MS" w:hAnsi="Times New Roman"/>
          <w:b/>
          <w:sz w:val="24"/>
        </w:rPr>
      </w:pPr>
      <w:r>
        <w:rPr>
          <w:rFonts w:ascii="Times New Roman" w:eastAsia="Arial Unicode MS" w:hAnsi="Times New Roman"/>
          <w:b/>
          <w:sz w:val="24"/>
        </w:rPr>
        <w:t>A.  Justification</w:t>
      </w:r>
    </w:p>
    <w:p w:rsidR="00661FEE" w:rsidRDefault="00661FEE">
      <w:pPr>
        <w:tabs>
          <w:tab w:val="left" w:pos="-720"/>
        </w:tabs>
        <w:suppressAutoHyphens/>
        <w:rPr>
          <w:rFonts w:ascii="Times New Roman" w:eastAsia="Arial Unicode MS" w:hAnsi="Times New Roman"/>
          <w:b/>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1FEE" w:rsidRDefault="00661FEE">
      <w:pPr>
        <w:tabs>
          <w:tab w:val="left" w:pos="-720"/>
        </w:tabs>
        <w:suppressAutoHyphens/>
        <w:rPr>
          <w:rFonts w:ascii="Times New Roman" w:eastAsia="Arial Unicode MS" w:hAnsi="Times New Roman"/>
          <w:sz w:val="24"/>
        </w:rPr>
      </w:pPr>
    </w:p>
    <w:p w:rsidR="00661FEE" w:rsidRDefault="00661FEE">
      <w:pPr>
        <w:pStyle w:val="BodyTextIndent3"/>
        <w:ind w:left="360"/>
        <w:rPr>
          <w:rFonts w:eastAsia="Arial Unicode MS"/>
          <w:b w:val="0"/>
          <w:i w:val="0"/>
        </w:rPr>
      </w:pPr>
      <w:r>
        <w:rPr>
          <w:rFonts w:eastAsia="Arial Unicode MS"/>
          <w:b w:val="0"/>
          <w:i w:val="0"/>
        </w:rPr>
        <w:t xml:space="preserve">The Office of Indian Education (OIE) of the Department of Education (ED) requests clearance for the Indian Education </w:t>
      </w:r>
      <w:r w:rsidR="00454C6C">
        <w:rPr>
          <w:rFonts w:eastAsia="Arial Unicode MS"/>
          <w:b w:val="0"/>
          <w:i w:val="0"/>
        </w:rPr>
        <w:t xml:space="preserve">Demonstration </w:t>
      </w:r>
      <w:r>
        <w:rPr>
          <w:rFonts w:eastAsia="Arial Unicode MS"/>
          <w:b w:val="0"/>
          <w:i w:val="0"/>
        </w:rPr>
        <w:t xml:space="preserve">Grant Application authorized under Title VII, Part A, of the Elementary and Secondary Education Act, as amended.  The </w:t>
      </w:r>
      <w:r w:rsidR="00C94547">
        <w:rPr>
          <w:rFonts w:eastAsia="Arial Unicode MS"/>
          <w:b w:val="0"/>
          <w:i w:val="0"/>
        </w:rPr>
        <w:t>Demonstration (</w:t>
      </w:r>
      <w:r>
        <w:rPr>
          <w:rFonts w:eastAsia="Arial Unicode MS"/>
          <w:b w:val="0"/>
          <w:i w:val="0"/>
        </w:rPr>
        <w:t>CFDA 84.</w:t>
      </w:r>
      <w:r w:rsidR="00454C6C">
        <w:rPr>
          <w:rFonts w:eastAsia="Arial Unicode MS"/>
          <w:b w:val="0"/>
          <w:i w:val="0"/>
        </w:rPr>
        <w:t>299A</w:t>
      </w:r>
      <w:r>
        <w:rPr>
          <w:rFonts w:eastAsia="Arial Unicode MS"/>
          <w:b w:val="0"/>
          <w:i w:val="0"/>
        </w:rPr>
        <w:t xml:space="preserve">) program is a competitive discretionary grant program.  The grant applications submitted for this program are evaluated on the basis of how well an applicant addresses the selection criteria, and are used to determine applicant eligibility and amount of award for projects selected for funding.  </w:t>
      </w:r>
    </w:p>
    <w:p w:rsidR="00661FEE" w:rsidRDefault="00661FEE">
      <w:pPr>
        <w:pStyle w:val="BodyTextIndent3"/>
        <w:ind w:left="360"/>
        <w:rPr>
          <w:rFonts w:eastAsia="Arial Unicode MS"/>
          <w:b w:val="0"/>
          <w:i w:val="0"/>
        </w:rPr>
      </w:pPr>
    </w:p>
    <w:p w:rsidR="00661FEE" w:rsidRDefault="00661FEE">
      <w:pPr>
        <w:pStyle w:val="BodyTextIndent3"/>
        <w:ind w:left="360"/>
        <w:rPr>
          <w:rFonts w:eastAsia="Arial Unicode MS"/>
          <w:b w:val="0"/>
          <w:i w:val="0"/>
        </w:rPr>
      </w:pPr>
      <w:r>
        <w:rPr>
          <w:rFonts w:eastAsia="Arial Unicode MS"/>
          <w:b w:val="0"/>
          <w:i w:val="0"/>
        </w:rPr>
        <w:t xml:space="preserve">The selection criteria used for the </w:t>
      </w:r>
      <w:r w:rsidR="00454C6C">
        <w:rPr>
          <w:rFonts w:eastAsia="Arial Unicode MS"/>
          <w:b w:val="0"/>
          <w:i w:val="0"/>
        </w:rPr>
        <w:t>Demonstration</w:t>
      </w:r>
      <w:r>
        <w:rPr>
          <w:rFonts w:eastAsia="Arial Unicode MS"/>
          <w:b w:val="0"/>
          <w:i w:val="0"/>
        </w:rPr>
        <w:t xml:space="preserve"> Grant program include</w:t>
      </w:r>
      <w:r w:rsidR="001D007F" w:rsidRPr="001D007F">
        <w:rPr>
          <w:rFonts w:eastAsia="Arial Unicode MS"/>
          <w:b w:val="0"/>
          <w:i w:val="0"/>
        </w:rPr>
        <w:t xml:space="preserve"> general selection criteria from 34 CFR 75.210 and selection criteria based on regulatory requirements in 34 CFR part 263, including the recen</w:t>
      </w:r>
      <w:r w:rsidR="001D007F">
        <w:rPr>
          <w:rFonts w:eastAsia="Arial Unicode MS"/>
          <w:b w:val="0"/>
          <w:i w:val="0"/>
        </w:rPr>
        <w:t>t amendments of the NFR</w:t>
      </w:r>
      <w:r w:rsidR="001D007F" w:rsidRPr="001D007F">
        <w:rPr>
          <w:rFonts w:eastAsia="Arial Unicode MS"/>
          <w:b w:val="0"/>
          <w:i w:val="0"/>
        </w:rPr>
        <w:t xml:space="preserve"> published in the Federal Regi</w:t>
      </w:r>
      <w:r w:rsidR="001D007F">
        <w:rPr>
          <w:rFonts w:eastAsia="Arial Unicode MS"/>
          <w:b w:val="0"/>
          <w:i w:val="0"/>
        </w:rPr>
        <w:t>ster on April 22, 2015</w:t>
      </w:r>
      <w:r w:rsidR="000609FE">
        <w:rPr>
          <w:rFonts w:eastAsia="Arial Unicode MS"/>
          <w:b w:val="0"/>
          <w:i w:val="0"/>
        </w:rPr>
        <w:t xml:space="preserve"> (80 FR 22403)</w:t>
      </w:r>
      <w:r w:rsidR="001D007F" w:rsidRPr="001D007F">
        <w:rPr>
          <w:rFonts w:eastAsia="Arial Unicode MS"/>
          <w:b w:val="0"/>
          <w:i w:val="0"/>
        </w:rPr>
        <w:t>, in acc</w:t>
      </w:r>
      <w:r w:rsidR="001D007F">
        <w:rPr>
          <w:rFonts w:eastAsia="Arial Unicode MS"/>
          <w:b w:val="0"/>
          <w:i w:val="0"/>
        </w:rPr>
        <w:t>ordance with 34 CFR 75.209(a).</w:t>
      </w:r>
      <w:r>
        <w:rPr>
          <w:rFonts w:eastAsia="Arial Unicode MS"/>
          <w:b w:val="0"/>
          <w:i w:val="0"/>
        </w:rPr>
        <w:t xml:space="preserve">  </w:t>
      </w:r>
      <w:r w:rsidR="00454C6C">
        <w:rPr>
          <w:rFonts w:eastAsia="Arial Unicode MS"/>
          <w:b w:val="0"/>
          <w:i w:val="0"/>
        </w:rPr>
        <w:t xml:space="preserve">Proposed </w:t>
      </w:r>
      <w:r>
        <w:rPr>
          <w:rFonts w:eastAsia="Arial Unicode MS"/>
          <w:b w:val="0"/>
          <w:i w:val="0"/>
        </w:rPr>
        <w:t xml:space="preserve">Section </w:t>
      </w:r>
      <w:r w:rsidR="00454C6C">
        <w:rPr>
          <w:rFonts w:eastAsia="Arial Unicode MS"/>
          <w:b w:val="0"/>
          <w:i w:val="0"/>
        </w:rPr>
        <w:t>263.22</w:t>
      </w:r>
      <w:r>
        <w:rPr>
          <w:rFonts w:eastAsia="Arial Unicode MS"/>
          <w:b w:val="0"/>
          <w:i w:val="0"/>
        </w:rPr>
        <w:t xml:space="preserve"> </w:t>
      </w:r>
      <w:r w:rsidR="00454C6C">
        <w:rPr>
          <w:rFonts w:eastAsia="Arial Unicode MS"/>
          <w:b w:val="0"/>
          <w:i w:val="0"/>
        </w:rPr>
        <w:t>also has</w:t>
      </w:r>
      <w:r>
        <w:rPr>
          <w:rFonts w:eastAsia="Arial Unicode MS"/>
          <w:b w:val="0"/>
          <w:i w:val="0"/>
        </w:rPr>
        <w:t xml:space="preserve"> information collection requirements addressed in this clearance request relating to statutory or regulatory requirements.   </w:t>
      </w:r>
    </w:p>
    <w:p w:rsidR="00661FEE" w:rsidRDefault="00661FEE">
      <w:pPr>
        <w:pStyle w:val="BodyTextIndent3"/>
        <w:ind w:left="360"/>
        <w:rPr>
          <w:rFonts w:eastAsia="Arial Unicode MS"/>
          <w:b w:val="0"/>
          <w:i w:val="0"/>
        </w:rPr>
      </w:pPr>
    </w:p>
    <w:p w:rsidR="00661FEE" w:rsidRDefault="00661FEE">
      <w:pPr>
        <w:pStyle w:val="BodyTextIndent3"/>
        <w:ind w:left="360"/>
        <w:rPr>
          <w:rFonts w:eastAsia="Arial Unicode MS"/>
          <w:b w:val="0"/>
          <w:i w:val="0"/>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type of information provided in the application includes:  the purpose of the project; the objectives, activities, and timelines for the funding period requested, qualifications of key personnel; the evaluation procedures to be used to measure progress and effectiveness of the project; and a detailed budget and description of resources. </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 and selection for funding. </w:t>
      </w:r>
    </w:p>
    <w:p w:rsidR="00661FEE" w:rsidRDefault="00661FEE">
      <w:pPr>
        <w:tabs>
          <w:tab w:val="left" w:pos="-720"/>
          <w:tab w:val="left" w:pos="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collected reflects the specific components of the selection criteria and program services that are to be provided.</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lastRenderedPageBreak/>
        <w:t xml:space="preserve">Eligible applicants for the </w:t>
      </w:r>
      <w:r w:rsidR="00212C0E">
        <w:rPr>
          <w:rFonts w:ascii="Times New Roman" w:eastAsia="Arial Unicode MS" w:hAnsi="Times New Roman"/>
          <w:sz w:val="24"/>
        </w:rPr>
        <w:t>Demonstration</w:t>
      </w:r>
      <w:r>
        <w:rPr>
          <w:rFonts w:ascii="Times New Roman" w:eastAsia="Arial Unicode MS" w:hAnsi="Times New Roman"/>
          <w:sz w:val="24"/>
        </w:rPr>
        <w:t xml:space="preserve"> program include:</w:t>
      </w:r>
    </w:p>
    <w:p w:rsidR="00661FEE" w:rsidRDefault="00661FEE">
      <w:pPr>
        <w:tabs>
          <w:tab w:val="left" w:pos="-720"/>
          <w:tab w:val="left" w:pos="0"/>
        </w:tabs>
        <w:suppressAutoHyphens/>
        <w:ind w:left="360"/>
        <w:rPr>
          <w:rFonts w:ascii="Times New Roman" w:eastAsia="Arial Unicode MS" w:hAnsi="Times New Roman"/>
          <w:sz w:val="24"/>
        </w:rPr>
      </w:pP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sidRPr="008D0961">
        <w:rPr>
          <w:rFonts w:ascii="Times New Roman" w:eastAsia="Arial Unicode MS" w:hAnsi="Times New Roman"/>
          <w:sz w:val="24"/>
        </w:rPr>
        <w:t xml:space="preserve">a State educational agency,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 </w:t>
      </w:r>
      <w:r w:rsidRPr="008D0961">
        <w:rPr>
          <w:rFonts w:ascii="Times New Roman" w:eastAsia="Arial Unicode MS" w:hAnsi="Times New Roman"/>
          <w:sz w:val="24"/>
        </w:rPr>
        <w:t xml:space="preserve">local educational agency,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w:t>
      </w:r>
      <w:r w:rsidRPr="008D0961">
        <w:rPr>
          <w:rFonts w:ascii="Times New Roman" w:eastAsia="Arial Unicode MS" w:hAnsi="Times New Roman"/>
          <w:sz w:val="24"/>
        </w:rPr>
        <w:t xml:space="preserve">Indian tribe,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w:t>
      </w:r>
      <w:r w:rsidRPr="008D0961">
        <w:rPr>
          <w:rFonts w:ascii="Times New Roman" w:eastAsia="Arial Unicode MS" w:hAnsi="Times New Roman"/>
          <w:sz w:val="24"/>
        </w:rPr>
        <w:t xml:space="preserve">Indian organization,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 </w:t>
      </w:r>
      <w:r w:rsidRPr="008D0961">
        <w:rPr>
          <w:rFonts w:ascii="Times New Roman" w:eastAsia="Arial Unicode MS" w:hAnsi="Times New Roman"/>
          <w:sz w:val="24"/>
        </w:rPr>
        <w:t xml:space="preserve">federally supported elementary school or secondary school for Indian students,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w:t>
      </w:r>
      <w:r w:rsidRPr="008D0961">
        <w:rPr>
          <w:rFonts w:ascii="Times New Roman" w:eastAsia="Arial Unicode MS" w:hAnsi="Times New Roman"/>
          <w:sz w:val="24"/>
        </w:rPr>
        <w:t xml:space="preserve">Indian institution (including an Indian institution of higher education), or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proofErr w:type="gramStart"/>
      <w:r w:rsidRPr="008D0961">
        <w:rPr>
          <w:rFonts w:ascii="Times New Roman" w:eastAsia="Arial Unicode MS" w:hAnsi="Times New Roman"/>
          <w:sz w:val="24"/>
        </w:rPr>
        <w:t>a</w:t>
      </w:r>
      <w:proofErr w:type="gramEnd"/>
      <w:r w:rsidRPr="008D0961">
        <w:rPr>
          <w:rFonts w:ascii="Times New Roman" w:eastAsia="Arial Unicode MS" w:hAnsi="Times New Roman"/>
          <w:sz w:val="24"/>
        </w:rPr>
        <w:t xml:space="preserve"> consortium of such entities.</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61FEE" w:rsidRDefault="00661FEE">
      <w:pPr>
        <w:tabs>
          <w:tab w:val="left" w:pos="-720"/>
        </w:tabs>
        <w:suppressAutoHyphens/>
        <w:rPr>
          <w:rFonts w:ascii="Times New Roman" w:eastAsia="Arial Unicode MS" w:hAnsi="Times New Roman"/>
          <w:sz w:val="24"/>
        </w:rPr>
      </w:pPr>
    </w:p>
    <w:p w:rsidR="00661FEE" w:rsidRDefault="00212C0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w:t>
      </w:r>
      <w:r w:rsidR="004C7B21">
        <w:rPr>
          <w:rFonts w:ascii="Times New Roman" w:eastAsia="Arial Unicode MS" w:hAnsi="Times New Roman"/>
          <w:sz w:val="24"/>
        </w:rPr>
        <w:t>his grant program</w:t>
      </w:r>
      <w:r w:rsidR="00661FEE">
        <w:rPr>
          <w:rFonts w:ascii="Times New Roman" w:eastAsia="Arial Unicode MS" w:hAnsi="Times New Roman"/>
          <w:sz w:val="24"/>
        </w:rPr>
        <w:t xml:space="preserve"> </w:t>
      </w:r>
      <w:r>
        <w:rPr>
          <w:rFonts w:ascii="Times New Roman" w:eastAsia="Arial Unicode MS" w:hAnsi="Times New Roman"/>
          <w:sz w:val="24"/>
        </w:rPr>
        <w:t xml:space="preserve">will </w:t>
      </w:r>
      <w:r w:rsidR="00661FEE">
        <w:rPr>
          <w:rFonts w:ascii="Times New Roman" w:eastAsia="Arial Unicode MS" w:hAnsi="Times New Roman"/>
          <w:sz w:val="24"/>
        </w:rPr>
        <w:t xml:space="preserve">require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w:t>
      </w:r>
      <w:r>
        <w:rPr>
          <w:rFonts w:ascii="Times New Roman" w:eastAsia="Arial Unicode MS" w:hAnsi="Times New Roman"/>
          <w:sz w:val="24"/>
        </w:rPr>
        <w:t>A</w:t>
      </w:r>
      <w:r w:rsidR="00661FEE">
        <w:rPr>
          <w:rFonts w:ascii="Times New Roman" w:eastAsia="Arial Unicode MS" w:hAnsi="Times New Roman"/>
          <w:sz w:val="24"/>
        </w:rPr>
        <w:t xml:space="preserve">ll performance reports for </w:t>
      </w:r>
      <w:r w:rsidR="004C7B21">
        <w:rPr>
          <w:rFonts w:ascii="Times New Roman" w:eastAsia="Arial Unicode MS" w:hAnsi="Times New Roman"/>
          <w:sz w:val="24"/>
        </w:rPr>
        <w:t>this grant program</w:t>
      </w:r>
      <w:r w:rsidR="00661FEE">
        <w:rPr>
          <w:rFonts w:ascii="Times New Roman" w:eastAsia="Arial Unicode MS" w:hAnsi="Times New Roman"/>
          <w:sz w:val="24"/>
        </w:rPr>
        <w:t xml:space="preserve"> must be submitted through the Department’s e-reports system enabling on-line administration and review of the projects.</w:t>
      </w:r>
    </w:p>
    <w:p w:rsidR="00661FEE" w:rsidRDefault="00661FEE">
      <w:pPr>
        <w:tabs>
          <w:tab w:val="left" w:pos="-720"/>
        </w:tabs>
        <w:suppressAutoHyphens/>
        <w:rPr>
          <w:rFonts w:ascii="Times New Roman" w:eastAsia="Arial Unicode MS" w:hAnsi="Times New Roman"/>
          <w:sz w:val="24"/>
        </w:rPr>
      </w:pPr>
      <w:r>
        <w:rPr>
          <w:rFonts w:ascii="Times New Roman" w:eastAsia="Arial Unicode MS" w:hAnsi="Times New Roman"/>
          <w:sz w:val="24"/>
        </w:rPr>
        <w:t xml:space="preserve">  </w:t>
      </w: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No duplication of effort exists.  This information collection requests information specifically for discretionary Indian education programs authorized under section 7121 of the Elementary and Secondary Education Act.  Applicants will be required to provide information that addresses the statutory purpose and requirements, as well as the selection criteria.  Although there are other Indian education programs in the Department, they are authorized under different legislation and their purposes and requirements differ from those under this program.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the collection of information impacts small businesses or other small entities (Item 5 of OMB Form 83-1), describe any methods used to minimize burden.</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proofErr w:type="gramStart"/>
      <w:r>
        <w:rPr>
          <w:rFonts w:ascii="Times New Roman" w:eastAsia="Arial Unicode MS" w:hAnsi="Times New Roman"/>
          <w:sz w:val="24"/>
        </w:rPr>
        <w:t xml:space="preserve">This information collection requirement </w:t>
      </w:r>
      <w:r w:rsidR="008D0961">
        <w:rPr>
          <w:rFonts w:ascii="Times New Roman" w:eastAsia="Arial Unicode MS" w:hAnsi="Times New Roman"/>
          <w:sz w:val="24"/>
        </w:rPr>
        <w:t>impacts small entities</w:t>
      </w:r>
      <w:proofErr w:type="gramEnd"/>
      <w:r w:rsidR="008D0961">
        <w:rPr>
          <w:rFonts w:ascii="Times New Roman" w:eastAsia="Arial Unicode MS" w:hAnsi="Times New Roman"/>
          <w:sz w:val="24"/>
        </w:rPr>
        <w:t xml:space="preserve">, but the Department </w:t>
      </w:r>
      <w:r w:rsidR="001D40E7">
        <w:rPr>
          <w:rFonts w:ascii="Times New Roman" w:eastAsia="Arial Unicode MS" w:hAnsi="Times New Roman"/>
          <w:sz w:val="24"/>
        </w:rPr>
        <w:t>will limit</w:t>
      </w:r>
      <w:r w:rsidR="008D0961">
        <w:rPr>
          <w:rFonts w:ascii="Times New Roman" w:eastAsia="Arial Unicode MS" w:hAnsi="Times New Roman"/>
          <w:sz w:val="24"/>
        </w:rPr>
        <w:t xml:space="preserve"> the collection to only that information necessary to make grant awards</w:t>
      </w:r>
      <w:r w:rsidR="001D40E7">
        <w:rPr>
          <w:rFonts w:ascii="Times New Roman" w:eastAsia="Arial Unicode MS" w:hAnsi="Times New Roman"/>
          <w:sz w:val="24"/>
        </w:rPr>
        <w:t>, in order to minimize the burden on small entities</w:t>
      </w:r>
      <w:r w:rsidR="008D0961">
        <w:rPr>
          <w:rFonts w:ascii="Times New Roman" w:eastAsia="Arial Unicode MS" w:hAnsi="Times New Roman"/>
          <w:sz w:val="24"/>
        </w:rPr>
        <w:t xml:space="preserve">.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any special circumstances that would cause an information collection to be conducted in a manner:</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report information to the agency more often than quarterly;</w:t>
      </w:r>
    </w:p>
    <w:p w:rsidR="00661FEE" w:rsidRDefault="00661FEE">
      <w:pPr>
        <w:tabs>
          <w:tab w:val="left" w:pos="-720"/>
          <w:tab w:val="left" w:pos="0"/>
        </w:tabs>
        <w:suppressAutoHyphens/>
        <w:ind w:left="72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Only one grant competition for new awards is held annually.  Respondents submit the information collection for each new grant they desire.</w:t>
      </w:r>
    </w:p>
    <w:p w:rsidR="00661FEE" w:rsidRDefault="00661FEE">
      <w:pPr>
        <w:tabs>
          <w:tab w:val="left" w:pos="-720"/>
          <w:tab w:val="left" w:pos="0"/>
        </w:tabs>
        <w:suppressAutoHyphens/>
        <w:ind w:left="720"/>
        <w:rPr>
          <w:rFonts w:ascii="Times New Roman" w:eastAsia="Arial Unicode MS" w:hAnsi="Times New Roman"/>
          <w:sz w:val="24"/>
        </w:rPr>
      </w:pPr>
    </w:p>
    <w:p w:rsidR="00661FEE" w:rsidRDefault="00661FEE">
      <w:pPr>
        <w:numPr>
          <w:ilvl w:val="0"/>
          <w:numId w:val="4"/>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prepare a written response to a collection of information in fewer than 30 days after receipt of it;</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time period from the date of availability of the information collection, as published in the Federal Register, to the date by which respondents must respond (i.e., the closing date which is also published in the Federal Register) is not less than 30 days.  </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5"/>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more than an original and two copies of any document;</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Respondents are required to submit applications electronically (grants.gov) and</w:t>
      </w:r>
      <w:r w:rsidR="00850020">
        <w:rPr>
          <w:rFonts w:ascii="Times New Roman" w:eastAsia="Arial Unicode MS" w:hAnsi="Times New Roman"/>
          <w:sz w:val="24"/>
        </w:rPr>
        <w:t xml:space="preserve"> annual</w:t>
      </w:r>
      <w:r>
        <w:rPr>
          <w:rFonts w:ascii="Times New Roman" w:eastAsia="Arial Unicode MS" w:hAnsi="Times New Roman"/>
          <w:sz w:val="24"/>
        </w:rPr>
        <w:t xml:space="preserve"> performance reports (e-reports).  Respondents that meet the exception to submitting an application via the grants.gov system are not be required to submit more than an original and two copies of any document.</w:t>
      </w:r>
    </w:p>
    <w:p w:rsidR="00661FEE" w:rsidRDefault="00661FEE">
      <w:pPr>
        <w:tabs>
          <w:tab w:val="left" w:pos="-720"/>
          <w:tab w:val="left" w:pos="0"/>
        </w:tabs>
        <w:suppressAutoHyphens/>
        <w:rPr>
          <w:rFonts w:ascii="Times New Roman" w:eastAsia="Arial Unicode MS" w:hAnsi="Times New Roman"/>
          <w:sz w:val="24"/>
        </w:rPr>
      </w:pPr>
    </w:p>
    <w:p w:rsidR="00661FEE" w:rsidRPr="000C3445" w:rsidRDefault="00661FEE">
      <w:pPr>
        <w:numPr>
          <w:ilvl w:val="0"/>
          <w:numId w:val="6"/>
        </w:numPr>
        <w:tabs>
          <w:tab w:val="left" w:pos="-720"/>
          <w:tab w:val="left" w:pos="0"/>
        </w:tabs>
        <w:suppressAutoHyphens/>
        <w:rPr>
          <w:rFonts w:ascii="Times New Roman" w:eastAsia="Arial Unicode MS" w:hAnsi="Times New Roman"/>
          <w:b/>
          <w:sz w:val="24"/>
        </w:rPr>
      </w:pPr>
      <w:r w:rsidRPr="000C3445">
        <w:rPr>
          <w:rFonts w:ascii="Times New Roman" w:eastAsia="Arial Unicode MS" w:hAnsi="Times New Roman"/>
          <w:b/>
          <w:sz w:val="24"/>
        </w:rPr>
        <w:t>requiring respondents to retain records, other than health, medical, government contract, grant-in-aid, or tax records for more than three years;</w:t>
      </w:r>
    </w:p>
    <w:p w:rsidR="00661FEE" w:rsidRPr="000C3445" w:rsidRDefault="00661FEE">
      <w:pPr>
        <w:tabs>
          <w:tab w:val="left" w:pos="-720"/>
          <w:tab w:val="left" w:pos="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sidRPr="000C3445">
        <w:rPr>
          <w:rFonts w:ascii="Times New Roman" w:eastAsia="Arial Unicode MS" w:hAnsi="Times New Roman"/>
          <w:sz w:val="24"/>
        </w:rPr>
        <w:t>Respondents will not be required to retain records for more than three years.</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7"/>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in connection with a statistical survey, that is not designed to produce valid and reliable results that can be generalized to the universe of the study;</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8"/>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the use of statistical data classification that has not been reviewed and approved by OMB;</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 or statistical data classification.</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9"/>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information collection does not request data that is confidential. </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10"/>
        </w:numPr>
        <w:tabs>
          <w:tab w:val="left" w:pos="-720"/>
          <w:tab w:val="left" w:pos="0"/>
        </w:tabs>
        <w:suppressAutoHyphens/>
        <w:rPr>
          <w:rFonts w:ascii="Times New Roman" w:eastAsia="Arial Unicode MS" w:hAnsi="Times New Roman"/>
          <w:b/>
          <w:sz w:val="24"/>
        </w:rPr>
      </w:pPr>
      <w:proofErr w:type="gramStart"/>
      <w:r>
        <w:rPr>
          <w:rFonts w:ascii="Times New Roman" w:eastAsia="Arial Unicode MS" w:hAnsi="Times New Roman"/>
          <w:b/>
          <w:sz w:val="24"/>
        </w:rPr>
        <w:t>requiring</w:t>
      </w:r>
      <w:proofErr w:type="gramEnd"/>
      <w:r>
        <w:rPr>
          <w:rFonts w:ascii="Times New Roman" w:eastAsia="Arial Unicode MS" w:hAnsi="Times New Roman"/>
          <w:b/>
          <w:sz w:val="24"/>
        </w:rPr>
        <w:t xml:space="preserve"> respondents to submit proprietary trade secrets, or other confidential information the agency can demonstrate that it has instituted procedures to protect the information's confidentiality to the extent permitted by law.</w:t>
      </w:r>
    </w:p>
    <w:p w:rsidR="00661FEE" w:rsidRDefault="00661FEE">
      <w:pPr>
        <w:tabs>
          <w:tab w:val="left" w:pos="-720"/>
          <w:tab w:val="left" w:pos="0"/>
        </w:tabs>
        <w:suppressAutoHyphens/>
        <w:ind w:left="720" w:hanging="72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does not request data that is of a proprietary nature or confidential.</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61FEE" w:rsidRDefault="00661FEE">
      <w:pPr>
        <w:tabs>
          <w:tab w:val="left" w:pos="-720"/>
          <w:tab w:val="left" w:pos="0"/>
        </w:tabs>
        <w:suppressAutoHyphens/>
        <w:ind w:left="720" w:hanging="720"/>
        <w:rPr>
          <w:rFonts w:ascii="Times New Roman" w:eastAsia="Arial Unicode MS" w:hAnsi="Times New Roman"/>
          <w:b/>
          <w:sz w:val="24"/>
        </w:rPr>
      </w:pPr>
    </w:p>
    <w:p w:rsidR="00661FEE" w:rsidRDefault="00661FEE">
      <w:pPr>
        <w:numPr>
          <w:ilvl w:val="0"/>
          <w:numId w:val="1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2"/>
        </w:numPr>
        <w:tabs>
          <w:tab w:val="left" w:pos="-720"/>
        </w:tabs>
        <w:suppressAutoHyphens/>
        <w:rPr>
          <w:rFonts w:ascii="Times New Roman" w:eastAsia="Arial Unicode MS" w:hAnsi="Times New Roman"/>
          <w:sz w:val="24"/>
        </w:rPr>
      </w:pPr>
      <w:r>
        <w:rPr>
          <w:rFonts w:ascii="Times New Roman" w:eastAsia="Arial Unicode MS"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61FEE" w:rsidRDefault="00661FEE">
      <w:pPr>
        <w:tabs>
          <w:tab w:val="left" w:pos="-720"/>
        </w:tabs>
        <w:suppressAutoHyphens/>
        <w:rPr>
          <w:rFonts w:ascii="Times New Roman" w:eastAsia="Arial Unicode MS" w:hAnsi="Times New Roman"/>
          <w:sz w:val="24"/>
        </w:rPr>
      </w:pPr>
    </w:p>
    <w:p w:rsidR="00661FEE" w:rsidRDefault="005D15A8">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w:t>
      </w:r>
      <w:r w:rsidR="00537CAD">
        <w:rPr>
          <w:rFonts w:ascii="Times New Roman" w:eastAsia="Arial Unicode MS" w:hAnsi="Times New Roman"/>
          <w:sz w:val="24"/>
        </w:rPr>
        <w:t>is is a discretionary grant application and the Department</w:t>
      </w:r>
      <w:r>
        <w:rPr>
          <w:rFonts w:ascii="Times New Roman" w:eastAsia="Arial Unicode MS" w:hAnsi="Times New Roman"/>
          <w:sz w:val="24"/>
        </w:rPr>
        <w:t xml:space="preserve"> publish</w:t>
      </w:r>
      <w:r w:rsidR="00537CAD">
        <w:rPr>
          <w:rFonts w:ascii="Times New Roman" w:eastAsia="Arial Unicode MS" w:hAnsi="Times New Roman"/>
          <w:sz w:val="24"/>
        </w:rPr>
        <w:t>ed</w:t>
      </w:r>
      <w:r>
        <w:rPr>
          <w:rFonts w:ascii="Times New Roman" w:eastAsia="Arial Unicode MS" w:hAnsi="Times New Roman"/>
          <w:sz w:val="24"/>
        </w:rPr>
        <w:t xml:space="preserve"> a 30 day Federal Register Notice inviting comment on the application package.</w:t>
      </w:r>
      <w:r w:rsidDel="005D15A8">
        <w:rPr>
          <w:rFonts w:ascii="Times New Roman" w:eastAsia="Arial Unicode MS" w:hAnsi="Times New Roman"/>
          <w:sz w:val="24"/>
        </w:rPr>
        <w:t xml:space="preserve"> </w:t>
      </w:r>
    </w:p>
    <w:p w:rsidR="00661FEE" w:rsidRDefault="00661FEE" w:rsidP="00A5756F">
      <w:pPr>
        <w:tabs>
          <w:tab w:val="left" w:pos="-720"/>
          <w:tab w:val="left" w:pos="0"/>
        </w:tabs>
        <w:suppressAutoHyphens/>
        <w:ind w:left="360"/>
        <w:rPr>
          <w:rFonts w:ascii="Times New Roman" w:eastAsia="Arial Unicode MS" w:hAnsi="Times New Roman"/>
          <w:sz w:val="24"/>
        </w:rPr>
      </w:pPr>
    </w:p>
    <w:p w:rsidR="00661FEE" w:rsidRDefault="00661FEE">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Explain any decision to provide any payment or gift to respondents, other than remuneration of contractors or grantees.</w:t>
      </w:r>
    </w:p>
    <w:p w:rsidR="00661FEE" w:rsidRDefault="00661FEE">
      <w:pPr>
        <w:tabs>
          <w:tab w:val="left" w:pos="-720"/>
        </w:tabs>
        <w:suppressAutoHyphens/>
        <w:rPr>
          <w:rFonts w:ascii="Times New Roman" w:eastAsia="Arial Unicode MS" w:hAnsi="Times New Roman"/>
          <w:b/>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No payments or gifts to respondents will be provided.</w:t>
      </w:r>
    </w:p>
    <w:p w:rsidR="00661FEE" w:rsidRDefault="00661FEE">
      <w:pPr>
        <w:tabs>
          <w:tab w:val="left" w:pos="-720"/>
        </w:tabs>
        <w:suppressAutoHyphens/>
        <w:rPr>
          <w:rFonts w:ascii="Times New Roman" w:eastAsia="Arial Unicode MS" w:hAnsi="Times New Roman"/>
          <w:b/>
          <w:sz w:val="24"/>
        </w:rPr>
      </w:pPr>
    </w:p>
    <w:p w:rsidR="00661FEE" w:rsidRDefault="00661FEE">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Describe any assurance of confidentiality provided to respondents and the basis for the assurance in statute, regulation, or agency policy.</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00661FEE" w:rsidRDefault="00661FEE">
      <w:pPr>
        <w:tabs>
          <w:tab w:val="left" w:pos="-720"/>
          <w:tab w:val="left" w:pos="0"/>
        </w:tabs>
        <w:suppressAutoHyphens/>
        <w:ind w:left="720" w:hanging="720"/>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Information of a sensitive nature is not requested.</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the hour burden of the collection of information.  The statement should: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the number of respondents, frequency of response, annual hour burden, and an explanation of how the burden was estimated.  </w:t>
      </w:r>
    </w:p>
    <w:p w:rsidR="00661FEE" w:rsidRDefault="00661FEE">
      <w:pPr>
        <w:tabs>
          <w:tab w:val="left" w:pos="-720"/>
          <w:tab w:val="left" w:pos="0"/>
        </w:tabs>
        <w:suppressAutoHyphens/>
        <w:rPr>
          <w:rFonts w:ascii="Times New Roman" w:eastAsia="Arial Unicode MS" w:hAnsi="Times New Roman"/>
          <w:b/>
          <w:sz w:val="24"/>
        </w:rPr>
      </w:pPr>
    </w:p>
    <w:p w:rsidR="004C7B21" w:rsidRDefault="00661FEE" w:rsidP="004C7B21">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estimated total number of applications anticipated is based on past experience with these programs.  It is estimated that a total of </w:t>
      </w:r>
      <w:r w:rsidR="008D0961">
        <w:rPr>
          <w:rFonts w:ascii="Times New Roman" w:eastAsia="Arial Unicode MS" w:hAnsi="Times New Roman"/>
          <w:sz w:val="24"/>
        </w:rPr>
        <w:t xml:space="preserve">80 </w:t>
      </w:r>
      <w:r>
        <w:rPr>
          <w:rFonts w:ascii="Times New Roman" w:eastAsia="Arial Unicode MS" w:hAnsi="Times New Roman"/>
          <w:sz w:val="24"/>
        </w:rPr>
        <w:t>applications will be received annually for the grant competition.</w:t>
      </w:r>
      <w:r w:rsidR="004C7B21" w:rsidRPr="004C7B21">
        <w:rPr>
          <w:rFonts w:ascii="Times New Roman" w:eastAsia="Arial Unicode MS" w:hAnsi="Times New Roman"/>
          <w:sz w:val="24"/>
        </w:rPr>
        <w:t xml:space="preserve"> </w:t>
      </w:r>
      <w:r w:rsidR="004C7B21">
        <w:rPr>
          <w:rFonts w:ascii="Times New Roman" w:eastAsia="Arial Unicode MS" w:hAnsi="Times New Roman"/>
          <w:sz w:val="24"/>
        </w:rPr>
        <w:t xml:space="preserve"> The estimated burden includes development and typing for all applicants, and recordkeeping and maintenance of evaluation information by actual grantees.   </w:t>
      </w:r>
    </w:p>
    <w:p w:rsidR="004C7B21" w:rsidRDefault="004C7B21" w:rsidP="004C7B21">
      <w:pPr>
        <w:tabs>
          <w:tab w:val="left" w:pos="-720"/>
        </w:tabs>
        <w:suppressAutoHyphens/>
        <w:rPr>
          <w:rFonts w:ascii="Times New Roman" w:eastAsia="Arial Unicode MS" w:hAnsi="Times New Roman"/>
          <w:sz w:val="24"/>
        </w:rPr>
      </w:pPr>
    </w:p>
    <w:tbl>
      <w:tblPr>
        <w:tblStyle w:val="TableGrid"/>
        <w:tblW w:w="0" w:type="auto"/>
        <w:tblInd w:w="468" w:type="dxa"/>
        <w:tblLook w:val="04A0" w:firstRow="1" w:lastRow="0" w:firstColumn="1" w:lastColumn="0" w:noHBand="0" w:noVBand="1"/>
      </w:tblPr>
      <w:tblGrid>
        <w:gridCol w:w="2700"/>
        <w:gridCol w:w="1620"/>
        <w:gridCol w:w="2394"/>
        <w:gridCol w:w="2394"/>
      </w:tblGrid>
      <w:tr w:rsidR="004C7B21" w:rsidTr="004C7B21">
        <w:tc>
          <w:tcPr>
            <w:tcW w:w="270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Respondent Type</w:t>
            </w:r>
          </w:p>
        </w:tc>
        <w:tc>
          <w:tcPr>
            <w:tcW w:w="162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Number of Responses</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Estimated Burden Hours per Respondent</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Total Hours</w:t>
            </w:r>
          </w:p>
        </w:tc>
      </w:tr>
      <w:tr w:rsidR="004C7B21" w:rsidTr="004C7B21">
        <w:tc>
          <w:tcPr>
            <w:tcW w:w="270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New Applicants</w:t>
            </w:r>
          </w:p>
        </w:tc>
        <w:tc>
          <w:tcPr>
            <w:tcW w:w="1620"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80</w:t>
            </w:r>
          </w:p>
        </w:tc>
        <w:tc>
          <w:tcPr>
            <w:tcW w:w="2394"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40</w:t>
            </w:r>
          </w:p>
        </w:tc>
        <w:tc>
          <w:tcPr>
            <w:tcW w:w="2394"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3,200</w:t>
            </w:r>
            <w:r w:rsidR="004C7B21">
              <w:rPr>
                <w:rFonts w:ascii="Times New Roman" w:eastAsia="Arial Unicode MS" w:hAnsi="Times New Roman"/>
                <w:sz w:val="24"/>
              </w:rPr>
              <w:t xml:space="preserve"> hours</w:t>
            </w:r>
          </w:p>
        </w:tc>
      </w:tr>
      <w:tr w:rsidR="004C7B21" w:rsidTr="004C7B21">
        <w:tc>
          <w:tcPr>
            <w:tcW w:w="2700" w:type="dxa"/>
          </w:tcPr>
          <w:p w:rsidR="004C7B21" w:rsidRDefault="004C7B21">
            <w:pPr>
              <w:tabs>
                <w:tab w:val="left" w:pos="-720"/>
              </w:tabs>
              <w:suppressAutoHyphens/>
              <w:rPr>
                <w:rFonts w:ascii="Times New Roman" w:eastAsia="Arial Unicode MS" w:hAnsi="Times New Roman"/>
                <w:sz w:val="24"/>
              </w:rPr>
            </w:pPr>
          </w:p>
        </w:tc>
        <w:tc>
          <w:tcPr>
            <w:tcW w:w="1620" w:type="dxa"/>
          </w:tcPr>
          <w:p w:rsidR="004C7B21" w:rsidRDefault="004C7B21">
            <w:pPr>
              <w:tabs>
                <w:tab w:val="left" w:pos="-720"/>
              </w:tabs>
              <w:suppressAutoHyphens/>
              <w:rPr>
                <w:rFonts w:ascii="Times New Roman" w:eastAsia="Arial Unicode MS" w:hAnsi="Times New Roman"/>
                <w:sz w:val="24"/>
              </w:rPr>
            </w:pPr>
          </w:p>
        </w:tc>
        <w:tc>
          <w:tcPr>
            <w:tcW w:w="2394" w:type="dxa"/>
          </w:tcPr>
          <w:p w:rsidR="004C7B21" w:rsidRPr="004C7B21" w:rsidRDefault="004C7B21">
            <w:pPr>
              <w:tabs>
                <w:tab w:val="left" w:pos="-720"/>
              </w:tabs>
              <w:suppressAutoHyphens/>
              <w:rPr>
                <w:rFonts w:ascii="Times New Roman" w:eastAsia="Arial Unicode MS" w:hAnsi="Times New Roman"/>
                <w:b/>
                <w:sz w:val="24"/>
              </w:rPr>
            </w:pPr>
            <w:r>
              <w:rPr>
                <w:rFonts w:ascii="Times New Roman" w:eastAsia="Arial Unicode MS" w:hAnsi="Times New Roman"/>
                <w:b/>
                <w:sz w:val="24"/>
              </w:rPr>
              <w:t>Total:</w:t>
            </w:r>
          </w:p>
        </w:tc>
        <w:tc>
          <w:tcPr>
            <w:tcW w:w="2394"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3,200</w:t>
            </w:r>
            <w:r w:rsidR="004C7B21">
              <w:rPr>
                <w:rFonts w:ascii="Times New Roman" w:eastAsia="Arial Unicode MS" w:hAnsi="Times New Roman"/>
                <w:sz w:val="24"/>
              </w:rPr>
              <w:t xml:space="preserve"> hours</w:t>
            </w:r>
          </w:p>
        </w:tc>
      </w:tr>
    </w:tbl>
    <w:p w:rsidR="00661FEE" w:rsidRDefault="00661FEE">
      <w:pPr>
        <w:tabs>
          <w:tab w:val="left" w:pos="-720"/>
        </w:tabs>
        <w:suppressAutoHyphens/>
        <w:rPr>
          <w:rFonts w:ascii="Times New Roman" w:eastAsia="Arial Unicode MS" w:hAnsi="Times New Roman"/>
          <w:sz w:val="24"/>
        </w:rPr>
      </w:pPr>
    </w:p>
    <w:p w:rsidR="00661FEE" w:rsidRDefault="00661FEE" w:rsidP="004C7B21">
      <w:p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  </w:t>
      </w:r>
    </w:p>
    <w:p w:rsidR="00661FEE" w:rsidRDefault="00661FEE">
      <w:pPr>
        <w:numPr>
          <w:ilvl w:val="0"/>
          <w:numId w:val="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 of OMB Form 83-I.</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application can be addressed by one information collection. The information to be provided for the program is in the program selection criteria that must be addressed by the applicant based on the type of services to be provided.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
        </w:numPr>
        <w:tabs>
          <w:tab w:val="left" w:pos="-720"/>
          <w:tab w:val="left" w:pos="0"/>
          <w:tab w:val="left" w:pos="360"/>
        </w:tabs>
        <w:suppressAutoHyphens/>
        <w:rPr>
          <w:rFonts w:ascii="Times New Roman" w:eastAsia="Arial Unicode MS" w:hAnsi="Times New Roman"/>
          <w:b/>
          <w:sz w:val="24"/>
        </w:rPr>
      </w:pPr>
      <w:r>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 xml:space="preserve"> </w:t>
      </w:r>
      <w:r w:rsidR="009B2607">
        <w:rPr>
          <w:rFonts w:ascii="Times New Roman" w:eastAsia="Arial Unicode MS" w:hAnsi="Times New Roman"/>
          <w:sz w:val="24"/>
        </w:rPr>
        <w:t>T</w:t>
      </w:r>
      <w:r>
        <w:rPr>
          <w:rFonts w:ascii="Times New Roman" w:eastAsia="Arial Unicode MS" w:hAnsi="Times New Roman"/>
          <w:sz w:val="24"/>
        </w:rPr>
        <w:t xml:space="preserve">he cost per applicant for compilation of the information and completion of the application is estimated to take </w:t>
      </w:r>
      <w:r w:rsidR="00212C0E">
        <w:rPr>
          <w:rFonts w:ascii="Times New Roman" w:eastAsia="Arial Unicode MS" w:hAnsi="Times New Roman"/>
          <w:sz w:val="24"/>
        </w:rPr>
        <w:t xml:space="preserve">40 </w:t>
      </w:r>
      <w:r>
        <w:rPr>
          <w:rFonts w:ascii="Times New Roman" w:eastAsia="Arial Unicode MS" w:hAnsi="Times New Roman"/>
          <w:sz w:val="24"/>
        </w:rPr>
        <w:t>hours</w:t>
      </w:r>
      <w:r w:rsidR="009B2607">
        <w:rPr>
          <w:rFonts w:ascii="Times New Roman" w:eastAsia="Arial Unicode MS" w:hAnsi="Times New Roman"/>
          <w:sz w:val="24"/>
        </w:rPr>
        <w:t>.</w:t>
      </w:r>
      <w:r>
        <w:rPr>
          <w:rFonts w:ascii="Times New Roman" w:eastAsia="Arial Unicode MS" w:hAnsi="Times New Roman"/>
          <w:sz w:val="24"/>
        </w:rPr>
        <w:t xml:space="preserve"> Estimates are based on the basic hourly rate of a GS 13/1 for development of the application and the basic hourly salary of a GS 4/1 for clerical support.</w:t>
      </w:r>
    </w:p>
    <w:p w:rsidR="00661FEE" w:rsidRDefault="00661FEE">
      <w:pPr>
        <w:tabs>
          <w:tab w:val="left" w:pos="-720"/>
        </w:tabs>
        <w:suppressAutoHyphens/>
        <w:rPr>
          <w:rFonts w:ascii="Times New Roman" w:eastAsia="Arial Unicode MS" w:hAnsi="Times New Roman"/>
          <w:sz w:val="24"/>
        </w:rPr>
      </w:pPr>
      <w:r>
        <w:rPr>
          <w:rFonts w:ascii="Times New Roman" w:eastAsia="Arial Unicode MS" w:hAnsi="Times New Roman"/>
          <w:sz w:val="24"/>
        </w:rPr>
        <w:tab/>
      </w:r>
    </w:p>
    <w:p w:rsidR="00661FEE" w:rsidRDefault="00661FEE">
      <w:pPr>
        <w:tabs>
          <w:tab w:val="left" w:pos="-720"/>
        </w:tabs>
        <w:suppressAutoHyphens/>
        <w:ind w:left="720"/>
        <w:rPr>
          <w:rFonts w:ascii="Times New Roman" w:eastAsia="Arial Unicode MS" w:hAnsi="Times New Roman"/>
          <w:sz w:val="24"/>
        </w:rPr>
      </w:pPr>
      <w:r>
        <w:rPr>
          <w:rFonts w:ascii="Times New Roman" w:eastAsia="Arial Unicode MS" w:hAnsi="Times New Roman"/>
          <w:sz w:val="24"/>
          <w:u w:val="single"/>
        </w:rPr>
        <w:t>Annual Cost to Respondents for the hour burden associated with the collection of information</w:t>
      </w:r>
      <w:r>
        <w:rPr>
          <w:rFonts w:ascii="Times New Roman" w:eastAsia="Arial Unicode MS" w:hAnsi="Times New Roman"/>
          <w:sz w:val="24"/>
        </w:rPr>
        <w:t>:</w:t>
      </w:r>
    </w:p>
    <w:tbl>
      <w:tblPr>
        <w:tblStyle w:val="TableGrid"/>
        <w:tblW w:w="0" w:type="auto"/>
        <w:tblInd w:w="558" w:type="dxa"/>
        <w:tblLook w:val="04A0" w:firstRow="1" w:lastRow="0" w:firstColumn="1" w:lastColumn="0" w:noHBand="0" w:noVBand="1"/>
      </w:tblPr>
      <w:tblGrid>
        <w:gridCol w:w="1451"/>
        <w:gridCol w:w="1429"/>
        <w:gridCol w:w="1980"/>
        <w:gridCol w:w="1890"/>
        <w:gridCol w:w="2268"/>
      </w:tblGrid>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Estimated GS Level</w:t>
            </w:r>
          </w:p>
        </w:tc>
        <w:tc>
          <w:tcPr>
            <w:tcW w:w="1429"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Number of Hours</w:t>
            </w:r>
          </w:p>
        </w:tc>
        <w:tc>
          <w:tcPr>
            <w:tcW w:w="198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Pay/Hour</w:t>
            </w:r>
          </w:p>
        </w:tc>
        <w:tc>
          <w:tcPr>
            <w:tcW w:w="189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Cost/Application</w:t>
            </w:r>
          </w:p>
        </w:tc>
        <w:tc>
          <w:tcPr>
            <w:tcW w:w="2268"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Total Cost for all 50 applications</w:t>
            </w:r>
          </w:p>
        </w:tc>
      </w:tr>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13/1</w:t>
            </w:r>
          </w:p>
        </w:tc>
        <w:tc>
          <w:tcPr>
            <w:tcW w:w="1429"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35</w:t>
            </w:r>
          </w:p>
        </w:tc>
        <w:tc>
          <w:tcPr>
            <w:tcW w:w="1980"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49</w:t>
            </w:r>
          </w:p>
        </w:tc>
        <w:tc>
          <w:tcPr>
            <w:tcW w:w="1890" w:type="dxa"/>
          </w:tcPr>
          <w:p w:rsidR="004C7B21" w:rsidRDefault="001D40E7" w:rsidP="008B2DFD">
            <w:pPr>
              <w:tabs>
                <w:tab w:val="left" w:pos="-720"/>
                <w:tab w:val="center" w:pos="837"/>
              </w:tabs>
              <w:suppressAutoHyphens/>
              <w:rPr>
                <w:rFonts w:ascii="Times New Roman" w:eastAsia="Arial Unicode MS" w:hAnsi="Times New Roman"/>
                <w:sz w:val="24"/>
              </w:rPr>
            </w:pPr>
            <w:r>
              <w:rPr>
                <w:rFonts w:ascii="Times New Roman" w:eastAsia="Arial Unicode MS" w:hAnsi="Times New Roman"/>
                <w:sz w:val="24"/>
              </w:rPr>
              <w:t>1715</w:t>
            </w:r>
          </w:p>
        </w:tc>
        <w:tc>
          <w:tcPr>
            <w:tcW w:w="2268"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85</w:t>
            </w:r>
            <w:r w:rsidR="00922B53">
              <w:rPr>
                <w:rFonts w:ascii="Times New Roman" w:eastAsia="Arial Unicode MS" w:hAnsi="Times New Roman"/>
                <w:sz w:val="24"/>
              </w:rPr>
              <w:t>,</w:t>
            </w:r>
            <w:r>
              <w:rPr>
                <w:rFonts w:ascii="Times New Roman" w:eastAsia="Arial Unicode MS" w:hAnsi="Times New Roman"/>
                <w:sz w:val="24"/>
              </w:rPr>
              <w:t>750</w:t>
            </w:r>
          </w:p>
        </w:tc>
      </w:tr>
      <w:tr w:rsidR="004C7B21" w:rsidTr="004C7B21">
        <w:tc>
          <w:tcPr>
            <w:tcW w:w="1451" w:type="dxa"/>
          </w:tcPr>
          <w:p w:rsidR="004C7B21" w:rsidRDefault="008D0961">
            <w:pPr>
              <w:tabs>
                <w:tab w:val="left" w:pos="-720"/>
              </w:tabs>
              <w:suppressAutoHyphens/>
              <w:rPr>
                <w:rFonts w:ascii="Times New Roman" w:eastAsia="Arial Unicode MS" w:hAnsi="Times New Roman"/>
                <w:sz w:val="24"/>
              </w:rPr>
            </w:pPr>
            <w:r>
              <w:rPr>
                <w:rFonts w:ascii="Times New Roman" w:eastAsia="Arial Unicode MS" w:hAnsi="Times New Roman"/>
                <w:sz w:val="24"/>
              </w:rPr>
              <w:t>4/1</w:t>
            </w:r>
          </w:p>
        </w:tc>
        <w:tc>
          <w:tcPr>
            <w:tcW w:w="1429"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5</w:t>
            </w:r>
          </w:p>
        </w:tc>
        <w:tc>
          <w:tcPr>
            <w:tcW w:w="1980"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15</w:t>
            </w:r>
          </w:p>
        </w:tc>
        <w:tc>
          <w:tcPr>
            <w:tcW w:w="1890"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75</w:t>
            </w:r>
          </w:p>
        </w:tc>
        <w:tc>
          <w:tcPr>
            <w:tcW w:w="2268"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3</w:t>
            </w:r>
            <w:r w:rsidR="00922B53">
              <w:rPr>
                <w:rFonts w:ascii="Times New Roman" w:eastAsia="Arial Unicode MS" w:hAnsi="Times New Roman"/>
                <w:sz w:val="24"/>
              </w:rPr>
              <w:t>,</w:t>
            </w:r>
            <w:r>
              <w:rPr>
                <w:rFonts w:ascii="Times New Roman" w:eastAsia="Arial Unicode MS" w:hAnsi="Times New Roman"/>
                <w:sz w:val="24"/>
              </w:rPr>
              <w:t>750</w:t>
            </w:r>
          </w:p>
        </w:tc>
      </w:tr>
    </w:tbl>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Provide an estimate of the total annual cost burden to respondents or </w:t>
      </w:r>
      <w:proofErr w:type="spellStart"/>
      <w:r>
        <w:rPr>
          <w:rFonts w:ascii="Times New Roman" w:eastAsia="Arial Unicode MS" w:hAnsi="Times New Roman"/>
          <w:b/>
          <w:sz w:val="24"/>
        </w:rPr>
        <w:t>recordkeepers</w:t>
      </w:r>
      <w:proofErr w:type="spellEnd"/>
      <w:r>
        <w:rPr>
          <w:rFonts w:ascii="Times New Roman" w:eastAsia="Arial Unicode MS" w:hAnsi="Times New Roman"/>
          <w:b/>
          <w:sz w:val="24"/>
        </w:rPr>
        <w:t xml:space="preserve"> resulting from the collection of information.  (Do not include the cost of any hour burden shown in Items 12 and 14).</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360"/>
        </w:tabs>
        <w:suppressAutoHyphens/>
        <w:ind w:left="360"/>
        <w:rPr>
          <w:rFonts w:ascii="Times New Roman" w:eastAsia="Arial Unicode MS" w:hAnsi="Times New Roman"/>
          <w:sz w:val="24"/>
        </w:rPr>
      </w:pPr>
      <w:r>
        <w:rPr>
          <w:rFonts w:ascii="Times New Roman" w:eastAsia="Arial Unicode MS" w:hAnsi="Times New Roman"/>
          <w:sz w:val="24"/>
        </w:rPr>
        <w:t xml:space="preserve">There is no additional annual cost burden to respondents and </w:t>
      </w:r>
      <w:proofErr w:type="spellStart"/>
      <w:r>
        <w:rPr>
          <w:rFonts w:ascii="Times New Roman" w:eastAsia="Arial Unicode MS" w:hAnsi="Times New Roman"/>
          <w:sz w:val="24"/>
        </w:rPr>
        <w:t>recordkeepers</w:t>
      </w:r>
      <w:proofErr w:type="spellEnd"/>
      <w:r>
        <w:rPr>
          <w:rFonts w:ascii="Times New Roman" w:eastAsia="Arial Unicode MS" w:hAnsi="Times New Roman"/>
          <w:sz w:val="24"/>
        </w:rPr>
        <w:t xml:space="preserve"> from this collection of information.</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B2607" w:rsidRDefault="009B2607" w:rsidP="00A5756F">
      <w:pPr>
        <w:pStyle w:val="CommentText"/>
        <w:ind w:left="360"/>
      </w:pPr>
    </w:p>
    <w:p w:rsidR="001D40E7" w:rsidRDefault="009B2607" w:rsidP="00A5756F">
      <w:pPr>
        <w:pStyle w:val="CommentText"/>
        <w:ind w:left="360"/>
        <w:rPr>
          <w:rFonts w:ascii="Times New Roman" w:hAnsi="Times New Roman"/>
          <w:sz w:val="24"/>
          <w:szCs w:val="24"/>
        </w:rPr>
      </w:pPr>
      <w:r w:rsidRPr="00112E3B">
        <w:rPr>
          <w:rFonts w:ascii="Times New Roman" w:hAnsi="Times New Roman"/>
          <w:sz w:val="24"/>
          <w:szCs w:val="24"/>
        </w:rPr>
        <w:t>We estimate it will take 4 staff at the GS 13 level 40 hours to review applications for eligibility.  This will result in a total cost to the federal government of 4 Staff</w:t>
      </w:r>
      <w:r w:rsidR="00237293" w:rsidRPr="00112E3B">
        <w:rPr>
          <w:rFonts w:ascii="Times New Roman" w:hAnsi="Times New Roman"/>
          <w:sz w:val="24"/>
          <w:szCs w:val="24"/>
        </w:rPr>
        <w:t xml:space="preserve"> at $</w:t>
      </w:r>
      <w:r w:rsidR="008D0961">
        <w:rPr>
          <w:rFonts w:ascii="Times New Roman" w:hAnsi="Times New Roman"/>
          <w:sz w:val="24"/>
          <w:szCs w:val="24"/>
        </w:rPr>
        <w:t>43</w:t>
      </w:r>
      <w:r w:rsidRPr="00112E3B">
        <w:rPr>
          <w:rFonts w:ascii="Times New Roman" w:hAnsi="Times New Roman"/>
          <w:sz w:val="24"/>
          <w:szCs w:val="24"/>
        </w:rPr>
        <w:t>/hour X</w:t>
      </w:r>
      <w:r w:rsidR="00237293" w:rsidRPr="00112E3B">
        <w:rPr>
          <w:rFonts w:ascii="Times New Roman" w:hAnsi="Times New Roman"/>
          <w:sz w:val="24"/>
          <w:szCs w:val="24"/>
        </w:rPr>
        <w:t xml:space="preserve"> </w:t>
      </w:r>
      <w:r w:rsidR="00436EE1">
        <w:rPr>
          <w:rFonts w:ascii="Times New Roman" w:hAnsi="Times New Roman"/>
          <w:sz w:val="24"/>
          <w:szCs w:val="24"/>
        </w:rPr>
        <w:t>4</w:t>
      </w:r>
      <w:r w:rsidR="00237293" w:rsidRPr="00112E3B">
        <w:rPr>
          <w:rFonts w:ascii="Times New Roman" w:hAnsi="Times New Roman"/>
          <w:sz w:val="24"/>
          <w:szCs w:val="24"/>
        </w:rPr>
        <w:t xml:space="preserve">0 </w:t>
      </w:r>
      <w:r w:rsidRPr="00112E3B">
        <w:rPr>
          <w:rFonts w:ascii="Times New Roman" w:hAnsi="Times New Roman"/>
          <w:sz w:val="24"/>
          <w:szCs w:val="24"/>
        </w:rPr>
        <w:t>hours each staff person must work</w:t>
      </w:r>
      <w:r w:rsidR="00237293" w:rsidRPr="00112E3B">
        <w:rPr>
          <w:rFonts w:ascii="Times New Roman" w:hAnsi="Times New Roman"/>
          <w:sz w:val="24"/>
          <w:szCs w:val="24"/>
        </w:rPr>
        <w:t xml:space="preserve"> = $</w:t>
      </w:r>
      <w:r w:rsidR="008D0961">
        <w:rPr>
          <w:rFonts w:ascii="Times New Roman" w:hAnsi="Times New Roman"/>
          <w:sz w:val="24"/>
          <w:szCs w:val="24"/>
        </w:rPr>
        <w:t>6,880</w:t>
      </w:r>
      <w:r w:rsidRPr="00112E3B">
        <w:rPr>
          <w:rFonts w:ascii="Times New Roman" w:hAnsi="Times New Roman"/>
          <w:sz w:val="24"/>
          <w:szCs w:val="24"/>
        </w:rPr>
        <w:t>.  In addition, the Department has contractor support to conduct the peer review process</w:t>
      </w:r>
      <w:r w:rsidR="001D40E7">
        <w:rPr>
          <w:rFonts w:ascii="Times New Roman" w:hAnsi="Times New Roman"/>
          <w:sz w:val="24"/>
          <w:szCs w:val="24"/>
        </w:rPr>
        <w:t xml:space="preserve">; the Department can use up to 1 percent of the discretionary budget for peer review costs. In FY 2014, the budget was $17,993,000, and we estimate similar funding levels for FY 2015. Accordingly, the peer review costs are expected to be $179,993. Overall, the cost to the Federal government is estimated at $186,873. </w:t>
      </w:r>
    </w:p>
    <w:p w:rsidR="001D40E7" w:rsidRPr="00112E3B" w:rsidRDefault="001D40E7" w:rsidP="001D40E7">
      <w:pPr>
        <w:pStyle w:val="CommentText"/>
        <w:ind w:left="360"/>
        <w:rPr>
          <w:rFonts w:ascii="Times New Roman" w:hAnsi="Times New Roman"/>
          <w:sz w:val="24"/>
          <w:szCs w:val="24"/>
        </w:rPr>
      </w:pP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reasons for any program changes or adjustments reported in Items 13 or 14 of the OMB Form 83-I.</w:t>
      </w:r>
    </w:p>
    <w:p w:rsidR="00661FEE" w:rsidRDefault="00E22B31">
      <w:pPr>
        <w:tabs>
          <w:tab w:val="left" w:pos="-720"/>
        </w:tabs>
        <w:suppressAutoHyphens/>
        <w:rPr>
          <w:rFonts w:ascii="Times New Roman" w:eastAsia="Arial Unicode MS" w:hAnsi="Times New Roman"/>
          <w:sz w:val="24"/>
        </w:rPr>
      </w:pPr>
      <w:r>
        <w:rPr>
          <w:rFonts w:ascii="Times New Roman" w:eastAsia="Arial Unicode MS" w:hAnsi="Times New Roman"/>
          <w:sz w:val="24"/>
        </w:rPr>
        <w:tab/>
      </w:r>
      <w:r w:rsidR="00237293">
        <w:rPr>
          <w:rFonts w:ascii="Times New Roman" w:eastAsia="Arial Unicode MS" w:hAnsi="Times New Roman"/>
          <w:sz w:val="24"/>
        </w:rPr>
        <w:t xml:space="preserve"> </w:t>
      </w:r>
    </w:p>
    <w:p w:rsidR="008D0961" w:rsidRDefault="00EC6D41" w:rsidP="008D0961">
      <w:pPr>
        <w:tabs>
          <w:tab w:val="left" w:pos="-720"/>
        </w:tabs>
        <w:suppressAutoHyphens/>
        <w:ind w:left="360"/>
        <w:rPr>
          <w:rFonts w:ascii="Times New Roman" w:hAnsi="Times New Roman"/>
          <w:sz w:val="24"/>
          <w:szCs w:val="24"/>
        </w:rPr>
      </w:pPr>
      <w:r>
        <w:rPr>
          <w:rFonts w:ascii="Times New Roman" w:hAnsi="Times New Roman"/>
          <w:sz w:val="24"/>
          <w:szCs w:val="24"/>
        </w:rPr>
        <w:t xml:space="preserve">This is a new data collection. Therefore, there is a program change increase of 3,200 annual burden hours. </w:t>
      </w:r>
    </w:p>
    <w:p w:rsidR="00E22B31" w:rsidRDefault="00E22B31">
      <w:pPr>
        <w:tabs>
          <w:tab w:val="left" w:pos="-720"/>
        </w:tabs>
        <w:suppressAutoHyphens/>
        <w:rPr>
          <w:rFonts w:ascii="Times New Roman" w:eastAsia="Arial Unicode MS" w:hAnsi="Times New Roman"/>
          <w:sz w:val="24"/>
        </w:rPr>
      </w:pPr>
    </w:p>
    <w:p w:rsidR="00661FEE" w:rsidRDefault="00661FEE">
      <w:pPr>
        <w:pStyle w:val="BodyTextIndent"/>
        <w:numPr>
          <w:ilvl w:val="0"/>
          <w:numId w:val="2"/>
        </w:numPr>
        <w:rPr>
          <w:rFonts w:eastAsia="Arial Unicode MS"/>
        </w:rPr>
      </w:pPr>
      <w:r>
        <w:rPr>
          <w:rFonts w:eastAsia="Arial Unicode MS"/>
        </w:rPr>
        <w:t>For collections of information whose results will be published, outline plans for tabulation and publication.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1080" w:hanging="720"/>
        <w:rPr>
          <w:rFonts w:ascii="Times New Roman" w:eastAsia="Arial Unicode MS" w:hAnsi="Times New Roman"/>
          <w:sz w:val="24"/>
        </w:rPr>
      </w:pPr>
      <w:r>
        <w:rPr>
          <w:rFonts w:ascii="Times New Roman" w:eastAsia="Arial Unicode MS" w:hAnsi="Times New Roman"/>
          <w:sz w:val="24"/>
        </w:rPr>
        <w:t>Results of the individual information collected will not be published.</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s>
        <w:suppressAutoHyphens/>
        <w:rPr>
          <w:rFonts w:ascii="Times New Roman" w:eastAsia="Arial Unicode MS" w:hAnsi="Times New Roman"/>
          <w:sz w:val="24"/>
        </w:rPr>
      </w:pPr>
      <w:r>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Such approval is not being requested.</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14"/>
        </w:numPr>
        <w:tabs>
          <w:tab w:val="clear" w:pos="720"/>
          <w:tab w:val="left" w:pos="360"/>
        </w:tabs>
        <w:suppressAutoHyphens/>
        <w:ind w:left="360" w:hanging="360"/>
        <w:rPr>
          <w:rFonts w:ascii="Times New Roman" w:eastAsia="Arial Unicode MS" w:hAnsi="Times New Roman"/>
          <w:b/>
          <w:sz w:val="24"/>
        </w:rPr>
      </w:pPr>
      <w:r>
        <w:rPr>
          <w:rFonts w:ascii="Times New Roman" w:eastAsia="Arial Unicode MS" w:hAnsi="Times New Roman"/>
          <w:b/>
          <w:sz w:val="24"/>
        </w:rPr>
        <w:t>Explain each exception to the certification statement identified in Item 20, “Certification of Paperwork Reduction Act Submissions,” of OMB Form 83-I.</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360"/>
        </w:tabs>
        <w:suppressAutoHyphens/>
        <w:rPr>
          <w:rFonts w:ascii="Times New Roman" w:eastAsia="Arial Unicode MS" w:hAnsi="Times New Roman"/>
          <w:sz w:val="24"/>
        </w:rPr>
      </w:pPr>
      <w:r>
        <w:rPr>
          <w:rFonts w:ascii="Times New Roman" w:eastAsia="Arial Unicode MS" w:hAnsi="Times New Roman"/>
          <w:sz w:val="24"/>
        </w:rPr>
        <w:tab/>
        <w:t xml:space="preserve">There are no exceptions to the certifications. </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720" w:hanging="720"/>
        <w:rPr>
          <w:rFonts w:ascii="Times New Roman" w:eastAsia="Arial Unicode MS" w:hAnsi="Times New Roman"/>
          <w:b/>
          <w:sz w:val="24"/>
        </w:rPr>
      </w:pPr>
      <w:r>
        <w:rPr>
          <w:rFonts w:ascii="Times New Roman" w:eastAsia="Arial Unicode MS" w:hAnsi="Times New Roman"/>
          <w:b/>
          <w:sz w:val="24"/>
        </w:rPr>
        <w:t>B.  Collections of Information Employing Statistical Methods.</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tabs>
          <w:tab w:val="left" w:pos="-720"/>
          <w:tab w:val="left" w:pos="0"/>
        </w:tabs>
        <w:suppressAutoHyphens/>
        <w:rPr>
          <w:rFonts w:ascii="Times New Roman" w:eastAsia="Arial Unicode MS" w:hAnsi="Times New Roman"/>
          <w:i/>
          <w:iCs/>
          <w:sz w:val="24"/>
        </w:rPr>
      </w:pPr>
      <w:r>
        <w:rPr>
          <w:rFonts w:ascii="Times New Roman" w:eastAsia="Arial Unicode MS" w:hAnsi="Times New Roman"/>
          <w:i/>
          <w:iCs/>
          <w:sz w:val="24"/>
        </w:rPr>
        <w:t>This information collection does not employ statistical methods.</w:t>
      </w:r>
    </w:p>
    <w:p w:rsidR="00661FEE" w:rsidRDefault="00661FEE">
      <w:pPr>
        <w:tabs>
          <w:tab w:val="left" w:pos="-720"/>
          <w:tab w:val="left" w:pos="0"/>
        </w:tabs>
        <w:suppressAutoHyphens/>
        <w:rPr>
          <w:rFonts w:ascii="Times New Roman" w:eastAsia="Arial Unicode MS" w:hAnsi="Times New Roman"/>
          <w:sz w:val="24"/>
        </w:rPr>
      </w:pPr>
    </w:p>
    <w:sectPr w:rsidR="00661FEE" w:rsidSect="006F697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530" w:left="1440" w:header="1440" w:footer="31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C6C" w:rsidRDefault="00EC6C6C">
      <w:pPr>
        <w:spacing w:line="20" w:lineRule="exact"/>
        <w:rPr>
          <w:sz w:val="24"/>
        </w:rPr>
      </w:pPr>
    </w:p>
  </w:endnote>
  <w:endnote w:type="continuationSeparator" w:id="0">
    <w:p w:rsidR="00EC6C6C" w:rsidRDefault="00EC6C6C">
      <w:r>
        <w:rPr>
          <w:sz w:val="24"/>
        </w:rPr>
        <w:t xml:space="preserve"> </w:t>
      </w:r>
    </w:p>
  </w:endnote>
  <w:endnote w:type="continuationNotice" w:id="1">
    <w:p w:rsidR="00EC6C6C" w:rsidRDefault="00EC6C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EE" w:rsidRPr="00824E58" w:rsidRDefault="00661FEE" w:rsidP="00824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EE" w:rsidRPr="00824E58" w:rsidRDefault="00661FEE" w:rsidP="00824E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C6C" w:rsidRDefault="00EC6C6C">
      <w:r>
        <w:rPr>
          <w:sz w:val="24"/>
        </w:rPr>
        <w:separator/>
      </w:r>
    </w:p>
  </w:footnote>
  <w:footnote w:type="continuationSeparator" w:id="0">
    <w:p w:rsidR="00EC6C6C" w:rsidRDefault="00EC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CE2173"/>
    <w:multiLevelType w:val="singleLevel"/>
    <w:tmpl w:val="DA9AF268"/>
    <w:lvl w:ilvl="0">
      <w:start w:val="1"/>
      <w:numFmt w:val="decimal"/>
      <w:lvlText w:val="%1."/>
      <w:lvlJc w:val="left"/>
      <w:pPr>
        <w:tabs>
          <w:tab w:val="num" w:pos="360"/>
        </w:tabs>
        <w:ind w:left="360" w:hanging="360"/>
      </w:pPr>
      <w:rPr>
        <w:rFonts w:ascii="Times New Roman" w:hAnsi="Times New Roman" w:hint="default"/>
        <w:b/>
        <w:i w:val="0"/>
      </w:rPr>
    </w:lvl>
  </w:abstractNum>
  <w:abstractNum w:abstractNumId="4">
    <w:nsid w:val="1B6C3ECB"/>
    <w:multiLevelType w:val="hybridMultilevel"/>
    <w:tmpl w:val="72187196"/>
    <w:lvl w:ilvl="0" w:tplc="CB50654A">
      <w:start w:val="1"/>
      <w:numFmt w:val="bullet"/>
      <w:lvlText w:val=""/>
      <w:lvlJc w:val="left"/>
      <w:pPr>
        <w:tabs>
          <w:tab w:val="num" w:pos="1060"/>
        </w:tabs>
        <w:ind w:left="1060" w:hanging="360"/>
      </w:pPr>
      <w:rPr>
        <w:rFonts w:ascii="Wingdings" w:hAnsi="Wingdings" w:hint="default"/>
      </w:rPr>
    </w:lvl>
    <w:lvl w:ilvl="1" w:tplc="64A0DD5A">
      <w:start w:val="3"/>
      <w:numFmt w:val="decimal"/>
      <w:lvlText w:val="%2."/>
      <w:lvlJc w:val="left"/>
      <w:pPr>
        <w:tabs>
          <w:tab w:val="num" w:pos="1780"/>
        </w:tabs>
        <w:ind w:left="1780" w:hanging="360"/>
      </w:pPr>
      <w:rPr>
        <w:rFonts w:hint="default"/>
      </w:rPr>
    </w:lvl>
    <w:lvl w:ilvl="2" w:tplc="809ECAB4" w:tentative="1">
      <w:start w:val="1"/>
      <w:numFmt w:val="bullet"/>
      <w:lvlText w:val=""/>
      <w:lvlJc w:val="left"/>
      <w:pPr>
        <w:tabs>
          <w:tab w:val="num" w:pos="2500"/>
        </w:tabs>
        <w:ind w:left="2500" w:hanging="360"/>
      </w:pPr>
      <w:rPr>
        <w:rFonts w:ascii="Wingdings" w:hAnsi="Wingdings" w:hint="default"/>
      </w:rPr>
    </w:lvl>
    <w:lvl w:ilvl="3" w:tplc="0FB298F0" w:tentative="1">
      <w:start w:val="1"/>
      <w:numFmt w:val="bullet"/>
      <w:lvlText w:val=""/>
      <w:lvlJc w:val="left"/>
      <w:pPr>
        <w:tabs>
          <w:tab w:val="num" w:pos="3220"/>
        </w:tabs>
        <w:ind w:left="3220" w:hanging="360"/>
      </w:pPr>
      <w:rPr>
        <w:rFonts w:ascii="Symbol" w:hAnsi="Symbol" w:hint="default"/>
      </w:rPr>
    </w:lvl>
    <w:lvl w:ilvl="4" w:tplc="D83C059A" w:tentative="1">
      <w:start w:val="1"/>
      <w:numFmt w:val="bullet"/>
      <w:lvlText w:val="o"/>
      <w:lvlJc w:val="left"/>
      <w:pPr>
        <w:tabs>
          <w:tab w:val="num" w:pos="3940"/>
        </w:tabs>
        <w:ind w:left="3940" w:hanging="360"/>
      </w:pPr>
      <w:rPr>
        <w:rFonts w:ascii="Courier New" w:hAnsi="Courier New" w:hint="default"/>
      </w:rPr>
    </w:lvl>
    <w:lvl w:ilvl="5" w:tplc="60262276" w:tentative="1">
      <w:start w:val="1"/>
      <w:numFmt w:val="bullet"/>
      <w:lvlText w:val=""/>
      <w:lvlJc w:val="left"/>
      <w:pPr>
        <w:tabs>
          <w:tab w:val="num" w:pos="4660"/>
        </w:tabs>
        <w:ind w:left="4660" w:hanging="360"/>
      </w:pPr>
      <w:rPr>
        <w:rFonts w:ascii="Wingdings" w:hAnsi="Wingdings" w:hint="default"/>
      </w:rPr>
    </w:lvl>
    <w:lvl w:ilvl="6" w:tplc="709EC920" w:tentative="1">
      <w:start w:val="1"/>
      <w:numFmt w:val="bullet"/>
      <w:lvlText w:val=""/>
      <w:lvlJc w:val="left"/>
      <w:pPr>
        <w:tabs>
          <w:tab w:val="num" w:pos="5380"/>
        </w:tabs>
        <w:ind w:left="5380" w:hanging="360"/>
      </w:pPr>
      <w:rPr>
        <w:rFonts w:ascii="Symbol" w:hAnsi="Symbol" w:hint="default"/>
      </w:rPr>
    </w:lvl>
    <w:lvl w:ilvl="7" w:tplc="80081B0A" w:tentative="1">
      <w:start w:val="1"/>
      <w:numFmt w:val="bullet"/>
      <w:lvlText w:val="o"/>
      <w:lvlJc w:val="left"/>
      <w:pPr>
        <w:tabs>
          <w:tab w:val="num" w:pos="6100"/>
        </w:tabs>
        <w:ind w:left="6100" w:hanging="360"/>
      </w:pPr>
      <w:rPr>
        <w:rFonts w:ascii="Courier New" w:hAnsi="Courier New" w:hint="default"/>
      </w:rPr>
    </w:lvl>
    <w:lvl w:ilvl="8" w:tplc="B1768506" w:tentative="1">
      <w:start w:val="1"/>
      <w:numFmt w:val="bullet"/>
      <w:lvlText w:val=""/>
      <w:lvlJc w:val="left"/>
      <w:pPr>
        <w:tabs>
          <w:tab w:val="num" w:pos="6820"/>
        </w:tabs>
        <w:ind w:left="6820" w:hanging="360"/>
      </w:pPr>
      <w:rPr>
        <w:rFonts w:ascii="Wingdings" w:hAnsi="Wingdings" w:hint="default"/>
      </w:rPr>
    </w:lvl>
  </w:abstractNum>
  <w:abstractNum w:abstractNumId="5">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186D5D"/>
    <w:multiLevelType w:val="hybridMultilevel"/>
    <w:tmpl w:val="22C646BC"/>
    <w:lvl w:ilvl="0" w:tplc="73BED8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C2854A3"/>
    <w:multiLevelType w:val="hybridMultilevel"/>
    <w:tmpl w:val="6CB60EE6"/>
    <w:lvl w:ilvl="0" w:tplc="A558B4DE">
      <w:start w:val="18"/>
      <w:numFmt w:val="decimal"/>
      <w:lvlText w:val="%1."/>
      <w:lvlJc w:val="left"/>
      <w:pPr>
        <w:tabs>
          <w:tab w:val="num" w:pos="720"/>
        </w:tabs>
        <w:ind w:left="720" w:hanging="720"/>
      </w:pPr>
      <w:rPr>
        <w:rFonts w:ascii="Times New Roman" w:hAnsi="Times New Roman" w:hint="default"/>
        <w:b/>
        <w:i w:val="0"/>
        <w:sz w:val="22"/>
      </w:rPr>
    </w:lvl>
    <w:lvl w:ilvl="1" w:tplc="309ACB0E" w:tentative="1">
      <w:start w:val="1"/>
      <w:numFmt w:val="lowerLetter"/>
      <w:lvlText w:val="%2."/>
      <w:lvlJc w:val="left"/>
      <w:pPr>
        <w:tabs>
          <w:tab w:val="num" w:pos="1440"/>
        </w:tabs>
        <w:ind w:left="1440" w:hanging="360"/>
      </w:pPr>
    </w:lvl>
    <w:lvl w:ilvl="2" w:tplc="75EC779A" w:tentative="1">
      <w:start w:val="1"/>
      <w:numFmt w:val="lowerRoman"/>
      <w:lvlText w:val="%3."/>
      <w:lvlJc w:val="right"/>
      <w:pPr>
        <w:tabs>
          <w:tab w:val="num" w:pos="2160"/>
        </w:tabs>
        <w:ind w:left="2160" w:hanging="180"/>
      </w:pPr>
    </w:lvl>
    <w:lvl w:ilvl="3" w:tplc="BE98791C" w:tentative="1">
      <w:start w:val="1"/>
      <w:numFmt w:val="decimal"/>
      <w:lvlText w:val="%4."/>
      <w:lvlJc w:val="left"/>
      <w:pPr>
        <w:tabs>
          <w:tab w:val="num" w:pos="2880"/>
        </w:tabs>
        <w:ind w:left="2880" w:hanging="360"/>
      </w:pPr>
    </w:lvl>
    <w:lvl w:ilvl="4" w:tplc="B600905C" w:tentative="1">
      <w:start w:val="1"/>
      <w:numFmt w:val="lowerLetter"/>
      <w:lvlText w:val="%5."/>
      <w:lvlJc w:val="left"/>
      <w:pPr>
        <w:tabs>
          <w:tab w:val="num" w:pos="3600"/>
        </w:tabs>
        <w:ind w:left="3600" w:hanging="360"/>
      </w:pPr>
    </w:lvl>
    <w:lvl w:ilvl="5" w:tplc="8952B4F2" w:tentative="1">
      <w:start w:val="1"/>
      <w:numFmt w:val="lowerRoman"/>
      <w:lvlText w:val="%6."/>
      <w:lvlJc w:val="right"/>
      <w:pPr>
        <w:tabs>
          <w:tab w:val="num" w:pos="4320"/>
        </w:tabs>
        <w:ind w:left="4320" w:hanging="180"/>
      </w:pPr>
    </w:lvl>
    <w:lvl w:ilvl="6" w:tplc="55365398" w:tentative="1">
      <w:start w:val="1"/>
      <w:numFmt w:val="decimal"/>
      <w:lvlText w:val="%7."/>
      <w:lvlJc w:val="left"/>
      <w:pPr>
        <w:tabs>
          <w:tab w:val="num" w:pos="5040"/>
        </w:tabs>
        <w:ind w:left="5040" w:hanging="360"/>
      </w:pPr>
    </w:lvl>
    <w:lvl w:ilvl="7" w:tplc="42D6668C" w:tentative="1">
      <w:start w:val="1"/>
      <w:numFmt w:val="lowerLetter"/>
      <w:lvlText w:val="%8."/>
      <w:lvlJc w:val="left"/>
      <w:pPr>
        <w:tabs>
          <w:tab w:val="num" w:pos="5760"/>
        </w:tabs>
        <w:ind w:left="5760" w:hanging="360"/>
      </w:pPr>
    </w:lvl>
    <w:lvl w:ilvl="8" w:tplc="85E07B8E"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14"/>
  </w:num>
  <w:num w:numId="5">
    <w:abstractNumId w:val="11"/>
  </w:num>
  <w:num w:numId="6">
    <w:abstractNumId w:val="10"/>
  </w:num>
  <w:num w:numId="7">
    <w:abstractNumId w:val="0"/>
  </w:num>
  <w:num w:numId="8">
    <w:abstractNumId w:val="5"/>
  </w:num>
  <w:num w:numId="9">
    <w:abstractNumId w:val="9"/>
  </w:num>
  <w:num w:numId="10">
    <w:abstractNumId w:val="2"/>
  </w:num>
  <w:num w:numId="11">
    <w:abstractNumId w:val="15"/>
  </w:num>
  <w:num w:numId="12">
    <w:abstractNumId w:val="12"/>
  </w:num>
  <w:num w:numId="13">
    <w:abstractNumId w:val="8"/>
  </w:num>
  <w:num w:numId="14">
    <w:abstractNumId w:val="16"/>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7F"/>
    <w:rsid w:val="000158A9"/>
    <w:rsid w:val="00046DE1"/>
    <w:rsid w:val="0005305B"/>
    <w:rsid w:val="000609FE"/>
    <w:rsid w:val="000C3445"/>
    <w:rsid w:val="00112E3B"/>
    <w:rsid w:val="001235F2"/>
    <w:rsid w:val="00185736"/>
    <w:rsid w:val="001D007F"/>
    <w:rsid w:val="001D3322"/>
    <w:rsid w:val="001D40E7"/>
    <w:rsid w:val="001E6745"/>
    <w:rsid w:val="00212C0E"/>
    <w:rsid w:val="00237293"/>
    <w:rsid w:val="00267A32"/>
    <w:rsid w:val="0027745A"/>
    <w:rsid w:val="00287805"/>
    <w:rsid w:val="002D61D3"/>
    <w:rsid w:val="002E419E"/>
    <w:rsid w:val="002F167B"/>
    <w:rsid w:val="00380D0A"/>
    <w:rsid w:val="00397FE8"/>
    <w:rsid w:val="00407BA5"/>
    <w:rsid w:val="00436EE1"/>
    <w:rsid w:val="00454C6C"/>
    <w:rsid w:val="004550C2"/>
    <w:rsid w:val="00495634"/>
    <w:rsid w:val="004C7B21"/>
    <w:rsid w:val="004E537F"/>
    <w:rsid w:val="00537CAD"/>
    <w:rsid w:val="005D15A8"/>
    <w:rsid w:val="005F5736"/>
    <w:rsid w:val="00624A1F"/>
    <w:rsid w:val="006404F0"/>
    <w:rsid w:val="00661FEE"/>
    <w:rsid w:val="006A4F09"/>
    <w:rsid w:val="006A7711"/>
    <w:rsid w:val="006E1559"/>
    <w:rsid w:val="006F697D"/>
    <w:rsid w:val="00720926"/>
    <w:rsid w:val="00824E58"/>
    <w:rsid w:val="00850020"/>
    <w:rsid w:val="00853F45"/>
    <w:rsid w:val="008B2DFD"/>
    <w:rsid w:val="008D0961"/>
    <w:rsid w:val="00910116"/>
    <w:rsid w:val="00922B53"/>
    <w:rsid w:val="009B2607"/>
    <w:rsid w:val="009C46AD"/>
    <w:rsid w:val="009F08CC"/>
    <w:rsid w:val="00A5756F"/>
    <w:rsid w:val="00A756C6"/>
    <w:rsid w:val="00BB133D"/>
    <w:rsid w:val="00C94547"/>
    <w:rsid w:val="00CA2748"/>
    <w:rsid w:val="00D04697"/>
    <w:rsid w:val="00DD23C4"/>
    <w:rsid w:val="00DE3D03"/>
    <w:rsid w:val="00E22B31"/>
    <w:rsid w:val="00E503DD"/>
    <w:rsid w:val="00E727A6"/>
    <w:rsid w:val="00EC092D"/>
    <w:rsid w:val="00EC0AE5"/>
    <w:rsid w:val="00EC6C6C"/>
    <w:rsid w:val="00EC6D41"/>
    <w:rsid w:val="00F239E8"/>
    <w:rsid w:val="00F67328"/>
    <w:rsid w:val="00F9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semiHidden/>
    <w:rsid w:val="006F697D"/>
    <w:rPr>
      <w:sz w:val="24"/>
    </w:rPr>
  </w:style>
  <w:style w:type="character" w:styleId="FootnoteReference">
    <w:name w:val="footnote reference"/>
    <w:basedOn w:val="DefaultParagraphFont"/>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unhideWhenUsed/>
    <w:rsid w:val="00720926"/>
  </w:style>
  <w:style w:type="character" w:customStyle="1" w:styleId="CommentTextChar">
    <w:name w:val="Comment Text Char"/>
    <w:basedOn w:val="DefaultParagraphFont"/>
    <w:link w:val="CommentText"/>
    <w:uiPriority w:val="99"/>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semiHidden/>
    <w:rsid w:val="006F697D"/>
    <w:rPr>
      <w:sz w:val="24"/>
    </w:rPr>
  </w:style>
  <w:style w:type="character" w:styleId="FootnoteReference">
    <w:name w:val="footnote reference"/>
    <w:basedOn w:val="DefaultParagraphFont"/>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unhideWhenUsed/>
    <w:rsid w:val="00720926"/>
  </w:style>
  <w:style w:type="character" w:customStyle="1" w:styleId="CommentTextChar">
    <w:name w:val="Comment Text Char"/>
    <w:basedOn w:val="DefaultParagraphFont"/>
    <w:link w:val="CommentText"/>
    <w:uiPriority w:val="99"/>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671157">
      <w:bodyDiv w:val="1"/>
      <w:marLeft w:val="0"/>
      <w:marRight w:val="0"/>
      <w:marTop w:val="0"/>
      <w:marBottom w:val="0"/>
      <w:divBdr>
        <w:top w:val="none" w:sz="0" w:space="0" w:color="auto"/>
        <w:left w:val="none" w:sz="0" w:space="0" w:color="auto"/>
        <w:bottom w:val="none" w:sz="0" w:space="0" w:color="auto"/>
        <w:right w:val="none" w:sz="0" w:space="0" w:color="auto"/>
      </w:divBdr>
    </w:div>
    <w:div w:id="1860310022">
      <w:bodyDiv w:val="1"/>
      <w:marLeft w:val="0"/>
      <w:marRight w:val="0"/>
      <w:marTop w:val="0"/>
      <w:marBottom w:val="0"/>
      <w:divBdr>
        <w:top w:val="none" w:sz="0" w:space="0" w:color="auto"/>
        <w:left w:val="none" w:sz="0" w:space="0" w:color="auto"/>
        <w:bottom w:val="none" w:sz="0" w:space="0" w:color="auto"/>
        <w:right w:val="none" w:sz="0" w:space="0" w:color="auto"/>
      </w:divBdr>
    </w:div>
    <w:div w:id="1861897900">
      <w:bodyDiv w:val="1"/>
      <w:marLeft w:val="0"/>
      <w:marRight w:val="0"/>
      <w:marTop w:val="0"/>
      <w:marBottom w:val="0"/>
      <w:divBdr>
        <w:top w:val="none" w:sz="0" w:space="0" w:color="auto"/>
        <w:left w:val="none" w:sz="0" w:space="0" w:color="auto"/>
        <w:bottom w:val="none" w:sz="0" w:space="0" w:color="auto"/>
        <w:right w:val="none" w:sz="0" w:space="0" w:color="auto"/>
      </w:divBdr>
    </w:div>
    <w:div w:id="20754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2229</Words>
  <Characters>12533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2015-04-22T19:46:00Z</dcterms:created>
  <dcterms:modified xsi:type="dcterms:W3CDTF">2015-04-22T19:46:00Z</dcterms:modified>
</cp:coreProperties>
</file>