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0927" w14:textId="2BEBCEC8"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p>
    <w:p w14:paraId="20D9052C"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0A820F5" w14:textId="77777777" w:rsidR="006E48A2" w:rsidRP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Helium Contracts (43 CFR </w:t>
      </w:r>
      <w:r w:rsidR="001A4696">
        <w:rPr>
          <w:b/>
          <w:bCs/>
          <w:sz w:val="32"/>
          <w:szCs w:val="32"/>
        </w:rPr>
        <w:t xml:space="preserve">Part </w:t>
      </w:r>
      <w:r>
        <w:rPr>
          <w:b/>
          <w:bCs/>
          <w:sz w:val="32"/>
          <w:szCs w:val="32"/>
        </w:rPr>
        <w:t>3195)</w:t>
      </w:r>
    </w:p>
    <w:p w14:paraId="0D0524C8"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960D4F7" w14:textId="77777777" w:rsidR="006E48A2" w:rsidRDefault="004F1166"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1004-0</w:t>
      </w:r>
      <w:r w:rsidR="006E48A2">
        <w:rPr>
          <w:b/>
          <w:bCs/>
          <w:sz w:val="32"/>
          <w:szCs w:val="32"/>
        </w:rPr>
        <w:t>179</w:t>
      </w:r>
    </w:p>
    <w:p w14:paraId="32D6C612"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4797F2C"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7410A4A1"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D88B930"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General Instructions</w:t>
      </w:r>
      <w:r>
        <w:t xml:space="preserve"> </w:t>
      </w:r>
    </w:p>
    <w:p w14:paraId="4135344A"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23CA28"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50F411D"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41D48B"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Specific Instructions</w:t>
      </w:r>
    </w:p>
    <w:p w14:paraId="7983BE9F"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34C9C7"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14:paraId="5A2DC669" w14:textId="77777777" w:rsidR="006E48A2" w:rsidRDefault="006E48A2" w:rsidP="006E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21924C" w14:textId="77777777" w:rsidR="006E48A2" w:rsidRDefault="006E48A2" w:rsidP="002A5422">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6E48A2">
        <w:rPr>
          <w:b/>
        </w:rPr>
        <w:t>Explain the circumstances that make the collection of information necessary.  Identify any legal or administrative requirements that necessitate the collection.</w:t>
      </w:r>
    </w:p>
    <w:p w14:paraId="07F63385" w14:textId="77777777" w:rsidR="002A5422" w:rsidRDefault="002A5422" w:rsidP="002A54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14:paraId="0D58A107" w14:textId="24FFF407" w:rsidR="00365369" w:rsidRDefault="000D41E8" w:rsidP="000D41E8">
      <w:pPr>
        <w:rPr>
          <w:b/>
        </w:rPr>
      </w:pPr>
      <w:r>
        <w:t xml:space="preserve">The Bureau of Land Management (BLM) requests that </w:t>
      </w:r>
      <w:r w:rsidRPr="00275543">
        <w:t xml:space="preserve">the Office of Management and Budget (OMB) </w:t>
      </w:r>
      <w:r>
        <w:t xml:space="preserve">renew and revise </w:t>
      </w:r>
      <w:r w:rsidRPr="00275543">
        <w:t>control number 1004-0179, “</w:t>
      </w:r>
      <w:r w:rsidRPr="00275543">
        <w:rPr>
          <w:bCs/>
          <w:szCs w:val="32"/>
        </w:rPr>
        <w:t>Helium Contracts</w:t>
      </w:r>
      <w:r>
        <w:rPr>
          <w:bCs/>
          <w:szCs w:val="32"/>
        </w:rPr>
        <w:t>.”  This request is prompted by the need to update the control number in response to legislation.</w:t>
      </w:r>
    </w:p>
    <w:p w14:paraId="0B233ADA" w14:textId="489AA07C" w:rsidR="002A5422" w:rsidRPr="006E48A2" w:rsidRDefault="002A5422" w:rsidP="006823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9667081" w14:textId="5885C635" w:rsidR="002A070B" w:rsidRDefault="00832BB1" w:rsidP="00E01AAF">
      <w:r>
        <w:rPr>
          <w:lang w:val="en"/>
        </w:rPr>
        <w:t xml:space="preserve">The </w:t>
      </w:r>
      <w:r w:rsidR="00DE1D72">
        <w:rPr>
          <w:lang w:val="en"/>
        </w:rPr>
        <w:t>F</w:t>
      </w:r>
      <w:r w:rsidR="002A070B">
        <w:rPr>
          <w:lang w:val="en"/>
        </w:rPr>
        <w:t xml:space="preserve">ederal government has been involved in the production, storage, and use of helium since 1925, when the government set up the </w:t>
      </w:r>
      <w:r w:rsidR="00D63642">
        <w:rPr>
          <w:lang w:val="en"/>
        </w:rPr>
        <w:t>Federal Helium System</w:t>
      </w:r>
      <w:r w:rsidR="002A070B">
        <w:rPr>
          <w:lang w:val="en"/>
        </w:rPr>
        <w:t xml:space="preserve">.  </w:t>
      </w:r>
      <w:r w:rsidR="00EE69A7">
        <w:t xml:space="preserve">The Helium Amendments Act of 1960 </w:t>
      </w:r>
      <w:r w:rsidR="00EE69A7" w:rsidRPr="00AB0527">
        <w:rPr>
          <w:color w:val="000000"/>
        </w:rPr>
        <w:t xml:space="preserve">provided incentives for private natural gas producers to strip helium from </w:t>
      </w:r>
      <w:r w:rsidR="00EE69A7">
        <w:rPr>
          <w:color w:val="000000"/>
        </w:rPr>
        <w:t xml:space="preserve">natural gas, </w:t>
      </w:r>
      <w:r w:rsidR="00EE69A7" w:rsidRPr="00AB0527">
        <w:rPr>
          <w:color w:val="000000"/>
        </w:rPr>
        <w:t>sell it to the Federal government</w:t>
      </w:r>
      <w:r w:rsidR="00EE69A7">
        <w:rPr>
          <w:color w:val="000000"/>
        </w:rPr>
        <w:t xml:space="preserve">, and transmit it to </w:t>
      </w:r>
      <w:r w:rsidR="002A070B">
        <w:rPr>
          <w:lang w:val="en"/>
        </w:rPr>
        <w:t xml:space="preserve">the </w:t>
      </w:r>
      <w:r w:rsidR="00D63642">
        <w:rPr>
          <w:lang w:val="en"/>
        </w:rPr>
        <w:t>Federal Helium System</w:t>
      </w:r>
      <w:r w:rsidR="002A070B">
        <w:rPr>
          <w:lang w:val="en"/>
        </w:rPr>
        <w:t>.  T</w:t>
      </w:r>
      <w:r w:rsidR="002A070B" w:rsidRPr="00F41A1C">
        <w:rPr>
          <w:lang w:val="en"/>
        </w:rPr>
        <w:t xml:space="preserve">his </w:t>
      </w:r>
      <w:r w:rsidR="002A070B">
        <w:rPr>
          <w:lang w:val="en"/>
        </w:rPr>
        <w:t xml:space="preserve">“crude” </w:t>
      </w:r>
      <w:r w:rsidR="002A070B" w:rsidRPr="00F41A1C">
        <w:rPr>
          <w:lang w:val="en"/>
        </w:rPr>
        <w:t>helium-nitrogen m</w:t>
      </w:r>
      <w:r w:rsidR="002A070B">
        <w:rPr>
          <w:lang w:val="en"/>
        </w:rPr>
        <w:t xml:space="preserve">ixture was injected and stored into the </w:t>
      </w:r>
      <w:r w:rsidR="00D63642">
        <w:rPr>
          <w:lang w:val="en"/>
        </w:rPr>
        <w:t>Federal Helium System</w:t>
      </w:r>
      <w:r w:rsidR="002A070B" w:rsidRPr="00F41A1C">
        <w:rPr>
          <w:lang w:val="en"/>
        </w:rPr>
        <w:t xml:space="preserve">, </w:t>
      </w:r>
      <w:r w:rsidR="002A070B">
        <w:rPr>
          <w:lang w:val="en"/>
        </w:rPr>
        <w:t xml:space="preserve">and </w:t>
      </w:r>
      <w:r w:rsidR="002A070B" w:rsidRPr="00F41A1C">
        <w:rPr>
          <w:lang w:val="en"/>
        </w:rPr>
        <w:t>then was further purifie</w:t>
      </w:r>
      <w:r w:rsidR="002A070B">
        <w:rPr>
          <w:lang w:val="en"/>
        </w:rPr>
        <w:t xml:space="preserve">d when needed.  </w:t>
      </w:r>
      <w:r w:rsidR="00EE69A7">
        <w:rPr>
          <w:lang w:val="en"/>
        </w:rPr>
        <w:t xml:space="preserve">The 1960 Act </w:t>
      </w:r>
      <w:r w:rsidR="002A070B">
        <w:rPr>
          <w:color w:val="000000"/>
        </w:rPr>
        <w:t xml:space="preserve">also </w:t>
      </w:r>
      <w:r w:rsidR="00421D5F">
        <w:t>authorized</w:t>
      </w:r>
      <w:r w:rsidR="0091526B">
        <w:t xml:space="preserve"> the Secretary of the Interior to sell crude helium for Federal, medical, scientific, and commercial uses.</w:t>
      </w:r>
      <w:r w:rsidR="00EE69A7">
        <w:t xml:space="preserve">  At that time, these activities were </w:t>
      </w:r>
      <w:r w:rsidR="00D87244">
        <w:t xml:space="preserve">implemented within the Department of </w:t>
      </w:r>
      <w:r w:rsidR="00DC5970">
        <w:t xml:space="preserve">the </w:t>
      </w:r>
      <w:r w:rsidR="00D87244">
        <w:t>Interior by the Bureau of Mines.</w:t>
      </w:r>
    </w:p>
    <w:p w14:paraId="32A74493" w14:textId="77777777" w:rsidR="002A070B" w:rsidRDefault="002A070B" w:rsidP="00E01AAF"/>
    <w:p w14:paraId="404C22E9" w14:textId="2ECA1B8C" w:rsidR="00421D5F" w:rsidRPr="006F0540" w:rsidRDefault="00D87244" w:rsidP="00E01AAF">
      <w:pPr>
        <w:rPr>
          <w:color w:val="000000"/>
        </w:rPr>
      </w:pPr>
      <w:r w:rsidRPr="00AB0527">
        <w:rPr>
          <w:color w:val="000000"/>
        </w:rPr>
        <w:t xml:space="preserve">Congress redefined the government’s role in helium production by passing the Helium Privatization Act of 1996 </w:t>
      </w:r>
      <w:r w:rsidRPr="00AB0527">
        <w:rPr>
          <w:lang w:val="en"/>
        </w:rPr>
        <w:t>(Public Law 104-273, 110 Stat. 3315, codified at 50 U.S.C. 167-167m)</w:t>
      </w:r>
      <w:r w:rsidRPr="00AB0527">
        <w:rPr>
          <w:color w:val="000000"/>
        </w:rPr>
        <w:t>.  At that time, the Bureau of Mines was abolished an</w:t>
      </w:r>
      <w:r w:rsidR="002A070B">
        <w:rPr>
          <w:color w:val="000000"/>
        </w:rPr>
        <w:t>d the BLM</w:t>
      </w:r>
      <w:r w:rsidR="00365369">
        <w:rPr>
          <w:color w:val="000000"/>
        </w:rPr>
        <w:t xml:space="preserve"> </w:t>
      </w:r>
      <w:r w:rsidRPr="00AB0527">
        <w:rPr>
          <w:color w:val="000000"/>
        </w:rPr>
        <w:t xml:space="preserve">was given responsibility </w:t>
      </w:r>
      <w:r w:rsidRPr="00AB0527">
        <w:rPr>
          <w:color w:val="000000"/>
        </w:rPr>
        <w:lastRenderedPageBreak/>
        <w:t xml:space="preserve">for operating the </w:t>
      </w:r>
      <w:r w:rsidR="00D63642">
        <w:rPr>
          <w:color w:val="000000"/>
        </w:rPr>
        <w:t>Federal Helium System</w:t>
      </w:r>
      <w:r w:rsidRPr="00AB0527">
        <w:rPr>
          <w:color w:val="000000"/>
        </w:rPr>
        <w:t xml:space="preserve"> for the purpose of providing enriched crude helium to private refiners.</w:t>
      </w:r>
      <w:r w:rsidR="006F0540">
        <w:rPr>
          <w:color w:val="000000"/>
        </w:rPr>
        <w:t xml:space="preserve">  </w:t>
      </w:r>
      <w:r w:rsidR="00DE1D72">
        <w:rPr>
          <w:color w:val="000000"/>
        </w:rPr>
        <w:t>Regulations implementing the F</w:t>
      </w:r>
      <w:r w:rsidR="006F0540">
        <w:rPr>
          <w:color w:val="000000"/>
        </w:rPr>
        <w:t xml:space="preserve">ederal helium program, </w:t>
      </w:r>
      <w:r>
        <w:t xml:space="preserve">at 43 CFR </w:t>
      </w:r>
      <w:r w:rsidR="005B1293">
        <w:t xml:space="preserve">Part </w:t>
      </w:r>
      <w:r>
        <w:t>3195,</w:t>
      </w:r>
      <w:r w:rsidR="0091526B">
        <w:t xml:space="preserve"> provide the authority for the </w:t>
      </w:r>
      <w:r w:rsidR="005049D1">
        <w:t>BLM</w:t>
      </w:r>
      <w:r w:rsidR="0091526B">
        <w:t xml:space="preserve"> to collect helium sales information from Federal agencies and helium suppliers </w:t>
      </w:r>
      <w:r w:rsidR="00786523">
        <w:t xml:space="preserve">of </w:t>
      </w:r>
      <w:r w:rsidR="0091526B">
        <w:t>major helium requirements</w:t>
      </w:r>
      <w:r w:rsidR="00786523">
        <w:t>, in order</w:t>
      </w:r>
      <w:r w:rsidR="0091526B">
        <w:t xml:space="preserve"> to balance crude helium </w:t>
      </w:r>
      <w:r w:rsidR="00786523">
        <w:t xml:space="preserve">purchases from the BLM </w:t>
      </w:r>
      <w:r w:rsidR="0091526B">
        <w:t>with sale</w:t>
      </w:r>
      <w:r w:rsidR="00471ACF">
        <w:t>s</w:t>
      </w:r>
      <w:r w:rsidR="0091526B">
        <w:t xml:space="preserve"> of helium to Federal agencies.</w:t>
      </w:r>
    </w:p>
    <w:p w14:paraId="3448AC20" w14:textId="77777777" w:rsidR="00E01AAF" w:rsidRDefault="00E01AAF" w:rsidP="00E01AAF">
      <w:pPr>
        <w:rPr>
          <w:color w:val="000000"/>
          <w:shd w:val="clear" w:color="auto" w:fill="FFFFFF"/>
        </w:rPr>
      </w:pPr>
    </w:p>
    <w:p w14:paraId="43E4206F" w14:textId="6F0B8B96" w:rsidR="00421D5F" w:rsidRDefault="00954A5D" w:rsidP="00E01AAF">
      <w:pPr>
        <w:rPr>
          <w:color w:val="000000"/>
        </w:rPr>
      </w:pPr>
      <w:r>
        <w:rPr>
          <w:color w:val="000000"/>
          <w:shd w:val="clear" w:color="auto" w:fill="FFFFFF"/>
        </w:rPr>
        <w:t xml:space="preserve">Congress again redefined the government’s role by passing </w:t>
      </w:r>
      <w:r w:rsidRPr="00AB0527">
        <w:rPr>
          <w:color w:val="000000"/>
          <w:shd w:val="clear" w:color="auto" w:fill="FFFFFF"/>
        </w:rPr>
        <w:t xml:space="preserve">the </w:t>
      </w:r>
      <w:r w:rsidRPr="00AB0527">
        <w:rPr>
          <w:color w:val="000000"/>
        </w:rPr>
        <w:t>Helium Stewardship Act of 2013 (</w:t>
      </w:r>
      <w:r>
        <w:rPr>
          <w:color w:val="000000"/>
        </w:rPr>
        <w:t>2013 Act</w:t>
      </w:r>
      <w:r w:rsidRPr="00AB0527">
        <w:rPr>
          <w:color w:val="000000"/>
        </w:rPr>
        <w:t>), Public Law 113-40</w:t>
      </w:r>
      <w:r w:rsidRPr="00AB0527">
        <w:rPr>
          <w:color w:val="000000"/>
          <w:shd w:val="clear" w:color="auto" w:fill="FFFFFF"/>
        </w:rPr>
        <w:t xml:space="preserve">. </w:t>
      </w:r>
      <w:r>
        <w:rPr>
          <w:color w:val="000000"/>
          <w:shd w:val="clear" w:color="auto" w:fill="FFFFFF"/>
        </w:rPr>
        <w:t>(</w:t>
      </w:r>
      <w:r w:rsidRPr="00864A0D">
        <w:rPr>
          <w:lang w:val="en"/>
        </w:rPr>
        <w:t>127 Stat. 534, codified at 50 U.S.C. 167-167q)</w:t>
      </w:r>
      <w:r>
        <w:rPr>
          <w:lang w:val="en"/>
        </w:rPr>
        <w:t xml:space="preserve">.  </w:t>
      </w:r>
      <w:r w:rsidR="008F7F41" w:rsidRPr="00AB0527">
        <w:rPr>
          <w:color w:val="000000"/>
          <w:shd w:val="clear" w:color="auto" w:fill="FFFFFF"/>
        </w:rPr>
        <w:t xml:space="preserve">The intent of the </w:t>
      </w:r>
      <w:r w:rsidR="00A132EF">
        <w:rPr>
          <w:color w:val="000000"/>
          <w:shd w:val="clear" w:color="auto" w:fill="FFFFFF"/>
        </w:rPr>
        <w:t xml:space="preserve">2013 Act </w:t>
      </w:r>
      <w:r w:rsidR="008F7F41" w:rsidRPr="00AB0527">
        <w:rPr>
          <w:color w:val="000000"/>
          <w:shd w:val="clear" w:color="auto" w:fill="FFFFFF"/>
        </w:rPr>
        <w:t>is to allow for a smooth transition to private means of helium production (both domestic and international) as the Reserve is steadily drawn down</w:t>
      </w:r>
      <w:r w:rsidR="008F7F41" w:rsidRPr="00AB0527">
        <w:rPr>
          <w:color w:val="000000"/>
        </w:rPr>
        <w:t>. It replaced many of the key aspects of the original Helium Privatization Act of 1996, by establishing certain goals that the Secretary of the Interior must achieve</w:t>
      </w:r>
      <w:r w:rsidR="008F7F41">
        <w:rPr>
          <w:color w:val="000000"/>
        </w:rPr>
        <w:t xml:space="preserve"> from the period of October 2013 to September 2021.</w:t>
      </w:r>
    </w:p>
    <w:p w14:paraId="28F6FD4B" w14:textId="77777777" w:rsidR="00832BB1" w:rsidRDefault="00832BB1" w:rsidP="00E01AAF">
      <w:pPr>
        <w:rPr>
          <w:color w:val="000000"/>
        </w:rPr>
      </w:pPr>
    </w:p>
    <w:p w14:paraId="79E09346" w14:textId="58CD8D16" w:rsidR="008B5D19" w:rsidRPr="002A780E" w:rsidRDefault="00832BB1" w:rsidP="00667F0D">
      <w:pPr>
        <w:rPr>
          <w:color w:val="000000"/>
        </w:rPr>
      </w:pPr>
      <w:r>
        <w:t xml:space="preserve">At present, control number 1004-0179 authorizes the BLM to collect information to implement in-kind sales of helium in accordance with 43 CFR Part 3195.  The BLM proposes to continue to verify equivalent amounts of crude helium purchased and sold, through use of a new form called “Refined Helium Deliveries Detail.”  This form will replace the current non-form </w:t>
      </w:r>
      <w:r w:rsidR="003A7D15">
        <w:t xml:space="preserve">collection activity called “Quarterly Reporting of Sales Information.”  </w:t>
      </w:r>
      <w:r w:rsidR="008B5D19">
        <w:t xml:space="preserve">The BLM also proposes to </w:t>
      </w:r>
      <w:r w:rsidR="005F70EE">
        <w:t>add new information collection activities</w:t>
      </w:r>
      <w:r w:rsidR="002B57EC">
        <w:t xml:space="preserve">.  Together, the proposed information collection activities are necessary </w:t>
      </w:r>
      <w:r w:rsidR="005F70EE">
        <w:t>in order to implement the Helium Stewardship Act of 2013.</w:t>
      </w:r>
      <w:r w:rsidR="002B57EC">
        <w:t xml:space="preserve"> </w:t>
      </w:r>
      <w:r w:rsidR="005F70EE">
        <w:t xml:space="preserve">  </w:t>
      </w:r>
    </w:p>
    <w:p w14:paraId="5DB21AF1" w14:textId="77777777" w:rsidR="00005636" w:rsidRDefault="00005636" w:rsidP="0025560C"/>
    <w:p w14:paraId="348F5364" w14:textId="6891E06C" w:rsidR="0091526B" w:rsidRDefault="00EF6559" w:rsidP="007F1A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F6559">
        <w:rPr>
          <w:b/>
        </w:rPr>
        <w:t>2.</w:t>
      </w:r>
      <w:r w:rsidRPr="00EF6559">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DAB0DBD" w14:textId="77777777" w:rsidR="00BB7247" w:rsidRDefault="00BB7247" w:rsidP="009779C1"/>
    <w:p w14:paraId="763ABC6F" w14:textId="0F660B4B" w:rsidR="009779C1" w:rsidRDefault="001E6D07" w:rsidP="009779C1">
      <w:r>
        <w:t>We requ</w:t>
      </w:r>
      <w:r w:rsidR="004611B8">
        <w:t xml:space="preserve">ire </w:t>
      </w:r>
      <w:r w:rsidR="00DE1D72">
        <w:t>F</w:t>
      </w:r>
      <w:r w:rsidR="0099335F">
        <w:t xml:space="preserve">ederal </w:t>
      </w:r>
      <w:r w:rsidR="005F70EE">
        <w:t>in-k</w:t>
      </w:r>
      <w:r w:rsidR="00BB7247">
        <w:t xml:space="preserve">ind </w:t>
      </w:r>
      <w:r w:rsidR="0099335F">
        <w:t xml:space="preserve">helium </w:t>
      </w:r>
      <w:r w:rsidR="00BB7247">
        <w:t>users</w:t>
      </w:r>
      <w:r w:rsidR="004611B8">
        <w:t xml:space="preserve"> </w:t>
      </w:r>
      <w:r w:rsidR="00B025C4">
        <w:t xml:space="preserve">to enter into </w:t>
      </w:r>
      <w:r w:rsidR="00B025C4" w:rsidRPr="000A054B">
        <w:t>In-Kind Crude Helium Sales Contract</w:t>
      </w:r>
      <w:r w:rsidR="007F1A3E">
        <w:t>s. These contracts require the in-k</w:t>
      </w:r>
      <w:r w:rsidR="00B025C4">
        <w:t xml:space="preserve">ind users </w:t>
      </w:r>
      <w:r w:rsidR="004611B8">
        <w:t xml:space="preserve">to </w:t>
      </w:r>
      <w:r w:rsidR="00015856">
        <w:t xml:space="preserve">do </w:t>
      </w:r>
      <w:r w:rsidR="004611B8">
        <w:t>the following:</w:t>
      </w:r>
    </w:p>
    <w:p w14:paraId="465BF80B" w14:textId="77777777" w:rsidR="009779C1" w:rsidRDefault="009779C1" w:rsidP="009779C1"/>
    <w:p w14:paraId="51479271" w14:textId="77777777" w:rsidR="00E01F60" w:rsidRDefault="002339F5" w:rsidP="00340473">
      <w:pPr>
        <w:ind w:left="720" w:hanging="720"/>
      </w:pPr>
      <w:r>
        <w:t xml:space="preserve">a. </w:t>
      </w:r>
      <w:r>
        <w:tab/>
      </w:r>
      <w:r w:rsidR="004611B8">
        <w:t>R</w:t>
      </w:r>
      <w:r w:rsidR="001E6D07">
        <w:t>ep</w:t>
      </w:r>
      <w:r w:rsidR="0091526B">
        <w:t>ort the deliveries of refined helium</w:t>
      </w:r>
      <w:r w:rsidR="00E80A9E">
        <w:t xml:space="preserve"> each quarter</w:t>
      </w:r>
      <w:r w:rsidR="0091526B">
        <w:t>.</w:t>
      </w:r>
      <w:r w:rsidR="001E6D07">
        <w:t xml:space="preserve">  </w:t>
      </w:r>
      <w:r w:rsidR="00971F99">
        <w:t xml:space="preserve">The </w:t>
      </w:r>
      <w:r w:rsidR="0091526B">
        <w:t xml:space="preserve">BLM uses this information to track sales of refined helium and to determine the use </w:t>
      </w:r>
      <w:r w:rsidR="001E6D07">
        <w:t>of</w:t>
      </w:r>
      <w:r w:rsidR="0091526B">
        <w:t xml:space="preserve"> helium. </w:t>
      </w:r>
    </w:p>
    <w:p w14:paraId="41C9C7BA" w14:textId="77777777" w:rsidR="0091526B" w:rsidRDefault="0091526B" w:rsidP="00E23CAC"/>
    <w:p w14:paraId="74FFF9C4" w14:textId="77777777" w:rsidR="00E01F60" w:rsidRDefault="002339F5" w:rsidP="00E01F60">
      <w:pPr>
        <w:ind w:left="720" w:hanging="720"/>
      </w:pPr>
      <w:r>
        <w:t xml:space="preserve">b. </w:t>
      </w:r>
      <w:r>
        <w:tab/>
      </w:r>
      <w:r w:rsidR="004611B8">
        <w:t>N</w:t>
      </w:r>
      <w:r w:rsidR="0091526B">
        <w:t xml:space="preserve">otify </w:t>
      </w:r>
      <w:r w:rsidR="00971F99">
        <w:t xml:space="preserve">the </w:t>
      </w:r>
      <w:r w:rsidR="0091526B">
        <w:t xml:space="preserve">BLM 14 days in advance of </w:t>
      </w:r>
      <w:r w:rsidR="004E4A97">
        <w:t xml:space="preserve">the request for helium.  </w:t>
      </w:r>
      <w:r w:rsidR="00971F99">
        <w:t xml:space="preserve">The </w:t>
      </w:r>
      <w:r w:rsidR="004E4A97">
        <w:t xml:space="preserve">BLM needs this information </w:t>
      </w:r>
      <w:r w:rsidR="0091526B">
        <w:t xml:space="preserve">in order to </w:t>
      </w:r>
      <w:r w:rsidR="0099335F">
        <w:t xml:space="preserve">have </w:t>
      </w:r>
      <w:r w:rsidR="0091526B">
        <w:t xml:space="preserve">sufficient time to deliver the helium.        </w:t>
      </w:r>
      <w:r w:rsidR="0091526B">
        <w:tab/>
      </w:r>
    </w:p>
    <w:p w14:paraId="1B1DD42F" w14:textId="77777777" w:rsidR="0091526B" w:rsidRDefault="0091526B" w:rsidP="00E23CAC"/>
    <w:p w14:paraId="6261CBD7" w14:textId="77777777" w:rsidR="00E01F60" w:rsidRDefault="002339F5" w:rsidP="00E01F60">
      <w:pPr>
        <w:ind w:left="720" w:hanging="720"/>
      </w:pPr>
      <w:r>
        <w:t xml:space="preserve">c. </w:t>
      </w:r>
      <w:r>
        <w:tab/>
      </w:r>
      <w:r w:rsidR="004611B8">
        <w:t>M</w:t>
      </w:r>
      <w:r w:rsidR="004E4A97">
        <w:t xml:space="preserve">ake </w:t>
      </w:r>
      <w:r w:rsidR="0091526B">
        <w:t>available all pertinent records</w:t>
      </w:r>
      <w:r w:rsidR="004E4A97">
        <w:t xml:space="preserve"> for </w:t>
      </w:r>
      <w:r w:rsidR="00015856">
        <w:t xml:space="preserve">inspection by </w:t>
      </w:r>
      <w:r w:rsidR="00971F99">
        <w:t xml:space="preserve">the </w:t>
      </w:r>
      <w:r w:rsidR="004E4A97">
        <w:t>BLM</w:t>
      </w:r>
      <w:r w:rsidR="0091526B">
        <w:t xml:space="preserve">. We use this information to audit the </w:t>
      </w:r>
      <w:r w:rsidR="00EB739F">
        <w:t>suppliers</w:t>
      </w:r>
      <w:r w:rsidR="0091526B">
        <w:t xml:space="preserve"> and to determine whether or not helium sales </w:t>
      </w:r>
      <w:r w:rsidR="007518DB">
        <w:t>are reported</w:t>
      </w:r>
      <w:r w:rsidR="0091526B">
        <w:t xml:space="preserve"> accurately.</w:t>
      </w:r>
    </w:p>
    <w:p w14:paraId="5CD5DCDB" w14:textId="77777777" w:rsidR="0091526B" w:rsidRDefault="0091526B" w:rsidP="00E23CAC"/>
    <w:p w14:paraId="1386B107" w14:textId="77777777" w:rsidR="00E01F60" w:rsidRDefault="002339F5" w:rsidP="00E01F60">
      <w:pPr>
        <w:ind w:left="720" w:hanging="720"/>
      </w:pPr>
      <w:r>
        <w:t xml:space="preserve">d. </w:t>
      </w:r>
      <w:r>
        <w:tab/>
      </w:r>
      <w:r w:rsidR="004611B8">
        <w:t>N</w:t>
      </w:r>
      <w:r w:rsidR="0091526B">
        <w:t>otif</w:t>
      </w:r>
      <w:r w:rsidR="004E4A97">
        <w:t>y</w:t>
      </w:r>
      <w:r w:rsidR="0091526B">
        <w:t xml:space="preserve"> </w:t>
      </w:r>
      <w:r w:rsidR="00971F99">
        <w:t xml:space="preserve">the </w:t>
      </w:r>
      <w:r w:rsidR="0091526B">
        <w:t xml:space="preserve">BLM of </w:t>
      </w:r>
      <w:r w:rsidR="004E4A97">
        <w:t>any</w:t>
      </w:r>
      <w:r w:rsidR="0091526B">
        <w:t xml:space="preserve"> billing error</w:t>
      </w:r>
      <w:r w:rsidR="004E4A97">
        <w:t>s</w:t>
      </w:r>
      <w:r w:rsidR="0091526B">
        <w:t xml:space="preserve"> in the statement.  </w:t>
      </w:r>
      <w:r w:rsidR="00971F99">
        <w:t xml:space="preserve">The </w:t>
      </w:r>
      <w:r w:rsidR="004E4A97">
        <w:t xml:space="preserve">BLM uses this </w:t>
      </w:r>
      <w:r w:rsidR="0091526B">
        <w:t>information to correct amounts owed or overpaid.</w:t>
      </w:r>
    </w:p>
    <w:p w14:paraId="31420980" w14:textId="77777777" w:rsidR="0091526B" w:rsidRDefault="0091526B" w:rsidP="00E23CAC"/>
    <w:p w14:paraId="4D733091" w14:textId="77777777" w:rsidR="00E01F60" w:rsidRDefault="002339F5" w:rsidP="00E01F60">
      <w:pPr>
        <w:ind w:left="720" w:hanging="720"/>
      </w:pPr>
      <w:r>
        <w:t xml:space="preserve">e. </w:t>
      </w:r>
      <w:r>
        <w:tab/>
      </w:r>
      <w:r w:rsidR="004611B8">
        <w:t>P</w:t>
      </w:r>
      <w:r w:rsidR="00E80A9E">
        <w:t xml:space="preserve">rovide </w:t>
      </w:r>
      <w:r w:rsidR="0091526B">
        <w:t xml:space="preserve">the name and address </w:t>
      </w:r>
      <w:r>
        <w:t>of the</w:t>
      </w:r>
      <w:r w:rsidR="006765CE">
        <w:t xml:space="preserve"> Federal helium supplier</w:t>
      </w:r>
      <w:r>
        <w:t>, proposed</w:t>
      </w:r>
      <w:r w:rsidR="006765CE">
        <w:t xml:space="preserve"> supplier</w:t>
      </w:r>
      <w:r w:rsidR="007518DB">
        <w:t>,</w:t>
      </w:r>
      <w:r w:rsidR="0091526B">
        <w:t xml:space="preserve"> and the contract number</w:t>
      </w:r>
      <w:r w:rsidR="00E80A9E">
        <w:t xml:space="preserve">.  </w:t>
      </w:r>
      <w:r w:rsidR="00971F99">
        <w:t xml:space="preserve">The </w:t>
      </w:r>
      <w:r w:rsidR="00E80A9E">
        <w:t xml:space="preserve">BLM uses this information </w:t>
      </w:r>
      <w:r w:rsidR="0091526B">
        <w:t xml:space="preserve">for identification purposes and to </w:t>
      </w:r>
      <w:r w:rsidR="0091526B">
        <w:lastRenderedPageBreak/>
        <w:t xml:space="preserve">ensure </w:t>
      </w:r>
      <w:r w:rsidR="007518DB">
        <w:t xml:space="preserve">billing </w:t>
      </w:r>
      <w:r>
        <w:t>of the</w:t>
      </w:r>
      <w:r w:rsidR="0091526B">
        <w:t xml:space="preserve"> correct </w:t>
      </w:r>
      <w:r w:rsidR="00EB739F">
        <w:t>suppliers</w:t>
      </w:r>
      <w:r w:rsidR="0091526B">
        <w:t>.</w:t>
      </w:r>
    </w:p>
    <w:p w14:paraId="571B05F0" w14:textId="77777777" w:rsidR="0091526B" w:rsidRDefault="0091526B" w:rsidP="00E23CAC"/>
    <w:p w14:paraId="42BFAB2B" w14:textId="77777777" w:rsidR="00E01F60" w:rsidRDefault="002339F5" w:rsidP="00E01F60">
      <w:pPr>
        <w:ind w:left="720" w:hanging="720"/>
      </w:pPr>
      <w:r>
        <w:t xml:space="preserve">f. </w:t>
      </w:r>
      <w:r>
        <w:tab/>
      </w:r>
      <w:r w:rsidR="004611B8">
        <w:t>A</w:t>
      </w:r>
      <w:r w:rsidR="0091526B">
        <w:t xml:space="preserve">ttest that </w:t>
      </w:r>
      <w:r w:rsidR="00E80A9E">
        <w:t xml:space="preserve">he/she did </w:t>
      </w:r>
      <w:r w:rsidR="0091526B">
        <w:t xml:space="preserve">not secure an outside party to seek or secure the contract.  </w:t>
      </w:r>
      <w:r w:rsidR="00971F99">
        <w:t xml:space="preserve">The </w:t>
      </w:r>
      <w:r w:rsidR="00E80A9E">
        <w:t xml:space="preserve">BLM uses this </w:t>
      </w:r>
      <w:r w:rsidR="0091526B">
        <w:t xml:space="preserve">information </w:t>
      </w:r>
      <w:r w:rsidR="00E80A9E">
        <w:t>to verify the sales contract</w:t>
      </w:r>
      <w:r w:rsidR="0091526B">
        <w:t>.</w:t>
      </w:r>
    </w:p>
    <w:p w14:paraId="4E166870" w14:textId="77777777" w:rsidR="0091526B" w:rsidRDefault="0091526B"/>
    <w:p w14:paraId="4CB16608" w14:textId="7F5281C4" w:rsidR="00653A33" w:rsidRDefault="00653A33" w:rsidP="00653A33">
      <w:pPr>
        <w:rPr>
          <w:color w:val="000000"/>
        </w:rPr>
      </w:pPr>
      <w:r>
        <w:rPr>
          <w:color w:val="000000"/>
        </w:rPr>
        <w:t xml:space="preserve">The BLM requires non-federal entities, refiners and non-refiners alike, to </w:t>
      </w:r>
      <w:r w:rsidR="00B025C4">
        <w:rPr>
          <w:color w:val="000000"/>
        </w:rPr>
        <w:t xml:space="preserve">enter into storage contracts to store any helium they purchase in the Federal Helium </w:t>
      </w:r>
      <w:r w:rsidR="00D63642">
        <w:rPr>
          <w:color w:val="000000"/>
        </w:rPr>
        <w:t>System</w:t>
      </w:r>
      <w:r w:rsidR="00B025C4">
        <w:rPr>
          <w:color w:val="000000"/>
        </w:rPr>
        <w:t xml:space="preserve">. As part of the storage contracts, these refiners and non-refiners must </w:t>
      </w:r>
      <w:r>
        <w:rPr>
          <w:color w:val="000000"/>
        </w:rPr>
        <w:t>do the following:</w:t>
      </w:r>
    </w:p>
    <w:p w14:paraId="4CA41679" w14:textId="77777777" w:rsidR="00653A33" w:rsidRDefault="00653A33" w:rsidP="00653A33">
      <w:pPr>
        <w:rPr>
          <w:color w:val="000000"/>
        </w:rPr>
      </w:pPr>
      <w:r>
        <w:rPr>
          <w:color w:val="000000"/>
        </w:rPr>
        <w:t xml:space="preserve"> </w:t>
      </w:r>
    </w:p>
    <w:p w14:paraId="4DFF0A6E" w14:textId="3C9C35F8" w:rsidR="00653A33" w:rsidRDefault="00B70AA9" w:rsidP="00B70AA9">
      <w:pPr>
        <w:widowControl/>
        <w:numPr>
          <w:ilvl w:val="0"/>
          <w:numId w:val="7"/>
        </w:numPr>
        <w:autoSpaceDE/>
        <w:autoSpaceDN/>
        <w:adjustRightInd/>
        <w:rPr>
          <w:color w:val="000000"/>
        </w:rPr>
      </w:pPr>
      <w:r>
        <w:rPr>
          <w:color w:val="000000"/>
        </w:rPr>
        <w:t xml:space="preserve">Report </w:t>
      </w:r>
      <w:r w:rsidR="00653A33" w:rsidRPr="00653A33">
        <w:rPr>
          <w:color w:val="000000"/>
        </w:rPr>
        <w:t>Excess Refining Capacity</w:t>
      </w:r>
      <w:r>
        <w:rPr>
          <w:color w:val="000000"/>
        </w:rPr>
        <w:t xml:space="preserve"> on </w:t>
      </w:r>
      <w:r w:rsidR="003312CB">
        <w:rPr>
          <w:color w:val="000000"/>
        </w:rPr>
        <w:t>an annual</w:t>
      </w:r>
      <w:r>
        <w:rPr>
          <w:color w:val="000000"/>
        </w:rPr>
        <w:t xml:space="preserve"> basis</w:t>
      </w:r>
      <w:r w:rsidR="00653A33" w:rsidRPr="00653A33">
        <w:rPr>
          <w:color w:val="000000"/>
        </w:rPr>
        <w:t>:  Reporting this information is necessary to satisfy the terms-and-conditions section of the Act which requires the refiners to make excess refining capacity available</w:t>
      </w:r>
      <w:r w:rsidR="00F450AD">
        <w:rPr>
          <w:color w:val="000000"/>
        </w:rPr>
        <w:t xml:space="preserve"> to non-refiners</w:t>
      </w:r>
      <w:r w:rsidR="00653A33" w:rsidRPr="00653A33">
        <w:rPr>
          <w:color w:val="000000"/>
        </w:rPr>
        <w:t xml:space="preserve"> at commercially reasonable rates.  </w:t>
      </w:r>
    </w:p>
    <w:p w14:paraId="4C3FFC12" w14:textId="77777777" w:rsidR="00F450AD" w:rsidRDefault="00F450AD" w:rsidP="00F450AD">
      <w:pPr>
        <w:widowControl/>
        <w:autoSpaceDE/>
        <w:autoSpaceDN/>
        <w:adjustRightInd/>
        <w:ind w:left="360"/>
        <w:rPr>
          <w:color w:val="000000"/>
        </w:rPr>
      </w:pPr>
    </w:p>
    <w:p w14:paraId="4DB61DC6" w14:textId="2B20610C" w:rsidR="00653A33" w:rsidRDefault="00B70AA9" w:rsidP="00B70AA9">
      <w:pPr>
        <w:widowControl/>
        <w:numPr>
          <w:ilvl w:val="0"/>
          <w:numId w:val="7"/>
        </w:numPr>
        <w:autoSpaceDE/>
        <w:autoSpaceDN/>
        <w:adjustRightInd/>
        <w:rPr>
          <w:color w:val="000000"/>
        </w:rPr>
      </w:pPr>
      <w:r>
        <w:rPr>
          <w:color w:val="000000"/>
        </w:rPr>
        <w:t xml:space="preserve">Report any </w:t>
      </w:r>
      <w:r w:rsidR="007827CE">
        <w:rPr>
          <w:color w:val="000000"/>
        </w:rPr>
        <w:t>t</w:t>
      </w:r>
      <w:r w:rsidR="00653A33" w:rsidRPr="00653A33">
        <w:rPr>
          <w:color w:val="000000"/>
        </w:rPr>
        <w:t>olling</w:t>
      </w:r>
      <w:r>
        <w:rPr>
          <w:color w:val="000000"/>
        </w:rPr>
        <w:t xml:space="preserve"> activity </w:t>
      </w:r>
      <w:r w:rsidR="003312CB">
        <w:rPr>
          <w:color w:val="000000"/>
        </w:rPr>
        <w:t xml:space="preserve">within two weeks following </w:t>
      </w:r>
      <w:r w:rsidR="00DE1D72">
        <w:rPr>
          <w:color w:val="000000"/>
        </w:rPr>
        <w:t>the end of each F</w:t>
      </w:r>
      <w:r>
        <w:rPr>
          <w:color w:val="000000"/>
        </w:rPr>
        <w:t>ederal fiscal year</w:t>
      </w:r>
      <w:r w:rsidR="00653A33" w:rsidRPr="00653A33">
        <w:rPr>
          <w:color w:val="000000"/>
        </w:rPr>
        <w:t xml:space="preserve">: </w:t>
      </w:r>
      <w:r w:rsidRPr="00653A33">
        <w:rPr>
          <w:color w:val="000000"/>
        </w:rPr>
        <w:t xml:space="preserve">Reporting this information is necessary to satisfy the terms-and-conditions section of the Act which requires the refiners </w:t>
      </w:r>
      <w:r>
        <w:rPr>
          <w:color w:val="000000"/>
        </w:rPr>
        <w:t>to enter into</w:t>
      </w:r>
      <w:r w:rsidR="00653A33" w:rsidRPr="00653A33">
        <w:rPr>
          <w:color w:val="000000"/>
        </w:rPr>
        <w:t xml:space="preserve"> tolling agreements between </w:t>
      </w:r>
      <w:r>
        <w:rPr>
          <w:color w:val="000000"/>
        </w:rPr>
        <w:t>the</w:t>
      </w:r>
      <w:r w:rsidR="00653A33" w:rsidRPr="00653A33">
        <w:rPr>
          <w:color w:val="000000"/>
        </w:rPr>
        <w:t xml:space="preserve"> refiner and another party</w:t>
      </w:r>
      <w:r w:rsidR="007827CE">
        <w:rPr>
          <w:color w:val="000000"/>
        </w:rPr>
        <w:t xml:space="preserve"> (non-refiner, end-user)</w:t>
      </w:r>
      <w:r w:rsidR="00653A33" w:rsidRPr="00653A33">
        <w:rPr>
          <w:color w:val="000000"/>
        </w:rPr>
        <w:t xml:space="preserve"> during the preceding year</w:t>
      </w:r>
      <w:r w:rsidR="007827CE">
        <w:rPr>
          <w:color w:val="000000"/>
        </w:rPr>
        <w:t>, in order to ensure that helium that has been purchased can be refined and used or re-sold</w:t>
      </w:r>
      <w:r w:rsidR="00653A33" w:rsidRPr="00653A33">
        <w:rPr>
          <w:color w:val="000000"/>
        </w:rPr>
        <w:t xml:space="preserve">.  </w:t>
      </w:r>
    </w:p>
    <w:p w14:paraId="5EA10999" w14:textId="77777777" w:rsidR="00F450AD" w:rsidRDefault="00F450AD" w:rsidP="00F450AD">
      <w:pPr>
        <w:widowControl/>
        <w:autoSpaceDE/>
        <w:autoSpaceDN/>
        <w:adjustRightInd/>
        <w:rPr>
          <w:color w:val="000000"/>
        </w:rPr>
      </w:pPr>
    </w:p>
    <w:p w14:paraId="164F7054" w14:textId="3FA9EE2A" w:rsidR="004304C2" w:rsidRPr="00667F0D" w:rsidRDefault="007827CE" w:rsidP="004304C2">
      <w:pPr>
        <w:widowControl/>
        <w:numPr>
          <w:ilvl w:val="0"/>
          <w:numId w:val="7"/>
        </w:numPr>
        <w:autoSpaceDE/>
        <w:autoSpaceDN/>
        <w:adjustRightInd/>
        <w:rPr>
          <w:u w:val="single"/>
          <w:lang w:val="en"/>
        </w:rPr>
      </w:pPr>
      <w:r w:rsidRPr="00667F0D">
        <w:rPr>
          <w:color w:val="000000"/>
        </w:rPr>
        <w:t xml:space="preserve">Report </w:t>
      </w:r>
      <w:r w:rsidR="00653A33" w:rsidRPr="00667F0D">
        <w:rPr>
          <w:color w:val="000000"/>
        </w:rPr>
        <w:t>Tolling Occurrence</w:t>
      </w:r>
      <w:r w:rsidRPr="00667F0D">
        <w:rPr>
          <w:color w:val="000000"/>
        </w:rPr>
        <w:t>s within two weeks of entry into a tolling agreement</w:t>
      </w:r>
      <w:r w:rsidR="00653A33" w:rsidRPr="00667F0D">
        <w:rPr>
          <w:color w:val="000000"/>
        </w:rPr>
        <w:t xml:space="preserve">: </w:t>
      </w:r>
      <w:r w:rsidRPr="00667F0D">
        <w:rPr>
          <w:color w:val="000000"/>
        </w:rPr>
        <w:t>In accordance with the requirement to</w:t>
      </w:r>
      <w:r w:rsidR="00851B6B" w:rsidRPr="00667F0D">
        <w:rPr>
          <w:color w:val="000000"/>
        </w:rPr>
        <w:t xml:space="preserve"> enter into tolling agreements with non-refiners, t</w:t>
      </w:r>
      <w:r w:rsidR="00653A33" w:rsidRPr="00667F0D">
        <w:rPr>
          <w:color w:val="000000"/>
        </w:rPr>
        <w:t xml:space="preserve">he BLM will collect information throughout the year </w:t>
      </w:r>
      <w:r w:rsidR="00851B6B" w:rsidRPr="00667F0D">
        <w:rPr>
          <w:color w:val="000000"/>
        </w:rPr>
        <w:t xml:space="preserve">to </w:t>
      </w:r>
      <w:r w:rsidR="00AA1926" w:rsidRPr="00667F0D">
        <w:rPr>
          <w:color w:val="000000"/>
        </w:rPr>
        <w:t>ensure that</w:t>
      </w:r>
      <w:r w:rsidR="00851B6B" w:rsidRPr="00667F0D">
        <w:rPr>
          <w:color w:val="000000"/>
        </w:rPr>
        <w:t xml:space="preserve"> tolling is </w:t>
      </w:r>
      <w:r w:rsidR="009122F2" w:rsidRPr="00667F0D">
        <w:rPr>
          <w:color w:val="000000"/>
        </w:rPr>
        <w:t xml:space="preserve">being planned and is actually </w:t>
      </w:r>
      <w:r w:rsidR="00851B6B" w:rsidRPr="00667F0D">
        <w:rPr>
          <w:color w:val="000000"/>
        </w:rPr>
        <w:t xml:space="preserve">taking place, </w:t>
      </w:r>
      <w:r w:rsidR="009122F2" w:rsidRPr="00667F0D">
        <w:rPr>
          <w:color w:val="000000"/>
        </w:rPr>
        <w:t xml:space="preserve">and </w:t>
      </w:r>
      <w:r w:rsidR="00851B6B" w:rsidRPr="00667F0D">
        <w:rPr>
          <w:color w:val="000000"/>
        </w:rPr>
        <w:t xml:space="preserve">to conduct operational planning for the distribution of helium from the Federal Helium </w:t>
      </w:r>
      <w:r w:rsidR="00D63642" w:rsidRPr="00667F0D">
        <w:rPr>
          <w:color w:val="000000"/>
        </w:rPr>
        <w:t>System</w:t>
      </w:r>
      <w:r w:rsidR="00653A33" w:rsidRPr="00667F0D">
        <w:rPr>
          <w:color w:val="000000"/>
        </w:rPr>
        <w:t>.</w:t>
      </w:r>
    </w:p>
    <w:p w14:paraId="0094FBDE" w14:textId="77777777" w:rsidR="004304C2" w:rsidRDefault="004304C2" w:rsidP="004304C2"/>
    <w:p w14:paraId="6E8F33B6" w14:textId="42CB8BAF" w:rsidR="004304C2" w:rsidRDefault="004304C2" w:rsidP="004304C2">
      <w:r>
        <w:t xml:space="preserve">The requirements described below comprise a single information collection activity.  The BLM has developed </w:t>
      </w:r>
      <w:r>
        <w:rPr>
          <w:color w:val="000000"/>
          <w:shd w:val="clear" w:color="auto" w:fill="FFFFFF"/>
        </w:rPr>
        <w:t>a new form (“</w:t>
      </w:r>
      <w:r w:rsidRPr="005509B1">
        <w:t>Refined Helium Deliveries Detail</w:t>
      </w:r>
      <w:r>
        <w:t>”) that will replace the existing non-form activity titled “Sales Reports.”</w:t>
      </w:r>
    </w:p>
    <w:p w14:paraId="06BFB293" w14:textId="77777777" w:rsidR="004304C2" w:rsidRPr="00F55A7A" w:rsidRDefault="004304C2" w:rsidP="004304C2">
      <w:pPr>
        <w:rPr>
          <w:color w:val="000000"/>
          <w:shd w:val="clear" w:color="auto" w:fill="FFFFFF"/>
        </w:rPr>
      </w:pPr>
    </w:p>
    <w:p w14:paraId="03326E2C" w14:textId="65306A65" w:rsidR="004304C2" w:rsidRDefault="004304C2" w:rsidP="004304C2">
      <w:pPr>
        <w:widowControl/>
        <w:autoSpaceDE/>
        <w:autoSpaceDN/>
        <w:adjustRightInd/>
        <w:rPr>
          <w:rStyle w:val="p"/>
          <w:color w:val="000000"/>
        </w:rPr>
      </w:pPr>
      <w:r>
        <w:t xml:space="preserve">In order to sell refined helium to a Federal agency, a private helium merchant must buy an equivalent amount of crude </w:t>
      </w:r>
      <w:r w:rsidR="00DE1D72">
        <w:t>F</w:t>
      </w:r>
      <w:r>
        <w:t xml:space="preserve">ederal helium.  The BLM will use the Refined Helium Deliveries Detail form to collect information from each private company that supplies helium to a </w:t>
      </w:r>
      <w:r w:rsidR="00DE1D72">
        <w:t>F</w:t>
      </w:r>
      <w:r>
        <w:t xml:space="preserve">ederal agency.  </w:t>
      </w:r>
      <w:r w:rsidRPr="003A5D67">
        <w:t xml:space="preserve">Such </w:t>
      </w:r>
      <w:r>
        <w:t>suppliers</w:t>
      </w:r>
      <w:r w:rsidRPr="003A5D67">
        <w:t xml:space="preserve"> must report the following information to the BLM</w:t>
      </w:r>
      <w:r w:rsidRPr="003A5D67">
        <w:rPr>
          <w:rStyle w:val="p"/>
          <w:color w:val="000000"/>
        </w:rPr>
        <w:t xml:space="preserve"> within 45 days of the end of each quarter:</w:t>
      </w:r>
    </w:p>
    <w:p w14:paraId="40B94D60" w14:textId="77777777" w:rsidR="004304C2" w:rsidRDefault="004304C2" w:rsidP="004304C2">
      <w:pPr>
        <w:widowControl/>
        <w:autoSpaceDE/>
        <w:autoSpaceDN/>
        <w:adjustRightInd/>
        <w:rPr>
          <w:rStyle w:val="p"/>
          <w:color w:val="000000"/>
        </w:rPr>
      </w:pPr>
    </w:p>
    <w:p w14:paraId="1FDA28FB" w14:textId="53E0B6C6" w:rsidR="004304C2" w:rsidRDefault="004304C2" w:rsidP="004304C2">
      <w:pPr>
        <w:pStyle w:val="ListParagraph"/>
        <w:numPr>
          <w:ilvl w:val="0"/>
          <w:numId w:val="9"/>
        </w:numPr>
        <w:ind w:left="360"/>
      </w:pPr>
      <w:r>
        <w:t>Agency identification:  the agency’s name, the helium provider agency or contract number, and the point of contact’s phone number and address.  The BLM needs this information so that it may contact the merchant.</w:t>
      </w:r>
    </w:p>
    <w:p w14:paraId="0F62EC25" w14:textId="77777777" w:rsidR="004304C2" w:rsidRDefault="004304C2" w:rsidP="004304C2"/>
    <w:p w14:paraId="6109FB71" w14:textId="223F79DA" w:rsidR="00667F0D" w:rsidRDefault="00DE1D72" w:rsidP="004304C2">
      <w:pPr>
        <w:pStyle w:val="ListParagraph"/>
        <w:widowControl/>
        <w:numPr>
          <w:ilvl w:val="0"/>
          <w:numId w:val="9"/>
        </w:numPr>
        <w:autoSpaceDE/>
        <w:autoSpaceDN/>
        <w:adjustRightInd/>
        <w:ind w:left="360"/>
      </w:pPr>
      <w:r>
        <w:t>Refined Sales Detail:  the F</w:t>
      </w:r>
      <w:r w:rsidR="004304C2">
        <w:t xml:space="preserve">ederal agency, the city and state where the delivery took place, the delivery date, the volume of helium delivered, the units in cubic feet plus the pressure and temperature conditions, and the reference number.   The BLM needs this information for purposes of auditing private companies who supply helium to </w:t>
      </w:r>
      <w:r>
        <w:t>F</w:t>
      </w:r>
      <w:r w:rsidR="004304C2">
        <w:t>ederal agencies.</w:t>
      </w:r>
    </w:p>
    <w:p w14:paraId="4AFE9514" w14:textId="77777777" w:rsidR="00667F0D" w:rsidRDefault="00667F0D">
      <w:pPr>
        <w:widowControl/>
        <w:autoSpaceDE/>
        <w:autoSpaceDN/>
        <w:adjustRightInd/>
      </w:pPr>
      <w:r>
        <w:br w:type="page"/>
      </w:r>
    </w:p>
    <w:p w14:paraId="352BF39F" w14:textId="77777777" w:rsidR="004304C2" w:rsidRDefault="004304C2" w:rsidP="004304C2">
      <w:pPr>
        <w:widowControl/>
        <w:autoSpaceDE/>
        <w:autoSpaceDN/>
        <w:adjustRightInd/>
        <w:rPr>
          <w:color w:val="000000"/>
        </w:rPr>
      </w:pPr>
      <w:r>
        <w:rPr>
          <w:b/>
          <w:color w:val="000000"/>
        </w:rPr>
        <w:lastRenderedPageBreak/>
        <w:t>Calculation of Excess Refining Capacity</w:t>
      </w:r>
    </w:p>
    <w:p w14:paraId="722DEB9B" w14:textId="77777777" w:rsidR="004304C2" w:rsidRDefault="004304C2" w:rsidP="004304C2">
      <w:pPr>
        <w:widowControl/>
        <w:autoSpaceDE/>
        <w:autoSpaceDN/>
        <w:adjustRightInd/>
        <w:rPr>
          <w:color w:val="000000"/>
        </w:rPr>
      </w:pPr>
    </w:p>
    <w:p w14:paraId="66B49922" w14:textId="77777777" w:rsidR="004304C2" w:rsidRPr="000A510F" w:rsidRDefault="004304C2" w:rsidP="004304C2">
      <w:pPr>
        <w:widowControl/>
        <w:tabs>
          <w:tab w:val="left" w:pos="360"/>
        </w:tabs>
        <w:autoSpaceDE/>
        <w:autoSpaceDN/>
        <w:adjustRightInd/>
        <w:rPr>
          <w:rFonts w:eastAsia="Calibri"/>
          <w:szCs w:val="22"/>
          <w:lang w:val="en"/>
        </w:rPr>
      </w:pPr>
      <w:r w:rsidRPr="00212CD8">
        <w:rPr>
          <w:lang w:val="en"/>
        </w:rPr>
        <w:t xml:space="preserve">The </w:t>
      </w:r>
      <w:r>
        <w:rPr>
          <w:lang w:val="en"/>
        </w:rPr>
        <w:t xml:space="preserve">2013 </w:t>
      </w:r>
      <w:r w:rsidRPr="00212CD8">
        <w:rPr>
          <w:lang w:val="en"/>
        </w:rPr>
        <w:t xml:space="preserve">Act provides that any refiner of crude helium that purchases helium from the </w:t>
      </w:r>
      <w:r>
        <w:rPr>
          <w:lang w:val="en"/>
        </w:rPr>
        <w:t>Federal Helium System</w:t>
      </w:r>
      <w:r w:rsidRPr="00212CD8">
        <w:rPr>
          <w:lang w:val="en"/>
        </w:rPr>
        <w:t xml:space="preserve"> must, as a condition of that sale or auction, make excess refining capacity available at commercially </w:t>
      </w:r>
      <w:r w:rsidRPr="00791DA0">
        <w:rPr>
          <w:lang w:val="en"/>
        </w:rPr>
        <w:t>reasonable rates to certain non</w:t>
      </w:r>
      <w:r>
        <w:rPr>
          <w:lang w:val="en"/>
        </w:rPr>
        <w:t>-</w:t>
      </w:r>
      <w:r w:rsidRPr="00791DA0">
        <w:rPr>
          <w:lang w:val="en"/>
        </w:rPr>
        <w:t>refiner pur</w:t>
      </w:r>
      <w:r w:rsidRPr="004F7B26">
        <w:rPr>
          <w:lang w:val="en"/>
        </w:rPr>
        <w:t>chasers of Federal crude hel</w:t>
      </w:r>
      <w:r w:rsidRPr="00C11B78">
        <w:rPr>
          <w:lang w:val="en"/>
        </w:rPr>
        <w:t>ium</w:t>
      </w:r>
      <w:r>
        <w:rPr>
          <w:lang w:val="en"/>
        </w:rPr>
        <w:t xml:space="preserve">.  </w:t>
      </w:r>
      <w:r w:rsidRPr="001E37B1">
        <w:rPr>
          <w:color w:val="000000"/>
        </w:rPr>
        <w:t xml:space="preserve">The 2013 Act </w:t>
      </w:r>
      <w:r>
        <w:rPr>
          <w:color w:val="000000"/>
        </w:rPr>
        <w:t xml:space="preserve">also </w:t>
      </w:r>
      <w:r w:rsidRPr="001E37B1">
        <w:rPr>
          <w:color w:val="000000"/>
        </w:rPr>
        <w:t>requires</w:t>
      </w:r>
      <w:r>
        <w:rPr>
          <w:color w:val="000000"/>
        </w:rPr>
        <w:t xml:space="preserve"> the BLM to aggregate data on storage capacity </w:t>
      </w:r>
      <w:r w:rsidRPr="001E37B1">
        <w:rPr>
          <w:color w:val="000000"/>
        </w:rPr>
        <w:t xml:space="preserve">and post the aggregated data on a public website. The collected information can also be used to inform the BLM of changes in the refiner’s calculation of excess refining capacity as they occur.  </w:t>
      </w:r>
    </w:p>
    <w:p w14:paraId="3963A90F" w14:textId="77777777" w:rsidR="004304C2" w:rsidRDefault="004304C2" w:rsidP="004304C2">
      <w:pPr>
        <w:widowControl/>
        <w:tabs>
          <w:tab w:val="left" w:pos="360"/>
        </w:tabs>
        <w:autoSpaceDE/>
        <w:autoSpaceDN/>
        <w:adjustRightInd/>
        <w:rPr>
          <w:color w:val="000000"/>
        </w:rPr>
      </w:pPr>
    </w:p>
    <w:p w14:paraId="3F597A05" w14:textId="77777777" w:rsidR="004304C2" w:rsidRDefault="004304C2" w:rsidP="004304C2">
      <w:pPr>
        <w:widowControl/>
        <w:tabs>
          <w:tab w:val="left" w:pos="360"/>
        </w:tabs>
        <w:autoSpaceDE/>
        <w:autoSpaceDN/>
        <w:adjustRightInd/>
        <w:rPr>
          <w:color w:val="000000"/>
        </w:rPr>
      </w:pPr>
      <w:r>
        <w:rPr>
          <w:color w:val="000000"/>
        </w:rPr>
        <w:t>Refiners must submit the Calculation of Excess Refining Capacity form to the BLM upon entering into a new storage contract, and annually on July 1 of each year, prior to the BLM’s annual helium auction.  The form requires the following information:</w:t>
      </w:r>
    </w:p>
    <w:p w14:paraId="66AAD5ED" w14:textId="77777777" w:rsidR="004304C2" w:rsidRDefault="004304C2" w:rsidP="004304C2">
      <w:pPr>
        <w:widowControl/>
        <w:tabs>
          <w:tab w:val="left" w:pos="360"/>
        </w:tabs>
        <w:autoSpaceDE/>
        <w:autoSpaceDN/>
        <w:adjustRightInd/>
        <w:rPr>
          <w:color w:val="000000"/>
        </w:rPr>
      </w:pPr>
    </w:p>
    <w:p w14:paraId="42DDC335" w14:textId="77777777" w:rsidR="004304C2" w:rsidRDefault="004304C2" w:rsidP="004304C2">
      <w:pPr>
        <w:pStyle w:val="ListParagraph"/>
        <w:widowControl/>
        <w:numPr>
          <w:ilvl w:val="0"/>
          <w:numId w:val="11"/>
        </w:numPr>
        <w:autoSpaceDE/>
        <w:autoSpaceDN/>
        <w:adjustRightInd/>
        <w:ind w:left="360"/>
        <w:rPr>
          <w:color w:val="000000"/>
        </w:rPr>
      </w:pPr>
      <w:r>
        <w:rPr>
          <w:color w:val="000000"/>
        </w:rPr>
        <w:t>Fiscal Year.  The BLM needs this information in order to verify the timeliness of the report.</w:t>
      </w:r>
    </w:p>
    <w:p w14:paraId="5096A77D" w14:textId="77777777" w:rsidR="004304C2" w:rsidRDefault="004304C2" w:rsidP="004304C2">
      <w:pPr>
        <w:pStyle w:val="ListParagraph"/>
        <w:widowControl/>
        <w:autoSpaceDE/>
        <w:autoSpaceDN/>
        <w:adjustRightInd/>
        <w:ind w:left="360"/>
        <w:rPr>
          <w:color w:val="000000"/>
        </w:rPr>
      </w:pPr>
    </w:p>
    <w:p w14:paraId="3EA43B14" w14:textId="77777777" w:rsidR="004304C2" w:rsidRDefault="004304C2" w:rsidP="004304C2">
      <w:pPr>
        <w:pStyle w:val="ListParagraph"/>
        <w:widowControl/>
        <w:numPr>
          <w:ilvl w:val="0"/>
          <w:numId w:val="11"/>
        </w:numPr>
        <w:autoSpaceDE/>
        <w:autoSpaceDN/>
        <w:adjustRightInd/>
        <w:ind w:left="360"/>
        <w:rPr>
          <w:color w:val="000000"/>
        </w:rPr>
      </w:pPr>
      <w:r>
        <w:rPr>
          <w:color w:val="000000"/>
        </w:rPr>
        <w:t>The following volumes, reported in standard cubic feet per year:</w:t>
      </w:r>
    </w:p>
    <w:p w14:paraId="3D7B51D9" w14:textId="77777777" w:rsidR="004304C2" w:rsidRPr="00D63642" w:rsidRDefault="004304C2" w:rsidP="004304C2">
      <w:pPr>
        <w:pStyle w:val="ListParagraph"/>
        <w:rPr>
          <w:color w:val="000000"/>
        </w:rPr>
      </w:pPr>
    </w:p>
    <w:p w14:paraId="3EFFB4AB" w14:textId="77777777" w:rsidR="004304C2" w:rsidRDefault="004304C2" w:rsidP="004304C2">
      <w:pPr>
        <w:pStyle w:val="ListParagraph"/>
        <w:widowControl/>
        <w:numPr>
          <w:ilvl w:val="0"/>
          <w:numId w:val="12"/>
        </w:numPr>
        <w:autoSpaceDE/>
        <w:autoSpaceDN/>
        <w:adjustRightInd/>
        <w:rPr>
          <w:color w:val="000000"/>
        </w:rPr>
      </w:pPr>
      <w:r>
        <w:rPr>
          <w:color w:val="000000"/>
        </w:rPr>
        <w:t>Operational Refining Capacity, i.e., the total capacity available to refine crude helium including capacity that could reasonably be put into operation for the forecasted fiscal year.</w:t>
      </w:r>
    </w:p>
    <w:p w14:paraId="72C2DEDB" w14:textId="77777777" w:rsidR="004304C2" w:rsidRDefault="004304C2" w:rsidP="004304C2">
      <w:pPr>
        <w:pStyle w:val="ListParagraph"/>
        <w:widowControl/>
        <w:autoSpaceDE/>
        <w:autoSpaceDN/>
        <w:adjustRightInd/>
        <w:rPr>
          <w:color w:val="000000"/>
        </w:rPr>
      </w:pPr>
    </w:p>
    <w:p w14:paraId="38EC767D" w14:textId="25D7F045" w:rsidR="004304C2" w:rsidRPr="004339F0" w:rsidRDefault="004447E5" w:rsidP="004304C2">
      <w:pPr>
        <w:pStyle w:val="ListParagraph"/>
        <w:widowControl/>
        <w:numPr>
          <w:ilvl w:val="0"/>
          <w:numId w:val="12"/>
        </w:numPr>
        <w:autoSpaceDE/>
        <w:autoSpaceDN/>
        <w:adjustRightInd/>
        <w:rPr>
          <w:color w:val="000000"/>
        </w:rPr>
      </w:pPr>
      <w:r>
        <w:rPr>
          <w:color w:val="000000"/>
        </w:rPr>
        <w:t>Planned</w:t>
      </w:r>
      <w:r w:rsidR="004304C2" w:rsidRPr="004339F0">
        <w:rPr>
          <w:color w:val="000000"/>
        </w:rPr>
        <w:t xml:space="preserve"> Crude Helium Demand, i.e., the </w:t>
      </w:r>
      <w:r>
        <w:rPr>
          <w:color w:val="000000"/>
        </w:rPr>
        <w:t xml:space="preserve">planned </w:t>
      </w:r>
      <w:r w:rsidR="004304C2" w:rsidRPr="004339F0">
        <w:rPr>
          <w:color w:val="000000"/>
        </w:rPr>
        <w:t>demand for all crude helium to be processed by the helium refiner, including crude helium from the Federal Helium System, as well as from all other sources.</w:t>
      </w:r>
    </w:p>
    <w:p w14:paraId="628A67DC" w14:textId="77777777" w:rsidR="004304C2" w:rsidRDefault="004304C2" w:rsidP="004304C2">
      <w:pPr>
        <w:pStyle w:val="ListParagraph"/>
        <w:widowControl/>
        <w:autoSpaceDE/>
        <w:autoSpaceDN/>
        <w:adjustRightInd/>
        <w:rPr>
          <w:color w:val="000000"/>
        </w:rPr>
      </w:pPr>
    </w:p>
    <w:p w14:paraId="72BF4394" w14:textId="77777777" w:rsidR="004304C2" w:rsidRDefault="004304C2" w:rsidP="004304C2">
      <w:pPr>
        <w:pStyle w:val="ListParagraph"/>
        <w:widowControl/>
        <w:numPr>
          <w:ilvl w:val="0"/>
          <w:numId w:val="12"/>
        </w:numPr>
        <w:autoSpaceDE/>
        <w:autoSpaceDN/>
        <w:adjustRightInd/>
        <w:rPr>
          <w:color w:val="000000"/>
        </w:rPr>
      </w:pPr>
      <w:r>
        <w:rPr>
          <w:color w:val="000000"/>
        </w:rPr>
        <w:t>Excess Refining Capacity, i.e., the reported total refining capacity of the refiner, minus the volume of forecasted demand for a particular fiscal year.</w:t>
      </w:r>
    </w:p>
    <w:p w14:paraId="2E906ABF" w14:textId="77777777" w:rsidR="004304C2" w:rsidRPr="004339F0" w:rsidRDefault="004304C2" w:rsidP="004304C2">
      <w:pPr>
        <w:pStyle w:val="ListParagraph"/>
        <w:rPr>
          <w:color w:val="000000"/>
        </w:rPr>
      </w:pPr>
    </w:p>
    <w:p w14:paraId="755BDD1A" w14:textId="77777777" w:rsidR="004304C2" w:rsidRPr="004339F0" w:rsidRDefault="004304C2" w:rsidP="004304C2">
      <w:pPr>
        <w:pStyle w:val="ListParagraph"/>
        <w:widowControl/>
        <w:numPr>
          <w:ilvl w:val="0"/>
          <w:numId w:val="11"/>
        </w:numPr>
        <w:autoSpaceDE/>
        <w:autoSpaceDN/>
        <w:adjustRightInd/>
        <w:ind w:left="360"/>
        <w:rPr>
          <w:color w:val="000000"/>
        </w:rPr>
      </w:pPr>
      <w:r>
        <w:rPr>
          <w:color w:val="000000"/>
        </w:rPr>
        <w:t>The name of the company, the name and title of the authorized agent, telephone number, email, signature, and date.</w:t>
      </w:r>
    </w:p>
    <w:p w14:paraId="603E25BB" w14:textId="77777777" w:rsidR="004304C2" w:rsidRPr="004339F0" w:rsidRDefault="004304C2" w:rsidP="004304C2">
      <w:pPr>
        <w:pStyle w:val="ListParagraph"/>
        <w:rPr>
          <w:color w:val="000000"/>
        </w:rPr>
      </w:pPr>
    </w:p>
    <w:p w14:paraId="4B3A575E" w14:textId="77777777" w:rsidR="004304C2" w:rsidRDefault="004304C2" w:rsidP="004304C2">
      <w:pPr>
        <w:widowControl/>
        <w:autoSpaceDE/>
        <w:autoSpaceDN/>
        <w:adjustRightInd/>
        <w:rPr>
          <w:color w:val="000000"/>
        </w:rPr>
      </w:pPr>
      <w:r>
        <w:rPr>
          <w:color w:val="000000"/>
        </w:rPr>
        <w:t>The BLM needs this information in order to determine the availability of excess refining capacity and to determine whether or not each refiner has complied with its obligation to submit data on excess refining capacity.</w:t>
      </w:r>
    </w:p>
    <w:p w14:paraId="18368239" w14:textId="77777777" w:rsidR="004304C2" w:rsidRDefault="004304C2" w:rsidP="004304C2">
      <w:pPr>
        <w:widowControl/>
        <w:autoSpaceDE/>
        <w:autoSpaceDN/>
        <w:adjustRightInd/>
        <w:rPr>
          <w:color w:val="000000"/>
        </w:rPr>
      </w:pPr>
    </w:p>
    <w:p w14:paraId="7E2E8CB6" w14:textId="77777777" w:rsidR="004304C2" w:rsidRPr="006A49B0" w:rsidRDefault="004304C2" w:rsidP="004304C2">
      <w:pPr>
        <w:widowControl/>
        <w:tabs>
          <w:tab w:val="left" w:pos="360"/>
        </w:tabs>
        <w:autoSpaceDE/>
        <w:autoSpaceDN/>
        <w:adjustRightInd/>
        <w:rPr>
          <w:b/>
          <w:color w:val="000000"/>
        </w:rPr>
      </w:pPr>
      <w:r>
        <w:rPr>
          <w:b/>
          <w:color w:val="000000"/>
        </w:rPr>
        <w:t>Refiner’s Annual Tolling Report and Refiners’ Tolling Occurrence Report</w:t>
      </w:r>
    </w:p>
    <w:p w14:paraId="5AD9114F" w14:textId="77777777" w:rsidR="004304C2" w:rsidRDefault="004304C2" w:rsidP="004304C2">
      <w:pPr>
        <w:widowControl/>
        <w:tabs>
          <w:tab w:val="left" w:pos="360"/>
        </w:tabs>
        <w:autoSpaceDE/>
        <w:autoSpaceDN/>
        <w:adjustRightInd/>
        <w:rPr>
          <w:color w:val="000000"/>
        </w:rPr>
      </w:pPr>
    </w:p>
    <w:p w14:paraId="5479F2D1" w14:textId="2CE54794" w:rsidR="004304C2" w:rsidRDefault="00EF4AAB" w:rsidP="004304C2">
      <w:pPr>
        <w:widowControl/>
        <w:tabs>
          <w:tab w:val="left" w:pos="360"/>
        </w:tabs>
        <w:autoSpaceDE/>
        <w:autoSpaceDN/>
        <w:adjustRightInd/>
        <w:rPr>
          <w:lang w:val="en"/>
        </w:rPr>
      </w:pPr>
      <w:r>
        <w:rPr>
          <w:lang w:val="en"/>
        </w:rPr>
        <w:t>T</w:t>
      </w:r>
      <w:r w:rsidR="004304C2">
        <w:rPr>
          <w:lang w:val="en"/>
        </w:rPr>
        <w:t xml:space="preserve">he </w:t>
      </w:r>
      <w:r w:rsidR="004304C2">
        <w:rPr>
          <w:color w:val="000000"/>
        </w:rPr>
        <w:t xml:space="preserve">BLM will monitor </w:t>
      </w:r>
      <w:r w:rsidR="004304C2">
        <w:rPr>
          <w:lang w:val="en"/>
        </w:rPr>
        <w:t>the practices of helium refiners processing or refining another party’s helium at an agreed-upon price</w:t>
      </w:r>
      <w:r>
        <w:rPr>
          <w:lang w:val="en"/>
        </w:rPr>
        <w:t xml:space="preserve"> through two additional collection activities</w:t>
      </w:r>
      <w:r w:rsidR="004304C2">
        <w:rPr>
          <w:lang w:val="en"/>
        </w:rPr>
        <w:t>.</w:t>
      </w:r>
      <w:r>
        <w:rPr>
          <w:lang w:val="en"/>
        </w:rPr>
        <w:t xml:space="preserve">  These collection activities will help to meet the </w:t>
      </w:r>
      <w:r>
        <w:rPr>
          <w:color w:val="000000"/>
        </w:rPr>
        <w:t xml:space="preserve">2013 Act’s requirement to </w:t>
      </w:r>
      <w:r w:rsidRPr="00212CD8">
        <w:rPr>
          <w:lang w:val="en"/>
        </w:rPr>
        <w:t xml:space="preserve">make excess refining capacity available at commercially </w:t>
      </w:r>
      <w:r w:rsidRPr="00791DA0">
        <w:rPr>
          <w:lang w:val="en"/>
        </w:rPr>
        <w:t>reasonable rate</w:t>
      </w:r>
      <w:r>
        <w:rPr>
          <w:lang w:val="en"/>
        </w:rPr>
        <w:t xml:space="preserve">.  This </w:t>
      </w:r>
      <w:r w:rsidR="004304C2">
        <w:rPr>
          <w:lang w:val="en"/>
        </w:rPr>
        <w:t>practice is referred to as “tolling.”</w:t>
      </w:r>
    </w:p>
    <w:p w14:paraId="65652413" w14:textId="77777777" w:rsidR="004304C2" w:rsidRDefault="004304C2" w:rsidP="004304C2">
      <w:pPr>
        <w:widowControl/>
        <w:tabs>
          <w:tab w:val="left" w:pos="360"/>
        </w:tabs>
        <w:autoSpaceDE/>
        <w:autoSpaceDN/>
        <w:adjustRightInd/>
        <w:rPr>
          <w:lang w:val="en"/>
        </w:rPr>
      </w:pPr>
    </w:p>
    <w:p w14:paraId="7425D92C" w14:textId="354C0430" w:rsidR="004304C2" w:rsidRDefault="004304C2" w:rsidP="004304C2">
      <w:pPr>
        <w:widowControl/>
        <w:tabs>
          <w:tab w:val="left" w:pos="360"/>
        </w:tabs>
        <w:autoSpaceDE/>
        <w:autoSpaceDN/>
        <w:adjustRightInd/>
        <w:rPr>
          <w:color w:val="000000"/>
        </w:rPr>
      </w:pPr>
      <w:r>
        <w:rPr>
          <w:color w:val="000000"/>
        </w:rPr>
        <w:t>In the Refiners’ Annual Tolling Report, t</w:t>
      </w:r>
      <w:r w:rsidRPr="00212CD8">
        <w:rPr>
          <w:color w:val="000000"/>
        </w:rPr>
        <w:t xml:space="preserve">he BLM will </w:t>
      </w:r>
      <w:r>
        <w:rPr>
          <w:color w:val="000000"/>
        </w:rPr>
        <w:t xml:space="preserve">obtain </w:t>
      </w:r>
      <w:r w:rsidRPr="00212CD8">
        <w:rPr>
          <w:color w:val="000000"/>
        </w:rPr>
        <w:t xml:space="preserve">documentation of the tolling agreements that were entered into between </w:t>
      </w:r>
      <w:r>
        <w:rPr>
          <w:color w:val="000000"/>
        </w:rPr>
        <w:t>the</w:t>
      </w:r>
      <w:r w:rsidRPr="00212CD8">
        <w:rPr>
          <w:color w:val="000000"/>
        </w:rPr>
        <w:t xml:space="preserve"> refiner</w:t>
      </w:r>
      <w:r>
        <w:rPr>
          <w:color w:val="000000"/>
        </w:rPr>
        <w:t>s</w:t>
      </w:r>
      <w:r w:rsidRPr="00212CD8">
        <w:rPr>
          <w:color w:val="000000"/>
        </w:rPr>
        <w:t xml:space="preserve"> and other part</w:t>
      </w:r>
      <w:r>
        <w:rPr>
          <w:color w:val="000000"/>
        </w:rPr>
        <w:t>ies</w:t>
      </w:r>
      <w:r w:rsidRPr="00212CD8">
        <w:rPr>
          <w:color w:val="000000"/>
        </w:rPr>
        <w:t xml:space="preserve"> during the preceding </w:t>
      </w:r>
      <w:r w:rsidRPr="00212CD8">
        <w:rPr>
          <w:color w:val="000000"/>
        </w:rPr>
        <w:lastRenderedPageBreak/>
        <w:t>year.  The refiner</w:t>
      </w:r>
      <w:r>
        <w:rPr>
          <w:color w:val="000000"/>
        </w:rPr>
        <w:t>s</w:t>
      </w:r>
      <w:r w:rsidRPr="00212CD8">
        <w:rPr>
          <w:color w:val="000000"/>
        </w:rPr>
        <w:t xml:space="preserve"> may also take this opportunity to document its attempts to negotiate tolling if they desire.  </w:t>
      </w:r>
      <w:r w:rsidRPr="00AD0014">
        <w:rPr>
          <w:color w:val="000000"/>
        </w:rPr>
        <w:t xml:space="preserve">This information </w:t>
      </w:r>
      <w:r>
        <w:rPr>
          <w:color w:val="000000"/>
        </w:rPr>
        <w:t>will be</w:t>
      </w:r>
      <w:r w:rsidRPr="00AD0014">
        <w:rPr>
          <w:color w:val="000000"/>
        </w:rPr>
        <w:t xml:space="preserve"> due to the BLM annually, within</w:t>
      </w:r>
      <w:r w:rsidR="00DE1D72">
        <w:rPr>
          <w:color w:val="000000"/>
        </w:rPr>
        <w:t xml:space="preserve"> two weeks of the start of the F</w:t>
      </w:r>
      <w:r w:rsidRPr="00AD0014">
        <w:rPr>
          <w:color w:val="000000"/>
        </w:rPr>
        <w:t>ederal fiscal year, by October 14.</w:t>
      </w:r>
    </w:p>
    <w:p w14:paraId="6B0958E1" w14:textId="77777777" w:rsidR="004304C2" w:rsidRDefault="004304C2" w:rsidP="004304C2">
      <w:pPr>
        <w:widowControl/>
        <w:tabs>
          <w:tab w:val="left" w:pos="360"/>
        </w:tabs>
        <w:autoSpaceDE/>
        <w:autoSpaceDN/>
        <w:adjustRightInd/>
        <w:rPr>
          <w:color w:val="000000"/>
        </w:rPr>
      </w:pPr>
    </w:p>
    <w:p w14:paraId="60A39F28" w14:textId="77777777" w:rsidR="004304C2" w:rsidRDefault="004304C2" w:rsidP="004304C2">
      <w:pPr>
        <w:widowControl/>
        <w:tabs>
          <w:tab w:val="left" w:pos="360"/>
        </w:tabs>
        <w:autoSpaceDE/>
        <w:autoSpaceDN/>
        <w:adjustRightInd/>
        <w:rPr>
          <w:color w:val="000000"/>
        </w:rPr>
      </w:pPr>
      <w:r>
        <w:rPr>
          <w:color w:val="000000"/>
        </w:rPr>
        <w:t>The Refiner’s Annual Tolling Report requires the following information:</w:t>
      </w:r>
    </w:p>
    <w:p w14:paraId="001D9F45" w14:textId="77777777" w:rsidR="004304C2" w:rsidRDefault="004304C2" w:rsidP="004304C2">
      <w:pPr>
        <w:widowControl/>
        <w:tabs>
          <w:tab w:val="left" w:pos="360"/>
        </w:tabs>
        <w:autoSpaceDE/>
        <w:autoSpaceDN/>
        <w:adjustRightInd/>
        <w:rPr>
          <w:color w:val="000000"/>
        </w:rPr>
      </w:pPr>
    </w:p>
    <w:p w14:paraId="0B73D676" w14:textId="77777777" w:rsidR="004304C2" w:rsidRDefault="004304C2" w:rsidP="004304C2">
      <w:pPr>
        <w:pStyle w:val="ListParagraph"/>
        <w:widowControl/>
        <w:numPr>
          <w:ilvl w:val="0"/>
          <w:numId w:val="13"/>
        </w:numPr>
        <w:autoSpaceDE/>
        <w:autoSpaceDN/>
        <w:adjustRightInd/>
        <w:ind w:left="360"/>
        <w:rPr>
          <w:color w:val="000000"/>
        </w:rPr>
      </w:pPr>
      <w:r>
        <w:rPr>
          <w:color w:val="000000"/>
        </w:rPr>
        <w:t>Fiscal Year.  The BLM needs this information in order to verify the timeliness of the report.</w:t>
      </w:r>
    </w:p>
    <w:p w14:paraId="75F72FC7" w14:textId="77777777" w:rsidR="004304C2" w:rsidRDefault="004304C2" w:rsidP="004304C2">
      <w:pPr>
        <w:pStyle w:val="ListParagraph"/>
        <w:widowControl/>
        <w:autoSpaceDE/>
        <w:autoSpaceDN/>
        <w:adjustRightInd/>
        <w:ind w:left="360"/>
        <w:rPr>
          <w:color w:val="000000"/>
        </w:rPr>
      </w:pPr>
    </w:p>
    <w:p w14:paraId="26F0D561" w14:textId="77777777" w:rsidR="004304C2" w:rsidRDefault="004304C2" w:rsidP="004304C2">
      <w:pPr>
        <w:pStyle w:val="ListParagraph"/>
        <w:widowControl/>
        <w:numPr>
          <w:ilvl w:val="0"/>
          <w:numId w:val="13"/>
        </w:numPr>
        <w:autoSpaceDE/>
        <w:autoSpaceDN/>
        <w:adjustRightInd/>
        <w:ind w:left="360"/>
        <w:rPr>
          <w:color w:val="000000"/>
        </w:rPr>
      </w:pPr>
      <w:r>
        <w:rPr>
          <w:color w:val="000000"/>
        </w:rPr>
        <w:t>Company.  The BLM needs this information in order to identify the refiner.</w:t>
      </w:r>
    </w:p>
    <w:p w14:paraId="0036AAC1" w14:textId="77777777" w:rsidR="004304C2" w:rsidRPr="004263C8" w:rsidRDefault="004304C2" w:rsidP="004304C2">
      <w:pPr>
        <w:pStyle w:val="ListParagraph"/>
        <w:rPr>
          <w:color w:val="000000"/>
        </w:rPr>
      </w:pPr>
    </w:p>
    <w:p w14:paraId="4C4170A6" w14:textId="77777777" w:rsidR="004304C2" w:rsidRDefault="004304C2" w:rsidP="004304C2">
      <w:pPr>
        <w:pStyle w:val="ListParagraph"/>
        <w:widowControl/>
        <w:numPr>
          <w:ilvl w:val="0"/>
          <w:numId w:val="13"/>
        </w:numPr>
        <w:autoSpaceDE/>
        <w:autoSpaceDN/>
        <w:adjustRightInd/>
        <w:ind w:left="360"/>
        <w:rPr>
          <w:color w:val="000000"/>
        </w:rPr>
      </w:pPr>
      <w:r>
        <w:rPr>
          <w:color w:val="000000"/>
        </w:rPr>
        <w:t>Date Tolling Agreement Signed:  The BLM needs this information in order to verify that the identified agreement was signed during the time covered by the report.</w:t>
      </w:r>
    </w:p>
    <w:p w14:paraId="058B758A" w14:textId="77777777" w:rsidR="004304C2" w:rsidRPr="002A780E" w:rsidRDefault="004304C2" w:rsidP="004304C2">
      <w:pPr>
        <w:pStyle w:val="ListParagraph"/>
        <w:rPr>
          <w:color w:val="000000"/>
        </w:rPr>
      </w:pPr>
    </w:p>
    <w:p w14:paraId="5228D9D7" w14:textId="77777777" w:rsidR="004304C2" w:rsidRDefault="004304C2" w:rsidP="004304C2">
      <w:pPr>
        <w:pStyle w:val="ListParagraph"/>
        <w:widowControl/>
        <w:numPr>
          <w:ilvl w:val="0"/>
          <w:numId w:val="13"/>
        </w:numPr>
        <w:autoSpaceDE/>
        <w:autoSpaceDN/>
        <w:adjustRightInd/>
        <w:ind w:left="360"/>
        <w:rPr>
          <w:color w:val="000000"/>
        </w:rPr>
      </w:pPr>
      <w:r>
        <w:rPr>
          <w:color w:val="000000"/>
        </w:rPr>
        <w:t>Volume:  The BLM will use this information as a factor in determining whether or not the rate charged was commercially reasonable.</w:t>
      </w:r>
    </w:p>
    <w:p w14:paraId="0439FB7B" w14:textId="77777777" w:rsidR="004304C2" w:rsidRPr="002A780E" w:rsidRDefault="004304C2" w:rsidP="004304C2">
      <w:pPr>
        <w:pStyle w:val="ListParagraph"/>
        <w:rPr>
          <w:color w:val="000000"/>
        </w:rPr>
      </w:pPr>
    </w:p>
    <w:p w14:paraId="3F714027" w14:textId="77777777" w:rsidR="004304C2" w:rsidRDefault="004304C2" w:rsidP="004304C2">
      <w:pPr>
        <w:pStyle w:val="ListParagraph"/>
        <w:widowControl/>
        <w:numPr>
          <w:ilvl w:val="0"/>
          <w:numId w:val="13"/>
        </w:numPr>
        <w:autoSpaceDE/>
        <w:autoSpaceDN/>
        <w:adjustRightInd/>
        <w:ind w:left="360"/>
        <w:rPr>
          <w:color w:val="000000"/>
        </w:rPr>
      </w:pPr>
      <w:r>
        <w:rPr>
          <w:color w:val="000000"/>
        </w:rPr>
        <w:t>Price per Mcf:  The BLM will use this information as a factor in determining whether or not the rate charged was commercially reasonable.</w:t>
      </w:r>
    </w:p>
    <w:p w14:paraId="76B6E0EC" w14:textId="77777777" w:rsidR="004304C2" w:rsidRPr="002A780E" w:rsidRDefault="004304C2" w:rsidP="004304C2">
      <w:pPr>
        <w:pStyle w:val="ListParagraph"/>
        <w:rPr>
          <w:color w:val="000000"/>
        </w:rPr>
      </w:pPr>
    </w:p>
    <w:p w14:paraId="60DFA5E2" w14:textId="77777777" w:rsidR="004304C2" w:rsidRDefault="004304C2" w:rsidP="004304C2">
      <w:pPr>
        <w:pStyle w:val="ListParagraph"/>
        <w:widowControl/>
        <w:numPr>
          <w:ilvl w:val="0"/>
          <w:numId w:val="13"/>
        </w:numPr>
        <w:autoSpaceDE/>
        <w:autoSpaceDN/>
        <w:adjustRightInd/>
        <w:ind w:left="360"/>
        <w:rPr>
          <w:color w:val="000000"/>
        </w:rPr>
      </w:pPr>
      <w:r>
        <w:rPr>
          <w:color w:val="000000"/>
        </w:rPr>
        <w:t xml:space="preserve">Delivery Period:  The BLM will use this information as a factor in determining whether or not the rate charged was commercially reasonable. </w:t>
      </w:r>
    </w:p>
    <w:p w14:paraId="7EEBBB85" w14:textId="77777777" w:rsidR="004304C2" w:rsidRPr="00E36C93" w:rsidRDefault="004304C2" w:rsidP="004304C2">
      <w:pPr>
        <w:pStyle w:val="ListParagraph"/>
        <w:widowControl/>
        <w:autoSpaceDE/>
        <w:autoSpaceDN/>
        <w:adjustRightInd/>
        <w:ind w:left="360"/>
        <w:rPr>
          <w:color w:val="000000"/>
        </w:rPr>
      </w:pPr>
    </w:p>
    <w:p w14:paraId="3485D727" w14:textId="77777777" w:rsidR="004304C2" w:rsidRDefault="004304C2" w:rsidP="004304C2">
      <w:pPr>
        <w:widowControl/>
        <w:tabs>
          <w:tab w:val="left" w:pos="360"/>
        </w:tabs>
        <w:autoSpaceDE/>
        <w:autoSpaceDN/>
        <w:adjustRightInd/>
        <w:rPr>
          <w:color w:val="000000"/>
        </w:rPr>
      </w:pPr>
      <w:r w:rsidRPr="002A780E">
        <w:rPr>
          <w:color w:val="000000"/>
        </w:rPr>
        <w:t>In the Refiners’ Tolling Occurrence Report</w:t>
      </w:r>
      <w:r>
        <w:rPr>
          <w:color w:val="000000"/>
        </w:rPr>
        <w:t xml:space="preserve">, the BLM will </w:t>
      </w:r>
      <w:r w:rsidRPr="00791DA0">
        <w:rPr>
          <w:color w:val="000000"/>
        </w:rPr>
        <w:t>collect information throughout the year whenever a refiner enters into a tolling agreement with another party.</w:t>
      </w:r>
      <w:r>
        <w:rPr>
          <w:color w:val="000000"/>
        </w:rPr>
        <w:t xml:space="preserve"> This will allow the BLM to anticipate the delivery of helium, and monitor compliance with the Act regarding excess refining capacity.  </w:t>
      </w:r>
      <w:r w:rsidRPr="00791DA0">
        <w:rPr>
          <w:color w:val="000000"/>
        </w:rPr>
        <w:t xml:space="preserve">This information </w:t>
      </w:r>
      <w:r>
        <w:rPr>
          <w:color w:val="000000"/>
        </w:rPr>
        <w:t>will be due to the BLM within two</w:t>
      </w:r>
      <w:r w:rsidRPr="00791DA0">
        <w:rPr>
          <w:color w:val="000000"/>
        </w:rPr>
        <w:t xml:space="preserve"> weeks of entry into a tolling agreement.</w:t>
      </w:r>
    </w:p>
    <w:p w14:paraId="0D9BB422" w14:textId="77777777" w:rsidR="004304C2" w:rsidRDefault="004304C2" w:rsidP="004304C2">
      <w:pPr>
        <w:widowControl/>
        <w:tabs>
          <w:tab w:val="left" w:pos="360"/>
        </w:tabs>
        <w:autoSpaceDE/>
        <w:autoSpaceDN/>
        <w:adjustRightInd/>
        <w:rPr>
          <w:color w:val="000000"/>
        </w:rPr>
      </w:pPr>
    </w:p>
    <w:p w14:paraId="295A4256" w14:textId="77777777" w:rsidR="004304C2" w:rsidRDefault="004304C2" w:rsidP="004304C2">
      <w:pPr>
        <w:widowControl/>
        <w:tabs>
          <w:tab w:val="left" w:pos="360"/>
        </w:tabs>
        <w:autoSpaceDE/>
        <w:autoSpaceDN/>
        <w:adjustRightInd/>
        <w:rPr>
          <w:color w:val="000000"/>
        </w:rPr>
      </w:pPr>
      <w:r>
        <w:rPr>
          <w:color w:val="000000"/>
        </w:rPr>
        <w:t>The</w:t>
      </w:r>
      <w:r w:rsidRPr="002A780E">
        <w:rPr>
          <w:color w:val="000000"/>
        </w:rPr>
        <w:t xml:space="preserve"> Refiners’ Tolling Occurrence Report</w:t>
      </w:r>
      <w:r>
        <w:rPr>
          <w:color w:val="000000"/>
        </w:rPr>
        <w:t xml:space="preserve"> requires the following information:</w:t>
      </w:r>
    </w:p>
    <w:p w14:paraId="06AFA9BF" w14:textId="77777777" w:rsidR="004304C2" w:rsidRDefault="004304C2" w:rsidP="004304C2">
      <w:pPr>
        <w:widowControl/>
        <w:tabs>
          <w:tab w:val="left" w:pos="360"/>
        </w:tabs>
        <w:autoSpaceDE/>
        <w:autoSpaceDN/>
        <w:adjustRightInd/>
        <w:rPr>
          <w:color w:val="000000"/>
        </w:rPr>
      </w:pPr>
    </w:p>
    <w:p w14:paraId="042FECA0"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t>Fiscal Year.  The BLM needs this information in order to verify the timeliness of the report.</w:t>
      </w:r>
    </w:p>
    <w:p w14:paraId="3D9579F0" w14:textId="77777777" w:rsidR="00A51979" w:rsidRDefault="00A51979" w:rsidP="00AC1438">
      <w:pPr>
        <w:pStyle w:val="ListParagraph"/>
        <w:widowControl/>
        <w:autoSpaceDE/>
        <w:autoSpaceDN/>
        <w:adjustRightInd/>
        <w:ind w:left="0"/>
        <w:rPr>
          <w:color w:val="000000"/>
        </w:rPr>
      </w:pPr>
    </w:p>
    <w:p w14:paraId="2A73AE6D"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t>Company.  The BLM needs this information in order to identify the refiner.</w:t>
      </w:r>
    </w:p>
    <w:p w14:paraId="32F754F4" w14:textId="77777777" w:rsidR="00A51979" w:rsidRPr="004263C8" w:rsidRDefault="00A51979" w:rsidP="00AC1438">
      <w:pPr>
        <w:pStyle w:val="ListParagraph"/>
        <w:ind w:left="360"/>
        <w:rPr>
          <w:color w:val="000000"/>
        </w:rPr>
      </w:pPr>
    </w:p>
    <w:p w14:paraId="5582E7CF"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t>Date Tolling Agreement Signed:  The BLM needs this information in order to verify that the identified agreement was signed during the time covered by the report.</w:t>
      </w:r>
    </w:p>
    <w:p w14:paraId="1A03E1DE" w14:textId="77777777" w:rsidR="00A51979" w:rsidRPr="002A780E" w:rsidRDefault="00A51979" w:rsidP="00AC1438">
      <w:pPr>
        <w:pStyle w:val="ListParagraph"/>
        <w:ind w:left="360"/>
        <w:rPr>
          <w:color w:val="000000"/>
        </w:rPr>
      </w:pPr>
    </w:p>
    <w:p w14:paraId="21FCCA2E"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t>Volume:  The BLM will use this information as a factor in determining whether or not the rate charged was commercially reasonable.</w:t>
      </w:r>
    </w:p>
    <w:p w14:paraId="79E519F4" w14:textId="77777777" w:rsidR="00A51979" w:rsidRPr="002A780E" w:rsidRDefault="00A51979" w:rsidP="00AC1438">
      <w:pPr>
        <w:pStyle w:val="ListParagraph"/>
        <w:ind w:left="360"/>
        <w:rPr>
          <w:color w:val="000000"/>
        </w:rPr>
      </w:pPr>
    </w:p>
    <w:p w14:paraId="65219E46"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t>Price per Mcf:  The BLM will use this information as a factor in determining whether or not the rate charged was commercially reasonable.</w:t>
      </w:r>
    </w:p>
    <w:p w14:paraId="55C1CE5A" w14:textId="77777777" w:rsidR="00A51979" w:rsidRPr="002A780E" w:rsidRDefault="00A51979" w:rsidP="00AC1438">
      <w:pPr>
        <w:pStyle w:val="ListParagraph"/>
        <w:ind w:left="360"/>
        <w:rPr>
          <w:color w:val="000000"/>
        </w:rPr>
      </w:pPr>
    </w:p>
    <w:p w14:paraId="07163441" w14:textId="77777777" w:rsidR="00A51979" w:rsidRPr="00AC1438" w:rsidRDefault="00A51979" w:rsidP="00AC1438">
      <w:pPr>
        <w:pStyle w:val="ListParagraph"/>
        <w:widowControl/>
        <w:numPr>
          <w:ilvl w:val="0"/>
          <w:numId w:val="15"/>
        </w:numPr>
        <w:autoSpaceDE/>
        <w:autoSpaceDN/>
        <w:adjustRightInd/>
        <w:ind w:left="360"/>
        <w:rPr>
          <w:color w:val="000000"/>
        </w:rPr>
      </w:pPr>
      <w:r w:rsidRPr="00AC1438">
        <w:rPr>
          <w:color w:val="000000"/>
        </w:rPr>
        <w:lastRenderedPageBreak/>
        <w:t xml:space="preserve">Delivery Period:  The BLM will use this information as a factor in determining whether or not the rate charged was commercially reasonable. </w:t>
      </w:r>
    </w:p>
    <w:p w14:paraId="79DF681E" w14:textId="77777777" w:rsidR="00A51979" w:rsidRPr="00E36C93" w:rsidRDefault="00A51979" w:rsidP="00A51979">
      <w:pPr>
        <w:pStyle w:val="ListParagraph"/>
        <w:widowControl/>
        <w:autoSpaceDE/>
        <w:autoSpaceDN/>
        <w:adjustRightInd/>
        <w:ind w:left="360"/>
        <w:rPr>
          <w:color w:val="000000"/>
        </w:rPr>
      </w:pPr>
    </w:p>
    <w:p w14:paraId="2F310C18" w14:textId="77777777" w:rsidR="00653A33" w:rsidRDefault="00653A33"/>
    <w:p w14:paraId="07A9CF76" w14:textId="77777777" w:rsidR="000253B0" w:rsidRPr="009779C1" w:rsidRDefault="009779C1" w:rsidP="009779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9779C1">
        <w:rPr>
          <w:b/>
        </w:rPr>
        <w:t>3.</w:t>
      </w:r>
      <w:r w:rsidRPr="009779C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8889412" w14:textId="77777777" w:rsidR="009779C1" w:rsidRDefault="009779C1" w:rsidP="008449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AA544D7" w14:textId="77777777" w:rsidR="00C876EB" w:rsidRPr="008D21C9" w:rsidRDefault="009122F2" w:rsidP="00C876EB">
      <w:pPr>
        <w:tabs>
          <w:tab w:val="left" w:pos="360"/>
          <w:tab w:val="left" w:pos="1296"/>
          <w:tab w:val="left" w:pos="2016"/>
        </w:tabs>
      </w:pPr>
      <w:r w:rsidRPr="008D21C9">
        <w:t xml:space="preserve">In-Kind: </w:t>
      </w:r>
      <w:r w:rsidR="000253B0" w:rsidRPr="008D21C9">
        <w:t xml:space="preserve">In accordance with the Government Paperwork Elimination Act (GPEA), </w:t>
      </w:r>
      <w:r w:rsidR="00B025C4" w:rsidRPr="008D21C9">
        <w:t>In-Kind Helium Sales Contractors</w:t>
      </w:r>
      <w:r w:rsidR="007F6AD2" w:rsidRPr="003466EA">
        <w:t xml:space="preserve"> may</w:t>
      </w:r>
      <w:r w:rsidR="00B025C4" w:rsidRPr="003466EA">
        <w:t>, and usually do,</w:t>
      </w:r>
      <w:r w:rsidR="007F6AD2" w:rsidRPr="003466EA">
        <w:t xml:space="preserve"> </w:t>
      </w:r>
      <w:r w:rsidR="00882F8F" w:rsidRPr="003466EA">
        <w:t xml:space="preserve">submit </w:t>
      </w:r>
      <w:r w:rsidR="007F6AD2" w:rsidRPr="003466EA">
        <w:t xml:space="preserve">electronically the </w:t>
      </w:r>
      <w:r w:rsidR="00882F8F" w:rsidRPr="003466EA">
        <w:t xml:space="preserve">documentation </w:t>
      </w:r>
      <w:r w:rsidR="007F6AD2" w:rsidRPr="003466EA">
        <w:t>that is required t</w:t>
      </w:r>
      <w:r w:rsidR="00C876EB" w:rsidRPr="003466EA">
        <w:t>o fulfill the obligations of the In-Kind Crude Helium Sales Contract</w:t>
      </w:r>
      <w:r w:rsidR="007F6AD2" w:rsidRPr="008D21C9">
        <w:t>.</w:t>
      </w:r>
      <w:r w:rsidR="008D21C9">
        <w:t xml:space="preserve"> The BLM has created a form for this purpose.</w:t>
      </w:r>
    </w:p>
    <w:p w14:paraId="414EBED4" w14:textId="77777777" w:rsidR="00AA1926" w:rsidRPr="008D21C9" w:rsidRDefault="00AA1926" w:rsidP="00C876EB">
      <w:pPr>
        <w:tabs>
          <w:tab w:val="left" w:pos="360"/>
          <w:tab w:val="left" w:pos="1296"/>
          <w:tab w:val="left" w:pos="2016"/>
        </w:tabs>
      </w:pPr>
    </w:p>
    <w:p w14:paraId="04FB92E0" w14:textId="77777777" w:rsidR="008D21C9" w:rsidRDefault="009122F2" w:rsidP="00123C3F">
      <w:pPr>
        <w:pStyle w:val="EndnoteText"/>
        <w:tabs>
          <w:tab w:val="left" w:pos="6405"/>
        </w:tabs>
        <w:spacing w:line="240" w:lineRule="auto"/>
        <w:rPr>
          <w:rFonts w:ascii="Times New Roman" w:hAnsi="Times New Roman"/>
          <w:sz w:val="24"/>
          <w:szCs w:val="24"/>
        </w:rPr>
      </w:pPr>
      <w:r w:rsidRPr="008D21C9">
        <w:rPr>
          <w:rFonts w:ascii="Times New Roman" w:hAnsi="Times New Roman"/>
          <w:sz w:val="24"/>
          <w:szCs w:val="24"/>
        </w:rPr>
        <w:t xml:space="preserve">Private Helium Storage: </w:t>
      </w:r>
      <w:r w:rsidR="00AA1926" w:rsidRPr="008D21C9">
        <w:rPr>
          <w:rFonts w:ascii="Times New Roman" w:hAnsi="Times New Roman"/>
          <w:sz w:val="24"/>
          <w:szCs w:val="24"/>
        </w:rPr>
        <w:t xml:space="preserve">In accordance with the Government Paperwork Elimination Act (GPEA), the BLM has created three forms for Helium Storage Contract holders to complete the information necessary to track Excess Refining Capacity, Tolling Activity and Tolling Occurrences. </w:t>
      </w:r>
    </w:p>
    <w:p w14:paraId="423E5645" w14:textId="372A895D" w:rsidR="00AA1926" w:rsidRPr="008D21C9" w:rsidRDefault="008D21C9" w:rsidP="00123C3F">
      <w:pPr>
        <w:pStyle w:val="EndnoteText"/>
        <w:tabs>
          <w:tab w:val="left" w:pos="6405"/>
        </w:tabs>
        <w:spacing w:line="240" w:lineRule="auto"/>
        <w:rPr>
          <w:rFonts w:ascii="Times New Roman" w:hAnsi="Times New Roman"/>
          <w:sz w:val="24"/>
          <w:szCs w:val="24"/>
        </w:rPr>
      </w:pPr>
      <w:r w:rsidRPr="008D21C9">
        <w:rPr>
          <w:rFonts w:ascii="Times New Roman" w:hAnsi="Times New Roman"/>
          <w:sz w:val="24"/>
          <w:szCs w:val="24"/>
        </w:rPr>
        <w:t>The forms that the BLM created for collecting this information are located in the BLM Amarillo Field Office’s Helium Operations website at</w:t>
      </w:r>
      <w:r w:rsidRPr="008D21C9">
        <w:rPr>
          <w:rFonts w:ascii="Times New Roman" w:eastAsia="Times New Roman" w:hAnsi="Times New Roman"/>
          <w:color w:val="000000"/>
          <w:sz w:val="24"/>
          <w:szCs w:val="24"/>
        </w:rPr>
        <w:t xml:space="preserve">: </w:t>
      </w:r>
      <w:r w:rsidRPr="008D21C9">
        <w:rPr>
          <w:rFonts w:ascii="Times New Roman" w:hAnsi="Times New Roman"/>
          <w:color w:val="1F497D"/>
          <w:sz w:val="24"/>
          <w:szCs w:val="24"/>
          <w:shd w:val="clear" w:color="auto" w:fill="FFFFFF"/>
        </w:rPr>
        <w:t> </w:t>
      </w:r>
      <w:hyperlink r:id="rId8" w:history="1">
        <w:r w:rsidR="00123C3F" w:rsidRPr="008D21C9">
          <w:rPr>
            <w:rStyle w:val="Hyperlink"/>
            <w:sz w:val="24"/>
            <w:szCs w:val="24"/>
            <w:shd w:val="clear" w:color="auto" w:fill="FFFFFF"/>
          </w:rPr>
          <w:t>www.blm.gov/nm/</w:t>
        </w:r>
        <w:r w:rsidR="00123C3F">
          <w:rPr>
            <w:rStyle w:val="Hyperlink"/>
            <w:sz w:val="24"/>
            <w:szCs w:val="24"/>
            <w:shd w:val="clear" w:color="auto" w:fill="FFFFFF"/>
          </w:rPr>
          <w:t>Reporting</w:t>
        </w:r>
      </w:hyperlink>
      <w:r w:rsidRPr="003466EA">
        <w:rPr>
          <w:rFonts w:ascii="Times New Roman" w:hAnsi="Times New Roman"/>
          <w:sz w:val="24"/>
          <w:szCs w:val="24"/>
          <w:shd w:val="clear" w:color="auto" w:fill="FFFFFF"/>
        </w:rPr>
        <w:t>.</w:t>
      </w:r>
      <w:r w:rsidR="00FC2F1F">
        <w:rPr>
          <w:rFonts w:ascii="Times New Roman" w:hAnsi="Times New Roman"/>
          <w:sz w:val="24"/>
          <w:szCs w:val="24"/>
          <w:shd w:val="clear" w:color="auto" w:fill="FFFFFF"/>
        </w:rPr>
        <w:t xml:space="preserve"> </w:t>
      </w:r>
      <w:r w:rsidR="00C15C0A" w:rsidRPr="008D21C9">
        <w:rPr>
          <w:rFonts w:ascii="Times New Roman" w:hAnsi="Times New Roman"/>
          <w:sz w:val="24"/>
          <w:szCs w:val="24"/>
        </w:rPr>
        <w:t xml:space="preserve"> The forms are completed and submitted electronically to the BLM.</w:t>
      </w:r>
    </w:p>
    <w:p w14:paraId="6C806610" w14:textId="77777777" w:rsidR="000253B0" w:rsidRDefault="000253B0" w:rsidP="000253B0"/>
    <w:p w14:paraId="14D85B37" w14:textId="77777777" w:rsidR="00B83E20" w:rsidRPr="00B83E20" w:rsidRDefault="00B83E20" w:rsidP="00B83E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83E20">
        <w:rPr>
          <w:b/>
        </w:rPr>
        <w:t>4.</w:t>
      </w:r>
      <w:r w:rsidRPr="00B83E20">
        <w:rPr>
          <w:b/>
        </w:rPr>
        <w:tab/>
        <w:t>Describe efforts to identify duplication.  Show specifically why any similar information already available cannot be used or modified for use for the purposes described in Item 2 above.</w:t>
      </w:r>
    </w:p>
    <w:p w14:paraId="4B3019EE" w14:textId="77777777" w:rsidR="0091526B" w:rsidRDefault="0091526B" w:rsidP="008449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F5FAE35" w14:textId="5C51933C" w:rsidR="0091526B" w:rsidRDefault="0091526B">
      <w:r>
        <w:t xml:space="preserve">The information </w:t>
      </w:r>
      <w:r w:rsidR="00342072">
        <w:t xml:space="preserve">we collect </w:t>
      </w:r>
      <w:r>
        <w:t xml:space="preserve">is unique to the </w:t>
      </w:r>
      <w:r w:rsidR="00EB739F">
        <w:t>helium supplier</w:t>
      </w:r>
      <w:r>
        <w:t xml:space="preserve">.  </w:t>
      </w:r>
      <w:r w:rsidR="00E23CAC">
        <w:t>No</w:t>
      </w:r>
      <w:r>
        <w:t xml:space="preserve"> other Federal or State agenc</w:t>
      </w:r>
      <w:r w:rsidR="00E23CAC">
        <w:t>ies</w:t>
      </w:r>
      <w:r>
        <w:t xml:space="preserve"> collect similar information that </w:t>
      </w:r>
      <w:r w:rsidR="00342072">
        <w:t xml:space="preserve">we </w:t>
      </w:r>
      <w:r w:rsidR="00D63642">
        <w:t xml:space="preserve">could use to track </w:t>
      </w:r>
      <w:r w:rsidR="00DE1D72">
        <w:t>F</w:t>
      </w:r>
      <w:r>
        <w:t>ederal helium sales and deliveries.</w:t>
      </w:r>
    </w:p>
    <w:p w14:paraId="64AAEC90" w14:textId="77777777" w:rsidR="0091526B" w:rsidRDefault="0091526B"/>
    <w:p w14:paraId="0C422AD4" w14:textId="77777777" w:rsidR="00851901" w:rsidRPr="00851901" w:rsidRDefault="00851901" w:rsidP="00851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51901">
        <w:rPr>
          <w:b/>
        </w:rPr>
        <w:t>5.</w:t>
      </w:r>
      <w:r w:rsidRPr="00851901">
        <w:rPr>
          <w:b/>
        </w:rPr>
        <w:tab/>
        <w:t>If the collection of information impacts small businesses or other small entities, describe any methods used to minimize burden.</w:t>
      </w:r>
    </w:p>
    <w:p w14:paraId="6171CAAD" w14:textId="77777777" w:rsidR="00B01471" w:rsidRDefault="00B01471" w:rsidP="008449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5792982" w14:textId="77777777" w:rsidR="00146C4B" w:rsidRDefault="00B01471">
      <w:r>
        <w:t xml:space="preserve">The BLM is not required to collect information on whether the respondents qualify as small businesses or small entities. </w:t>
      </w:r>
      <w:r w:rsidR="00146C4B">
        <w:t xml:space="preserve">If the entities were determined to be Qualified Bidders for a particular helium sale or auction, and they prevail in the sale or auction, they enter into Storage Contracts, and must satisfy the requirements of the Federal Acquisition Regulations. </w:t>
      </w:r>
      <w:r>
        <w:t xml:space="preserve">The information we require from all respondents is limited to the minimum </w:t>
      </w:r>
      <w:r w:rsidR="00E23CAC">
        <w:t xml:space="preserve">requirements </w:t>
      </w:r>
      <w:r>
        <w:t xml:space="preserve">necessary to </w:t>
      </w:r>
      <w:r w:rsidR="0091526B">
        <w:t xml:space="preserve">comply with agency responsibilities under the Act.  It imposes no special burden on small entities who may wish to distribute or resell helium.  </w:t>
      </w:r>
    </w:p>
    <w:p w14:paraId="743A582F" w14:textId="77777777" w:rsidR="00146C4B" w:rsidRDefault="00146C4B"/>
    <w:p w14:paraId="7D55FBDB" w14:textId="3F075577" w:rsidR="0091526B" w:rsidRDefault="00146C4B">
      <w:r>
        <w:lastRenderedPageBreak/>
        <w:t>In terms of In-Kind helium sales, t</w:t>
      </w:r>
      <w:r w:rsidR="0091526B">
        <w:t>he only government bodies affected by this collection are large Federal</w:t>
      </w:r>
      <w:r w:rsidR="00285373">
        <w:t xml:space="preserve"> agencies, such as</w:t>
      </w:r>
      <w:r w:rsidR="0091526B">
        <w:t xml:space="preserve"> the National Aeronautics and Space Administration.</w:t>
      </w:r>
    </w:p>
    <w:p w14:paraId="66ABF944" w14:textId="77777777" w:rsidR="0091526B" w:rsidRDefault="0091526B"/>
    <w:p w14:paraId="6E869784" w14:textId="77777777" w:rsidR="00534B1D" w:rsidRPr="00534B1D" w:rsidRDefault="00534B1D" w:rsidP="00534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34B1D">
        <w:rPr>
          <w:b/>
        </w:rPr>
        <w:t>6.</w:t>
      </w:r>
      <w:r w:rsidRPr="00534B1D">
        <w:rPr>
          <w:b/>
        </w:rPr>
        <w:tab/>
        <w:t>Describe the consequence to Federal program or policy activities if the collection is not conducted or is conducted less frequently, as well as any technical or legal obstacles to reducing burden.</w:t>
      </w:r>
    </w:p>
    <w:p w14:paraId="3C6F9FC9" w14:textId="77777777" w:rsidR="00534B1D" w:rsidRDefault="00534B1D" w:rsidP="00971F99">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51AD2D" w14:textId="3042FF17" w:rsidR="00771936" w:rsidRDefault="00B01471" w:rsidP="00971F99">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we did not collect the information</w:t>
      </w:r>
      <w:r w:rsidR="00771936">
        <w:t xml:space="preserve"> from entities that are storing their helium in the Federal Helium </w:t>
      </w:r>
      <w:r w:rsidR="00D63642">
        <w:t>System</w:t>
      </w:r>
      <w:r>
        <w:t>,</w:t>
      </w:r>
      <w:r w:rsidR="00020FEB">
        <w:t xml:space="preserve"> and drawing their purchased and stored helium from the Reserve,</w:t>
      </w:r>
      <w:r w:rsidR="00971F99">
        <w:t xml:space="preserve"> </w:t>
      </w:r>
      <w:r w:rsidR="00342072">
        <w:t>we</w:t>
      </w:r>
      <w:r w:rsidR="0091526B">
        <w:t xml:space="preserve"> could not </w:t>
      </w:r>
      <w:r w:rsidR="00020FEB">
        <w:t>assure</w:t>
      </w:r>
      <w:r w:rsidR="0091526B">
        <w:t xml:space="preserve"> </w:t>
      </w:r>
      <w:r w:rsidR="00771936">
        <w:t>to Congress that their intent in passing the Helium Stewardship Act of 2013 is being met, or that</w:t>
      </w:r>
      <w:r w:rsidR="0091526B">
        <w:t xml:space="preserve"> the equivalent sales of crude helium to private industry in return for their refined helium sales to Federal agencies</w:t>
      </w:r>
      <w:r w:rsidR="00771936">
        <w:t xml:space="preserve"> was taking place</w:t>
      </w:r>
      <w:r w:rsidR="0091526B">
        <w:t>.</w:t>
      </w:r>
      <w:r w:rsidR="00971F99">
        <w:t xml:space="preserve">  </w:t>
      </w:r>
    </w:p>
    <w:p w14:paraId="556D51F1" w14:textId="77777777" w:rsidR="00771936" w:rsidRDefault="00771936" w:rsidP="00971F99">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ED6609" w14:textId="77777777" w:rsidR="00971F99" w:rsidRDefault="00020FEB" w:rsidP="00971F99">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Moreover, t</w:t>
      </w:r>
      <w:r w:rsidR="00971F99">
        <w:t xml:space="preserve">he </w:t>
      </w:r>
      <w:r w:rsidR="00771936">
        <w:t xml:space="preserve">In-Kind provisions of the </w:t>
      </w:r>
      <w:r w:rsidR="00971F99">
        <w:t xml:space="preserve">Act requires that all Federal agencies, including the Department of Defense and the Department of Energy, purchase all major helium requirements from entities with enforceable contracts to purchase equivalent amounts of helium from the Department of the Interior. </w:t>
      </w:r>
      <w:r w:rsidR="000157D6">
        <w:t xml:space="preserve"> </w:t>
      </w:r>
      <w:r w:rsidR="00971F99">
        <w:t xml:space="preserve">Less frequent collection would make the program unmanageable.  </w:t>
      </w:r>
    </w:p>
    <w:p w14:paraId="77705F27" w14:textId="77777777" w:rsidR="0091526B" w:rsidRDefault="0091526B"/>
    <w:p w14:paraId="2CFF4CFC"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6419E0">
        <w:rPr>
          <w:b/>
        </w:rPr>
        <w:t>7.</w:t>
      </w:r>
      <w:r w:rsidRPr="006419E0">
        <w:rPr>
          <w:b/>
        </w:rPr>
        <w:tab/>
        <w:t>Explain any special circumstances that would cause an information collection to be conducted in a manner:</w:t>
      </w:r>
    </w:p>
    <w:p w14:paraId="59393616"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respondents to report information to the agency more often than quarterly;</w:t>
      </w:r>
    </w:p>
    <w:p w14:paraId="02DCE255"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respondents to prepare a written response to a collection of information in fewer than 30 days after receipt of it;</w:t>
      </w:r>
    </w:p>
    <w:p w14:paraId="6EE37F6A"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respondents to submit more than an original and two copies of any document;</w:t>
      </w:r>
    </w:p>
    <w:p w14:paraId="289BE99E"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respondents to retain records, other than health, medical, government contract, grant-in-aid, or tax records, for more than three years;</w:t>
      </w:r>
    </w:p>
    <w:p w14:paraId="005E105E"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in connection with a statistical survey that is not designed to produce valid and reliable results that can be generalized to the universe of study;</w:t>
      </w:r>
    </w:p>
    <w:p w14:paraId="33A6A1F1"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the use of a statistical data classification that has not been reviewed and approved by OMB;</w:t>
      </w:r>
    </w:p>
    <w:p w14:paraId="1A9F7272"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F643BF" w14:textId="77777777" w:rsidR="006419E0" w:rsidRPr="006419E0" w:rsidRDefault="006419E0" w:rsidP="00641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419E0">
        <w:rPr>
          <w:b/>
        </w:rPr>
        <w:tab/>
        <w:t>*</w:t>
      </w:r>
      <w:r w:rsidRPr="006419E0">
        <w:rPr>
          <w:b/>
        </w:rPr>
        <w:tab/>
        <w:t>requiring respondents to submit proprietary trade secrets, or other confidential information, unless the agency can demonstrate that it has instituted procedures to protect the information's confidentiality to the extent permitted by law.</w:t>
      </w:r>
    </w:p>
    <w:p w14:paraId="0F91E968" w14:textId="77777777" w:rsidR="00607E3C" w:rsidRDefault="00607E3C" w:rsidP="00607E3C"/>
    <w:p w14:paraId="6BB3E75C" w14:textId="17667E64" w:rsidR="00607E3C" w:rsidRDefault="00020FEB" w:rsidP="00607E3C">
      <w:r>
        <w:t>With the exception of the following circumstance, t</w:t>
      </w:r>
      <w:r w:rsidR="00607E3C">
        <w:t>here are no special circumstances that require the collection to be conducted in a manner inconsistent with the guidelines in 5 CFR 1320.5.</w:t>
      </w:r>
      <w:r>
        <w:t xml:space="preserve"> </w:t>
      </w:r>
      <w:r w:rsidR="00CE01EF">
        <w:t xml:space="preserve">One of the reporting forms, the Tolling Occurrence Form, must be completed and submitted </w:t>
      </w:r>
      <w:r w:rsidR="00AC1CA9" w:rsidRPr="009122F2">
        <w:rPr>
          <w:color w:val="000000"/>
        </w:rPr>
        <w:t>within two weeks of entry into a tolling agreement</w:t>
      </w:r>
      <w:r w:rsidR="00AC1CA9">
        <w:rPr>
          <w:color w:val="000000"/>
        </w:rPr>
        <w:t>.</w:t>
      </w:r>
      <w:r w:rsidR="00AC1CA9" w:rsidRPr="009122F2">
        <w:rPr>
          <w:color w:val="000000"/>
        </w:rPr>
        <w:t xml:space="preserve"> </w:t>
      </w:r>
      <w:r w:rsidR="00285373">
        <w:rPr>
          <w:color w:val="000000"/>
        </w:rPr>
        <w:t xml:space="preserve"> </w:t>
      </w:r>
      <w:r w:rsidR="00AC1CA9">
        <w:rPr>
          <w:color w:val="000000"/>
        </w:rPr>
        <w:t>T</w:t>
      </w:r>
      <w:r w:rsidR="00AC1CA9" w:rsidRPr="009122F2">
        <w:rPr>
          <w:color w:val="000000"/>
        </w:rPr>
        <w:t xml:space="preserve">he BLM will collect </w:t>
      </w:r>
      <w:r w:rsidR="00AC1CA9">
        <w:rPr>
          <w:color w:val="000000"/>
        </w:rPr>
        <w:t xml:space="preserve">such </w:t>
      </w:r>
      <w:r w:rsidR="00AC1CA9" w:rsidRPr="009122F2">
        <w:rPr>
          <w:color w:val="000000"/>
        </w:rPr>
        <w:t xml:space="preserve">information throughout </w:t>
      </w:r>
      <w:r w:rsidR="00AC1CA9" w:rsidRPr="009122F2">
        <w:rPr>
          <w:color w:val="000000"/>
        </w:rPr>
        <w:lastRenderedPageBreak/>
        <w:t>the year to ensure that tolling is being planned and is actually taking place</w:t>
      </w:r>
      <w:r w:rsidR="00AC1CA9">
        <w:rPr>
          <w:color w:val="000000"/>
        </w:rPr>
        <w:t xml:space="preserve"> in accordance with Con</w:t>
      </w:r>
      <w:r w:rsidR="0003233B">
        <w:rPr>
          <w:color w:val="000000"/>
        </w:rPr>
        <w:t xml:space="preserve">gressional intent within the 2013 Act, </w:t>
      </w:r>
      <w:r w:rsidR="00AC1CA9" w:rsidRPr="009122F2">
        <w:rPr>
          <w:color w:val="000000"/>
        </w:rPr>
        <w:t xml:space="preserve">and to conduct operational planning for the distribution of helium from the </w:t>
      </w:r>
      <w:r w:rsidR="00D63642">
        <w:rPr>
          <w:color w:val="000000"/>
        </w:rPr>
        <w:t>Federal Helium System</w:t>
      </w:r>
      <w:r w:rsidR="00AC1CA9" w:rsidRPr="009122F2">
        <w:rPr>
          <w:color w:val="000000"/>
        </w:rPr>
        <w:t>.</w:t>
      </w:r>
    </w:p>
    <w:p w14:paraId="6FBFB78B" w14:textId="77777777" w:rsidR="0091526B" w:rsidRDefault="0091526B"/>
    <w:p w14:paraId="28F14AE8" w14:textId="77777777" w:rsidR="004571E4" w:rsidRPr="004571E4" w:rsidRDefault="004571E4"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571E4">
        <w:rPr>
          <w:b/>
        </w:rPr>
        <w:t>8.</w:t>
      </w:r>
      <w:r w:rsidRPr="004571E4">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BD3600D" w14:textId="77777777" w:rsidR="004571E4" w:rsidRPr="004571E4" w:rsidRDefault="004571E4"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718AE4A" w14:textId="77777777" w:rsidR="002D73B5" w:rsidRDefault="004571E4"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4571E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8E2FF02" w14:textId="77777777" w:rsidR="00EB79FF" w:rsidRDefault="00EB79FF"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14:paraId="175DDD6D" w14:textId="77777777" w:rsidR="00EB79FF" w:rsidRPr="00EB79FF" w:rsidRDefault="00EB79FF" w:rsidP="00EB79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B79F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7044F14" w14:textId="77777777" w:rsidR="00C876EB" w:rsidRDefault="00C876EB" w:rsidP="00607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C1758B5" w14:textId="1912DFD4" w:rsidR="0004727E" w:rsidRDefault="004571E4" w:rsidP="005F2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5098">
        <w:t xml:space="preserve">On </w:t>
      </w:r>
      <w:r w:rsidR="005F2512">
        <w:t>April 16</w:t>
      </w:r>
      <w:r>
        <w:t>, 201</w:t>
      </w:r>
      <w:r w:rsidR="00D658F8">
        <w:t>5</w:t>
      </w:r>
      <w:r w:rsidR="00371E00">
        <w:t>,</w:t>
      </w:r>
      <w:r>
        <w:t xml:space="preserve"> </w:t>
      </w:r>
      <w:r w:rsidRPr="00DF5098">
        <w:t xml:space="preserve">the BLM published the required 60-day notice in the </w:t>
      </w:r>
      <w:r w:rsidRPr="00DF5098">
        <w:rPr>
          <w:bCs/>
        </w:rPr>
        <w:t xml:space="preserve">Federal Register </w:t>
      </w:r>
      <w:r w:rsidRPr="00DF5098">
        <w:t>(</w:t>
      </w:r>
      <w:r w:rsidR="005F2512">
        <w:t>80</w:t>
      </w:r>
      <w:r w:rsidRPr="00DF5098">
        <w:t xml:space="preserve"> FR </w:t>
      </w:r>
      <w:r w:rsidR="005F2512">
        <w:t>20505</w:t>
      </w:r>
      <w:r w:rsidRPr="00DF5098">
        <w:t xml:space="preserve">), and the comment period ended </w:t>
      </w:r>
      <w:r w:rsidR="005F2512">
        <w:t>June 15, 2015</w:t>
      </w:r>
      <w:r w:rsidRPr="00DF5098">
        <w:t xml:space="preserve">.  </w:t>
      </w:r>
      <w:bookmarkStart w:id="0" w:name="QuickMark"/>
      <w:bookmarkEnd w:id="0"/>
      <w:r w:rsidRPr="00DF5098">
        <w:t xml:space="preserve">The BLM received </w:t>
      </w:r>
      <w:r w:rsidR="005F2512">
        <w:t xml:space="preserve">one comment </w:t>
      </w:r>
      <w:r w:rsidR="0004727E" w:rsidRPr="00501CCE">
        <w:t>which contained three suggestions for changes to the proposed information collection system.</w:t>
      </w:r>
    </w:p>
    <w:p w14:paraId="7E13A1D1" w14:textId="77777777" w:rsidR="005F2512" w:rsidRPr="00501CCE" w:rsidRDefault="005F2512" w:rsidP="005F2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75C385" w14:textId="09DE038B" w:rsidR="005F2512" w:rsidRDefault="0004727E" w:rsidP="005F2512">
      <w:pPr>
        <w:pStyle w:val="ListParagraph"/>
        <w:widowControl/>
        <w:numPr>
          <w:ilvl w:val="0"/>
          <w:numId w:val="14"/>
        </w:numPr>
        <w:autoSpaceDE/>
        <w:autoSpaceDN/>
        <w:adjustRightInd/>
        <w:spacing w:after="160" w:line="259" w:lineRule="auto"/>
      </w:pPr>
      <w:r w:rsidRPr="00501CCE">
        <w:t xml:space="preserve">The first bullet following the second paragraph in the “Summary” </w:t>
      </w:r>
      <w:r w:rsidR="005F2512">
        <w:t xml:space="preserve">section of the 60-day notice </w:t>
      </w:r>
      <w:r w:rsidRPr="00501CCE">
        <w:t>should read: “Parties to a helium storage contract with the BLM must disclose on a strictly confidential basis</w:t>
      </w:r>
      <w:r w:rsidR="005F2512">
        <w:t xml:space="preserve">.”  </w:t>
      </w:r>
      <w:r w:rsidRPr="00501CCE">
        <w:t xml:space="preserve">We concur with this suggestion, as it </w:t>
      </w:r>
      <w:r w:rsidR="004F2DF6">
        <w:t xml:space="preserve">is </w:t>
      </w:r>
      <w:r w:rsidRPr="00501CCE">
        <w:t>consistent with the Helium Stewardship Act of 2013.</w:t>
      </w:r>
      <w:r w:rsidR="005F2512">
        <w:t xml:space="preserve">  </w:t>
      </w:r>
    </w:p>
    <w:p w14:paraId="19465EB5" w14:textId="77777777" w:rsidR="00371E00" w:rsidRPr="00501CCE" w:rsidRDefault="00371E00" w:rsidP="00371E00">
      <w:pPr>
        <w:pStyle w:val="ListParagraph"/>
        <w:widowControl/>
        <w:autoSpaceDE/>
        <w:autoSpaceDN/>
        <w:adjustRightInd/>
        <w:spacing w:after="160" w:line="259" w:lineRule="auto"/>
      </w:pPr>
    </w:p>
    <w:p w14:paraId="6597376D" w14:textId="0CD85EB7" w:rsidR="005F2512" w:rsidRPr="00501CCE" w:rsidRDefault="005F2512" w:rsidP="005F2512">
      <w:pPr>
        <w:pStyle w:val="ListParagraph"/>
        <w:widowControl/>
        <w:numPr>
          <w:ilvl w:val="0"/>
          <w:numId w:val="14"/>
        </w:numPr>
        <w:autoSpaceDE/>
        <w:autoSpaceDN/>
        <w:adjustRightInd/>
        <w:spacing w:after="160" w:line="259" w:lineRule="auto"/>
      </w:pPr>
      <w:r>
        <w:t>S</w:t>
      </w:r>
      <w:r w:rsidR="0004727E" w:rsidRPr="00501CCE">
        <w:t xml:space="preserve">ub-paragraph (1) under the same bulleted paragraph </w:t>
      </w:r>
      <w:r w:rsidR="00213529">
        <w:t xml:space="preserve">in the 60-day notice </w:t>
      </w:r>
      <w:r w:rsidR="0004727E" w:rsidRPr="00501CCE">
        <w:t>should be revised to make it clear that only the volumes and associated prices for Qualifying Domestic Helium Transactions, as defined in the Act, need to be reported. Thus,  the sub-bullet should read: “(1) The volumes and associated prices in dollars per thousand cubic feet (Mcf) in purchase and sales transactions made pursuant to any agreement entered into or renegotiated agreement during the preceding 1-year period in the United States involving at least 15 million standard cubic feet of crude or pure helium”. We concur with this suggestion, as it is consistent with the definition of “Qualifying Domestic Transaction” under the Helium Stewardship Act of 2013.</w:t>
      </w:r>
      <w:r>
        <w:t xml:space="preserve">  </w:t>
      </w:r>
    </w:p>
    <w:p w14:paraId="30A9935C" w14:textId="463C0155" w:rsidR="0004727E" w:rsidRDefault="0004727E" w:rsidP="00233C7B">
      <w:pPr>
        <w:pStyle w:val="ListParagraph"/>
        <w:widowControl/>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60" w:line="259" w:lineRule="auto"/>
      </w:pPr>
      <w:r w:rsidRPr="00501CCE">
        <w:lastRenderedPageBreak/>
        <w:t xml:space="preserve">The table of burdens </w:t>
      </w:r>
      <w:r w:rsidR="00031E14">
        <w:t xml:space="preserve">in the 60-day notice </w:t>
      </w:r>
      <w:r w:rsidRPr="00501CCE">
        <w:t xml:space="preserve">does not correctly reflect the administrative time necessary to define, review and approve the “Refined Helium Deliveries Detail” and the “Refiners’ Tolling Occurrence Report” submittals. A minimum of 4 hours should be assigned to these two reports, versus the estimates of one hour and one-half hour, respectively. We concur with this suggestion. </w:t>
      </w:r>
      <w:r w:rsidR="00FE6BF7">
        <w:t xml:space="preserve">We have revised our estimated burdens </w:t>
      </w:r>
      <w:r w:rsidRPr="00501CCE">
        <w:t>to indicate 4 hours per response for the “Refined Helium Deliveries Detail Form”, and 4 hours for the “Refiners’ Tolling Occurrence Report</w:t>
      </w:r>
      <w:r w:rsidR="00FE6BF7">
        <w:t>.</w:t>
      </w:r>
    </w:p>
    <w:p w14:paraId="74870D54" w14:textId="77777777" w:rsidR="0004727E" w:rsidRPr="00DF5098" w:rsidRDefault="0004727E" w:rsidP="004571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1E25DC" w14:textId="77777777" w:rsidR="004571E4" w:rsidRDefault="004571E4"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5098">
        <w:t xml:space="preserve">The BLM has consulted with </w:t>
      </w:r>
      <w:r>
        <w:t xml:space="preserve">the following </w:t>
      </w:r>
      <w:r w:rsidRPr="00DF5098">
        <w:t>respondents to obtain their views on the availability of data; frequency of collection; the clarity of instructions; the recordkeeping, disclosure, and reporting formats; and on the data elements to be recorded, disclosed, or reported:</w:t>
      </w:r>
    </w:p>
    <w:p w14:paraId="229F4E74" w14:textId="77777777" w:rsidR="005C07CE"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917056"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 xml:space="preserve">Mawusi Hendrickson                                 </w:t>
      </w:r>
      <w:r w:rsidR="001749E4" w:rsidRPr="003E1075">
        <w:t>Jane Hoffman</w:t>
      </w:r>
    </w:p>
    <w:p w14:paraId="6A8F75EC"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Administrative Assistant</w:t>
      </w:r>
      <w:r w:rsidR="001749E4" w:rsidRPr="003E1075">
        <w:t xml:space="preserve">                            Praxair, Inc</w:t>
      </w:r>
    </w:p>
    <w:p w14:paraId="1CABC10B"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GT&amp;S-Welco</w:t>
      </w:r>
      <w:r w:rsidR="001749E4" w:rsidRPr="003E1075">
        <w:t xml:space="preserve">                                             Global Director Operation</w:t>
      </w:r>
    </w:p>
    <w:p w14:paraId="04198277"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Praxair Distribution Mid-Atlantic</w:t>
      </w:r>
      <w:r w:rsidR="001749E4" w:rsidRPr="003E1075">
        <w:t xml:space="preserve">              Helium and Rare Gases</w:t>
      </w:r>
    </w:p>
    <w:p w14:paraId="61AEBCEF"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8025 Dorsey Run Road</w:t>
      </w:r>
      <w:r w:rsidR="001749E4" w:rsidRPr="003E1075">
        <w:t xml:space="preserve">                              1585 Sawdust Rd Ste 300</w:t>
      </w:r>
    </w:p>
    <w:p w14:paraId="07931563"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Jessup, MD 20794</w:t>
      </w:r>
      <w:r w:rsidR="001749E4" w:rsidRPr="003E1075">
        <w:t xml:space="preserve">                                      The Woodlands, TX 77380</w:t>
      </w:r>
    </w:p>
    <w:p w14:paraId="30A83468" w14:textId="77777777" w:rsidR="005C07CE" w:rsidRPr="003E1075" w:rsidRDefault="005C07CE"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410-796-8845 x 0</w:t>
      </w:r>
      <w:r w:rsidR="001749E4" w:rsidRPr="003E1075">
        <w:t xml:space="preserve">                                        281-203-3861</w:t>
      </w:r>
    </w:p>
    <w:p w14:paraId="3FEF5186" w14:textId="77777777" w:rsidR="001749E4" w:rsidRPr="003E1075" w:rsidRDefault="001749E4"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B17500E" w14:textId="77777777" w:rsidR="001749E4" w:rsidRPr="003E1075" w:rsidRDefault="00AD5296"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Katie Davies</w:t>
      </w:r>
    </w:p>
    <w:p w14:paraId="286702C7" w14:textId="77777777" w:rsidR="00AD5296" w:rsidRPr="003E1075" w:rsidRDefault="00AD5296"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Matheson Trigas</w:t>
      </w:r>
    </w:p>
    <w:p w14:paraId="12E25008" w14:textId="77777777" w:rsidR="00AD5296" w:rsidRPr="003E1075" w:rsidRDefault="00AD5296"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8200 Washington NE</w:t>
      </w:r>
    </w:p>
    <w:p w14:paraId="0F24FE2E" w14:textId="77777777" w:rsidR="00AD5296" w:rsidRPr="003E1075" w:rsidRDefault="00AD5296"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 xml:space="preserve">Albuquerque, NM </w:t>
      </w:r>
    </w:p>
    <w:p w14:paraId="1937D1D4" w14:textId="77777777" w:rsidR="00AD5296" w:rsidRDefault="00AD5296"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1075">
        <w:t>505-222-0232</w:t>
      </w:r>
    </w:p>
    <w:p w14:paraId="71FB0856" w14:textId="77777777" w:rsidR="00D112A8" w:rsidRDefault="00D112A8"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7BB437" w14:textId="645C8FDC" w:rsidR="00D112A8" w:rsidRPr="00AD5296" w:rsidRDefault="00D112A8" w:rsidP="004571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These respondents indicated no issues or concerns regarding the questions we asked.  We have not modified the collection of information in response to the comments of the listed respondents.</w:t>
      </w:r>
    </w:p>
    <w:p w14:paraId="0D795E74" w14:textId="77777777" w:rsidR="004571E4" w:rsidRDefault="004571E4" w:rsidP="008449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0429309B" w14:textId="77777777" w:rsidR="004571E4" w:rsidRDefault="00EB79FF" w:rsidP="00EB79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B79FF">
        <w:rPr>
          <w:b/>
        </w:rPr>
        <w:t>9.</w:t>
      </w:r>
      <w:r w:rsidRPr="00EB79FF">
        <w:rPr>
          <w:b/>
        </w:rPr>
        <w:tab/>
        <w:t>Explain any decision to provide any payment or gift to respondents, other than remuneration of contractors or grantees.</w:t>
      </w:r>
    </w:p>
    <w:p w14:paraId="3B3A6115" w14:textId="77777777" w:rsidR="004571E4" w:rsidRDefault="004571E4" w:rsidP="005B6EEE"/>
    <w:p w14:paraId="49AB3400" w14:textId="77777777" w:rsidR="005B6EEE" w:rsidRDefault="005B6EEE" w:rsidP="005B6EEE">
      <w:r>
        <w:t>We do not provide payments or gifts to the respondents.</w:t>
      </w:r>
    </w:p>
    <w:p w14:paraId="47F6C7E1" w14:textId="77777777" w:rsidR="0091526B" w:rsidRDefault="0091526B"/>
    <w:p w14:paraId="615EE172" w14:textId="77777777" w:rsidR="00DF228C" w:rsidRDefault="00EB79FF" w:rsidP="00EB79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B79FF">
        <w:rPr>
          <w:b/>
        </w:rPr>
        <w:t>10.</w:t>
      </w:r>
      <w:r w:rsidRPr="00EB79FF">
        <w:rPr>
          <w:b/>
        </w:rPr>
        <w:tab/>
        <w:t>Describe any assurance of confidentiality provided to respondents and the basis for the assurance in statute, regulation, or agency policy.</w:t>
      </w:r>
    </w:p>
    <w:p w14:paraId="0FFBC309" w14:textId="77777777" w:rsidR="00EB79FF" w:rsidRDefault="00EB79FF" w:rsidP="00DF228C"/>
    <w:p w14:paraId="4875E3F8" w14:textId="77777777" w:rsidR="00DF228C" w:rsidRDefault="00DF228C" w:rsidP="00DF228C">
      <w:r>
        <w:t>We protect the respondent’s confidentiality to the extent consistent with the Freedom of Information Act (5 U.S.C. 552).</w:t>
      </w:r>
    </w:p>
    <w:p w14:paraId="6DB787AB" w14:textId="77777777" w:rsidR="00DF228C" w:rsidRDefault="00DF228C" w:rsidP="00DF228C"/>
    <w:p w14:paraId="34DC9E83" w14:textId="7F9D39D5" w:rsidR="00DF228C" w:rsidRDefault="00DF228C" w:rsidP="00DF228C">
      <w:r>
        <w:t xml:space="preserve">Under the privacy provisions of the E-Government Act of 2002, individuals/respondents were informed as to whether or not providing the information is </w:t>
      </w:r>
      <w:r w:rsidR="004D1DDC">
        <w:t>required</w:t>
      </w:r>
      <w:r>
        <w:t xml:space="preserve"> to obtain a benefit.  The </w:t>
      </w:r>
      <w:r w:rsidR="00EC26D5">
        <w:lastRenderedPageBreak/>
        <w:t>BLM provides that the information collected will be treated as business sensitive, but may be aggregated with other data for BLM’s public reporting purposes.</w:t>
      </w:r>
    </w:p>
    <w:p w14:paraId="0EB9D6F1" w14:textId="77777777" w:rsidR="00DF228C" w:rsidRDefault="00DF228C" w:rsidP="00DF228C"/>
    <w:p w14:paraId="0A779CBE" w14:textId="77777777" w:rsidR="00DE650B" w:rsidRPr="005D7592" w:rsidRDefault="005D7592" w:rsidP="005D7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D7592">
        <w:rPr>
          <w:b/>
        </w:rPr>
        <w:t>11.</w:t>
      </w:r>
      <w:r w:rsidRPr="005D759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C4D98D" w14:textId="77777777" w:rsidR="00DF228C" w:rsidRPr="002373B8" w:rsidRDefault="00DF228C" w:rsidP="00DF228C">
      <w:pPr>
        <w:rPr>
          <w:b/>
        </w:rPr>
      </w:pPr>
    </w:p>
    <w:p w14:paraId="7FDAB65C" w14:textId="77777777" w:rsidR="00DF228C" w:rsidRDefault="00DF228C" w:rsidP="00DF228C">
      <w:r>
        <w:t>We do not require respondents to answer questions of a sensitive nature.</w:t>
      </w:r>
    </w:p>
    <w:p w14:paraId="0492D3D9" w14:textId="77777777" w:rsidR="0091526B" w:rsidRDefault="0091526B"/>
    <w:p w14:paraId="0FD5D904" w14:textId="77777777" w:rsidR="005D7592" w:rsidRPr="005D7592" w:rsidRDefault="005D7592" w:rsidP="005D7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5D7592">
        <w:rPr>
          <w:b/>
        </w:rPr>
        <w:t>12.</w:t>
      </w:r>
      <w:r w:rsidRPr="005D7592">
        <w:rPr>
          <w:b/>
        </w:rPr>
        <w:tab/>
        <w:t>Provide estimates of the hour burden of the collection of information.  The statement should:</w:t>
      </w:r>
    </w:p>
    <w:p w14:paraId="19F3363D" w14:textId="77777777" w:rsidR="005D7592" w:rsidRPr="005D7592" w:rsidRDefault="005D7592" w:rsidP="005D7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D7592">
        <w:rPr>
          <w:b/>
        </w:rPr>
        <w:tab/>
        <w:t>*</w:t>
      </w:r>
      <w:r w:rsidRPr="005D759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747616" w14:textId="77777777" w:rsidR="005D7592" w:rsidRPr="005D7592" w:rsidRDefault="005D7592" w:rsidP="005D7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D7592">
        <w:rPr>
          <w:b/>
        </w:rPr>
        <w:tab/>
        <w:t>*</w:t>
      </w:r>
      <w:r w:rsidRPr="005D7592">
        <w:rPr>
          <w:b/>
        </w:rPr>
        <w:tab/>
        <w:t>If this request for approval covers more than one form, provide separate hour burden estimates for each form and aggregate the hour burdens.</w:t>
      </w:r>
    </w:p>
    <w:p w14:paraId="68E2FF1C" w14:textId="77777777" w:rsidR="005D7592" w:rsidRPr="005D7592" w:rsidRDefault="005D7592" w:rsidP="005D7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5D7592">
        <w:rPr>
          <w:b/>
        </w:rPr>
        <w:tab/>
        <w:t>*</w:t>
      </w:r>
      <w:r w:rsidRPr="005D759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761BC32" w14:textId="77777777" w:rsidR="00B1534E" w:rsidRDefault="00B1534E" w:rsidP="00B1534E">
      <w:pPr>
        <w:pStyle w:val="CommentText"/>
        <w:rPr>
          <w:b/>
          <w:i/>
          <w:sz w:val="24"/>
          <w:u w:val="single"/>
        </w:rPr>
      </w:pPr>
    </w:p>
    <w:p w14:paraId="2B7DC100" w14:textId="77777777" w:rsidR="00D86CD6" w:rsidRDefault="00D86CD6" w:rsidP="00D86C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Pr="002C6D47">
        <w:t xml:space="preserve">he </w:t>
      </w:r>
      <w:r w:rsidR="00B7211E">
        <w:t xml:space="preserve">estimated </w:t>
      </w:r>
      <w:r w:rsidRPr="002C6D47">
        <w:t xml:space="preserve">hourly cost </w:t>
      </w:r>
      <w:r>
        <w:t xml:space="preserve">for respondents is shown at Table 12-1.  </w:t>
      </w:r>
      <w:r w:rsidRPr="002C6D47">
        <w:t>Th</w:t>
      </w:r>
      <w:r>
        <w:t>e</w:t>
      </w:r>
      <w:r w:rsidRPr="002C6D47">
        <w:t xml:space="preserve"> </w:t>
      </w:r>
      <w:r>
        <w:t xml:space="preserve">hourly wage for Table 12-1 </w:t>
      </w:r>
      <w:r w:rsidRPr="002C6D47">
        <w:t xml:space="preserve">was determined using national Bureau of Labor Statistics data at:  </w:t>
      </w:r>
      <w:hyperlink r:id="rId9" w:history="1">
        <w:r w:rsidRPr="002C6D47">
          <w:rPr>
            <w:rStyle w:val="Hyperlink"/>
          </w:rPr>
          <w:t>http://www.bls.gov/oes/current/oes_nat.htm</w:t>
        </w:r>
      </w:hyperlink>
      <w:r>
        <w:t xml:space="preserve">.  </w:t>
      </w:r>
      <w:r w:rsidRPr="002C6D47">
        <w:t>The benefits multiplier of 1</w:t>
      </w:r>
      <w:r>
        <w:t xml:space="preserve">.4 is supported by information </w:t>
      </w:r>
      <w:r w:rsidRPr="002C6D47">
        <w:t xml:space="preserve">at </w:t>
      </w:r>
      <w:hyperlink r:id="rId10" w:history="1">
        <w:r w:rsidRPr="002C6D47">
          <w:rPr>
            <w:rStyle w:val="Hyperlink"/>
          </w:rPr>
          <w:t>http://www.bls.gov/news.release/ecec.nr0.htm</w:t>
        </w:r>
      </w:hyperlink>
      <w:r w:rsidRPr="002C6D47">
        <w:t>.</w:t>
      </w:r>
    </w:p>
    <w:p w14:paraId="1261F9FD" w14:textId="77777777" w:rsidR="00D86CD6" w:rsidRDefault="00D86CD6" w:rsidP="00D86C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3C02258" w14:textId="77777777" w:rsidR="00D86CD6" w:rsidRPr="00847C3A" w:rsidRDefault="00D86CD6" w:rsidP="00D86CD6">
      <w:pPr>
        <w:jc w:val="center"/>
        <w:rPr>
          <w:b/>
        </w:rPr>
      </w:pPr>
      <w:r w:rsidRPr="00847C3A">
        <w:rPr>
          <w:b/>
        </w:rPr>
        <w:t xml:space="preserve">Table 12-1 </w:t>
      </w:r>
      <w:r>
        <w:rPr>
          <w:b/>
        </w:rPr>
        <w:t xml:space="preserve">— </w:t>
      </w:r>
      <w:r w:rsidRPr="00847C3A">
        <w:rPr>
          <w:b/>
        </w:rPr>
        <w:t>Hourly Cost Calculation</w:t>
      </w:r>
    </w:p>
    <w:p w14:paraId="0CF27618" w14:textId="77777777" w:rsidR="00D86CD6" w:rsidRPr="00847C3A" w:rsidRDefault="00D86CD6" w:rsidP="00D86CD6">
      <w:pPr>
        <w:tabs>
          <w:tab w:val="left" w:pos="-1080"/>
          <w:tab w:val="left" w:pos="-720"/>
          <w:tab w:val="left" w:pos="0"/>
          <w:tab w:val="left" w:pos="360"/>
          <w:tab w:val="left" w:pos="720"/>
          <w:tab w:val="left" w:pos="1440"/>
          <w:tab w:val="left" w:pos="2445"/>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3636"/>
        <w:gridCol w:w="2577"/>
        <w:gridCol w:w="3363"/>
      </w:tblGrid>
      <w:tr w:rsidR="00D86CD6" w14:paraId="50100F9F" w14:textId="77777777" w:rsidTr="00D86CD6">
        <w:trPr>
          <w:trHeight w:val="323"/>
        </w:trPr>
        <w:tc>
          <w:tcPr>
            <w:tcW w:w="0" w:type="auto"/>
            <w:vAlign w:val="center"/>
          </w:tcPr>
          <w:p w14:paraId="4CA92E51" w14:textId="77777777" w:rsidR="00D86CD6"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A.</w:t>
            </w:r>
          </w:p>
          <w:p w14:paraId="1162AABA" w14:textId="77777777" w:rsidR="00D86CD6" w:rsidRPr="0009023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90238">
              <w:rPr>
                <w:b/>
              </w:rPr>
              <w:t>Position</w:t>
            </w:r>
          </w:p>
        </w:tc>
        <w:tc>
          <w:tcPr>
            <w:tcW w:w="0" w:type="auto"/>
            <w:vAlign w:val="center"/>
          </w:tcPr>
          <w:p w14:paraId="113C581F" w14:textId="77777777" w:rsidR="00D86CD6"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B.</w:t>
            </w:r>
          </w:p>
          <w:p w14:paraId="530D59BA" w14:textId="77777777" w:rsidR="00D86CD6" w:rsidRPr="0009023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Mean </w:t>
            </w:r>
            <w:r w:rsidRPr="00090238">
              <w:rPr>
                <w:b/>
              </w:rPr>
              <w:t>Hourly Pay Rate ($/hour)</w:t>
            </w:r>
          </w:p>
        </w:tc>
        <w:tc>
          <w:tcPr>
            <w:tcW w:w="0" w:type="auto"/>
            <w:vAlign w:val="center"/>
          </w:tcPr>
          <w:p w14:paraId="423824D0" w14:textId="77777777" w:rsidR="00D86CD6"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w:t>
            </w:r>
          </w:p>
          <w:p w14:paraId="7EE91D25" w14:textId="77777777" w:rsidR="00D86CD6" w:rsidRPr="0009023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90238">
              <w:rPr>
                <w:b/>
              </w:rPr>
              <w:t>Hourly Rate with Benefits (</w:t>
            </w:r>
            <w:r>
              <w:rPr>
                <w:b/>
              </w:rPr>
              <w:t xml:space="preserve">Column B </w:t>
            </w:r>
            <w:r w:rsidRPr="00090238">
              <w:rPr>
                <w:b/>
              </w:rPr>
              <w:t>x 1.4)</w:t>
            </w:r>
          </w:p>
        </w:tc>
      </w:tr>
      <w:tr w:rsidR="00D86CD6" w14:paraId="45CABB07" w14:textId="77777777" w:rsidTr="00455004">
        <w:tc>
          <w:tcPr>
            <w:tcW w:w="0" w:type="auto"/>
            <w:vAlign w:val="center"/>
          </w:tcPr>
          <w:p w14:paraId="13343848" w14:textId="77777777" w:rsidR="00D86CD6"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Office and Administrative Support Occupations</w:t>
            </w:r>
          </w:p>
          <w:p w14:paraId="555FDCC0" w14:textId="77777777" w:rsidR="00D86CD6" w:rsidRPr="00DD305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(43-0000)</w:t>
            </w:r>
          </w:p>
        </w:tc>
        <w:tc>
          <w:tcPr>
            <w:tcW w:w="0" w:type="auto"/>
            <w:vAlign w:val="center"/>
          </w:tcPr>
          <w:p w14:paraId="59A48D3C" w14:textId="1391142B" w:rsidR="00D86CD6" w:rsidRPr="00DD305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A70C4D">
              <w:t>7.08</w:t>
            </w:r>
          </w:p>
        </w:tc>
        <w:tc>
          <w:tcPr>
            <w:tcW w:w="0" w:type="auto"/>
            <w:vAlign w:val="center"/>
          </w:tcPr>
          <w:p w14:paraId="18CB2EAF" w14:textId="66939BDB" w:rsidR="00D86CD6" w:rsidRPr="00DD3058" w:rsidRDefault="00D86CD6"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t>
            </w:r>
            <w:r w:rsidR="00A70C4D">
              <w:t>23.91</w:t>
            </w:r>
          </w:p>
        </w:tc>
      </w:tr>
    </w:tbl>
    <w:p w14:paraId="0D75D203" w14:textId="77777777" w:rsidR="007E280F" w:rsidRDefault="007E280F" w:rsidP="00A8481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rPr>
      </w:pPr>
    </w:p>
    <w:p w14:paraId="7C068817" w14:textId="44099EC8" w:rsidR="00A84810" w:rsidRDefault="00A84810" w:rsidP="00A8481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Times"/>
        </w:rPr>
        <w:t>Estimated annual h</w:t>
      </w:r>
      <w:r w:rsidRPr="009C2921">
        <w:rPr>
          <w:rFonts w:cs="Times"/>
        </w:rPr>
        <w:t xml:space="preserve">our and cost burdens </w:t>
      </w:r>
      <w:r w:rsidRPr="009C2921">
        <w:t xml:space="preserve">to respondents </w:t>
      </w:r>
      <w:r>
        <w:t xml:space="preserve">are shown at Table 12-2, below, and </w:t>
      </w:r>
      <w:r w:rsidRPr="009C2921">
        <w:t>include time spent for researching, preparing, and submitting information.</w:t>
      </w:r>
      <w:r>
        <w:t xml:space="preserve">  </w:t>
      </w:r>
      <w:r w:rsidRPr="006B59CC">
        <w:t>The average hourly wage associated with these information collection</w:t>
      </w:r>
      <w:r w:rsidR="00114F0E">
        <w:t xml:space="preserve"> activities</w:t>
      </w:r>
      <w:r w:rsidRPr="006B59CC">
        <w:t xml:space="preserve"> is shown at Table 1</w:t>
      </w:r>
      <w:r>
        <w:t xml:space="preserve">2-1, above.  </w:t>
      </w:r>
      <w:r w:rsidRPr="00506269">
        <w:rPr>
          <w:rFonts w:cs="Times"/>
        </w:rPr>
        <w:t>The frequency of response for each of the information collection</w:t>
      </w:r>
      <w:r w:rsidR="00114F0E">
        <w:rPr>
          <w:rFonts w:cs="Times"/>
        </w:rPr>
        <w:t xml:space="preserve"> activities</w:t>
      </w:r>
      <w:r w:rsidRPr="00506269">
        <w:rPr>
          <w:rFonts w:cs="Times"/>
        </w:rPr>
        <w:t xml:space="preserve"> is </w:t>
      </w:r>
      <w:r w:rsidR="00114F0E">
        <w:rPr>
          <w:rFonts w:cs="Times"/>
        </w:rPr>
        <w:t>shown in Table 12-2.</w:t>
      </w:r>
    </w:p>
    <w:p w14:paraId="219FD3BE" w14:textId="77777777" w:rsidR="00A84810" w:rsidRDefault="00A84810" w:rsidP="00A84810">
      <w:pPr>
        <w:tabs>
          <w:tab w:val="left" w:pos="360"/>
          <w:tab w:val="left" w:pos="720"/>
          <w:tab w:val="left" w:pos="1080"/>
        </w:tabs>
        <w:rPr>
          <w:u w:val="single"/>
        </w:rPr>
      </w:pPr>
    </w:p>
    <w:p w14:paraId="0B8ADD65" w14:textId="77777777" w:rsidR="00A84810" w:rsidRDefault="00A84810" w:rsidP="00A84810">
      <w:pPr>
        <w:tabs>
          <w:tab w:val="left" w:pos="360"/>
          <w:tab w:val="left" w:pos="720"/>
          <w:tab w:val="left" w:pos="1080"/>
        </w:tabs>
        <w:jc w:val="center"/>
        <w:rPr>
          <w:b/>
        </w:rPr>
      </w:pPr>
      <w:r w:rsidRPr="003315F1">
        <w:rPr>
          <w:b/>
        </w:rPr>
        <w:t>Table 12-</w:t>
      </w:r>
      <w:r>
        <w:rPr>
          <w:b/>
        </w:rPr>
        <w:t>2</w:t>
      </w:r>
      <w:r w:rsidRPr="003315F1">
        <w:rPr>
          <w:b/>
        </w:rPr>
        <w:t xml:space="preserve"> </w:t>
      </w:r>
      <w:r>
        <w:rPr>
          <w:b/>
        </w:rPr>
        <w:t xml:space="preserve">— Hour and Cost Burdens for Individuals </w:t>
      </w:r>
      <w:r w:rsidRPr="003315F1">
        <w:rPr>
          <w:b/>
        </w:rPr>
        <w:t>and Households</w:t>
      </w:r>
    </w:p>
    <w:p w14:paraId="603163C0" w14:textId="77777777" w:rsidR="002D5D4C" w:rsidRDefault="002D5D4C" w:rsidP="00A84810">
      <w:pPr>
        <w:tabs>
          <w:tab w:val="left" w:pos="360"/>
          <w:tab w:val="left" w:pos="720"/>
          <w:tab w:val="left" w:pos="1080"/>
        </w:tabs>
        <w:jc w:val="center"/>
        <w:rPr>
          <w:b/>
        </w:rPr>
      </w:pPr>
    </w:p>
    <w:tbl>
      <w:tblPr>
        <w:tblStyle w:val="TableGrid"/>
        <w:tblW w:w="0" w:type="auto"/>
        <w:tblLook w:val="04A0" w:firstRow="1" w:lastRow="0" w:firstColumn="1" w:lastColumn="0" w:noHBand="0" w:noVBand="1"/>
      </w:tblPr>
      <w:tblGrid>
        <w:gridCol w:w="1519"/>
        <w:gridCol w:w="1317"/>
        <w:gridCol w:w="1606"/>
        <w:gridCol w:w="1353"/>
        <w:gridCol w:w="1256"/>
        <w:gridCol w:w="1236"/>
        <w:gridCol w:w="1289"/>
      </w:tblGrid>
      <w:tr w:rsidR="00B566F8" w14:paraId="56C2CEC9" w14:textId="40E1D677" w:rsidTr="002D5D4C">
        <w:trPr>
          <w:cantSplit/>
          <w:tblHeader/>
        </w:trPr>
        <w:tc>
          <w:tcPr>
            <w:tcW w:w="0" w:type="auto"/>
          </w:tcPr>
          <w:p w14:paraId="00AB912E" w14:textId="77777777" w:rsidR="002D5D4C" w:rsidRPr="002D5D4C" w:rsidRDefault="002D5D4C" w:rsidP="00310C97">
            <w:pPr>
              <w:tabs>
                <w:tab w:val="left" w:pos="360"/>
                <w:tab w:val="left" w:pos="720"/>
                <w:tab w:val="left" w:pos="1080"/>
              </w:tabs>
              <w:jc w:val="center"/>
              <w:rPr>
                <w:b/>
              </w:rPr>
            </w:pPr>
            <w:r w:rsidRPr="002D5D4C">
              <w:rPr>
                <w:b/>
              </w:rPr>
              <w:t>A.</w:t>
            </w:r>
          </w:p>
          <w:p w14:paraId="50ED32FA"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b/>
                <w:sz w:val="24"/>
              </w:rPr>
              <w:t>Type of Response</w:t>
            </w:r>
          </w:p>
        </w:tc>
        <w:tc>
          <w:tcPr>
            <w:tcW w:w="0" w:type="auto"/>
          </w:tcPr>
          <w:p w14:paraId="36C9938A" w14:textId="77777777" w:rsidR="002D5D4C" w:rsidRPr="002D5D4C" w:rsidRDefault="002D5D4C" w:rsidP="00310C97">
            <w:pPr>
              <w:tabs>
                <w:tab w:val="left" w:pos="360"/>
                <w:tab w:val="left" w:pos="720"/>
                <w:tab w:val="left" w:pos="1080"/>
              </w:tabs>
              <w:jc w:val="center"/>
              <w:rPr>
                <w:b/>
              </w:rPr>
            </w:pPr>
            <w:r w:rsidRPr="002D5D4C">
              <w:rPr>
                <w:b/>
              </w:rPr>
              <w:t>B.</w:t>
            </w:r>
          </w:p>
          <w:p w14:paraId="6E2DD797"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b/>
                <w:sz w:val="24"/>
              </w:rPr>
              <w:t>Frequency</w:t>
            </w:r>
          </w:p>
        </w:tc>
        <w:tc>
          <w:tcPr>
            <w:tcW w:w="0" w:type="auto"/>
          </w:tcPr>
          <w:p w14:paraId="6FB4C07A" w14:textId="77777777" w:rsidR="002D5D4C" w:rsidRPr="002D5D4C" w:rsidRDefault="002D5D4C" w:rsidP="00310C97">
            <w:pPr>
              <w:tabs>
                <w:tab w:val="left" w:pos="360"/>
                <w:tab w:val="left" w:pos="720"/>
                <w:tab w:val="left" w:pos="1080"/>
              </w:tabs>
              <w:jc w:val="center"/>
              <w:rPr>
                <w:b/>
              </w:rPr>
            </w:pPr>
            <w:r w:rsidRPr="002D5D4C">
              <w:rPr>
                <w:b/>
              </w:rPr>
              <w:t>C.</w:t>
            </w:r>
          </w:p>
          <w:p w14:paraId="0448F5A5" w14:textId="77777777" w:rsidR="002D5D4C" w:rsidRPr="002D5D4C" w:rsidRDefault="002D5D4C" w:rsidP="00310C97">
            <w:pPr>
              <w:tabs>
                <w:tab w:val="left" w:pos="360"/>
                <w:tab w:val="left" w:pos="720"/>
                <w:tab w:val="left" w:pos="1080"/>
              </w:tabs>
              <w:jc w:val="center"/>
              <w:rPr>
                <w:b/>
              </w:rPr>
            </w:pPr>
            <w:r w:rsidRPr="002D5D4C">
              <w:rPr>
                <w:b/>
              </w:rPr>
              <w:t>Number of Respondents</w:t>
            </w:r>
          </w:p>
        </w:tc>
        <w:tc>
          <w:tcPr>
            <w:tcW w:w="0" w:type="auto"/>
          </w:tcPr>
          <w:p w14:paraId="7E046F03" w14:textId="77777777" w:rsidR="002D5D4C" w:rsidRPr="002D5D4C" w:rsidRDefault="002D5D4C" w:rsidP="00310C97">
            <w:pPr>
              <w:tabs>
                <w:tab w:val="left" w:pos="360"/>
                <w:tab w:val="left" w:pos="720"/>
                <w:tab w:val="left" w:pos="1080"/>
              </w:tabs>
              <w:jc w:val="center"/>
              <w:rPr>
                <w:b/>
              </w:rPr>
            </w:pPr>
            <w:r w:rsidRPr="002D5D4C">
              <w:rPr>
                <w:b/>
              </w:rPr>
              <w:t>D.</w:t>
            </w:r>
          </w:p>
          <w:p w14:paraId="0B23CF83"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b/>
                <w:sz w:val="24"/>
              </w:rPr>
              <w:t>Number of Responses</w:t>
            </w:r>
          </w:p>
        </w:tc>
        <w:tc>
          <w:tcPr>
            <w:tcW w:w="0" w:type="auto"/>
          </w:tcPr>
          <w:p w14:paraId="77DC8D28" w14:textId="77777777" w:rsidR="002D5D4C" w:rsidRPr="002D5D4C" w:rsidRDefault="002D5D4C" w:rsidP="00310C97">
            <w:pPr>
              <w:tabs>
                <w:tab w:val="left" w:pos="360"/>
                <w:tab w:val="left" w:pos="720"/>
                <w:tab w:val="left" w:pos="1080"/>
              </w:tabs>
              <w:jc w:val="center"/>
              <w:rPr>
                <w:b/>
              </w:rPr>
            </w:pPr>
            <w:r w:rsidRPr="002D5D4C">
              <w:rPr>
                <w:b/>
              </w:rPr>
              <w:t>E.</w:t>
            </w:r>
          </w:p>
          <w:p w14:paraId="63203D0D"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b/>
                <w:sz w:val="24"/>
              </w:rPr>
              <w:t>Hours Per Response</w:t>
            </w:r>
          </w:p>
        </w:tc>
        <w:tc>
          <w:tcPr>
            <w:tcW w:w="0" w:type="auto"/>
          </w:tcPr>
          <w:p w14:paraId="66D30FEF" w14:textId="77777777" w:rsidR="002D5D4C" w:rsidRPr="002D5D4C" w:rsidRDefault="002D5D4C" w:rsidP="00310C97">
            <w:pPr>
              <w:tabs>
                <w:tab w:val="left" w:pos="360"/>
                <w:tab w:val="left" w:pos="720"/>
                <w:tab w:val="left" w:pos="1080"/>
              </w:tabs>
              <w:jc w:val="center"/>
              <w:rPr>
                <w:b/>
              </w:rPr>
            </w:pPr>
            <w:r w:rsidRPr="002D5D4C">
              <w:rPr>
                <w:b/>
              </w:rPr>
              <w:t>F.</w:t>
            </w:r>
          </w:p>
          <w:p w14:paraId="4A173976" w14:textId="77777777" w:rsidR="002D5D4C" w:rsidRPr="002D5D4C" w:rsidRDefault="002D5D4C" w:rsidP="00310C97">
            <w:pPr>
              <w:tabs>
                <w:tab w:val="left" w:pos="360"/>
                <w:tab w:val="left" w:pos="720"/>
                <w:tab w:val="left" w:pos="1080"/>
              </w:tabs>
              <w:jc w:val="center"/>
              <w:rPr>
                <w:b/>
              </w:rPr>
            </w:pPr>
            <w:r w:rsidRPr="002D5D4C">
              <w:rPr>
                <w:b/>
              </w:rPr>
              <w:t>Total Hours</w:t>
            </w:r>
          </w:p>
          <w:p w14:paraId="78044472"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b/>
                <w:sz w:val="24"/>
              </w:rPr>
              <w:t>(Column D x Column E)</w:t>
            </w:r>
          </w:p>
        </w:tc>
        <w:tc>
          <w:tcPr>
            <w:tcW w:w="0" w:type="auto"/>
          </w:tcPr>
          <w:p w14:paraId="00B1B667" w14:textId="77777777" w:rsidR="002D5D4C" w:rsidRDefault="002D5D4C" w:rsidP="00310C97">
            <w:pPr>
              <w:tabs>
                <w:tab w:val="left" w:pos="360"/>
                <w:tab w:val="left" w:pos="720"/>
                <w:tab w:val="left" w:pos="1080"/>
              </w:tabs>
              <w:jc w:val="center"/>
              <w:rPr>
                <w:b/>
              </w:rPr>
            </w:pPr>
            <w:r>
              <w:rPr>
                <w:b/>
              </w:rPr>
              <w:t>G.</w:t>
            </w:r>
          </w:p>
          <w:p w14:paraId="32ED6654" w14:textId="405676DD" w:rsidR="002D5D4C" w:rsidRPr="002D5D4C" w:rsidRDefault="007D6247" w:rsidP="002D5D4C">
            <w:pPr>
              <w:tabs>
                <w:tab w:val="left" w:pos="360"/>
                <w:tab w:val="left" w:pos="720"/>
                <w:tab w:val="left" w:pos="1080"/>
              </w:tabs>
              <w:jc w:val="center"/>
              <w:rPr>
                <w:b/>
              </w:rPr>
            </w:pPr>
            <w:r>
              <w:rPr>
                <w:b/>
              </w:rPr>
              <w:t>Wage</w:t>
            </w:r>
            <w:r w:rsidR="002D5D4C">
              <w:rPr>
                <w:b/>
              </w:rPr>
              <w:t xml:space="preserve"> Cost (Column F x $</w:t>
            </w:r>
            <w:r w:rsidR="00B566F8">
              <w:rPr>
                <w:b/>
              </w:rPr>
              <w:t>23.91)</w:t>
            </w:r>
          </w:p>
        </w:tc>
      </w:tr>
      <w:tr w:rsidR="00B566F8" w14:paraId="6FA86543" w14:textId="587B68D9" w:rsidTr="00B566F8">
        <w:trPr>
          <w:cantSplit/>
        </w:trPr>
        <w:tc>
          <w:tcPr>
            <w:tcW w:w="0" w:type="auto"/>
            <w:vAlign w:val="center"/>
          </w:tcPr>
          <w:p w14:paraId="0A83DB26" w14:textId="3CAF3D99" w:rsidR="002D5D4C" w:rsidRPr="002D5D4C" w:rsidRDefault="002D5D4C" w:rsidP="00310C97">
            <w:pPr>
              <w:tabs>
                <w:tab w:val="left" w:pos="360"/>
                <w:tab w:val="left" w:pos="720"/>
                <w:tab w:val="left" w:pos="1080"/>
              </w:tabs>
              <w:jc w:val="center"/>
            </w:pPr>
            <w:r w:rsidRPr="002D5D4C">
              <w:t>Refined Helium Deliveries Detail</w:t>
            </w:r>
          </w:p>
        </w:tc>
        <w:tc>
          <w:tcPr>
            <w:tcW w:w="0" w:type="auto"/>
            <w:vAlign w:val="center"/>
          </w:tcPr>
          <w:p w14:paraId="7F7B0A61"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Quarterly</w:t>
            </w:r>
          </w:p>
        </w:tc>
        <w:tc>
          <w:tcPr>
            <w:tcW w:w="0" w:type="auto"/>
            <w:vAlign w:val="center"/>
          </w:tcPr>
          <w:p w14:paraId="2E4A39AE"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10</w:t>
            </w:r>
          </w:p>
        </w:tc>
        <w:tc>
          <w:tcPr>
            <w:tcW w:w="0" w:type="auto"/>
            <w:vAlign w:val="center"/>
          </w:tcPr>
          <w:p w14:paraId="70938739"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40</w:t>
            </w:r>
          </w:p>
        </w:tc>
        <w:tc>
          <w:tcPr>
            <w:tcW w:w="0" w:type="auto"/>
            <w:vAlign w:val="center"/>
          </w:tcPr>
          <w:p w14:paraId="66B78CB1" w14:textId="0C02B93A" w:rsidR="002D5D4C" w:rsidRPr="002D5D4C" w:rsidRDefault="004122DA"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4</w:t>
            </w:r>
          </w:p>
        </w:tc>
        <w:tc>
          <w:tcPr>
            <w:tcW w:w="0" w:type="auto"/>
            <w:vAlign w:val="center"/>
          </w:tcPr>
          <w:p w14:paraId="2A9D4D3A" w14:textId="5D062ADF" w:rsidR="002D5D4C" w:rsidRPr="002D5D4C" w:rsidRDefault="004122DA"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16</w:t>
            </w:r>
            <w:r w:rsidR="002D5D4C" w:rsidRPr="002D5D4C">
              <w:rPr>
                <w:rFonts w:ascii="Times New Roman" w:hAnsi="Times New Roman"/>
                <w:sz w:val="24"/>
              </w:rPr>
              <w:t>0</w:t>
            </w:r>
          </w:p>
        </w:tc>
        <w:tc>
          <w:tcPr>
            <w:tcW w:w="0" w:type="auto"/>
            <w:vAlign w:val="center"/>
          </w:tcPr>
          <w:p w14:paraId="11723FDA" w14:textId="2B386772" w:rsidR="002D5D4C" w:rsidRPr="002D5D4C" w:rsidRDefault="00474C73" w:rsidP="001977BB">
            <w:pPr>
              <w:pStyle w:val="EndnoteText"/>
              <w:tabs>
                <w:tab w:val="left" w:pos="6405"/>
              </w:tabs>
              <w:spacing w:after="0" w:line="240" w:lineRule="auto"/>
              <w:jc w:val="center"/>
              <w:rPr>
                <w:rFonts w:ascii="Times New Roman" w:hAnsi="Times New Roman"/>
                <w:sz w:val="24"/>
              </w:rPr>
            </w:pPr>
            <w:r>
              <w:rPr>
                <w:rFonts w:ascii="Times New Roman" w:hAnsi="Times New Roman"/>
                <w:sz w:val="24"/>
              </w:rPr>
              <w:t>$</w:t>
            </w:r>
            <w:r w:rsidR="001977BB">
              <w:rPr>
                <w:rFonts w:ascii="Times New Roman" w:hAnsi="Times New Roman"/>
                <w:sz w:val="24"/>
              </w:rPr>
              <w:t>3,826</w:t>
            </w:r>
          </w:p>
        </w:tc>
      </w:tr>
      <w:tr w:rsidR="00B566F8" w14:paraId="2552E3E1" w14:textId="67083AB3" w:rsidTr="00B566F8">
        <w:trPr>
          <w:cantSplit/>
        </w:trPr>
        <w:tc>
          <w:tcPr>
            <w:tcW w:w="0" w:type="auto"/>
            <w:vAlign w:val="center"/>
          </w:tcPr>
          <w:p w14:paraId="2A41A836" w14:textId="77777777" w:rsidR="002D5D4C" w:rsidRPr="002D5D4C" w:rsidRDefault="002D5D4C" w:rsidP="00310C97">
            <w:pPr>
              <w:tabs>
                <w:tab w:val="left" w:pos="360"/>
                <w:tab w:val="left" w:pos="720"/>
                <w:tab w:val="left" w:pos="1080"/>
              </w:tabs>
              <w:jc w:val="center"/>
              <w:rPr>
                <w:color w:val="000000"/>
              </w:rPr>
            </w:pPr>
            <w:r w:rsidRPr="002D5D4C">
              <w:rPr>
                <w:color w:val="000000"/>
              </w:rPr>
              <w:t>Calculation of Excess Refining Capacity</w:t>
            </w:r>
          </w:p>
        </w:tc>
        <w:tc>
          <w:tcPr>
            <w:tcW w:w="0" w:type="auto"/>
            <w:vAlign w:val="center"/>
          </w:tcPr>
          <w:p w14:paraId="33DEF69C"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Annually</w:t>
            </w:r>
          </w:p>
        </w:tc>
        <w:tc>
          <w:tcPr>
            <w:tcW w:w="0" w:type="auto"/>
            <w:vAlign w:val="center"/>
          </w:tcPr>
          <w:p w14:paraId="0BA79418"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w:t>
            </w:r>
          </w:p>
        </w:tc>
        <w:tc>
          <w:tcPr>
            <w:tcW w:w="0" w:type="auto"/>
            <w:vAlign w:val="center"/>
          </w:tcPr>
          <w:p w14:paraId="36E912E5"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w:t>
            </w:r>
          </w:p>
        </w:tc>
        <w:tc>
          <w:tcPr>
            <w:tcW w:w="0" w:type="auto"/>
            <w:vAlign w:val="center"/>
          </w:tcPr>
          <w:p w14:paraId="26869B2F" w14:textId="1BE2249F" w:rsidR="002D5D4C" w:rsidRPr="002D5D4C" w:rsidRDefault="005E6D38"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4</w:t>
            </w:r>
          </w:p>
        </w:tc>
        <w:tc>
          <w:tcPr>
            <w:tcW w:w="0" w:type="auto"/>
            <w:vAlign w:val="center"/>
          </w:tcPr>
          <w:p w14:paraId="14FC1233" w14:textId="0A5D8DAF" w:rsidR="002D5D4C" w:rsidRPr="002D5D4C" w:rsidRDefault="005E6D38"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16</w:t>
            </w:r>
          </w:p>
        </w:tc>
        <w:tc>
          <w:tcPr>
            <w:tcW w:w="0" w:type="auto"/>
            <w:vAlign w:val="center"/>
          </w:tcPr>
          <w:p w14:paraId="41C0E12F" w14:textId="0F36F3E0" w:rsidR="002D5D4C" w:rsidRPr="002D5D4C" w:rsidRDefault="005E6D38" w:rsidP="00B566F8">
            <w:pPr>
              <w:pStyle w:val="EndnoteText"/>
              <w:tabs>
                <w:tab w:val="left" w:pos="6405"/>
              </w:tabs>
              <w:spacing w:after="0" w:line="240" w:lineRule="auto"/>
              <w:jc w:val="center"/>
              <w:rPr>
                <w:rFonts w:ascii="Times New Roman" w:hAnsi="Times New Roman"/>
                <w:sz w:val="24"/>
              </w:rPr>
            </w:pPr>
            <w:r>
              <w:rPr>
                <w:rFonts w:ascii="Times New Roman" w:hAnsi="Times New Roman"/>
                <w:sz w:val="24"/>
              </w:rPr>
              <w:t>$383</w:t>
            </w:r>
          </w:p>
        </w:tc>
      </w:tr>
      <w:tr w:rsidR="00B566F8" w14:paraId="65544BF4" w14:textId="1F8BA117" w:rsidTr="00B566F8">
        <w:trPr>
          <w:cantSplit/>
        </w:trPr>
        <w:tc>
          <w:tcPr>
            <w:tcW w:w="0" w:type="auto"/>
            <w:vAlign w:val="center"/>
          </w:tcPr>
          <w:p w14:paraId="77FCEECD" w14:textId="77777777" w:rsidR="002D5D4C" w:rsidRPr="002D5D4C" w:rsidRDefault="002D5D4C" w:rsidP="00310C97">
            <w:pPr>
              <w:tabs>
                <w:tab w:val="left" w:pos="360"/>
                <w:tab w:val="left" w:pos="720"/>
                <w:tab w:val="left" w:pos="1080"/>
              </w:tabs>
              <w:jc w:val="center"/>
              <w:rPr>
                <w:color w:val="000000"/>
              </w:rPr>
            </w:pPr>
            <w:r w:rsidRPr="002D5D4C">
              <w:rPr>
                <w:color w:val="000000"/>
              </w:rPr>
              <w:t>Refiners’ Annual Tolling Report</w:t>
            </w:r>
          </w:p>
        </w:tc>
        <w:tc>
          <w:tcPr>
            <w:tcW w:w="0" w:type="auto"/>
            <w:vAlign w:val="center"/>
          </w:tcPr>
          <w:p w14:paraId="3D6213ED"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Annually</w:t>
            </w:r>
          </w:p>
        </w:tc>
        <w:tc>
          <w:tcPr>
            <w:tcW w:w="0" w:type="auto"/>
            <w:vAlign w:val="center"/>
          </w:tcPr>
          <w:p w14:paraId="76A342D6"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w:t>
            </w:r>
          </w:p>
        </w:tc>
        <w:tc>
          <w:tcPr>
            <w:tcW w:w="0" w:type="auto"/>
            <w:vAlign w:val="center"/>
          </w:tcPr>
          <w:p w14:paraId="7048007A"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w:t>
            </w:r>
          </w:p>
        </w:tc>
        <w:tc>
          <w:tcPr>
            <w:tcW w:w="0" w:type="auto"/>
            <w:vAlign w:val="center"/>
          </w:tcPr>
          <w:p w14:paraId="15474887" w14:textId="61F10D85" w:rsidR="002D5D4C" w:rsidRPr="002D5D4C" w:rsidRDefault="00072126"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4</w:t>
            </w:r>
            <w:bookmarkStart w:id="1" w:name="_GoBack"/>
            <w:bookmarkEnd w:id="1"/>
          </w:p>
        </w:tc>
        <w:tc>
          <w:tcPr>
            <w:tcW w:w="0" w:type="auto"/>
            <w:vAlign w:val="center"/>
          </w:tcPr>
          <w:p w14:paraId="6AB60E6D" w14:textId="6D4B28E7" w:rsidR="002D5D4C" w:rsidRPr="002D5D4C" w:rsidRDefault="005E6D38"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16</w:t>
            </w:r>
          </w:p>
        </w:tc>
        <w:tc>
          <w:tcPr>
            <w:tcW w:w="0" w:type="auto"/>
            <w:vAlign w:val="center"/>
          </w:tcPr>
          <w:p w14:paraId="4AAFC11A" w14:textId="73B27F35" w:rsidR="002D5D4C" w:rsidRPr="002D5D4C" w:rsidRDefault="004575B4" w:rsidP="00B566F8">
            <w:pPr>
              <w:pStyle w:val="EndnoteText"/>
              <w:tabs>
                <w:tab w:val="left" w:pos="6405"/>
              </w:tabs>
              <w:spacing w:after="0" w:line="240" w:lineRule="auto"/>
              <w:jc w:val="center"/>
              <w:rPr>
                <w:rFonts w:ascii="Times New Roman" w:hAnsi="Times New Roman"/>
                <w:sz w:val="24"/>
              </w:rPr>
            </w:pPr>
            <w:r>
              <w:rPr>
                <w:rFonts w:ascii="Times New Roman" w:hAnsi="Times New Roman"/>
                <w:sz w:val="24"/>
              </w:rPr>
              <w:t>$</w:t>
            </w:r>
            <w:r w:rsidR="005E6D38">
              <w:rPr>
                <w:rFonts w:ascii="Times New Roman" w:hAnsi="Times New Roman"/>
                <w:sz w:val="24"/>
              </w:rPr>
              <w:t>383</w:t>
            </w:r>
          </w:p>
        </w:tc>
      </w:tr>
      <w:tr w:rsidR="00B566F8" w14:paraId="559B33E7" w14:textId="538FE2CD" w:rsidTr="00B566F8">
        <w:trPr>
          <w:cantSplit/>
        </w:trPr>
        <w:tc>
          <w:tcPr>
            <w:tcW w:w="0" w:type="auto"/>
            <w:vAlign w:val="center"/>
          </w:tcPr>
          <w:p w14:paraId="6DF2C01B"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Refiners’ Tolling Occurrence Report</w:t>
            </w:r>
          </w:p>
        </w:tc>
        <w:tc>
          <w:tcPr>
            <w:tcW w:w="0" w:type="auto"/>
            <w:vAlign w:val="center"/>
          </w:tcPr>
          <w:p w14:paraId="14C0BE4D"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On occasion</w:t>
            </w:r>
          </w:p>
        </w:tc>
        <w:tc>
          <w:tcPr>
            <w:tcW w:w="0" w:type="auto"/>
            <w:vAlign w:val="center"/>
          </w:tcPr>
          <w:p w14:paraId="4151586E"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4</w:t>
            </w:r>
          </w:p>
        </w:tc>
        <w:tc>
          <w:tcPr>
            <w:tcW w:w="0" w:type="auto"/>
            <w:vAlign w:val="center"/>
          </w:tcPr>
          <w:p w14:paraId="68BA403C"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12</w:t>
            </w:r>
          </w:p>
        </w:tc>
        <w:tc>
          <w:tcPr>
            <w:tcW w:w="0" w:type="auto"/>
            <w:vAlign w:val="center"/>
          </w:tcPr>
          <w:p w14:paraId="4C3F3A8D" w14:textId="040DFA2D" w:rsidR="002D5D4C" w:rsidRPr="002D5D4C" w:rsidRDefault="004122DA"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4</w:t>
            </w:r>
          </w:p>
        </w:tc>
        <w:tc>
          <w:tcPr>
            <w:tcW w:w="0" w:type="auto"/>
            <w:vAlign w:val="center"/>
          </w:tcPr>
          <w:p w14:paraId="30B61D9F" w14:textId="47F85354" w:rsidR="002D5D4C" w:rsidRPr="002D5D4C" w:rsidRDefault="004122DA"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48</w:t>
            </w:r>
          </w:p>
        </w:tc>
        <w:tc>
          <w:tcPr>
            <w:tcW w:w="0" w:type="auto"/>
            <w:vAlign w:val="center"/>
          </w:tcPr>
          <w:p w14:paraId="51FCC2F0" w14:textId="07002B39" w:rsidR="002D5D4C" w:rsidRPr="002D5D4C" w:rsidRDefault="004575B4" w:rsidP="001977BB">
            <w:pPr>
              <w:pStyle w:val="EndnoteText"/>
              <w:tabs>
                <w:tab w:val="left" w:pos="6405"/>
              </w:tabs>
              <w:spacing w:after="0" w:line="240" w:lineRule="auto"/>
              <w:jc w:val="center"/>
              <w:rPr>
                <w:rFonts w:ascii="Times New Roman" w:hAnsi="Times New Roman"/>
                <w:sz w:val="24"/>
              </w:rPr>
            </w:pPr>
            <w:r>
              <w:rPr>
                <w:rFonts w:ascii="Times New Roman" w:hAnsi="Times New Roman"/>
                <w:sz w:val="24"/>
              </w:rPr>
              <w:t>$1</w:t>
            </w:r>
            <w:r w:rsidR="001977BB">
              <w:rPr>
                <w:rFonts w:ascii="Times New Roman" w:hAnsi="Times New Roman"/>
                <w:sz w:val="24"/>
              </w:rPr>
              <w:t>,148</w:t>
            </w:r>
          </w:p>
        </w:tc>
      </w:tr>
      <w:tr w:rsidR="00B566F8" w14:paraId="2E50DCCF" w14:textId="68CF63AD" w:rsidTr="005E6D38">
        <w:trPr>
          <w:cantSplit/>
        </w:trPr>
        <w:tc>
          <w:tcPr>
            <w:tcW w:w="0" w:type="auto"/>
            <w:vAlign w:val="center"/>
          </w:tcPr>
          <w:p w14:paraId="3E230846"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Totals</w:t>
            </w:r>
          </w:p>
        </w:tc>
        <w:tc>
          <w:tcPr>
            <w:tcW w:w="0" w:type="auto"/>
            <w:vAlign w:val="center"/>
          </w:tcPr>
          <w:p w14:paraId="610139B9"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p>
        </w:tc>
        <w:tc>
          <w:tcPr>
            <w:tcW w:w="0" w:type="auto"/>
            <w:vAlign w:val="center"/>
          </w:tcPr>
          <w:p w14:paraId="07105550"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22</w:t>
            </w:r>
          </w:p>
        </w:tc>
        <w:tc>
          <w:tcPr>
            <w:tcW w:w="0" w:type="auto"/>
            <w:vAlign w:val="center"/>
          </w:tcPr>
          <w:p w14:paraId="18A58F25"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r w:rsidRPr="002D5D4C">
              <w:rPr>
                <w:rFonts w:ascii="Times New Roman" w:hAnsi="Times New Roman"/>
                <w:sz w:val="24"/>
              </w:rPr>
              <w:t>60</w:t>
            </w:r>
          </w:p>
        </w:tc>
        <w:tc>
          <w:tcPr>
            <w:tcW w:w="0" w:type="auto"/>
            <w:vAlign w:val="center"/>
          </w:tcPr>
          <w:p w14:paraId="227130F2" w14:textId="77777777" w:rsidR="002D5D4C" w:rsidRPr="002D5D4C" w:rsidRDefault="002D5D4C" w:rsidP="00310C97">
            <w:pPr>
              <w:pStyle w:val="EndnoteText"/>
              <w:tabs>
                <w:tab w:val="left" w:pos="6405"/>
              </w:tabs>
              <w:spacing w:after="0" w:line="240" w:lineRule="auto"/>
              <w:jc w:val="center"/>
              <w:rPr>
                <w:rFonts w:ascii="Times New Roman" w:hAnsi="Times New Roman"/>
                <w:sz w:val="24"/>
              </w:rPr>
            </w:pPr>
          </w:p>
        </w:tc>
        <w:tc>
          <w:tcPr>
            <w:tcW w:w="0" w:type="auto"/>
            <w:vAlign w:val="center"/>
          </w:tcPr>
          <w:p w14:paraId="6B6F77B9" w14:textId="78922E1E" w:rsidR="002D5D4C" w:rsidRPr="002D5D4C" w:rsidRDefault="005E6D38" w:rsidP="00310C97">
            <w:pPr>
              <w:pStyle w:val="EndnoteText"/>
              <w:tabs>
                <w:tab w:val="left" w:pos="6405"/>
              </w:tabs>
              <w:spacing w:after="0" w:line="240" w:lineRule="auto"/>
              <w:jc w:val="center"/>
              <w:rPr>
                <w:rFonts w:ascii="Times New Roman" w:hAnsi="Times New Roman"/>
                <w:sz w:val="24"/>
              </w:rPr>
            </w:pPr>
            <w:r>
              <w:rPr>
                <w:rFonts w:ascii="Times New Roman" w:hAnsi="Times New Roman"/>
                <w:sz w:val="24"/>
              </w:rPr>
              <w:t>240</w:t>
            </w:r>
          </w:p>
        </w:tc>
        <w:tc>
          <w:tcPr>
            <w:tcW w:w="0" w:type="auto"/>
            <w:vAlign w:val="center"/>
          </w:tcPr>
          <w:p w14:paraId="772FD2AA" w14:textId="0A8342BD" w:rsidR="002D5D4C" w:rsidRPr="002D5D4C" w:rsidRDefault="005E6D38" w:rsidP="005E6D38">
            <w:pPr>
              <w:pStyle w:val="EndnoteText"/>
              <w:tabs>
                <w:tab w:val="left" w:pos="6405"/>
              </w:tabs>
              <w:spacing w:after="0" w:line="240" w:lineRule="auto"/>
              <w:jc w:val="center"/>
              <w:rPr>
                <w:rFonts w:ascii="Times New Roman" w:hAnsi="Times New Roman"/>
                <w:sz w:val="24"/>
              </w:rPr>
            </w:pPr>
            <w:r>
              <w:rPr>
                <w:rFonts w:ascii="Times New Roman" w:hAnsi="Times New Roman"/>
                <w:sz w:val="24"/>
              </w:rPr>
              <w:t>$5,740</w:t>
            </w:r>
          </w:p>
        </w:tc>
      </w:tr>
    </w:tbl>
    <w:p w14:paraId="61CC9636" w14:textId="77777777" w:rsidR="002D5D4C" w:rsidRPr="003315F1" w:rsidRDefault="002D5D4C" w:rsidP="00A84810">
      <w:pPr>
        <w:tabs>
          <w:tab w:val="left" w:pos="360"/>
          <w:tab w:val="left" w:pos="720"/>
          <w:tab w:val="left" w:pos="1080"/>
        </w:tabs>
        <w:jc w:val="center"/>
        <w:rPr>
          <w:b/>
          <w:u w:val="single"/>
        </w:rPr>
      </w:pPr>
    </w:p>
    <w:p w14:paraId="36C050B9" w14:textId="77777777" w:rsidR="00B1534E" w:rsidRPr="00C51DBD" w:rsidRDefault="00B1534E" w:rsidP="00B153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E5ACB7" w14:textId="77777777" w:rsidR="00A10E3C" w:rsidRPr="00A10E3C" w:rsidRDefault="00A10E3C" w:rsidP="00A10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10E3C">
        <w:rPr>
          <w:b/>
        </w:rPr>
        <w:t>13.</w:t>
      </w:r>
      <w:r w:rsidRPr="00A10E3C">
        <w:rPr>
          <w:b/>
        </w:rPr>
        <w:tab/>
        <w:t>Provide an estimate of the total annual non-hour cost burden to respondents or recordkeepers resulting from the collection of information.  (Do not include the cost of any hour burden already reflected in item 12.)</w:t>
      </w:r>
    </w:p>
    <w:p w14:paraId="281FA45A" w14:textId="77777777" w:rsidR="00A10E3C" w:rsidRPr="00A10E3C" w:rsidRDefault="00A10E3C" w:rsidP="00A10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10E3C">
        <w:rPr>
          <w:b/>
        </w:rPr>
        <w:t>*</w:t>
      </w:r>
      <w:r w:rsidRPr="00A10E3C">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w:t>
      </w:r>
      <w:r w:rsidRPr="00A10E3C">
        <w:rPr>
          <w:b/>
        </w:rPr>
        <w:lastRenderedPageBreak/>
        <w:t>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F0C931" w14:textId="77777777" w:rsidR="00A10E3C" w:rsidRPr="00A10E3C" w:rsidRDefault="00A10E3C" w:rsidP="00A10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10E3C">
        <w:rPr>
          <w:b/>
        </w:rPr>
        <w:t>*</w:t>
      </w:r>
      <w:r w:rsidRPr="00A10E3C">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06334FF" w14:textId="77777777" w:rsidR="00A10E3C" w:rsidRDefault="00A10E3C" w:rsidP="00A10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10E3C">
        <w:rPr>
          <w:b/>
        </w:rPr>
        <w:tab/>
        <w:t>*</w:t>
      </w:r>
      <w:r w:rsidRPr="00A10E3C">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t>.</w:t>
      </w:r>
    </w:p>
    <w:p w14:paraId="48F4C618" w14:textId="77777777" w:rsidR="0061501A" w:rsidRPr="00B37761" w:rsidRDefault="0061501A" w:rsidP="0061501A"/>
    <w:p w14:paraId="71606E0B" w14:textId="77777777" w:rsidR="0061501A" w:rsidRDefault="0061501A" w:rsidP="0061501A">
      <w: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r w:rsidR="00882F8F">
        <w:t xml:space="preserve">  </w:t>
      </w:r>
      <w:r w:rsidR="003F56C2">
        <w:t>T</w:t>
      </w:r>
      <w:r w:rsidR="00882F8F">
        <w:t xml:space="preserve">here is no </w:t>
      </w:r>
      <w:r w:rsidR="00947C5B">
        <w:t>“</w:t>
      </w:r>
      <w:r w:rsidR="00A61B7C">
        <w:t>non-hour</w:t>
      </w:r>
      <w:r w:rsidR="00947C5B">
        <w:t>”</w:t>
      </w:r>
      <w:r w:rsidR="00882F8F">
        <w:t xml:space="preserve"> burden.</w:t>
      </w:r>
    </w:p>
    <w:p w14:paraId="1B6A8858" w14:textId="77777777" w:rsidR="0061501A" w:rsidRDefault="0061501A" w:rsidP="0061501A">
      <w:pPr>
        <w:tabs>
          <w:tab w:val="left" w:pos="360"/>
          <w:tab w:val="left" w:pos="1296"/>
          <w:tab w:val="left" w:pos="2016"/>
        </w:tabs>
        <w:rPr>
          <w:u w:val="single"/>
        </w:rPr>
      </w:pPr>
    </w:p>
    <w:p w14:paraId="60FD649E" w14:textId="77777777" w:rsidR="004F3ECE" w:rsidRPr="004F3ECE" w:rsidRDefault="004F3ECE" w:rsidP="004F3E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F3ECE">
        <w:rPr>
          <w:b/>
        </w:rPr>
        <w:t>14.</w:t>
      </w:r>
      <w:r w:rsidRPr="004F3ECE">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b/>
        </w:rPr>
        <w:t>his collection of information.</w:t>
      </w:r>
    </w:p>
    <w:p w14:paraId="7409FAA1" w14:textId="77777777" w:rsidR="00B1534E" w:rsidRDefault="00B1534E" w:rsidP="00B153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rPr>
      </w:pPr>
    </w:p>
    <w:p w14:paraId="54571C12" w14:textId="77777777" w:rsidR="00C31E49" w:rsidRDefault="00E3387F" w:rsidP="00E33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Pr>
      </w:pPr>
      <w:r>
        <w:t xml:space="preserve">The hourly cost to the Federal Government is shown in Table 14-1 and based on data at:  </w:t>
      </w:r>
      <w:hyperlink r:id="rId11" w:history="1">
        <w:r w:rsidR="00AE1F31" w:rsidRPr="00861BF7">
          <w:rPr>
            <w:rStyle w:val="Hyperlink"/>
          </w:rPr>
          <w:t>http://www.opm.gov/policy-data-oversight/pay-leave/salaries-wages/2015/general-schedule/</w:t>
        </w:r>
      </w:hyperlink>
      <w:r w:rsidR="00C31E49">
        <w:rPr>
          <w:rStyle w:val="Hyperlink"/>
        </w:rPr>
        <w:t>.</w:t>
      </w:r>
    </w:p>
    <w:p w14:paraId="76EB8C9C" w14:textId="77777777" w:rsidR="00C31E49" w:rsidRDefault="00C31E49" w:rsidP="00E33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E0EEA5" w14:textId="703330FF" w:rsidR="00E3387F" w:rsidRDefault="00C31E49" w:rsidP="00E33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00E3387F">
        <w:t xml:space="preserve">he benefits multiplier of 1.5 is implied by information at:  </w:t>
      </w:r>
      <w:hyperlink r:id="rId12" w:history="1">
        <w:r w:rsidR="00E3387F">
          <w:rPr>
            <w:rStyle w:val="Hyperlink"/>
          </w:rPr>
          <w:t>http://www.bls.gov/news.release/ecec.nr0.htm</w:t>
        </w:r>
      </w:hyperlink>
      <w:r w:rsidR="00E3387F">
        <w:t>.</w:t>
      </w:r>
    </w:p>
    <w:p w14:paraId="79300907" w14:textId="77777777" w:rsidR="00E3387F" w:rsidRDefault="00E3387F" w:rsidP="00E33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42D7509F" w14:textId="77777777" w:rsidR="00E3387F" w:rsidRPr="00146402" w:rsidRDefault="00E3387F" w:rsidP="00E33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146402">
        <w:rPr>
          <w:b/>
        </w:rPr>
        <w:t>Table 14-1 — Hourly Cost Calculation</w:t>
      </w:r>
    </w:p>
    <w:p w14:paraId="593CBFFF" w14:textId="77777777" w:rsidR="00E3387F" w:rsidRPr="00146402" w:rsidRDefault="00E3387F" w:rsidP="00E3387F">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181"/>
        <w:gridCol w:w="1187"/>
        <w:gridCol w:w="1983"/>
        <w:gridCol w:w="2576"/>
        <w:gridCol w:w="1649"/>
      </w:tblGrid>
      <w:tr w:rsidR="00E3387F" w:rsidRPr="00F72F16" w14:paraId="619E2D24" w14:textId="77777777" w:rsidTr="00455004">
        <w:trPr>
          <w:cantSplit/>
          <w:tblHeader/>
        </w:trPr>
        <w:tc>
          <w:tcPr>
            <w:tcW w:w="0" w:type="auto"/>
            <w:tcBorders>
              <w:top w:val="single" w:sz="4" w:space="0" w:color="000000"/>
              <w:left w:val="single" w:sz="4" w:space="0" w:color="000000"/>
              <w:bottom w:val="single" w:sz="4" w:space="0" w:color="000000"/>
              <w:right w:val="single" w:sz="4" w:space="0" w:color="000000"/>
            </w:tcBorders>
            <w:hideMark/>
          </w:tcPr>
          <w:p w14:paraId="0A9E8A7B"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A.</w:t>
            </w:r>
          </w:p>
          <w:p w14:paraId="7F335949"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Occupational Category and GS Level</w:t>
            </w:r>
          </w:p>
        </w:tc>
        <w:tc>
          <w:tcPr>
            <w:tcW w:w="0" w:type="auto"/>
            <w:tcBorders>
              <w:top w:val="single" w:sz="4" w:space="0" w:color="000000"/>
              <w:left w:val="single" w:sz="4" w:space="0" w:color="000000"/>
              <w:bottom w:val="single" w:sz="4" w:space="0" w:color="000000"/>
              <w:right w:val="single" w:sz="4" w:space="0" w:color="000000"/>
            </w:tcBorders>
            <w:hideMark/>
          </w:tcPr>
          <w:p w14:paraId="6FF54618"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B.</w:t>
            </w:r>
          </w:p>
          <w:p w14:paraId="2F8EFB3C"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Hourly Pay Rate</w:t>
            </w:r>
          </w:p>
        </w:tc>
        <w:tc>
          <w:tcPr>
            <w:tcW w:w="0" w:type="auto"/>
            <w:tcBorders>
              <w:top w:val="single" w:sz="4" w:space="0" w:color="000000"/>
              <w:left w:val="single" w:sz="4" w:space="0" w:color="000000"/>
              <w:bottom w:val="single" w:sz="4" w:space="0" w:color="000000"/>
              <w:right w:val="single" w:sz="4" w:space="0" w:color="000000"/>
            </w:tcBorders>
            <w:hideMark/>
          </w:tcPr>
          <w:p w14:paraId="1B48F1A9"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w:t>
            </w:r>
          </w:p>
          <w:p w14:paraId="586B9119"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Hourly Rate with Benefits (Column B x 1.5)</w:t>
            </w:r>
          </w:p>
        </w:tc>
        <w:tc>
          <w:tcPr>
            <w:tcW w:w="0" w:type="auto"/>
            <w:tcBorders>
              <w:top w:val="single" w:sz="4" w:space="0" w:color="000000"/>
              <w:left w:val="single" w:sz="4" w:space="0" w:color="000000"/>
              <w:bottom w:val="single" w:sz="4" w:space="0" w:color="000000"/>
              <w:right w:val="single" w:sz="4" w:space="0" w:color="000000"/>
            </w:tcBorders>
            <w:hideMark/>
          </w:tcPr>
          <w:p w14:paraId="31AA4878"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D.</w:t>
            </w:r>
          </w:p>
          <w:p w14:paraId="6CAAFC02"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Percent of Collection Time Completed by Each Occupation</w:t>
            </w:r>
          </w:p>
        </w:tc>
        <w:tc>
          <w:tcPr>
            <w:tcW w:w="0" w:type="auto"/>
            <w:tcBorders>
              <w:top w:val="single" w:sz="4" w:space="0" w:color="000000"/>
              <w:left w:val="single" w:sz="4" w:space="0" w:color="000000"/>
              <w:bottom w:val="single" w:sz="4" w:space="0" w:color="000000"/>
              <w:right w:val="single" w:sz="4" w:space="0" w:color="000000"/>
            </w:tcBorders>
            <w:hideMark/>
          </w:tcPr>
          <w:p w14:paraId="7692BF73"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E.</w:t>
            </w:r>
          </w:p>
          <w:p w14:paraId="76C7A02D"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Weighted Avg.</w:t>
            </w:r>
            <w:r w:rsidR="0018083F" w:rsidRPr="00F72F16">
              <w:rPr>
                <w:b/>
              </w:rPr>
              <w:t xml:space="preserve"> Hourly Cost</w:t>
            </w:r>
          </w:p>
          <w:p w14:paraId="6358D2DC" w14:textId="77777777" w:rsidR="00E3387F" w:rsidRPr="00F72F16" w:rsidRDefault="00E3387F" w:rsidP="004550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(Column C x Column D)</w:t>
            </w:r>
          </w:p>
        </w:tc>
      </w:tr>
      <w:tr w:rsidR="00E3387F" w:rsidRPr="00F72F16" w14:paraId="492E5790" w14:textId="77777777" w:rsidTr="004F20C7">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15031496" w14:textId="77777777" w:rsidR="00E3387F"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lastRenderedPageBreak/>
              <w:t>Secretary</w:t>
            </w:r>
          </w:p>
          <w:p w14:paraId="0C36BB83" w14:textId="027BD93D" w:rsidR="002B65A3" w:rsidRPr="00F72F16" w:rsidRDefault="002B65A3" w:rsidP="00A572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GS-06, Step 2</w:t>
            </w:r>
          </w:p>
        </w:tc>
        <w:tc>
          <w:tcPr>
            <w:tcW w:w="0" w:type="auto"/>
            <w:tcBorders>
              <w:top w:val="single" w:sz="4" w:space="0" w:color="000000"/>
              <w:left w:val="single" w:sz="4" w:space="0" w:color="000000"/>
              <w:bottom w:val="single" w:sz="4" w:space="0" w:color="000000"/>
              <w:right w:val="single" w:sz="4" w:space="0" w:color="000000"/>
            </w:tcBorders>
            <w:vAlign w:val="center"/>
          </w:tcPr>
          <w:p w14:paraId="46D5CD73" w14:textId="77777777" w:rsidR="00B36B8F" w:rsidRPr="00F72F16" w:rsidRDefault="00B36B8F" w:rsidP="000F7F0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17.63</w:t>
            </w:r>
          </w:p>
        </w:tc>
        <w:tc>
          <w:tcPr>
            <w:tcW w:w="0" w:type="auto"/>
            <w:tcBorders>
              <w:top w:val="single" w:sz="4" w:space="0" w:color="000000"/>
              <w:left w:val="single" w:sz="4" w:space="0" w:color="000000"/>
              <w:bottom w:val="single" w:sz="4" w:space="0" w:color="000000"/>
              <w:right w:val="single" w:sz="4" w:space="0" w:color="000000"/>
            </w:tcBorders>
            <w:vAlign w:val="center"/>
          </w:tcPr>
          <w:p w14:paraId="13379B82" w14:textId="77777777" w:rsidR="00E3387F" w:rsidRPr="00F72F16" w:rsidRDefault="004F20C7"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26.45</w:t>
            </w:r>
          </w:p>
        </w:tc>
        <w:tc>
          <w:tcPr>
            <w:tcW w:w="0" w:type="auto"/>
            <w:tcBorders>
              <w:top w:val="single" w:sz="4" w:space="0" w:color="000000"/>
              <w:left w:val="single" w:sz="4" w:space="0" w:color="000000"/>
              <w:bottom w:val="single" w:sz="4" w:space="0" w:color="000000"/>
              <w:right w:val="single" w:sz="4" w:space="0" w:color="000000"/>
            </w:tcBorders>
            <w:vAlign w:val="center"/>
          </w:tcPr>
          <w:p w14:paraId="57557ED3" w14:textId="77777777" w:rsidR="00E3387F" w:rsidRPr="00F72F16"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15</w:t>
            </w:r>
            <w:r w:rsidR="0023141E" w:rsidRPr="00F72F16">
              <w:t>%</w:t>
            </w:r>
          </w:p>
        </w:tc>
        <w:tc>
          <w:tcPr>
            <w:tcW w:w="0" w:type="auto"/>
            <w:tcBorders>
              <w:top w:val="single" w:sz="4" w:space="0" w:color="000000"/>
              <w:left w:val="single" w:sz="4" w:space="0" w:color="000000"/>
              <w:bottom w:val="single" w:sz="4" w:space="0" w:color="000000"/>
              <w:right w:val="single" w:sz="4" w:space="0" w:color="000000"/>
            </w:tcBorders>
            <w:vAlign w:val="center"/>
          </w:tcPr>
          <w:p w14:paraId="05EF5220" w14:textId="77777777" w:rsidR="00E3387F" w:rsidRPr="00F72F16" w:rsidRDefault="00AF7ECF"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3.97</w:t>
            </w:r>
          </w:p>
        </w:tc>
      </w:tr>
      <w:tr w:rsidR="00E3387F" w:rsidRPr="00F72F16" w14:paraId="711C90D8" w14:textId="77777777" w:rsidTr="004F20C7">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489F37CB" w14:textId="77777777" w:rsidR="00E3387F"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Crude Helium Sales Analyst</w:t>
            </w:r>
          </w:p>
          <w:p w14:paraId="11E20329" w14:textId="0C145133" w:rsidR="002B65A3" w:rsidRPr="00F72F16" w:rsidRDefault="002B65A3" w:rsidP="00A572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GS-09, Step 4</w:t>
            </w:r>
          </w:p>
        </w:tc>
        <w:tc>
          <w:tcPr>
            <w:tcW w:w="0" w:type="auto"/>
            <w:tcBorders>
              <w:top w:val="single" w:sz="4" w:space="0" w:color="000000"/>
              <w:left w:val="single" w:sz="4" w:space="0" w:color="000000"/>
              <w:bottom w:val="single" w:sz="4" w:space="0" w:color="000000"/>
              <w:right w:val="single" w:sz="4" w:space="0" w:color="000000"/>
            </w:tcBorders>
            <w:vAlign w:val="center"/>
          </w:tcPr>
          <w:p w14:paraId="6227703D" w14:textId="77777777" w:rsidR="00B36B8F" w:rsidRPr="00F72F16" w:rsidRDefault="00B36B8F" w:rsidP="000F7F0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25.51</w:t>
            </w:r>
          </w:p>
        </w:tc>
        <w:tc>
          <w:tcPr>
            <w:tcW w:w="0" w:type="auto"/>
            <w:tcBorders>
              <w:top w:val="single" w:sz="4" w:space="0" w:color="000000"/>
              <w:left w:val="single" w:sz="4" w:space="0" w:color="000000"/>
              <w:bottom w:val="single" w:sz="4" w:space="0" w:color="000000"/>
              <w:right w:val="single" w:sz="4" w:space="0" w:color="000000"/>
            </w:tcBorders>
            <w:vAlign w:val="center"/>
          </w:tcPr>
          <w:p w14:paraId="1E09D125" w14:textId="77777777" w:rsidR="00E3387F" w:rsidRPr="00F72F16" w:rsidRDefault="004F20C7"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38.27</w:t>
            </w:r>
          </w:p>
        </w:tc>
        <w:tc>
          <w:tcPr>
            <w:tcW w:w="0" w:type="auto"/>
            <w:tcBorders>
              <w:top w:val="single" w:sz="4" w:space="0" w:color="000000"/>
              <w:left w:val="single" w:sz="4" w:space="0" w:color="000000"/>
              <w:bottom w:val="single" w:sz="4" w:space="0" w:color="000000"/>
              <w:right w:val="single" w:sz="4" w:space="0" w:color="000000"/>
            </w:tcBorders>
            <w:vAlign w:val="center"/>
          </w:tcPr>
          <w:p w14:paraId="79A92B04" w14:textId="77777777" w:rsidR="00E3387F" w:rsidRPr="00F72F16"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50</w:t>
            </w:r>
            <w:r w:rsidR="0023141E" w:rsidRPr="00F72F16">
              <w:t>%</w:t>
            </w:r>
          </w:p>
        </w:tc>
        <w:tc>
          <w:tcPr>
            <w:tcW w:w="0" w:type="auto"/>
            <w:tcBorders>
              <w:top w:val="single" w:sz="4" w:space="0" w:color="000000"/>
              <w:left w:val="single" w:sz="4" w:space="0" w:color="000000"/>
              <w:bottom w:val="single" w:sz="4" w:space="0" w:color="000000"/>
              <w:right w:val="single" w:sz="4" w:space="0" w:color="000000"/>
            </w:tcBorders>
            <w:vAlign w:val="center"/>
          </w:tcPr>
          <w:p w14:paraId="69E42998" w14:textId="77777777" w:rsidR="00E3387F" w:rsidRPr="00F72F16" w:rsidRDefault="00AF7ECF"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19.13</w:t>
            </w:r>
          </w:p>
        </w:tc>
      </w:tr>
      <w:tr w:rsidR="00E3387F" w:rsidRPr="00F72F16" w14:paraId="2D646FBF" w14:textId="77777777" w:rsidTr="004F20C7">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52A2FF88" w14:textId="77777777" w:rsidR="00E3387F"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Lead Engineer</w:t>
            </w:r>
          </w:p>
          <w:p w14:paraId="6FEDAC7F" w14:textId="15417AE5" w:rsidR="002B65A3" w:rsidRPr="00F72F16" w:rsidRDefault="002B65A3" w:rsidP="00A572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GS-13, Step 4</w:t>
            </w:r>
          </w:p>
        </w:tc>
        <w:tc>
          <w:tcPr>
            <w:tcW w:w="0" w:type="auto"/>
            <w:tcBorders>
              <w:top w:val="single" w:sz="4" w:space="0" w:color="000000"/>
              <w:left w:val="single" w:sz="4" w:space="0" w:color="000000"/>
              <w:bottom w:val="single" w:sz="4" w:space="0" w:color="000000"/>
              <w:right w:val="single" w:sz="4" w:space="0" w:color="000000"/>
            </w:tcBorders>
            <w:vAlign w:val="center"/>
          </w:tcPr>
          <w:p w14:paraId="61C76EE8" w14:textId="77777777" w:rsidR="00B36B8F" w:rsidRPr="00F72F16" w:rsidRDefault="00B36B8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43.99</w:t>
            </w:r>
          </w:p>
        </w:tc>
        <w:tc>
          <w:tcPr>
            <w:tcW w:w="0" w:type="auto"/>
            <w:tcBorders>
              <w:top w:val="single" w:sz="4" w:space="0" w:color="000000"/>
              <w:left w:val="single" w:sz="4" w:space="0" w:color="000000"/>
              <w:bottom w:val="single" w:sz="4" w:space="0" w:color="000000"/>
              <w:right w:val="single" w:sz="4" w:space="0" w:color="000000"/>
            </w:tcBorders>
            <w:vAlign w:val="center"/>
          </w:tcPr>
          <w:p w14:paraId="3AF6A2BB" w14:textId="77777777" w:rsidR="00E3387F" w:rsidRPr="00F72F16" w:rsidRDefault="004F20C7"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65.99</w:t>
            </w:r>
          </w:p>
        </w:tc>
        <w:tc>
          <w:tcPr>
            <w:tcW w:w="0" w:type="auto"/>
            <w:tcBorders>
              <w:top w:val="single" w:sz="4" w:space="0" w:color="000000"/>
              <w:left w:val="single" w:sz="4" w:space="0" w:color="000000"/>
              <w:bottom w:val="single" w:sz="4" w:space="0" w:color="000000"/>
              <w:right w:val="single" w:sz="4" w:space="0" w:color="000000"/>
            </w:tcBorders>
            <w:vAlign w:val="center"/>
          </w:tcPr>
          <w:p w14:paraId="22CDC1B8" w14:textId="77777777" w:rsidR="00E3387F" w:rsidRPr="00F72F16"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15</w:t>
            </w:r>
            <w:r w:rsidR="0023141E" w:rsidRPr="00F72F16">
              <w:t>%</w:t>
            </w:r>
          </w:p>
        </w:tc>
        <w:tc>
          <w:tcPr>
            <w:tcW w:w="0" w:type="auto"/>
            <w:tcBorders>
              <w:top w:val="single" w:sz="4" w:space="0" w:color="000000"/>
              <w:left w:val="single" w:sz="4" w:space="0" w:color="000000"/>
              <w:bottom w:val="single" w:sz="4" w:space="0" w:color="000000"/>
              <w:right w:val="single" w:sz="4" w:space="0" w:color="000000"/>
            </w:tcBorders>
            <w:vAlign w:val="center"/>
          </w:tcPr>
          <w:p w14:paraId="4A8D64E5" w14:textId="77777777" w:rsidR="00E3387F" w:rsidRPr="00F72F16" w:rsidRDefault="001258DB" w:rsidP="00F739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F7399A" w:rsidRPr="00F72F16">
              <w:t>9.90</w:t>
            </w:r>
          </w:p>
        </w:tc>
      </w:tr>
      <w:tr w:rsidR="00E3387F" w:rsidRPr="00F72F16" w14:paraId="0A8313A6" w14:textId="77777777" w:rsidTr="004F20C7">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3F6E1BF6" w14:textId="77777777" w:rsidR="00E3387F"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Engineer</w:t>
            </w:r>
          </w:p>
          <w:p w14:paraId="011FC1F7" w14:textId="18B93C0D" w:rsidR="00A572FF" w:rsidRPr="00F72F16" w:rsidRDefault="00A572FF" w:rsidP="00A572F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GS-12, Step 10</w:t>
            </w:r>
          </w:p>
        </w:tc>
        <w:tc>
          <w:tcPr>
            <w:tcW w:w="0" w:type="auto"/>
            <w:tcBorders>
              <w:top w:val="single" w:sz="4" w:space="0" w:color="000000"/>
              <w:left w:val="single" w:sz="4" w:space="0" w:color="000000"/>
              <w:bottom w:val="single" w:sz="4" w:space="0" w:color="000000"/>
              <w:right w:val="single" w:sz="4" w:space="0" w:color="000000"/>
            </w:tcBorders>
            <w:vAlign w:val="center"/>
          </w:tcPr>
          <w:p w14:paraId="2F2A0D65" w14:textId="77777777" w:rsidR="00B36B8F" w:rsidRPr="00F72F16" w:rsidRDefault="00B36B8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43.73</w:t>
            </w:r>
          </w:p>
        </w:tc>
        <w:tc>
          <w:tcPr>
            <w:tcW w:w="0" w:type="auto"/>
            <w:tcBorders>
              <w:top w:val="single" w:sz="4" w:space="0" w:color="000000"/>
              <w:left w:val="single" w:sz="4" w:space="0" w:color="000000"/>
              <w:bottom w:val="single" w:sz="4" w:space="0" w:color="000000"/>
              <w:right w:val="single" w:sz="4" w:space="0" w:color="000000"/>
            </w:tcBorders>
            <w:vAlign w:val="center"/>
          </w:tcPr>
          <w:p w14:paraId="7B50A86A" w14:textId="77777777" w:rsidR="00E3387F" w:rsidRPr="00F72F16" w:rsidRDefault="004F20C7" w:rsidP="00B36B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B36B8F" w:rsidRPr="00F72F16">
              <w:t>65.60</w:t>
            </w:r>
          </w:p>
        </w:tc>
        <w:tc>
          <w:tcPr>
            <w:tcW w:w="0" w:type="auto"/>
            <w:tcBorders>
              <w:top w:val="single" w:sz="4" w:space="0" w:color="000000"/>
              <w:left w:val="single" w:sz="4" w:space="0" w:color="000000"/>
              <w:bottom w:val="single" w:sz="4" w:space="0" w:color="000000"/>
              <w:right w:val="single" w:sz="4" w:space="0" w:color="000000"/>
            </w:tcBorders>
            <w:vAlign w:val="center"/>
          </w:tcPr>
          <w:p w14:paraId="6059EAB5" w14:textId="77777777" w:rsidR="00E3387F" w:rsidRPr="00F72F16" w:rsidRDefault="00E3387F"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20</w:t>
            </w:r>
            <w:r w:rsidR="0023141E" w:rsidRPr="00F72F16">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8E19DC" w14:textId="77777777" w:rsidR="00E3387F" w:rsidRPr="00F72F16" w:rsidRDefault="001258DB" w:rsidP="00F739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F7399A" w:rsidRPr="00F72F16">
              <w:t>13.12</w:t>
            </w:r>
          </w:p>
        </w:tc>
      </w:tr>
      <w:tr w:rsidR="0023141E" w14:paraId="63C323B2" w14:textId="77777777" w:rsidTr="004F20C7">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61956B32" w14:textId="77777777" w:rsidR="0023141E" w:rsidRPr="00F72F16" w:rsidRDefault="0023141E"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Totals</w:t>
            </w:r>
          </w:p>
        </w:tc>
        <w:tc>
          <w:tcPr>
            <w:tcW w:w="0" w:type="auto"/>
            <w:tcBorders>
              <w:top w:val="single" w:sz="4" w:space="0" w:color="000000"/>
              <w:left w:val="single" w:sz="4" w:space="0" w:color="000000"/>
              <w:bottom w:val="single" w:sz="4" w:space="0" w:color="000000"/>
              <w:right w:val="single" w:sz="4" w:space="0" w:color="000000"/>
            </w:tcBorders>
            <w:vAlign w:val="center"/>
          </w:tcPr>
          <w:p w14:paraId="3C3E373A" w14:textId="77777777" w:rsidR="0023141E" w:rsidRPr="00F72F16" w:rsidRDefault="0023141E"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14:paraId="39D992A6" w14:textId="77777777" w:rsidR="0023141E" w:rsidRPr="00F72F16" w:rsidRDefault="0023141E"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14:paraId="6ADBB754" w14:textId="77777777" w:rsidR="0023141E" w:rsidRPr="00F72F16" w:rsidRDefault="0023141E" w:rsidP="004F20C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A15073B" w14:textId="77777777" w:rsidR="0023141E" w:rsidRPr="00F72F16" w:rsidRDefault="00FD2040" w:rsidP="00F739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F72F16">
              <w:t>$</w:t>
            </w:r>
            <w:r w:rsidR="00F7399A" w:rsidRPr="00F72F16">
              <w:t>46.12</w:t>
            </w:r>
          </w:p>
        </w:tc>
      </w:tr>
    </w:tbl>
    <w:p w14:paraId="503D4585" w14:textId="77777777" w:rsidR="00B1534E" w:rsidRDefault="00B1534E" w:rsidP="00B153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Helv"/>
          <w:color w:val="000000"/>
        </w:rPr>
      </w:pPr>
    </w:p>
    <w:p w14:paraId="59A0E1B2" w14:textId="77777777" w:rsidR="00B1534E" w:rsidRPr="00396F70" w:rsidRDefault="00B1534E" w:rsidP="00B153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FF5677" w14:textId="77777777" w:rsidR="000732CD" w:rsidRDefault="00B1534E" w:rsidP="000732C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Times"/>
        </w:rPr>
        <w:t xml:space="preserve">The estimated annual </w:t>
      </w:r>
      <w:r w:rsidRPr="009C2921">
        <w:rPr>
          <w:rFonts w:cs="Times"/>
        </w:rPr>
        <w:t xml:space="preserve">cost </w:t>
      </w:r>
      <w:r w:rsidRPr="009C2921">
        <w:t xml:space="preserve">to </w:t>
      </w:r>
      <w:r>
        <w:t xml:space="preserve">the </w:t>
      </w:r>
      <w:r w:rsidR="00191BB0">
        <w:t>Federal G</w:t>
      </w:r>
      <w:r>
        <w:t>overnment</w:t>
      </w:r>
      <w:r w:rsidRPr="009C2921">
        <w:t xml:space="preserve"> include</w:t>
      </w:r>
      <w:r>
        <w:t>s</w:t>
      </w:r>
      <w:r w:rsidRPr="009C2921">
        <w:t xml:space="preserve"> time spent for </w:t>
      </w:r>
      <w:r>
        <w:t xml:space="preserve">processing the information provided by the respondents.  </w:t>
      </w:r>
      <w:r w:rsidRPr="006B59CC">
        <w:t xml:space="preserve">The </w:t>
      </w:r>
      <w:r w:rsidR="000732CD">
        <w:t xml:space="preserve">weighted </w:t>
      </w:r>
      <w:r w:rsidRPr="006B59CC">
        <w:t>av</w:t>
      </w:r>
      <w:r>
        <w:t xml:space="preserve">erage hourly wage </w:t>
      </w:r>
      <w:r w:rsidRPr="006B59CC">
        <w:t>is shown at Table 1</w:t>
      </w:r>
      <w:r>
        <w:t xml:space="preserve">4-1, above.  Table 14-2, below, </w:t>
      </w:r>
      <w:r w:rsidRPr="006B59CC">
        <w:t>show</w:t>
      </w:r>
      <w:r>
        <w:t>s</w:t>
      </w:r>
      <w:r w:rsidRPr="006B59CC">
        <w:t xml:space="preserve"> the </w:t>
      </w:r>
      <w:r>
        <w:t xml:space="preserve">annualized </w:t>
      </w:r>
      <w:r w:rsidRPr="006B59CC">
        <w:t xml:space="preserve">Federal costs for each </w:t>
      </w:r>
      <w:r>
        <w:t xml:space="preserve">component of this </w:t>
      </w:r>
      <w:r w:rsidRPr="006B59CC">
        <w:t>collection</w:t>
      </w:r>
      <w:r>
        <w:t xml:space="preserve"> of information</w:t>
      </w:r>
      <w:r w:rsidRPr="006B59CC">
        <w:t>.</w:t>
      </w:r>
      <w:r>
        <w:t xml:space="preserve">  The estimated time spent to process the information collections is based on the BLM’s experience.</w:t>
      </w:r>
    </w:p>
    <w:p w14:paraId="5DA4BCD0" w14:textId="77777777" w:rsidR="000732CD" w:rsidRDefault="000732CD" w:rsidP="000732C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EC7080" w14:textId="77777777" w:rsidR="000732CD" w:rsidRPr="00F72F16" w:rsidRDefault="000732CD" w:rsidP="000732C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u w:val="single"/>
        </w:rPr>
      </w:pPr>
      <w:r w:rsidRPr="00F72F16">
        <w:rPr>
          <w:b/>
        </w:rPr>
        <w:t>Table 14-2 — Hour and Cost Burdens for Federal Government</w:t>
      </w:r>
    </w:p>
    <w:p w14:paraId="70A4986B" w14:textId="77777777" w:rsidR="000732CD" w:rsidRPr="00F72F16" w:rsidRDefault="000732CD" w:rsidP="000732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613"/>
        <w:gridCol w:w="1177"/>
        <w:gridCol w:w="1620"/>
        <w:gridCol w:w="1980"/>
      </w:tblGrid>
      <w:tr w:rsidR="00F72F16" w:rsidRPr="00F72F16" w14:paraId="534556C1" w14:textId="77777777" w:rsidTr="00F72F16">
        <w:trPr>
          <w:cantSplit/>
          <w:tblHeader/>
        </w:trPr>
        <w:tc>
          <w:tcPr>
            <w:tcW w:w="2995" w:type="dxa"/>
          </w:tcPr>
          <w:p w14:paraId="75782A5E"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A.</w:t>
            </w:r>
          </w:p>
          <w:p w14:paraId="1DFE4EC3"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Type of Response</w:t>
            </w:r>
          </w:p>
        </w:tc>
        <w:tc>
          <w:tcPr>
            <w:tcW w:w="1613" w:type="dxa"/>
          </w:tcPr>
          <w:p w14:paraId="402056FF"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B.</w:t>
            </w:r>
          </w:p>
          <w:p w14:paraId="33B64B68"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Number of Responses</w:t>
            </w:r>
          </w:p>
        </w:tc>
        <w:tc>
          <w:tcPr>
            <w:tcW w:w="1177" w:type="dxa"/>
          </w:tcPr>
          <w:p w14:paraId="7377954B"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w:t>
            </w:r>
          </w:p>
          <w:p w14:paraId="4DA74725"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Hours Per Response</w:t>
            </w:r>
          </w:p>
        </w:tc>
        <w:tc>
          <w:tcPr>
            <w:tcW w:w="1620" w:type="dxa"/>
          </w:tcPr>
          <w:p w14:paraId="25613BAC"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D.</w:t>
            </w:r>
          </w:p>
          <w:p w14:paraId="1E3AF82C"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Total Hours</w:t>
            </w:r>
          </w:p>
          <w:p w14:paraId="574F7CC9"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(Column B x Column C)</w:t>
            </w:r>
          </w:p>
        </w:tc>
        <w:tc>
          <w:tcPr>
            <w:tcW w:w="1980" w:type="dxa"/>
          </w:tcPr>
          <w:p w14:paraId="1F730BD4"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E.</w:t>
            </w:r>
          </w:p>
          <w:p w14:paraId="1B999192" w14:textId="77777777" w:rsidR="00F72F16" w:rsidRPr="00F72F16" w:rsidRDefault="00F72F16" w:rsidP="004550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Total Wage Cost</w:t>
            </w:r>
          </w:p>
          <w:p w14:paraId="6D724170" w14:textId="77777777" w:rsidR="00F72F16" w:rsidRPr="00F72F16" w:rsidRDefault="00F72F16" w:rsidP="00F7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F72F16">
              <w:rPr>
                <w:b/>
              </w:rPr>
              <w:t>(Column D x $46.12)</w:t>
            </w:r>
          </w:p>
        </w:tc>
      </w:tr>
      <w:tr w:rsidR="00F72F16" w:rsidRPr="00F72F16" w14:paraId="79DDDF37" w14:textId="77777777" w:rsidTr="002631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cantSplit/>
          <w:tblHeader/>
        </w:trPr>
        <w:tc>
          <w:tcPr>
            <w:tcW w:w="2995" w:type="dxa"/>
            <w:vAlign w:val="center"/>
          </w:tcPr>
          <w:p w14:paraId="261E07B3" w14:textId="77777777" w:rsidR="00F72F16" w:rsidRPr="00F72F16" w:rsidRDefault="00F72F16" w:rsidP="002631CB">
            <w:pPr>
              <w:tabs>
                <w:tab w:val="left" w:pos="360"/>
                <w:tab w:val="left" w:pos="720"/>
                <w:tab w:val="left" w:pos="1080"/>
              </w:tabs>
              <w:jc w:val="center"/>
            </w:pPr>
            <w:r w:rsidRPr="00F72F16">
              <w:t>Excess refining capacity</w:t>
            </w:r>
          </w:p>
        </w:tc>
        <w:tc>
          <w:tcPr>
            <w:tcW w:w="1613" w:type="dxa"/>
            <w:vAlign w:val="center"/>
          </w:tcPr>
          <w:p w14:paraId="691A32D8" w14:textId="51AFA678" w:rsidR="00F72F16" w:rsidRPr="00F72F16" w:rsidRDefault="0060099A" w:rsidP="002631CB">
            <w:pPr>
              <w:tabs>
                <w:tab w:val="left" w:pos="360"/>
                <w:tab w:val="left" w:pos="720"/>
                <w:tab w:val="left" w:pos="1080"/>
              </w:tabs>
              <w:jc w:val="center"/>
            </w:pPr>
            <w:r>
              <w:t>1</w:t>
            </w:r>
          </w:p>
        </w:tc>
        <w:tc>
          <w:tcPr>
            <w:tcW w:w="1177" w:type="dxa"/>
            <w:vAlign w:val="center"/>
          </w:tcPr>
          <w:p w14:paraId="2D1D79FD" w14:textId="77777777" w:rsidR="00F72F16" w:rsidRPr="00F72F16" w:rsidRDefault="00F72F16" w:rsidP="002631CB">
            <w:pPr>
              <w:tabs>
                <w:tab w:val="left" w:pos="360"/>
                <w:tab w:val="left" w:pos="720"/>
                <w:tab w:val="left" w:pos="1080"/>
              </w:tabs>
              <w:jc w:val="center"/>
            </w:pPr>
            <w:r w:rsidRPr="00F72F16">
              <w:t>8</w:t>
            </w:r>
          </w:p>
        </w:tc>
        <w:tc>
          <w:tcPr>
            <w:tcW w:w="1620" w:type="dxa"/>
            <w:vAlign w:val="center"/>
          </w:tcPr>
          <w:p w14:paraId="5EDD9981" w14:textId="5A922BE6" w:rsidR="00F72F16" w:rsidRPr="00F72F16" w:rsidRDefault="0060099A" w:rsidP="002631CB">
            <w:pPr>
              <w:tabs>
                <w:tab w:val="left" w:pos="360"/>
                <w:tab w:val="left" w:pos="720"/>
                <w:tab w:val="left" w:pos="1080"/>
              </w:tabs>
              <w:jc w:val="center"/>
            </w:pPr>
            <w:r>
              <w:t>8</w:t>
            </w:r>
          </w:p>
        </w:tc>
        <w:tc>
          <w:tcPr>
            <w:tcW w:w="1980" w:type="dxa"/>
            <w:vAlign w:val="center"/>
          </w:tcPr>
          <w:p w14:paraId="7656C559" w14:textId="34AAFC62" w:rsidR="00F72F16" w:rsidRPr="00F72F16" w:rsidRDefault="00F72F16" w:rsidP="002631CB">
            <w:pPr>
              <w:tabs>
                <w:tab w:val="left" w:pos="360"/>
                <w:tab w:val="left" w:pos="720"/>
                <w:tab w:val="left" w:pos="1080"/>
              </w:tabs>
              <w:jc w:val="center"/>
            </w:pPr>
            <w:r w:rsidRPr="00F72F16">
              <w:t>$</w:t>
            </w:r>
            <w:r w:rsidR="0060099A">
              <w:t>369</w:t>
            </w:r>
          </w:p>
        </w:tc>
      </w:tr>
      <w:tr w:rsidR="00F72F16" w:rsidRPr="00F72F16" w14:paraId="59F94EA2" w14:textId="77777777" w:rsidTr="002631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cantSplit/>
          <w:tblHeader/>
        </w:trPr>
        <w:tc>
          <w:tcPr>
            <w:tcW w:w="2995" w:type="dxa"/>
            <w:vAlign w:val="center"/>
          </w:tcPr>
          <w:p w14:paraId="4FC932CC" w14:textId="77777777" w:rsidR="00F72F16" w:rsidRPr="00F72F16" w:rsidRDefault="00F72F16" w:rsidP="002631CB">
            <w:pPr>
              <w:tabs>
                <w:tab w:val="left" w:pos="360"/>
                <w:tab w:val="left" w:pos="720"/>
                <w:tab w:val="left" w:pos="1080"/>
              </w:tabs>
              <w:jc w:val="center"/>
            </w:pPr>
            <w:r w:rsidRPr="00F72F16">
              <w:t>Annual documentation of tolling agreements</w:t>
            </w:r>
          </w:p>
        </w:tc>
        <w:tc>
          <w:tcPr>
            <w:tcW w:w="1613" w:type="dxa"/>
            <w:vAlign w:val="center"/>
          </w:tcPr>
          <w:p w14:paraId="74AE92A6" w14:textId="1EA10FAC" w:rsidR="00F72F16" w:rsidRPr="00F72F16" w:rsidRDefault="0060099A" w:rsidP="002631CB">
            <w:pPr>
              <w:tabs>
                <w:tab w:val="left" w:pos="360"/>
                <w:tab w:val="left" w:pos="720"/>
                <w:tab w:val="left" w:pos="1080"/>
              </w:tabs>
              <w:jc w:val="center"/>
            </w:pPr>
            <w:r>
              <w:t>1</w:t>
            </w:r>
          </w:p>
        </w:tc>
        <w:tc>
          <w:tcPr>
            <w:tcW w:w="1177" w:type="dxa"/>
            <w:vAlign w:val="center"/>
          </w:tcPr>
          <w:p w14:paraId="683CE2A3" w14:textId="77777777" w:rsidR="00F72F16" w:rsidRPr="00F72F16" w:rsidRDefault="00F72F16" w:rsidP="002631CB">
            <w:pPr>
              <w:tabs>
                <w:tab w:val="left" w:pos="360"/>
                <w:tab w:val="left" w:pos="720"/>
                <w:tab w:val="left" w:pos="1080"/>
              </w:tabs>
              <w:jc w:val="center"/>
            </w:pPr>
            <w:r w:rsidRPr="00F72F16">
              <w:t>8</w:t>
            </w:r>
          </w:p>
        </w:tc>
        <w:tc>
          <w:tcPr>
            <w:tcW w:w="1620" w:type="dxa"/>
            <w:vAlign w:val="center"/>
          </w:tcPr>
          <w:p w14:paraId="02CF7CA2" w14:textId="77777777" w:rsidR="00F72F16" w:rsidRPr="00F72F16" w:rsidRDefault="00F72F16" w:rsidP="002631CB">
            <w:pPr>
              <w:tabs>
                <w:tab w:val="left" w:pos="360"/>
                <w:tab w:val="left" w:pos="720"/>
                <w:tab w:val="left" w:pos="1080"/>
              </w:tabs>
              <w:jc w:val="center"/>
            </w:pPr>
            <w:r w:rsidRPr="00F72F16">
              <w:t>32</w:t>
            </w:r>
          </w:p>
        </w:tc>
        <w:tc>
          <w:tcPr>
            <w:tcW w:w="1980" w:type="dxa"/>
            <w:vAlign w:val="center"/>
          </w:tcPr>
          <w:p w14:paraId="6CECF82A" w14:textId="23E30BAF" w:rsidR="00F72F16" w:rsidRPr="00F72F16" w:rsidRDefault="00F72F16" w:rsidP="002631CB">
            <w:pPr>
              <w:tabs>
                <w:tab w:val="left" w:pos="360"/>
                <w:tab w:val="left" w:pos="720"/>
                <w:tab w:val="left" w:pos="1080"/>
              </w:tabs>
              <w:jc w:val="center"/>
            </w:pPr>
            <w:r w:rsidRPr="00F72F16">
              <w:t>$</w:t>
            </w:r>
            <w:r w:rsidR="0060099A">
              <w:t>369</w:t>
            </w:r>
          </w:p>
        </w:tc>
      </w:tr>
      <w:tr w:rsidR="00F72F16" w:rsidRPr="00F72F16" w14:paraId="7465301B" w14:textId="77777777" w:rsidTr="002631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cantSplit/>
          <w:tblHeader/>
        </w:trPr>
        <w:tc>
          <w:tcPr>
            <w:tcW w:w="2995" w:type="dxa"/>
            <w:vAlign w:val="center"/>
          </w:tcPr>
          <w:p w14:paraId="4C4A727F" w14:textId="77777777" w:rsidR="00F72F16" w:rsidRPr="00F72F16" w:rsidRDefault="00F72F16" w:rsidP="002631CB">
            <w:pPr>
              <w:tabs>
                <w:tab w:val="left" w:pos="360"/>
                <w:tab w:val="left" w:pos="720"/>
                <w:tab w:val="left" w:pos="1080"/>
              </w:tabs>
              <w:jc w:val="center"/>
            </w:pPr>
            <w:r w:rsidRPr="00F72F16">
              <w:t>Notice of new tolling agreement (estimate three new tolling agreements per refiner = 3x4)</w:t>
            </w:r>
          </w:p>
        </w:tc>
        <w:tc>
          <w:tcPr>
            <w:tcW w:w="1613" w:type="dxa"/>
            <w:vAlign w:val="center"/>
          </w:tcPr>
          <w:p w14:paraId="5F173D37" w14:textId="77777777" w:rsidR="00F72F16" w:rsidRPr="00F72F16" w:rsidRDefault="00F72F16" w:rsidP="002631CB">
            <w:pPr>
              <w:tabs>
                <w:tab w:val="left" w:pos="360"/>
                <w:tab w:val="left" w:pos="720"/>
                <w:tab w:val="left" w:pos="1080"/>
              </w:tabs>
              <w:jc w:val="center"/>
            </w:pPr>
            <w:r w:rsidRPr="00F72F16">
              <w:t>12</w:t>
            </w:r>
          </w:p>
        </w:tc>
        <w:tc>
          <w:tcPr>
            <w:tcW w:w="1177" w:type="dxa"/>
            <w:vAlign w:val="center"/>
          </w:tcPr>
          <w:p w14:paraId="199440F9" w14:textId="77777777" w:rsidR="00F72F16" w:rsidRPr="00F72F16" w:rsidRDefault="00F72F16" w:rsidP="002631CB">
            <w:pPr>
              <w:tabs>
                <w:tab w:val="left" w:pos="360"/>
                <w:tab w:val="left" w:pos="720"/>
                <w:tab w:val="left" w:pos="1080"/>
              </w:tabs>
              <w:jc w:val="center"/>
            </w:pPr>
            <w:r w:rsidRPr="00F72F16">
              <w:t>0.5</w:t>
            </w:r>
          </w:p>
        </w:tc>
        <w:tc>
          <w:tcPr>
            <w:tcW w:w="1620" w:type="dxa"/>
            <w:vAlign w:val="center"/>
          </w:tcPr>
          <w:p w14:paraId="678D49B3" w14:textId="77777777" w:rsidR="00F72F16" w:rsidRPr="00F72F16" w:rsidRDefault="00F72F16" w:rsidP="002631CB">
            <w:pPr>
              <w:tabs>
                <w:tab w:val="left" w:pos="360"/>
                <w:tab w:val="left" w:pos="720"/>
                <w:tab w:val="left" w:pos="1080"/>
              </w:tabs>
              <w:jc w:val="center"/>
            </w:pPr>
            <w:r w:rsidRPr="00F72F16">
              <w:t>6</w:t>
            </w:r>
          </w:p>
        </w:tc>
        <w:tc>
          <w:tcPr>
            <w:tcW w:w="1980" w:type="dxa"/>
            <w:vAlign w:val="center"/>
          </w:tcPr>
          <w:p w14:paraId="32514F8A" w14:textId="77777777" w:rsidR="00F72F16" w:rsidRPr="00F72F16" w:rsidRDefault="00F72F16" w:rsidP="002631CB">
            <w:pPr>
              <w:tabs>
                <w:tab w:val="left" w:pos="360"/>
                <w:tab w:val="left" w:pos="720"/>
                <w:tab w:val="left" w:pos="1080"/>
              </w:tabs>
              <w:jc w:val="center"/>
            </w:pPr>
            <w:r w:rsidRPr="00F72F16">
              <w:t>$277</w:t>
            </w:r>
          </w:p>
        </w:tc>
      </w:tr>
      <w:tr w:rsidR="00F72F16" w:rsidRPr="00F72F16" w14:paraId="28DD1B89" w14:textId="77777777" w:rsidTr="002631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cantSplit/>
          <w:tblHeader/>
        </w:trPr>
        <w:tc>
          <w:tcPr>
            <w:tcW w:w="2995" w:type="dxa"/>
            <w:vAlign w:val="center"/>
          </w:tcPr>
          <w:p w14:paraId="68F366E1" w14:textId="77777777" w:rsidR="00F72F16" w:rsidRPr="00F72F16" w:rsidRDefault="00F72F16" w:rsidP="002631CB">
            <w:pPr>
              <w:tabs>
                <w:tab w:val="left" w:pos="360"/>
                <w:tab w:val="left" w:pos="720"/>
                <w:tab w:val="left" w:pos="1080"/>
              </w:tabs>
              <w:jc w:val="center"/>
            </w:pPr>
            <w:r w:rsidRPr="00F72F16">
              <w:t>Refined Helium Detail form (once each quarter = 10x4)</w:t>
            </w:r>
          </w:p>
        </w:tc>
        <w:tc>
          <w:tcPr>
            <w:tcW w:w="1613" w:type="dxa"/>
            <w:vAlign w:val="center"/>
          </w:tcPr>
          <w:p w14:paraId="5CBEB54E" w14:textId="77777777" w:rsidR="00F72F16" w:rsidRPr="00F72F16" w:rsidRDefault="00F72F16" w:rsidP="002631CB">
            <w:pPr>
              <w:tabs>
                <w:tab w:val="left" w:pos="360"/>
                <w:tab w:val="left" w:pos="720"/>
                <w:tab w:val="left" w:pos="1080"/>
              </w:tabs>
              <w:jc w:val="center"/>
            </w:pPr>
            <w:r w:rsidRPr="00F72F16">
              <w:t>40</w:t>
            </w:r>
          </w:p>
        </w:tc>
        <w:tc>
          <w:tcPr>
            <w:tcW w:w="1177" w:type="dxa"/>
            <w:vAlign w:val="center"/>
          </w:tcPr>
          <w:p w14:paraId="1B3E5CEF" w14:textId="77777777" w:rsidR="00F72F16" w:rsidRPr="00F72F16" w:rsidRDefault="00F72F16" w:rsidP="002631CB">
            <w:pPr>
              <w:tabs>
                <w:tab w:val="left" w:pos="360"/>
                <w:tab w:val="left" w:pos="720"/>
                <w:tab w:val="left" w:pos="1080"/>
              </w:tabs>
              <w:jc w:val="center"/>
            </w:pPr>
            <w:r w:rsidRPr="00F72F16">
              <w:t>1</w:t>
            </w:r>
          </w:p>
        </w:tc>
        <w:tc>
          <w:tcPr>
            <w:tcW w:w="1620" w:type="dxa"/>
            <w:vAlign w:val="center"/>
          </w:tcPr>
          <w:p w14:paraId="4280105F" w14:textId="77777777" w:rsidR="00F72F16" w:rsidRPr="00F72F16" w:rsidRDefault="00F72F16" w:rsidP="002631CB">
            <w:pPr>
              <w:tabs>
                <w:tab w:val="left" w:pos="360"/>
                <w:tab w:val="left" w:pos="720"/>
                <w:tab w:val="left" w:pos="1080"/>
              </w:tabs>
              <w:jc w:val="center"/>
            </w:pPr>
            <w:r w:rsidRPr="00F72F16">
              <w:t>40</w:t>
            </w:r>
          </w:p>
        </w:tc>
        <w:tc>
          <w:tcPr>
            <w:tcW w:w="1980" w:type="dxa"/>
            <w:vAlign w:val="center"/>
          </w:tcPr>
          <w:p w14:paraId="4600D44B" w14:textId="77777777" w:rsidR="00F72F16" w:rsidRPr="00F72F16" w:rsidRDefault="00F72F16" w:rsidP="002631CB">
            <w:pPr>
              <w:tabs>
                <w:tab w:val="left" w:pos="360"/>
                <w:tab w:val="left" w:pos="720"/>
                <w:tab w:val="left" w:pos="1080"/>
              </w:tabs>
              <w:jc w:val="center"/>
            </w:pPr>
            <w:r w:rsidRPr="00F72F16">
              <w:t>$1,845</w:t>
            </w:r>
          </w:p>
        </w:tc>
      </w:tr>
      <w:tr w:rsidR="00C56C03" w:rsidRPr="00F72F16" w14:paraId="75E6F4DC" w14:textId="77777777" w:rsidTr="002631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Ex>
        <w:trPr>
          <w:cantSplit/>
          <w:tblHeader/>
        </w:trPr>
        <w:tc>
          <w:tcPr>
            <w:tcW w:w="2995" w:type="dxa"/>
            <w:vAlign w:val="center"/>
          </w:tcPr>
          <w:p w14:paraId="604B05C2" w14:textId="384C8AE4" w:rsidR="00C56C03" w:rsidRPr="00F72F16" w:rsidRDefault="00C56C03" w:rsidP="002631CB">
            <w:pPr>
              <w:tabs>
                <w:tab w:val="left" w:pos="360"/>
                <w:tab w:val="left" w:pos="720"/>
                <w:tab w:val="left" w:pos="1080"/>
              </w:tabs>
              <w:jc w:val="center"/>
            </w:pPr>
            <w:r>
              <w:t>Totals</w:t>
            </w:r>
          </w:p>
        </w:tc>
        <w:tc>
          <w:tcPr>
            <w:tcW w:w="1613" w:type="dxa"/>
            <w:vAlign w:val="center"/>
          </w:tcPr>
          <w:p w14:paraId="3928BFF1" w14:textId="6B79271D" w:rsidR="00C56C03" w:rsidRPr="00F72F16" w:rsidRDefault="00C56C03" w:rsidP="002631CB">
            <w:pPr>
              <w:tabs>
                <w:tab w:val="left" w:pos="360"/>
                <w:tab w:val="left" w:pos="720"/>
                <w:tab w:val="left" w:pos="1080"/>
              </w:tabs>
              <w:jc w:val="center"/>
            </w:pPr>
            <w:r>
              <w:t>60</w:t>
            </w:r>
          </w:p>
        </w:tc>
        <w:tc>
          <w:tcPr>
            <w:tcW w:w="1177" w:type="dxa"/>
            <w:vAlign w:val="center"/>
          </w:tcPr>
          <w:p w14:paraId="6B585092" w14:textId="77777777" w:rsidR="00C56C03" w:rsidRPr="00F72F16" w:rsidRDefault="00C56C03" w:rsidP="002631CB">
            <w:pPr>
              <w:tabs>
                <w:tab w:val="left" w:pos="360"/>
                <w:tab w:val="left" w:pos="720"/>
                <w:tab w:val="left" w:pos="1080"/>
              </w:tabs>
              <w:jc w:val="center"/>
            </w:pPr>
          </w:p>
        </w:tc>
        <w:tc>
          <w:tcPr>
            <w:tcW w:w="1620" w:type="dxa"/>
            <w:vAlign w:val="center"/>
          </w:tcPr>
          <w:p w14:paraId="3617F0F1" w14:textId="21DE7F05" w:rsidR="00C56C03" w:rsidRPr="00F72F16" w:rsidRDefault="00C56C03" w:rsidP="002631CB">
            <w:pPr>
              <w:tabs>
                <w:tab w:val="left" w:pos="360"/>
                <w:tab w:val="left" w:pos="720"/>
                <w:tab w:val="left" w:pos="1080"/>
              </w:tabs>
              <w:jc w:val="center"/>
            </w:pPr>
            <w:r>
              <w:t>110</w:t>
            </w:r>
          </w:p>
        </w:tc>
        <w:tc>
          <w:tcPr>
            <w:tcW w:w="1980" w:type="dxa"/>
            <w:vAlign w:val="center"/>
          </w:tcPr>
          <w:p w14:paraId="4F8329C9" w14:textId="4241CF32" w:rsidR="00C56C03" w:rsidRPr="00F72F16" w:rsidRDefault="00C56C03" w:rsidP="002631CB">
            <w:pPr>
              <w:tabs>
                <w:tab w:val="left" w:pos="360"/>
                <w:tab w:val="left" w:pos="720"/>
                <w:tab w:val="left" w:pos="1080"/>
              </w:tabs>
              <w:jc w:val="center"/>
            </w:pPr>
            <w:r>
              <w:t>$</w:t>
            </w:r>
            <w:r w:rsidR="0060099A">
              <w:t>2,860</w:t>
            </w:r>
          </w:p>
        </w:tc>
      </w:tr>
    </w:tbl>
    <w:p w14:paraId="45762BE3" w14:textId="77777777" w:rsidR="00F304B4" w:rsidRPr="00F72F16" w:rsidRDefault="00F304B4" w:rsidP="001213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617E8A7D" w14:textId="77777777" w:rsidR="008629AE" w:rsidRPr="00F72F16" w:rsidRDefault="008629AE" w:rsidP="001213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4E93D43F" w14:textId="77777777" w:rsidR="00121394" w:rsidRPr="00121394" w:rsidRDefault="00121394" w:rsidP="001213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F72F16">
        <w:rPr>
          <w:b/>
        </w:rPr>
        <w:t>15.</w:t>
      </w:r>
      <w:r w:rsidRPr="00F72F16">
        <w:rPr>
          <w:b/>
        </w:rPr>
        <w:tab/>
        <w:t>Explain the reasons for any program changes or adjustments in hour or</w:t>
      </w:r>
      <w:r w:rsidRPr="00121394">
        <w:rPr>
          <w:b/>
        </w:rPr>
        <w:t xml:space="preserve"> cost burden.</w:t>
      </w:r>
    </w:p>
    <w:p w14:paraId="2BE28B73" w14:textId="77777777" w:rsidR="007B3E61" w:rsidRDefault="007B3E61" w:rsidP="00191BB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3239AB" w14:textId="6BD49A80" w:rsidR="0042351C" w:rsidRDefault="007B3E61" w:rsidP="00191BB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BLM is requesting the change to this control number by adding a form </w:t>
      </w:r>
      <w:r w:rsidRPr="007B3E61">
        <w:t xml:space="preserve"> ("Refined Helium Deliveries Detail") </w:t>
      </w:r>
      <w:r>
        <w:t xml:space="preserve">to </w:t>
      </w:r>
      <w:r w:rsidRPr="007B3E61">
        <w:t xml:space="preserve">replace the existing non-form activity titled "Sales Reports."  In addition, the BLM </w:t>
      </w:r>
      <w:r>
        <w:t>is adding three</w:t>
      </w:r>
      <w:r w:rsidRPr="007B3E61">
        <w:t xml:space="preserve"> new information collection activities and forms that are necessary for the implementation of the Helium Stewardship Act of 2013 (Act or 2013 Act), Public Law 113-40 (127 Stat. 534, codified at 50 U.S.C. 167-167q).</w:t>
      </w:r>
    </w:p>
    <w:p w14:paraId="434BC1D0" w14:textId="77777777" w:rsidR="000A054B" w:rsidRDefault="000A054B" w:rsidP="00FE7A3C"/>
    <w:p w14:paraId="4C570E52" w14:textId="77777777" w:rsidR="003F0A31" w:rsidRPr="003F0A31" w:rsidRDefault="003F0A31" w:rsidP="003F0A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F0A31">
        <w:rPr>
          <w:b/>
        </w:rPr>
        <w:t>16.</w:t>
      </w:r>
      <w:r w:rsidRPr="003F0A3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2CD3DC0" w14:textId="77777777" w:rsidR="00FE7A3C" w:rsidRPr="00DD632B" w:rsidRDefault="00FE7A3C" w:rsidP="00FE7A3C">
      <w:pPr>
        <w:rPr>
          <w:u w:val="single"/>
        </w:rPr>
      </w:pPr>
    </w:p>
    <w:p w14:paraId="56C6C00C" w14:textId="3B23238B" w:rsidR="00FE7A3C" w:rsidRDefault="00FE7A3C" w:rsidP="00FE7A3C">
      <w:r>
        <w:t xml:space="preserve">The BLM will publish an alphabetical list of crude helium </w:t>
      </w:r>
      <w:r w:rsidR="00EB739F">
        <w:t xml:space="preserve">suppliers </w:t>
      </w:r>
      <w:r>
        <w:t>to Federal agency users to assist them in identifying authorized procurement sources.</w:t>
      </w:r>
      <w:r w:rsidR="002631CB">
        <w:t xml:space="preserve">  We also provide this information </w:t>
      </w:r>
      <w:r w:rsidR="002B4A52">
        <w:t>on</w:t>
      </w:r>
      <w:r w:rsidR="002631CB">
        <w:t xml:space="preserve"> </w:t>
      </w:r>
      <w:r w:rsidR="002B4A52" w:rsidRPr="008D21C9">
        <w:t>the BLM Amarillo Field Office’s Helium Operations website at</w:t>
      </w:r>
      <w:r w:rsidR="002B4A52" w:rsidRPr="008D21C9">
        <w:rPr>
          <w:color w:val="000000"/>
        </w:rPr>
        <w:t xml:space="preserve">: </w:t>
      </w:r>
      <w:r w:rsidR="002B4A52" w:rsidRPr="008D21C9">
        <w:rPr>
          <w:color w:val="1F497D"/>
          <w:shd w:val="clear" w:color="auto" w:fill="FFFFFF"/>
        </w:rPr>
        <w:t> </w:t>
      </w:r>
      <w:hyperlink r:id="rId13" w:history="1">
        <w:r w:rsidR="002B4A52" w:rsidRPr="008D21C9">
          <w:rPr>
            <w:rStyle w:val="Hyperlink"/>
            <w:shd w:val="clear" w:color="auto" w:fill="FFFFFF"/>
          </w:rPr>
          <w:t>www.blm.gov/nm/</w:t>
        </w:r>
        <w:r w:rsidR="002B4A52">
          <w:rPr>
            <w:rStyle w:val="Hyperlink"/>
            <w:shd w:val="clear" w:color="auto" w:fill="FFFFFF"/>
          </w:rPr>
          <w:t>Reporting</w:t>
        </w:r>
      </w:hyperlink>
      <w:r w:rsidR="002B4A52" w:rsidRPr="003466EA">
        <w:rPr>
          <w:shd w:val="clear" w:color="auto" w:fill="FFFFFF"/>
        </w:rPr>
        <w:t>.</w:t>
      </w:r>
    </w:p>
    <w:p w14:paraId="21C26946" w14:textId="77777777" w:rsidR="00FE7A3C" w:rsidRDefault="00FE7A3C" w:rsidP="00FE7A3C"/>
    <w:p w14:paraId="3A4D5EE6" w14:textId="77777777" w:rsidR="003F0A31" w:rsidRPr="003F0A31" w:rsidRDefault="003F0A31" w:rsidP="003F0A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F0A31">
        <w:rPr>
          <w:b/>
        </w:rPr>
        <w:t>17.</w:t>
      </w:r>
      <w:r w:rsidRPr="003F0A31">
        <w:rPr>
          <w:b/>
        </w:rPr>
        <w:tab/>
        <w:t>If seeking approval to not display the expiration date for OMB approval of the information collection, explain the reasons that display would be inappropriate.</w:t>
      </w:r>
    </w:p>
    <w:p w14:paraId="453E676F" w14:textId="77777777" w:rsidR="00FE7A3C" w:rsidRPr="00DD632B" w:rsidRDefault="00FE7A3C" w:rsidP="00FE7A3C">
      <w:pPr>
        <w:rPr>
          <w:u w:val="single"/>
        </w:rPr>
      </w:pPr>
    </w:p>
    <w:p w14:paraId="0612EAEA" w14:textId="77777777" w:rsidR="00FE7A3C" w:rsidRDefault="00FE7A3C" w:rsidP="00FE7A3C">
      <w:r>
        <w:t>The BLM will display the expiration date of the OMB approval on the forms included in this information collection.</w:t>
      </w:r>
    </w:p>
    <w:p w14:paraId="1ECAC177" w14:textId="77777777" w:rsidR="00FE7A3C" w:rsidRDefault="00FE7A3C" w:rsidP="00FE7A3C"/>
    <w:p w14:paraId="636CBD62" w14:textId="77777777" w:rsidR="003F0A31" w:rsidRPr="003F0A31" w:rsidRDefault="003F0A31" w:rsidP="003F0A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3F0A31">
        <w:rPr>
          <w:b/>
        </w:rPr>
        <w:t>18.</w:t>
      </w:r>
      <w:r w:rsidRPr="003F0A31">
        <w:rPr>
          <w:b/>
        </w:rPr>
        <w:tab/>
        <w:t>Explain each exception to the topics of the certification statement identified in "Certification for Paperwork Reduction Act Submissions."</w:t>
      </w:r>
    </w:p>
    <w:p w14:paraId="5DAA398F" w14:textId="77777777" w:rsidR="00FE7A3C" w:rsidRDefault="00FE7A3C" w:rsidP="00FE7A3C">
      <w:pPr>
        <w:rPr>
          <w:u w:val="single"/>
        </w:rPr>
      </w:pPr>
    </w:p>
    <w:p w14:paraId="666EFE6F" w14:textId="77777777" w:rsidR="0091526B" w:rsidRDefault="00FE7A3C">
      <w:r>
        <w:t>There are no exceptions</w:t>
      </w:r>
      <w:r w:rsidR="003F0A31">
        <w:t xml:space="preserve"> to the certification statement.</w:t>
      </w:r>
    </w:p>
    <w:sectPr w:rsidR="0091526B" w:rsidSect="00D63642">
      <w:headerReference w:type="default" r:id="rId14"/>
      <w:footerReference w:type="default" r:id="rId15"/>
      <w:type w:val="continuous"/>
      <w:pgSz w:w="12240" w:h="15840"/>
      <w:pgMar w:top="1440" w:right="1440" w:bottom="1440" w:left="1440" w:header="1440" w:footer="144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D69BA2" w15:done="0"/>
  <w15:commentEx w15:paraId="4D1D6221" w15:done="0"/>
  <w15:commentEx w15:paraId="7B4A6261" w15:done="0"/>
  <w15:commentEx w15:paraId="6FAD0DA2" w15:done="0"/>
  <w15:commentEx w15:paraId="5CF0FD5B" w15:done="0"/>
  <w15:commentEx w15:paraId="24346F7E" w15:done="0"/>
  <w15:commentEx w15:paraId="658903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CE2D5" w14:textId="77777777" w:rsidR="00467F13" w:rsidRDefault="00467F13">
      <w:r>
        <w:separator/>
      </w:r>
    </w:p>
  </w:endnote>
  <w:endnote w:type="continuationSeparator" w:id="0">
    <w:p w14:paraId="44F3E834" w14:textId="77777777" w:rsidR="00467F13" w:rsidRDefault="0046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09140"/>
      <w:docPartObj>
        <w:docPartGallery w:val="Page Numbers (Bottom of Page)"/>
        <w:docPartUnique/>
      </w:docPartObj>
    </w:sdtPr>
    <w:sdtEndPr>
      <w:rPr>
        <w:noProof/>
      </w:rPr>
    </w:sdtEndPr>
    <w:sdtContent>
      <w:p w14:paraId="116B4041" w14:textId="62B1CE2E" w:rsidR="00D63642" w:rsidRDefault="00D63642">
        <w:pPr>
          <w:pStyle w:val="Footer"/>
          <w:jc w:val="center"/>
        </w:pPr>
        <w:r>
          <w:fldChar w:fldCharType="begin"/>
        </w:r>
        <w:r>
          <w:instrText xml:space="preserve"> PAGE   \* MERGEFORMAT </w:instrText>
        </w:r>
        <w:r>
          <w:fldChar w:fldCharType="separate"/>
        </w:r>
        <w:r w:rsidR="00072126">
          <w:rPr>
            <w:noProof/>
          </w:rPr>
          <w:t>11</w:t>
        </w:r>
        <w:r>
          <w:rPr>
            <w:noProof/>
          </w:rPr>
          <w:fldChar w:fldCharType="end"/>
        </w:r>
      </w:p>
    </w:sdtContent>
  </w:sdt>
  <w:p w14:paraId="12BD5B3B" w14:textId="77777777" w:rsidR="00D63642" w:rsidRDefault="00D6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A6F6" w14:textId="77777777" w:rsidR="00467F13" w:rsidRDefault="00467F13">
      <w:r>
        <w:separator/>
      </w:r>
    </w:p>
  </w:footnote>
  <w:footnote w:type="continuationSeparator" w:id="0">
    <w:p w14:paraId="4E84F96E" w14:textId="77777777" w:rsidR="00467F13" w:rsidRDefault="00467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B5B0" w14:textId="77777777" w:rsidR="002E7D3A" w:rsidRDefault="002E7D3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756D"/>
    <w:multiLevelType w:val="hybridMultilevel"/>
    <w:tmpl w:val="6C8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C2D0E"/>
    <w:multiLevelType w:val="hybridMultilevel"/>
    <w:tmpl w:val="13B44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25E82"/>
    <w:multiLevelType w:val="multilevel"/>
    <w:tmpl w:val="A79CBD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10763B"/>
    <w:multiLevelType w:val="hybridMultilevel"/>
    <w:tmpl w:val="86A84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2791B"/>
    <w:multiLevelType w:val="hybridMultilevel"/>
    <w:tmpl w:val="1CFE9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812ED"/>
    <w:multiLevelType w:val="hybridMultilevel"/>
    <w:tmpl w:val="C9B2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20813"/>
    <w:multiLevelType w:val="hybridMultilevel"/>
    <w:tmpl w:val="79D43F2E"/>
    <w:lvl w:ilvl="0" w:tplc="04090011">
      <w:start w:val="1"/>
      <w:numFmt w:val="decimal"/>
      <w:lvlText w:val="%1)"/>
      <w:lvlJc w:val="left"/>
      <w:pPr>
        <w:ind w:left="1785" w:hanging="1065"/>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630ABC"/>
    <w:multiLevelType w:val="multilevel"/>
    <w:tmpl w:val="E8A82DF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6E7451D"/>
    <w:multiLevelType w:val="hybridMultilevel"/>
    <w:tmpl w:val="E212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63085"/>
    <w:multiLevelType w:val="hybridMultilevel"/>
    <w:tmpl w:val="D7BA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F701A"/>
    <w:multiLevelType w:val="hybridMultilevel"/>
    <w:tmpl w:val="CCDCA700"/>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2246BE"/>
    <w:multiLevelType w:val="hybridMultilevel"/>
    <w:tmpl w:val="1CFE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54474"/>
    <w:multiLevelType w:val="hybridMultilevel"/>
    <w:tmpl w:val="C9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D76C3"/>
    <w:multiLevelType w:val="hybridMultilevel"/>
    <w:tmpl w:val="1744ECBA"/>
    <w:lvl w:ilvl="0" w:tplc="790EB48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4517A5"/>
    <w:multiLevelType w:val="hybridMultilevel"/>
    <w:tmpl w:val="785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1"/>
  </w:num>
  <w:num w:numId="5">
    <w:abstractNumId w:val="2"/>
  </w:num>
  <w:num w:numId="6">
    <w:abstractNumId w:val="8"/>
  </w:num>
  <w:num w:numId="7">
    <w:abstractNumId w:val="7"/>
  </w:num>
  <w:num w:numId="8">
    <w:abstractNumId w:val="6"/>
  </w:num>
  <w:num w:numId="9">
    <w:abstractNumId w:val="4"/>
  </w:num>
  <w:num w:numId="10">
    <w:abstractNumId w:val="11"/>
  </w:num>
  <w:num w:numId="11">
    <w:abstractNumId w:val="9"/>
  </w:num>
  <w:num w:numId="12">
    <w:abstractNumId w:val="3"/>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6B"/>
    <w:rsid w:val="00005636"/>
    <w:rsid w:val="000157D6"/>
    <w:rsid w:val="00015856"/>
    <w:rsid w:val="00016036"/>
    <w:rsid w:val="00020FEB"/>
    <w:rsid w:val="000236E3"/>
    <w:rsid w:val="0002461C"/>
    <w:rsid w:val="000253B0"/>
    <w:rsid w:val="00031E14"/>
    <w:rsid w:val="0003233B"/>
    <w:rsid w:val="0004193D"/>
    <w:rsid w:val="00045D47"/>
    <w:rsid w:val="00046B03"/>
    <w:rsid w:val="0004727E"/>
    <w:rsid w:val="000511DF"/>
    <w:rsid w:val="0005321A"/>
    <w:rsid w:val="00072126"/>
    <w:rsid w:val="000732CD"/>
    <w:rsid w:val="00081343"/>
    <w:rsid w:val="00093A00"/>
    <w:rsid w:val="000A054B"/>
    <w:rsid w:val="000D085E"/>
    <w:rsid w:val="000D41E8"/>
    <w:rsid w:val="000E11A4"/>
    <w:rsid w:val="000F0469"/>
    <w:rsid w:val="000F3C4E"/>
    <w:rsid w:val="000F7301"/>
    <w:rsid w:val="000F7F03"/>
    <w:rsid w:val="00114F0E"/>
    <w:rsid w:val="00115B81"/>
    <w:rsid w:val="0011735C"/>
    <w:rsid w:val="00121394"/>
    <w:rsid w:val="00123C3F"/>
    <w:rsid w:val="001258DB"/>
    <w:rsid w:val="00130BA1"/>
    <w:rsid w:val="001320DE"/>
    <w:rsid w:val="00146402"/>
    <w:rsid w:val="00146C4B"/>
    <w:rsid w:val="00147A90"/>
    <w:rsid w:val="00152347"/>
    <w:rsid w:val="00164B23"/>
    <w:rsid w:val="001749E4"/>
    <w:rsid w:val="0018083F"/>
    <w:rsid w:val="0018471E"/>
    <w:rsid w:val="00191BB0"/>
    <w:rsid w:val="00195BA6"/>
    <w:rsid w:val="001977BB"/>
    <w:rsid w:val="001A4696"/>
    <w:rsid w:val="001C1504"/>
    <w:rsid w:val="001D6316"/>
    <w:rsid w:val="001E0990"/>
    <w:rsid w:val="001E693B"/>
    <w:rsid w:val="001E6D07"/>
    <w:rsid w:val="001F091B"/>
    <w:rsid w:val="00203A4D"/>
    <w:rsid w:val="00213529"/>
    <w:rsid w:val="00220F3B"/>
    <w:rsid w:val="00221965"/>
    <w:rsid w:val="0023141E"/>
    <w:rsid w:val="00233584"/>
    <w:rsid w:val="002339F5"/>
    <w:rsid w:val="00233C7B"/>
    <w:rsid w:val="002373B8"/>
    <w:rsid w:val="00251F3B"/>
    <w:rsid w:val="0025560C"/>
    <w:rsid w:val="00255FA8"/>
    <w:rsid w:val="002631CB"/>
    <w:rsid w:val="00271B3D"/>
    <w:rsid w:val="002731C5"/>
    <w:rsid w:val="00285373"/>
    <w:rsid w:val="002A070B"/>
    <w:rsid w:val="002A14D7"/>
    <w:rsid w:val="002A3D4C"/>
    <w:rsid w:val="002A5422"/>
    <w:rsid w:val="002A780E"/>
    <w:rsid w:val="002B4A52"/>
    <w:rsid w:val="002B57EC"/>
    <w:rsid w:val="002B65A3"/>
    <w:rsid w:val="002C300B"/>
    <w:rsid w:val="002C529D"/>
    <w:rsid w:val="002D362C"/>
    <w:rsid w:val="002D597C"/>
    <w:rsid w:val="002D5D4C"/>
    <w:rsid w:val="002D73B5"/>
    <w:rsid w:val="002E7D3A"/>
    <w:rsid w:val="002F1533"/>
    <w:rsid w:val="002F6761"/>
    <w:rsid w:val="002F7B44"/>
    <w:rsid w:val="00310985"/>
    <w:rsid w:val="003312CB"/>
    <w:rsid w:val="00340473"/>
    <w:rsid w:val="00342072"/>
    <w:rsid w:val="003466EA"/>
    <w:rsid w:val="003517DC"/>
    <w:rsid w:val="00361004"/>
    <w:rsid w:val="00365369"/>
    <w:rsid w:val="00371C61"/>
    <w:rsid w:val="00371E00"/>
    <w:rsid w:val="003753FE"/>
    <w:rsid w:val="00384763"/>
    <w:rsid w:val="0038629A"/>
    <w:rsid w:val="003A7D15"/>
    <w:rsid w:val="003B50DA"/>
    <w:rsid w:val="003C2496"/>
    <w:rsid w:val="003E1075"/>
    <w:rsid w:val="003E46DF"/>
    <w:rsid w:val="003F0A31"/>
    <w:rsid w:val="003F56C2"/>
    <w:rsid w:val="003F75DC"/>
    <w:rsid w:val="00411A1F"/>
    <w:rsid w:val="004122DA"/>
    <w:rsid w:val="00421D5F"/>
    <w:rsid w:val="0042351C"/>
    <w:rsid w:val="004263C8"/>
    <w:rsid w:val="004304C2"/>
    <w:rsid w:val="004339F0"/>
    <w:rsid w:val="004447E5"/>
    <w:rsid w:val="00455004"/>
    <w:rsid w:val="004571E4"/>
    <w:rsid w:val="004575B4"/>
    <w:rsid w:val="004611B8"/>
    <w:rsid w:val="004618AA"/>
    <w:rsid w:val="004622BA"/>
    <w:rsid w:val="00467E80"/>
    <w:rsid w:val="00467F13"/>
    <w:rsid w:val="00471ACF"/>
    <w:rsid w:val="00474C73"/>
    <w:rsid w:val="00487865"/>
    <w:rsid w:val="004B73DF"/>
    <w:rsid w:val="004C0792"/>
    <w:rsid w:val="004D0595"/>
    <w:rsid w:val="004D1DDC"/>
    <w:rsid w:val="004D53C4"/>
    <w:rsid w:val="004E4A97"/>
    <w:rsid w:val="004F03F6"/>
    <w:rsid w:val="004F1166"/>
    <w:rsid w:val="004F202B"/>
    <w:rsid w:val="004F20C7"/>
    <w:rsid w:val="004F2DF6"/>
    <w:rsid w:val="004F3ECE"/>
    <w:rsid w:val="005049D1"/>
    <w:rsid w:val="00504B12"/>
    <w:rsid w:val="00514746"/>
    <w:rsid w:val="00534B1D"/>
    <w:rsid w:val="00551807"/>
    <w:rsid w:val="005725EC"/>
    <w:rsid w:val="00580A3E"/>
    <w:rsid w:val="005968C2"/>
    <w:rsid w:val="005A5A57"/>
    <w:rsid w:val="005B1293"/>
    <w:rsid w:val="005B6EEE"/>
    <w:rsid w:val="005C07CE"/>
    <w:rsid w:val="005C1D1B"/>
    <w:rsid w:val="005D07B1"/>
    <w:rsid w:val="005D0D2B"/>
    <w:rsid w:val="005D7592"/>
    <w:rsid w:val="005E1765"/>
    <w:rsid w:val="005E6D38"/>
    <w:rsid w:val="005F2512"/>
    <w:rsid w:val="005F70EE"/>
    <w:rsid w:val="0060099A"/>
    <w:rsid w:val="00607E3C"/>
    <w:rsid w:val="0061501A"/>
    <w:rsid w:val="00624024"/>
    <w:rsid w:val="006248CC"/>
    <w:rsid w:val="0062755C"/>
    <w:rsid w:val="00632598"/>
    <w:rsid w:val="006419E0"/>
    <w:rsid w:val="00647FE7"/>
    <w:rsid w:val="00653A33"/>
    <w:rsid w:val="00667F0D"/>
    <w:rsid w:val="00672AA4"/>
    <w:rsid w:val="006765CE"/>
    <w:rsid w:val="00682364"/>
    <w:rsid w:val="00690067"/>
    <w:rsid w:val="006A49B0"/>
    <w:rsid w:val="006B5047"/>
    <w:rsid w:val="006C16D4"/>
    <w:rsid w:val="006E48A2"/>
    <w:rsid w:val="006F0540"/>
    <w:rsid w:val="006F3434"/>
    <w:rsid w:val="006F3BF6"/>
    <w:rsid w:val="00714B81"/>
    <w:rsid w:val="007248CE"/>
    <w:rsid w:val="007518DB"/>
    <w:rsid w:val="0077035D"/>
    <w:rsid w:val="00771642"/>
    <w:rsid w:val="00771936"/>
    <w:rsid w:val="007827CE"/>
    <w:rsid w:val="00786523"/>
    <w:rsid w:val="007B3E61"/>
    <w:rsid w:val="007B5B4C"/>
    <w:rsid w:val="007B660D"/>
    <w:rsid w:val="007D6247"/>
    <w:rsid w:val="007E280F"/>
    <w:rsid w:val="007F1A3E"/>
    <w:rsid w:val="007F6AD2"/>
    <w:rsid w:val="00804DF3"/>
    <w:rsid w:val="00821D6B"/>
    <w:rsid w:val="00832BB1"/>
    <w:rsid w:val="008436DE"/>
    <w:rsid w:val="008449CD"/>
    <w:rsid w:val="00851901"/>
    <w:rsid w:val="00851B6B"/>
    <w:rsid w:val="008629AE"/>
    <w:rsid w:val="008746CC"/>
    <w:rsid w:val="00875A47"/>
    <w:rsid w:val="00882F8F"/>
    <w:rsid w:val="00885D57"/>
    <w:rsid w:val="008A394A"/>
    <w:rsid w:val="008A6DBC"/>
    <w:rsid w:val="008A7907"/>
    <w:rsid w:val="008B025F"/>
    <w:rsid w:val="008B5D19"/>
    <w:rsid w:val="008D21C9"/>
    <w:rsid w:val="008D23E6"/>
    <w:rsid w:val="008E46A3"/>
    <w:rsid w:val="008F3429"/>
    <w:rsid w:val="008F6905"/>
    <w:rsid w:val="008F7F41"/>
    <w:rsid w:val="00901072"/>
    <w:rsid w:val="009122F2"/>
    <w:rsid w:val="0091526B"/>
    <w:rsid w:val="00924001"/>
    <w:rsid w:val="00934B28"/>
    <w:rsid w:val="00947C5B"/>
    <w:rsid w:val="00954A5D"/>
    <w:rsid w:val="00971F99"/>
    <w:rsid w:val="0097323A"/>
    <w:rsid w:val="009779C1"/>
    <w:rsid w:val="00980A10"/>
    <w:rsid w:val="00980DFD"/>
    <w:rsid w:val="00992959"/>
    <w:rsid w:val="0099335F"/>
    <w:rsid w:val="0099522E"/>
    <w:rsid w:val="009A1BDA"/>
    <w:rsid w:val="009A75EC"/>
    <w:rsid w:val="009B62ED"/>
    <w:rsid w:val="009E73B0"/>
    <w:rsid w:val="009F22D2"/>
    <w:rsid w:val="009F2FDD"/>
    <w:rsid w:val="00A07EF0"/>
    <w:rsid w:val="00A10E3C"/>
    <w:rsid w:val="00A11D72"/>
    <w:rsid w:val="00A132EF"/>
    <w:rsid w:val="00A24ABB"/>
    <w:rsid w:val="00A51979"/>
    <w:rsid w:val="00A572FF"/>
    <w:rsid w:val="00A6098C"/>
    <w:rsid w:val="00A612AD"/>
    <w:rsid w:val="00A61B7C"/>
    <w:rsid w:val="00A70C4D"/>
    <w:rsid w:val="00A84810"/>
    <w:rsid w:val="00A8729C"/>
    <w:rsid w:val="00A97E8A"/>
    <w:rsid w:val="00AA1926"/>
    <w:rsid w:val="00AA5F05"/>
    <w:rsid w:val="00AB5EEA"/>
    <w:rsid w:val="00AC1438"/>
    <w:rsid w:val="00AC1CA9"/>
    <w:rsid w:val="00AD0014"/>
    <w:rsid w:val="00AD5296"/>
    <w:rsid w:val="00AE1F31"/>
    <w:rsid w:val="00AE28B7"/>
    <w:rsid w:val="00AF0197"/>
    <w:rsid w:val="00AF7ECF"/>
    <w:rsid w:val="00B01471"/>
    <w:rsid w:val="00B025C4"/>
    <w:rsid w:val="00B1534E"/>
    <w:rsid w:val="00B36B8F"/>
    <w:rsid w:val="00B3745F"/>
    <w:rsid w:val="00B37761"/>
    <w:rsid w:val="00B566F8"/>
    <w:rsid w:val="00B62789"/>
    <w:rsid w:val="00B70AA9"/>
    <w:rsid w:val="00B7211E"/>
    <w:rsid w:val="00B7332A"/>
    <w:rsid w:val="00B8357F"/>
    <w:rsid w:val="00B83E20"/>
    <w:rsid w:val="00B913C3"/>
    <w:rsid w:val="00B97D1A"/>
    <w:rsid w:val="00BB7247"/>
    <w:rsid w:val="00BC4698"/>
    <w:rsid w:val="00BC67B0"/>
    <w:rsid w:val="00BD4AFC"/>
    <w:rsid w:val="00C11198"/>
    <w:rsid w:val="00C15C0A"/>
    <w:rsid w:val="00C279B6"/>
    <w:rsid w:val="00C31E49"/>
    <w:rsid w:val="00C348A3"/>
    <w:rsid w:val="00C56C03"/>
    <w:rsid w:val="00C67636"/>
    <w:rsid w:val="00C7454E"/>
    <w:rsid w:val="00C819C0"/>
    <w:rsid w:val="00C876EB"/>
    <w:rsid w:val="00CA719C"/>
    <w:rsid w:val="00CB2CB1"/>
    <w:rsid w:val="00CB7341"/>
    <w:rsid w:val="00CD0AC0"/>
    <w:rsid w:val="00CE01EF"/>
    <w:rsid w:val="00CE6BCC"/>
    <w:rsid w:val="00CF2381"/>
    <w:rsid w:val="00D112A8"/>
    <w:rsid w:val="00D4027C"/>
    <w:rsid w:val="00D52415"/>
    <w:rsid w:val="00D63642"/>
    <w:rsid w:val="00D658F8"/>
    <w:rsid w:val="00D73E41"/>
    <w:rsid w:val="00D82780"/>
    <w:rsid w:val="00D86CD6"/>
    <w:rsid w:val="00D87244"/>
    <w:rsid w:val="00DA2296"/>
    <w:rsid w:val="00DB2BA4"/>
    <w:rsid w:val="00DC5970"/>
    <w:rsid w:val="00DD5E31"/>
    <w:rsid w:val="00DE1D72"/>
    <w:rsid w:val="00DE650B"/>
    <w:rsid w:val="00DE6CFC"/>
    <w:rsid w:val="00DF19B5"/>
    <w:rsid w:val="00DF228C"/>
    <w:rsid w:val="00DF5041"/>
    <w:rsid w:val="00E002B5"/>
    <w:rsid w:val="00E01AAF"/>
    <w:rsid w:val="00E01F60"/>
    <w:rsid w:val="00E0288F"/>
    <w:rsid w:val="00E02E30"/>
    <w:rsid w:val="00E05C90"/>
    <w:rsid w:val="00E1090E"/>
    <w:rsid w:val="00E23CAC"/>
    <w:rsid w:val="00E3160C"/>
    <w:rsid w:val="00E3387F"/>
    <w:rsid w:val="00E36C93"/>
    <w:rsid w:val="00E415E1"/>
    <w:rsid w:val="00E64F7B"/>
    <w:rsid w:val="00E76D81"/>
    <w:rsid w:val="00E80A9E"/>
    <w:rsid w:val="00E95D69"/>
    <w:rsid w:val="00EA15AC"/>
    <w:rsid w:val="00EA4112"/>
    <w:rsid w:val="00EB739F"/>
    <w:rsid w:val="00EB79FF"/>
    <w:rsid w:val="00EC2481"/>
    <w:rsid w:val="00EC26D5"/>
    <w:rsid w:val="00EC2CCE"/>
    <w:rsid w:val="00ED354C"/>
    <w:rsid w:val="00EE69A7"/>
    <w:rsid w:val="00EE7B92"/>
    <w:rsid w:val="00EF4AAB"/>
    <w:rsid w:val="00EF6559"/>
    <w:rsid w:val="00F249C7"/>
    <w:rsid w:val="00F2649B"/>
    <w:rsid w:val="00F304B4"/>
    <w:rsid w:val="00F44DC1"/>
    <w:rsid w:val="00F450AD"/>
    <w:rsid w:val="00F67889"/>
    <w:rsid w:val="00F72F16"/>
    <w:rsid w:val="00F7399A"/>
    <w:rsid w:val="00F77499"/>
    <w:rsid w:val="00F774BE"/>
    <w:rsid w:val="00F92BB4"/>
    <w:rsid w:val="00FA7134"/>
    <w:rsid w:val="00FC2F1F"/>
    <w:rsid w:val="00FD0F3A"/>
    <w:rsid w:val="00FD2040"/>
    <w:rsid w:val="00FE6BF7"/>
    <w:rsid w:val="00F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DD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8"/>
    <w:pPr>
      <w:widowControl w:val="0"/>
      <w:autoSpaceDE w:val="0"/>
      <w:autoSpaceDN w:val="0"/>
      <w:adjustRightInd w:val="0"/>
    </w:pPr>
    <w:rPr>
      <w:sz w:val="24"/>
      <w:szCs w:val="24"/>
    </w:rPr>
  </w:style>
  <w:style w:type="paragraph" w:styleId="Heading4">
    <w:name w:val="heading 4"/>
    <w:basedOn w:val="Normal"/>
    <w:next w:val="Normal"/>
    <w:qFormat/>
    <w:rsid w:val="00FE7A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598"/>
  </w:style>
  <w:style w:type="table" w:styleId="TableGrid">
    <w:name w:val="Table Grid"/>
    <w:basedOn w:val="TableNormal"/>
    <w:rsid w:val="005D07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523"/>
    <w:rPr>
      <w:rFonts w:ascii="Tahoma" w:hAnsi="Tahoma" w:cs="Tahoma"/>
      <w:sz w:val="16"/>
      <w:szCs w:val="16"/>
    </w:rPr>
  </w:style>
  <w:style w:type="character" w:styleId="CommentReference">
    <w:name w:val="annotation reference"/>
    <w:uiPriority w:val="99"/>
    <w:rsid w:val="00471ACF"/>
    <w:rPr>
      <w:sz w:val="16"/>
      <w:szCs w:val="16"/>
    </w:rPr>
  </w:style>
  <w:style w:type="paragraph" w:styleId="CommentText">
    <w:name w:val="annotation text"/>
    <w:basedOn w:val="Normal"/>
    <w:link w:val="CommentTextChar"/>
    <w:uiPriority w:val="99"/>
    <w:rsid w:val="00471ACF"/>
    <w:rPr>
      <w:sz w:val="20"/>
      <w:szCs w:val="20"/>
    </w:rPr>
  </w:style>
  <w:style w:type="paragraph" w:styleId="CommentSubject">
    <w:name w:val="annotation subject"/>
    <w:basedOn w:val="CommentText"/>
    <w:next w:val="CommentText"/>
    <w:semiHidden/>
    <w:rsid w:val="00471ACF"/>
    <w:rPr>
      <w:b/>
      <w:bCs/>
    </w:rPr>
  </w:style>
  <w:style w:type="character" w:customStyle="1" w:styleId="CommentTextChar">
    <w:name w:val="Comment Text Char"/>
    <w:basedOn w:val="DefaultParagraphFont"/>
    <w:link w:val="CommentText"/>
    <w:uiPriority w:val="99"/>
    <w:rsid w:val="00B1534E"/>
  </w:style>
  <w:style w:type="character" w:styleId="Hyperlink">
    <w:name w:val="Hyperlink"/>
    <w:rsid w:val="00B1534E"/>
    <w:rPr>
      <w:rFonts w:ascii="Times New Roman" w:hAnsi="Times New Roman" w:cs="Times New Roman"/>
      <w:color w:val="0000FF"/>
      <w:u w:val="single"/>
    </w:rPr>
  </w:style>
  <w:style w:type="paragraph" w:styleId="FootnoteText">
    <w:name w:val="footnote text"/>
    <w:basedOn w:val="Normal"/>
    <w:link w:val="FootnoteTextChar"/>
    <w:rsid w:val="00B1534E"/>
    <w:rPr>
      <w:sz w:val="20"/>
      <w:szCs w:val="20"/>
    </w:rPr>
  </w:style>
  <w:style w:type="character" w:customStyle="1" w:styleId="FootnoteTextChar">
    <w:name w:val="Footnote Text Char"/>
    <w:basedOn w:val="DefaultParagraphFont"/>
    <w:link w:val="FootnoteText"/>
    <w:rsid w:val="00B1534E"/>
  </w:style>
  <w:style w:type="paragraph" w:styleId="ListParagraph">
    <w:name w:val="List Paragraph"/>
    <w:basedOn w:val="Normal"/>
    <w:uiPriority w:val="34"/>
    <w:qFormat/>
    <w:rsid w:val="00203A4D"/>
    <w:pPr>
      <w:ind w:left="720"/>
      <w:contextualSpacing/>
    </w:pPr>
  </w:style>
  <w:style w:type="paragraph" w:styleId="Revision">
    <w:name w:val="Revision"/>
    <w:hidden/>
    <w:uiPriority w:val="99"/>
    <w:semiHidden/>
    <w:rsid w:val="00E23CAC"/>
    <w:rPr>
      <w:sz w:val="24"/>
      <w:szCs w:val="24"/>
    </w:rPr>
  </w:style>
  <w:style w:type="character" w:styleId="FollowedHyperlink">
    <w:name w:val="FollowedHyperlink"/>
    <w:rsid w:val="001E693B"/>
    <w:rPr>
      <w:color w:val="800080"/>
      <w:u w:val="single"/>
    </w:rPr>
  </w:style>
  <w:style w:type="paragraph" w:styleId="PlainText">
    <w:name w:val="Plain Text"/>
    <w:basedOn w:val="Normal"/>
    <w:link w:val="PlainTextChar"/>
    <w:uiPriority w:val="99"/>
    <w:unhideWhenUsed/>
    <w:rsid w:val="0025560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25560C"/>
    <w:rPr>
      <w:rFonts w:ascii="Consolas" w:eastAsia="Calibri" w:hAnsi="Consolas"/>
      <w:sz w:val="21"/>
      <w:szCs w:val="21"/>
    </w:rPr>
  </w:style>
  <w:style w:type="character" w:customStyle="1" w:styleId="p">
    <w:name w:val="p"/>
    <w:rsid w:val="00924001"/>
  </w:style>
  <w:style w:type="paragraph" w:styleId="EndnoteText">
    <w:name w:val="endnote text"/>
    <w:basedOn w:val="Normal"/>
    <w:link w:val="EndnoteTextChar"/>
    <w:rsid w:val="008D21C9"/>
    <w:pPr>
      <w:widowControl/>
      <w:autoSpaceDE/>
      <w:autoSpaceDN/>
      <w:adjustRightInd/>
      <w:spacing w:after="200" w:line="276" w:lineRule="auto"/>
    </w:pPr>
    <w:rPr>
      <w:rFonts w:ascii="Calibri" w:eastAsia="Calibri" w:hAnsi="Calibri"/>
      <w:sz w:val="20"/>
      <w:szCs w:val="20"/>
      <w:lang w:bidi="en-US"/>
    </w:rPr>
  </w:style>
  <w:style w:type="character" w:customStyle="1" w:styleId="EndnoteTextChar">
    <w:name w:val="Endnote Text Char"/>
    <w:link w:val="EndnoteText"/>
    <w:rsid w:val="008D21C9"/>
    <w:rPr>
      <w:rFonts w:ascii="Calibri" w:eastAsia="Calibri" w:hAnsi="Calibri"/>
      <w:lang w:bidi="en-US"/>
    </w:rPr>
  </w:style>
  <w:style w:type="paragraph" w:styleId="Header">
    <w:name w:val="header"/>
    <w:basedOn w:val="Normal"/>
    <w:link w:val="HeaderChar"/>
    <w:unhideWhenUsed/>
    <w:rsid w:val="00D63642"/>
    <w:pPr>
      <w:tabs>
        <w:tab w:val="center" w:pos="4680"/>
        <w:tab w:val="right" w:pos="9360"/>
      </w:tabs>
    </w:pPr>
  </w:style>
  <w:style w:type="character" w:customStyle="1" w:styleId="HeaderChar">
    <w:name w:val="Header Char"/>
    <w:basedOn w:val="DefaultParagraphFont"/>
    <w:link w:val="Header"/>
    <w:rsid w:val="00D63642"/>
    <w:rPr>
      <w:sz w:val="24"/>
      <w:szCs w:val="24"/>
    </w:rPr>
  </w:style>
  <w:style w:type="paragraph" w:styleId="Footer">
    <w:name w:val="footer"/>
    <w:basedOn w:val="Normal"/>
    <w:link w:val="FooterChar"/>
    <w:uiPriority w:val="99"/>
    <w:unhideWhenUsed/>
    <w:rsid w:val="00D63642"/>
    <w:pPr>
      <w:tabs>
        <w:tab w:val="center" w:pos="4680"/>
        <w:tab w:val="right" w:pos="9360"/>
      </w:tabs>
    </w:pPr>
  </w:style>
  <w:style w:type="character" w:customStyle="1" w:styleId="FooterChar">
    <w:name w:val="Footer Char"/>
    <w:basedOn w:val="DefaultParagraphFont"/>
    <w:link w:val="Footer"/>
    <w:uiPriority w:val="99"/>
    <w:rsid w:val="00D636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8"/>
    <w:pPr>
      <w:widowControl w:val="0"/>
      <w:autoSpaceDE w:val="0"/>
      <w:autoSpaceDN w:val="0"/>
      <w:adjustRightInd w:val="0"/>
    </w:pPr>
    <w:rPr>
      <w:sz w:val="24"/>
      <w:szCs w:val="24"/>
    </w:rPr>
  </w:style>
  <w:style w:type="paragraph" w:styleId="Heading4">
    <w:name w:val="heading 4"/>
    <w:basedOn w:val="Normal"/>
    <w:next w:val="Normal"/>
    <w:qFormat/>
    <w:rsid w:val="00FE7A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598"/>
  </w:style>
  <w:style w:type="table" w:styleId="TableGrid">
    <w:name w:val="Table Grid"/>
    <w:basedOn w:val="TableNormal"/>
    <w:rsid w:val="005D07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523"/>
    <w:rPr>
      <w:rFonts w:ascii="Tahoma" w:hAnsi="Tahoma" w:cs="Tahoma"/>
      <w:sz w:val="16"/>
      <w:szCs w:val="16"/>
    </w:rPr>
  </w:style>
  <w:style w:type="character" w:styleId="CommentReference">
    <w:name w:val="annotation reference"/>
    <w:uiPriority w:val="99"/>
    <w:rsid w:val="00471ACF"/>
    <w:rPr>
      <w:sz w:val="16"/>
      <w:szCs w:val="16"/>
    </w:rPr>
  </w:style>
  <w:style w:type="paragraph" w:styleId="CommentText">
    <w:name w:val="annotation text"/>
    <w:basedOn w:val="Normal"/>
    <w:link w:val="CommentTextChar"/>
    <w:uiPriority w:val="99"/>
    <w:rsid w:val="00471ACF"/>
    <w:rPr>
      <w:sz w:val="20"/>
      <w:szCs w:val="20"/>
    </w:rPr>
  </w:style>
  <w:style w:type="paragraph" w:styleId="CommentSubject">
    <w:name w:val="annotation subject"/>
    <w:basedOn w:val="CommentText"/>
    <w:next w:val="CommentText"/>
    <w:semiHidden/>
    <w:rsid w:val="00471ACF"/>
    <w:rPr>
      <w:b/>
      <w:bCs/>
    </w:rPr>
  </w:style>
  <w:style w:type="character" w:customStyle="1" w:styleId="CommentTextChar">
    <w:name w:val="Comment Text Char"/>
    <w:basedOn w:val="DefaultParagraphFont"/>
    <w:link w:val="CommentText"/>
    <w:uiPriority w:val="99"/>
    <w:rsid w:val="00B1534E"/>
  </w:style>
  <w:style w:type="character" w:styleId="Hyperlink">
    <w:name w:val="Hyperlink"/>
    <w:rsid w:val="00B1534E"/>
    <w:rPr>
      <w:rFonts w:ascii="Times New Roman" w:hAnsi="Times New Roman" w:cs="Times New Roman"/>
      <w:color w:val="0000FF"/>
      <w:u w:val="single"/>
    </w:rPr>
  </w:style>
  <w:style w:type="paragraph" w:styleId="FootnoteText">
    <w:name w:val="footnote text"/>
    <w:basedOn w:val="Normal"/>
    <w:link w:val="FootnoteTextChar"/>
    <w:rsid w:val="00B1534E"/>
    <w:rPr>
      <w:sz w:val="20"/>
      <w:szCs w:val="20"/>
    </w:rPr>
  </w:style>
  <w:style w:type="character" w:customStyle="1" w:styleId="FootnoteTextChar">
    <w:name w:val="Footnote Text Char"/>
    <w:basedOn w:val="DefaultParagraphFont"/>
    <w:link w:val="FootnoteText"/>
    <w:rsid w:val="00B1534E"/>
  </w:style>
  <w:style w:type="paragraph" w:styleId="ListParagraph">
    <w:name w:val="List Paragraph"/>
    <w:basedOn w:val="Normal"/>
    <w:uiPriority w:val="34"/>
    <w:qFormat/>
    <w:rsid w:val="00203A4D"/>
    <w:pPr>
      <w:ind w:left="720"/>
      <w:contextualSpacing/>
    </w:pPr>
  </w:style>
  <w:style w:type="paragraph" w:styleId="Revision">
    <w:name w:val="Revision"/>
    <w:hidden/>
    <w:uiPriority w:val="99"/>
    <w:semiHidden/>
    <w:rsid w:val="00E23CAC"/>
    <w:rPr>
      <w:sz w:val="24"/>
      <w:szCs w:val="24"/>
    </w:rPr>
  </w:style>
  <w:style w:type="character" w:styleId="FollowedHyperlink">
    <w:name w:val="FollowedHyperlink"/>
    <w:rsid w:val="001E693B"/>
    <w:rPr>
      <w:color w:val="800080"/>
      <w:u w:val="single"/>
    </w:rPr>
  </w:style>
  <w:style w:type="paragraph" w:styleId="PlainText">
    <w:name w:val="Plain Text"/>
    <w:basedOn w:val="Normal"/>
    <w:link w:val="PlainTextChar"/>
    <w:uiPriority w:val="99"/>
    <w:unhideWhenUsed/>
    <w:rsid w:val="0025560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25560C"/>
    <w:rPr>
      <w:rFonts w:ascii="Consolas" w:eastAsia="Calibri" w:hAnsi="Consolas"/>
      <w:sz w:val="21"/>
      <w:szCs w:val="21"/>
    </w:rPr>
  </w:style>
  <w:style w:type="character" w:customStyle="1" w:styleId="p">
    <w:name w:val="p"/>
    <w:rsid w:val="00924001"/>
  </w:style>
  <w:style w:type="paragraph" w:styleId="EndnoteText">
    <w:name w:val="endnote text"/>
    <w:basedOn w:val="Normal"/>
    <w:link w:val="EndnoteTextChar"/>
    <w:rsid w:val="008D21C9"/>
    <w:pPr>
      <w:widowControl/>
      <w:autoSpaceDE/>
      <w:autoSpaceDN/>
      <w:adjustRightInd/>
      <w:spacing w:after="200" w:line="276" w:lineRule="auto"/>
    </w:pPr>
    <w:rPr>
      <w:rFonts w:ascii="Calibri" w:eastAsia="Calibri" w:hAnsi="Calibri"/>
      <w:sz w:val="20"/>
      <w:szCs w:val="20"/>
      <w:lang w:bidi="en-US"/>
    </w:rPr>
  </w:style>
  <w:style w:type="character" w:customStyle="1" w:styleId="EndnoteTextChar">
    <w:name w:val="Endnote Text Char"/>
    <w:link w:val="EndnoteText"/>
    <w:rsid w:val="008D21C9"/>
    <w:rPr>
      <w:rFonts w:ascii="Calibri" w:eastAsia="Calibri" w:hAnsi="Calibri"/>
      <w:lang w:bidi="en-US"/>
    </w:rPr>
  </w:style>
  <w:style w:type="paragraph" w:styleId="Header">
    <w:name w:val="header"/>
    <w:basedOn w:val="Normal"/>
    <w:link w:val="HeaderChar"/>
    <w:unhideWhenUsed/>
    <w:rsid w:val="00D63642"/>
    <w:pPr>
      <w:tabs>
        <w:tab w:val="center" w:pos="4680"/>
        <w:tab w:val="right" w:pos="9360"/>
      </w:tabs>
    </w:pPr>
  </w:style>
  <w:style w:type="character" w:customStyle="1" w:styleId="HeaderChar">
    <w:name w:val="Header Char"/>
    <w:basedOn w:val="DefaultParagraphFont"/>
    <w:link w:val="Header"/>
    <w:rsid w:val="00D63642"/>
    <w:rPr>
      <w:sz w:val="24"/>
      <w:szCs w:val="24"/>
    </w:rPr>
  </w:style>
  <w:style w:type="paragraph" w:styleId="Footer">
    <w:name w:val="footer"/>
    <w:basedOn w:val="Normal"/>
    <w:link w:val="FooterChar"/>
    <w:uiPriority w:val="99"/>
    <w:unhideWhenUsed/>
    <w:rsid w:val="00D63642"/>
    <w:pPr>
      <w:tabs>
        <w:tab w:val="center" w:pos="4680"/>
        <w:tab w:val="right" w:pos="9360"/>
      </w:tabs>
    </w:pPr>
  </w:style>
  <w:style w:type="character" w:customStyle="1" w:styleId="FooterChar">
    <w:name w:val="Footer Char"/>
    <w:basedOn w:val="DefaultParagraphFont"/>
    <w:link w:val="Footer"/>
    <w:uiPriority w:val="99"/>
    <w:rsid w:val="00D636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m.gov/nm/HSAImplementation" TargetMode="External"/><Relationship Id="rId13" Type="http://schemas.openxmlformats.org/officeDocument/2006/relationships/hyperlink" Target="http://www.blm.gov/nm/HSAImplement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policy-data-oversight/pay-leave/salaries-wages/2015/general-schedu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DOI BLM</Company>
  <LinksUpToDate>false</LinksUpToDate>
  <CharactersWithSpaces>32661</CharactersWithSpaces>
  <SharedDoc>false</SharedDoc>
  <HLinks>
    <vt:vector size="30" baseType="variant">
      <vt:variant>
        <vt:i4>1769560</vt:i4>
      </vt:variant>
      <vt:variant>
        <vt:i4>14</vt:i4>
      </vt:variant>
      <vt:variant>
        <vt:i4>0</vt:i4>
      </vt:variant>
      <vt:variant>
        <vt:i4>5</vt:i4>
      </vt:variant>
      <vt:variant>
        <vt:lpwstr>http://www.bls.gov/news.release/ecec.nr0.htm</vt:lpwstr>
      </vt:variant>
      <vt:variant>
        <vt:lpwstr/>
      </vt:variant>
      <vt:variant>
        <vt:i4>2359403</vt:i4>
      </vt:variant>
      <vt:variant>
        <vt:i4>11</vt:i4>
      </vt:variant>
      <vt:variant>
        <vt:i4>0</vt:i4>
      </vt:variant>
      <vt:variant>
        <vt:i4>5</vt:i4>
      </vt:variant>
      <vt:variant>
        <vt:lpwstr>http://www.opm.gov/policy-data-oversight/pay-leave/salaries-wages/2013/general-schedule/2013-gs-hourlyovertime-rates-by-grade-and-step/</vt:lpwstr>
      </vt:variant>
      <vt:variant>
        <vt:lpwstr/>
      </vt:variant>
      <vt:variant>
        <vt:i4>1769560</vt:i4>
      </vt:variant>
      <vt:variant>
        <vt:i4>8</vt:i4>
      </vt:variant>
      <vt:variant>
        <vt:i4>0</vt:i4>
      </vt:variant>
      <vt:variant>
        <vt:i4>5</vt:i4>
      </vt:variant>
      <vt:variant>
        <vt:lpwstr>http://www.bls.gov/news.release/ecec.nr0.htm</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7405628</vt:i4>
      </vt:variant>
      <vt:variant>
        <vt:i4>2</vt:i4>
      </vt:variant>
      <vt:variant>
        <vt:i4>0</vt:i4>
      </vt:variant>
      <vt:variant>
        <vt:i4>5</vt:i4>
      </vt:variant>
      <vt:variant>
        <vt:lpwstr>http://www.blm.gov/nm/HSAImplementation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sbeshir</dc:creator>
  <cp:lastModifiedBy>Sonneman, Jean E</cp:lastModifiedBy>
  <cp:revision>4</cp:revision>
  <cp:lastPrinted>2015-03-27T12:39:00Z</cp:lastPrinted>
  <dcterms:created xsi:type="dcterms:W3CDTF">2015-10-02T16:33:00Z</dcterms:created>
  <dcterms:modified xsi:type="dcterms:W3CDTF">2015-10-02T16:42:00Z</dcterms:modified>
</cp:coreProperties>
</file>