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0F3" w:rsidRPr="004725E5" w:rsidRDefault="00F420F3" w:rsidP="00F420F3">
      <w:pPr>
        <w:spacing w:after="200"/>
        <w:contextualSpacing/>
        <w:jc w:val="center"/>
        <w:rPr>
          <w:rFonts w:eastAsia="Calibri"/>
          <w:b/>
          <w:bCs/>
        </w:rPr>
      </w:pPr>
      <w:bookmarkStart w:id="0" w:name="_GoBack"/>
      <w:bookmarkEnd w:id="0"/>
      <w:r w:rsidRPr="004725E5">
        <w:rPr>
          <w:rFonts w:eastAsia="Calibri"/>
          <w:b/>
          <w:bCs/>
        </w:rPr>
        <w:t xml:space="preserve">Justification for the Non-Substantive Changes for </w:t>
      </w:r>
    </w:p>
    <w:p w:rsidR="00F420F3" w:rsidRPr="004725E5" w:rsidRDefault="00F420F3" w:rsidP="00F420F3">
      <w:pPr>
        <w:spacing w:after="200"/>
        <w:contextualSpacing/>
        <w:jc w:val="center"/>
        <w:rPr>
          <w:rFonts w:eastAsia="Calibri"/>
          <w:b/>
          <w:bCs/>
        </w:rPr>
      </w:pPr>
      <w:r w:rsidRPr="004725E5">
        <w:rPr>
          <w:rFonts w:eastAsia="Calibri"/>
          <w:b/>
          <w:bCs/>
        </w:rPr>
        <w:t>Social Security Administration’s Public Credentialing and Authentication Process</w:t>
      </w:r>
    </w:p>
    <w:p w:rsidR="00F420F3" w:rsidRPr="004725E5" w:rsidRDefault="00F420F3" w:rsidP="00F420F3">
      <w:pPr>
        <w:spacing w:after="200"/>
        <w:contextualSpacing/>
        <w:jc w:val="center"/>
        <w:rPr>
          <w:rFonts w:eastAsia="Calibri"/>
          <w:b/>
          <w:bCs/>
        </w:rPr>
      </w:pPr>
      <w:r w:rsidRPr="004725E5">
        <w:rPr>
          <w:rFonts w:eastAsia="Calibri"/>
          <w:b/>
          <w:bCs/>
        </w:rPr>
        <w:t>20 CFR 401.45, 20 CFR 402</w:t>
      </w:r>
    </w:p>
    <w:p w:rsidR="00D816E0" w:rsidRPr="004725E5" w:rsidRDefault="009934FF" w:rsidP="009934FF">
      <w:pPr>
        <w:jc w:val="center"/>
        <w:outlineLvl w:val="0"/>
        <w:rPr>
          <w:b/>
          <w:u w:val="single"/>
        </w:rPr>
      </w:pPr>
      <w:r>
        <w:rPr>
          <w:b/>
          <w:bCs/>
        </w:rPr>
        <w:t>OMB No. 0960-0789</w:t>
      </w:r>
    </w:p>
    <w:p w:rsidR="009934FF" w:rsidRDefault="009934FF" w:rsidP="008A7CF6">
      <w:pPr>
        <w:outlineLvl w:val="0"/>
        <w:rPr>
          <w:b/>
          <w:u w:val="single"/>
        </w:rPr>
      </w:pPr>
    </w:p>
    <w:p w:rsidR="00EF5B94" w:rsidRPr="004725E5" w:rsidRDefault="00FE1BD9" w:rsidP="008A7CF6">
      <w:pPr>
        <w:outlineLvl w:val="0"/>
        <w:rPr>
          <w:b/>
          <w:u w:val="single"/>
        </w:rPr>
      </w:pPr>
      <w:r w:rsidRPr="004725E5">
        <w:rPr>
          <w:b/>
          <w:u w:val="single"/>
        </w:rPr>
        <w:t>Background</w:t>
      </w:r>
    </w:p>
    <w:p w:rsidR="00F420F3" w:rsidRPr="004725E5" w:rsidRDefault="00F420F3"/>
    <w:p w:rsidR="00D1205F" w:rsidRPr="004725E5" w:rsidRDefault="00F420F3">
      <w:r w:rsidRPr="004725E5">
        <w:rPr>
          <w:bCs/>
        </w:rPr>
        <w:t>The Social Security Administration’s Public Credentialing and Authentication Process (hereafter called “electronic access”) went live to the public in May 2012.  In the Information Collection Request OMB approved on 9/30/11 for release one (R1) of electronic access, the Social Security Administration (SSA) discussed the phased rollout plan for o</w:t>
      </w:r>
      <w:r w:rsidR="001351C6">
        <w:rPr>
          <w:bCs/>
        </w:rPr>
        <w:t xml:space="preserve">ur new online electronic access </w:t>
      </w:r>
      <w:r w:rsidRPr="004725E5">
        <w:rPr>
          <w:bCs/>
        </w:rPr>
        <w:t>authentication process.  R1 of electronic access established a mechanism for customers to create an account, obtain a credential, and access our online services thr</w:t>
      </w:r>
      <w:r w:rsidR="001351C6">
        <w:rPr>
          <w:bCs/>
        </w:rPr>
        <w:t xml:space="preserve">ough a new Internet portal, the </w:t>
      </w:r>
      <w:r w:rsidRPr="004725E5">
        <w:rPr>
          <w:i/>
          <w:iCs/>
          <w:color w:val="D12229"/>
        </w:rPr>
        <w:t xml:space="preserve">my </w:t>
      </w:r>
      <w:r w:rsidRPr="004725E5">
        <w:rPr>
          <w:color w:val="0054A6"/>
        </w:rPr>
        <w:t>Social Security</w:t>
      </w:r>
      <w:r w:rsidRPr="004725E5">
        <w:rPr>
          <w:i/>
          <w:iCs/>
          <w:lang w:val="en"/>
        </w:rPr>
        <w:t xml:space="preserve"> </w:t>
      </w:r>
      <w:r w:rsidRPr="004725E5">
        <w:rPr>
          <w:bCs/>
        </w:rPr>
        <w:t>website.  In addition, we introduced the registration and customer support (RCS) Intranet application, which provides an interface for authorized SSA personnel to respond to customers’ requests for assistance with electron</w:t>
      </w:r>
      <w:r w:rsidR="001351C6">
        <w:rPr>
          <w:bCs/>
        </w:rPr>
        <w:t xml:space="preserve">ic access.  Since then, we </w:t>
      </w:r>
      <w:r w:rsidRPr="004725E5">
        <w:rPr>
          <w:bCs/>
        </w:rPr>
        <w:t>deployed additional releases to expand the services available with an online account, and we continue to do so</w:t>
      </w:r>
      <w:r w:rsidR="00C83276" w:rsidRPr="004725E5">
        <w:rPr>
          <w:bCs/>
        </w:rPr>
        <w:t>.</w:t>
      </w:r>
      <w:r w:rsidR="00D1205F" w:rsidRPr="004725E5">
        <w:t xml:space="preserve">    </w:t>
      </w:r>
    </w:p>
    <w:p w:rsidR="00AC0DF6" w:rsidRPr="004725E5" w:rsidRDefault="00AC0DF6"/>
    <w:p w:rsidR="0090330B" w:rsidRPr="004725E5" w:rsidRDefault="004725E5" w:rsidP="008A7CF6">
      <w:pPr>
        <w:outlineLvl w:val="0"/>
        <w:rPr>
          <w:b/>
          <w:u w:val="single"/>
        </w:rPr>
      </w:pPr>
      <w:r w:rsidRPr="004725E5">
        <w:rPr>
          <w:b/>
          <w:u w:val="single"/>
        </w:rPr>
        <w:t>Justification</w:t>
      </w:r>
    </w:p>
    <w:p w:rsidR="00800F55" w:rsidRPr="004725E5" w:rsidRDefault="00800F55" w:rsidP="008A7CF6">
      <w:pPr>
        <w:outlineLvl w:val="0"/>
        <w:rPr>
          <w:b/>
        </w:rPr>
      </w:pPr>
    </w:p>
    <w:p w:rsidR="00C13F77" w:rsidRDefault="004725E5" w:rsidP="004725E5">
      <w:pPr>
        <w:spacing w:after="200"/>
        <w:contextualSpacing/>
        <w:rPr>
          <w:rFonts w:eastAsia="Calibri"/>
          <w:bCs/>
        </w:rPr>
      </w:pPr>
      <w:r w:rsidRPr="004725E5">
        <w:rPr>
          <w:rFonts w:eastAsia="Calibri"/>
          <w:bCs/>
        </w:rPr>
        <w:t xml:space="preserve">As part of our expansion of online </w:t>
      </w:r>
      <w:r w:rsidRPr="004725E5">
        <w:rPr>
          <w:rFonts w:eastAsia="Calibri"/>
          <w:i/>
          <w:iCs/>
          <w:color w:val="D12229"/>
          <w:sz w:val="22"/>
          <w:szCs w:val="22"/>
        </w:rPr>
        <w:t xml:space="preserve">my </w:t>
      </w:r>
      <w:r w:rsidRPr="004725E5">
        <w:rPr>
          <w:rFonts w:eastAsia="Calibri"/>
          <w:color w:val="0054A6"/>
          <w:sz w:val="22"/>
          <w:szCs w:val="22"/>
        </w:rPr>
        <w:t>Social Security</w:t>
      </w:r>
      <w:r w:rsidRPr="004725E5">
        <w:rPr>
          <w:rFonts w:eastAsia="Calibri"/>
          <w:bCs/>
        </w:rPr>
        <w:t xml:space="preserve"> services, effective </w:t>
      </w:r>
      <w:r w:rsidR="000833BE">
        <w:rPr>
          <w:rFonts w:eastAsia="Calibri"/>
          <w:bCs/>
        </w:rPr>
        <w:t>May</w:t>
      </w:r>
      <w:r w:rsidR="00AA0A0F">
        <w:rPr>
          <w:rFonts w:eastAsia="Calibri"/>
          <w:bCs/>
        </w:rPr>
        <w:t xml:space="preserve"> 2015</w:t>
      </w:r>
      <w:r w:rsidR="001F7C1E">
        <w:rPr>
          <w:rFonts w:eastAsia="Calibri"/>
          <w:bCs/>
        </w:rPr>
        <w:t>, w</w:t>
      </w:r>
      <w:r w:rsidRPr="004725E5">
        <w:rPr>
          <w:rFonts w:eastAsia="Calibri"/>
          <w:bCs/>
        </w:rPr>
        <w:t xml:space="preserve">e are </w:t>
      </w:r>
      <w:r w:rsidR="00C13F77">
        <w:rPr>
          <w:rFonts w:eastAsia="Calibri"/>
          <w:bCs/>
        </w:rPr>
        <w:t>migrating</w:t>
      </w:r>
      <w:r w:rsidRPr="004725E5">
        <w:rPr>
          <w:rFonts w:eastAsia="Calibri"/>
          <w:bCs/>
        </w:rPr>
        <w:t xml:space="preserve"> the </w:t>
      </w:r>
      <w:r w:rsidR="00C13F77">
        <w:rPr>
          <w:rFonts w:eastAsia="Calibri"/>
          <w:bCs/>
        </w:rPr>
        <w:t xml:space="preserve">existing </w:t>
      </w:r>
      <w:r w:rsidR="009933AF">
        <w:rPr>
          <w:bCs/>
        </w:rPr>
        <w:t>Internet Medicare Replacement Card (iMRC)</w:t>
      </w:r>
      <w:r w:rsidRPr="004725E5">
        <w:rPr>
          <w:rFonts w:eastAsia="Calibri"/>
          <w:bCs/>
        </w:rPr>
        <w:t xml:space="preserve"> application behind the </w:t>
      </w:r>
      <w:r w:rsidRPr="004725E5">
        <w:rPr>
          <w:rFonts w:eastAsia="Calibri"/>
          <w:i/>
          <w:iCs/>
          <w:color w:val="D12229"/>
          <w:sz w:val="22"/>
          <w:szCs w:val="22"/>
        </w:rPr>
        <w:t xml:space="preserve">my </w:t>
      </w:r>
      <w:r w:rsidRPr="004725E5">
        <w:rPr>
          <w:rFonts w:eastAsia="Calibri"/>
          <w:color w:val="0054A6"/>
          <w:sz w:val="22"/>
          <w:szCs w:val="22"/>
        </w:rPr>
        <w:t>Social Security</w:t>
      </w:r>
      <w:r w:rsidRPr="004725E5">
        <w:rPr>
          <w:rFonts w:eastAsia="Calibri"/>
          <w:bCs/>
          <w:i/>
        </w:rPr>
        <w:t xml:space="preserve"> </w:t>
      </w:r>
      <w:r w:rsidRPr="004725E5">
        <w:rPr>
          <w:rFonts w:eastAsia="Calibri"/>
          <w:bCs/>
        </w:rPr>
        <w:t>portal</w:t>
      </w:r>
      <w:r w:rsidR="00C13F77">
        <w:rPr>
          <w:rFonts w:eastAsia="Calibri"/>
          <w:bCs/>
        </w:rPr>
        <w:t xml:space="preserve"> while maintaining current application functionality</w:t>
      </w:r>
      <w:r w:rsidR="00C57E50">
        <w:rPr>
          <w:rFonts w:eastAsia="Calibri"/>
          <w:bCs/>
        </w:rPr>
        <w:t xml:space="preserve"> (excluding the change of address question which </w:t>
      </w:r>
      <w:r w:rsidR="001351C6">
        <w:rPr>
          <w:rFonts w:eastAsia="Calibri"/>
          <w:bCs/>
        </w:rPr>
        <w:t xml:space="preserve">we </w:t>
      </w:r>
      <w:r w:rsidR="00C57E50">
        <w:rPr>
          <w:rFonts w:eastAsia="Calibri"/>
          <w:bCs/>
        </w:rPr>
        <w:t>will no longer</w:t>
      </w:r>
      <w:r w:rsidR="001351C6">
        <w:rPr>
          <w:rFonts w:eastAsia="Calibri"/>
          <w:bCs/>
        </w:rPr>
        <w:t xml:space="preserve"> ask</w:t>
      </w:r>
      <w:r w:rsidR="00C57E50">
        <w:rPr>
          <w:rFonts w:eastAsia="Calibri"/>
          <w:bCs/>
        </w:rPr>
        <w:t>)</w:t>
      </w:r>
      <w:r w:rsidRPr="004725E5">
        <w:rPr>
          <w:rFonts w:eastAsia="Calibri"/>
          <w:bCs/>
        </w:rPr>
        <w:t xml:space="preserve">.  </w:t>
      </w:r>
      <w:r w:rsidR="00C13F77">
        <w:rPr>
          <w:rFonts w:eastAsia="Calibri"/>
          <w:bCs/>
        </w:rPr>
        <w:t xml:space="preserve">The new </w:t>
      </w:r>
      <w:r w:rsidR="00C13F77" w:rsidRPr="004725E5">
        <w:rPr>
          <w:rFonts w:eastAsia="Calibri"/>
          <w:i/>
          <w:iCs/>
          <w:color w:val="D12229"/>
          <w:sz w:val="22"/>
          <w:szCs w:val="22"/>
        </w:rPr>
        <w:t xml:space="preserve">my </w:t>
      </w:r>
      <w:r w:rsidR="00C13F77" w:rsidRPr="004725E5">
        <w:rPr>
          <w:rFonts w:eastAsia="Calibri"/>
          <w:color w:val="0054A6"/>
          <w:sz w:val="22"/>
          <w:szCs w:val="22"/>
        </w:rPr>
        <w:t>Social Security</w:t>
      </w:r>
      <w:r w:rsidR="00C13F77">
        <w:rPr>
          <w:rFonts w:eastAsia="Calibri"/>
          <w:bCs/>
        </w:rPr>
        <w:t xml:space="preserve"> </w:t>
      </w:r>
      <w:r w:rsidR="00C13F77">
        <w:rPr>
          <w:bCs/>
        </w:rPr>
        <w:t>Medicare Replacement Card</w:t>
      </w:r>
      <w:r w:rsidR="00C13F77">
        <w:rPr>
          <w:rFonts w:eastAsia="Calibri"/>
          <w:bCs/>
        </w:rPr>
        <w:t xml:space="preserve"> (myMRC) application will allow authenticated users to take advantage of the single sign-on capabilities offered with the electronic access authentication protocols.</w:t>
      </w:r>
    </w:p>
    <w:p w:rsidR="00C13F77" w:rsidRDefault="00C13F77" w:rsidP="004725E5">
      <w:pPr>
        <w:spacing w:after="200"/>
        <w:contextualSpacing/>
        <w:rPr>
          <w:rFonts w:eastAsia="Calibri"/>
          <w:bCs/>
        </w:rPr>
      </w:pPr>
    </w:p>
    <w:p w:rsidR="00EF7006" w:rsidRDefault="00F01AD5" w:rsidP="004776D4">
      <w:pPr>
        <w:spacing w:after="200"/>
        <w:contextualSpacing/>
        <w:rPr>
          <w:rFonts w:eastAsia="Calibri"/>
          <w:bCs/>
        </w:rPr>
      </w:pPr>
      <w:r>
        <w:rPr>
          <w:rFonts w:eastAsia="Calibri"/>
          <w:bCs/>
        </w:rPr>
        <w:t>The iMRC application was und</w:t>
      </w:r>
      <w:r w:rsidR="0028785E">
        <w:rPr>
          <w:rFonts w:eastAsia="Calibri"/>
          <w:bCs/>
        </w:rPr>
        <w:t>er the OMB clearance number (09</w:t>
      </w:r>
      <w:r>
        <w:rPr>
          <w:rFonts w:eastAsia="Calibri"/>
          <w:bCs/>
        </w:rPr>
        <w:t>60-0596)</w:t>
      </w:r>
      <w:r w:rsidR="00EF7006">
        <w:rPr>
          <w:rFonts w:eastAsia="Calibri"/>
          <w:bCs/>
        </w:rPr>
        <w:t>.  We previously submitted a change request under the 0960-0596 OMB number to request approval to migrat</w:t>
      </w:r>
      <w:r w:rsidR="001351C6">
        <w:rPr>
          <w:rFonts w:eastAsia="Calibri"/>
          <w:bCs/>
        </w:rPr>
        <w:t>e the iMRC application to the Public Credentialing and Authentication Process</w:t>
      </w:r>
      <w:r w:rsidR="00EF7006">
        <w:rPr>
          <w:rFonts w:eastAsia="Calibri"/>
          <w:bCs/>
        </w:rPr>
        <w:t xml:space="preserve"> information collection, 0960-0789.  W</w:t>
      </w:r>
      <w:r w:rsidR="0028785E" w:rsidRPr="004725E5">
        <w:rPr>
          <w:rFonts w:eastAsia="Calibri"/>
          <w:bCs/>
        </w:rPr>
        <w:t xml:space="preserve">e </w:t>
      </w:r>
      <w:r w:rsidR="00EF7006">
        <w:rPr>
          <w:rFonts w:eastAsia="Calibri"/>
          <w:bCs/>
        </w:rPr>
        <w:t xml:space="preserve">planned to </w:t>
      </w:r>
      <w:r w:rsidR="0028785E" w:rsidRPr="004725E5">
        <w:rPr>
          <w:rFonts w:eastAsia="Calibri"/>
          <w:bCs/>
        </w:rPr>
        <w:t>discontinu</w:t>
      </w:r>
      <w:r w:rsidR="00EF7006">
        <w:rPr>
          <w:rFonts w:eastAsia="Calibri"/>
          <w:bCs/>
        </w:rPr>
        <w:t>e</w:t>
      </w:r>
      <w:r w:rsidR="0028785E" w:rsidRPr="004725E5">
        <w:rPr>
          <w:rFonts w:eastAsia="Calibri"/>
          <w:bCs/>
        </w:rPr>
        <w:t xml:space="preserve"> the process of asking for personal information within the application, as we already ask those questions through the current authentication process under electronic access (OMB Number 0960-0789).</w:t>
      </w:r>
      <w:r w:rsidR="0028785E">
        <w:rPr>
          <w:rFonts w:eastAsia="Calibri"/>
          <w:bCs/>
        </w:rPr>
        <w:t xml:space="preserve">  </w:t>
      </w:r>
      <w:r w:rsidR="00EF7006">
        <w:rPr>
          <w:rFonts w:eastAsia="Calibri"/>
          <w:bCs/>
        </w:rPr>
        <w:t xml:space="preserve">OMB approved the change request </w:t>
      </w:r>
      <w:r w:rsidR="001351C6">
        <w:rPr>
          <w:rFonts w:eastAsia="Calibri"/>
          <w:bCs/>
        </w:rPr>
        <w:t xml:space="preserve">for OMB number 0960-0596 on </w:t>
      </w:r>
      <w:r w:rsidR="00EF7006">
        <w:rPr>
          <w:rFonts w:eastAsia="Calibri"/>
          <w:bCs/>
        </w:rPr>
        <w:t>8</w:t>
      </w:r>
      <w:r w:rsidR="001351C6">
        <w:rPr>
          <w:rFonts w:eastAsia="Calibri"/>
          <w:bCs/>
        </w:rPr>
        <w:t xml:space="preserve">/28/13; </w:t>
      </w:r>
      <w:r w:rsidR="00EF7006">
        <w:rPr>
          <w:rFonts w:eastAsia="Calibri"/>
          <w:bCs/>
        </w:rPr>
        <w:t xml:space="preserve">however, </w:t>
      </w:r>
      <w:r w:rsidR="001351C6">
        <w:rPr>
          <w:rFonts w:eastAsia="Calibri"/>
          <w:bCs/>
        </w:rPr>
        <w:t xml:space="preserve">SSA delayed </w:t>
      </w:r>
      <w:r w:rsidR="00EF7006">
        <w:rPr>
          <w:rFonts w:eastAsia="Calibri"/>
          <w:bCs/>
        </w:rPr>
        <w:t>t</w:t>
      </w:r>
      <w:r w:rsidR="006E0B95">
        <w:rPr>
          <w:rFonts w:eastAsia="Calibri"/>
          <w:bCs/>
        </w:rPr>
        <w:t xml:space="preserve">he </w:t>
      </w:r>
      <w:r w:rsidR="001351C6">
        <w:rPr>
          <w:rFonts w:eastAsia="Calibri"/>
          <w:bCs/>
        </w:rPr>
        <w:t>i</w:t>
      </w:r>
      <w:r w:rsidR="006E0B95" w:rsidRPr="006E0B95">
        <w:rPr>
          <w:rFonts w:eastAsia="Calibri"/>
          <w:bCs/>
        </w:rPr>
        <w:t xml:space="preserve">MRC </w:t>
      </w:r>
      <w:r w:rsidR="00EF7006">
        <w:rPr>
          <w:rFonts w:eastAsia="Calibri"/>
          <w:bCs/>
        </w:rPr>
        <w:t xml:space="preserve">migration </w:t>
      </w:r>
      <w:r w:rsidR="006E0B95" w:rsidRPr="006E0B95">
        <w:rPr>
          <w:rFonts w:eastAsia="Calibri"/>
          <w:bCs/>
        </w:rPr>
        <w:t>project due to a number of factors including:  other emergency proposals competing for Systems resources; Systems needing additional Usability support; and the need to upgrade the application architecture to include Google Analytics.</w:t>
      </w:r>
      <w:r w:rsidR="006E0B95">
        <w:rPr>
          <w:rFonts w:eastAsia="Calibri"/>
          <w:bCs/>
        </w:rPr>
        <w:t xml:space="preserve">  </w:t>
      </w:r>
    </w:p>
    <w:p w:rsidR="00EF7006" w:rsidRDefault="00EF7006" w:rsidP="004776D4">
      <w:pPr>
        <w:spacing w:after="200"/>
        <w:contextualSpacing/>
        <w:rPr>
          <w:rFonts w:eastAsia="Calibri"/>
          <w:bCs/>
        </w:rPr>
      </w:pPr>
    </w:p>
    <w:p w:rsidR="004776D4" w:rsidRPr="004725E5" w:rsidRDefault="00EF7006" w:rsidP="00EF43A2">
      <w:pPr>
        <w:rPr>
          <w:rFonts w:eastAsia="Calibri"/>
          <w:bCs/>
        </w:rPr>
      </w:pPr>
      <w:r>
        <w:rPr>
          <w:rFonts w:eastAsia="Calibri"/>
          <w:bCs/>
        </w:rPr>
        <w:t>Now, we have the re</w:t>
      </w:r>
      <w:r w:rsidR="00EF43A2">
        <w:rPr>
          <w:rFonts w:eastAsia="Calibri"/>
          <w:bCs/>
        </w:rPr>
        <w:t>sources to complete the</w:t>
      </w:r>
      <w:r w:rsidR="001351C6">
        <w:rPr>
          <w:rFonts w:eastAsia="Calibri"/>
          <w:bCs/>
        </w:rPr>
        <w:t xml:space="preserve"> i</w:t>
      </w:r>
      <w:r w:rsidR="00EF43A2">
        <w:rPr>
          <w:rFonts w:eastAsia="Calibri"/>
          <w:bCs/>
        </w:rPr>
        <w:t xml:space="preserve">MRC migration.  </w:t>
      </w:r>
      <w:r w:rsidR="00EF43A2" w:rsidRPr="004725E5">
        <w:rPr>
          <w:rFonts w:eastAsia="Calibri"/>
          <w:bCs/>
        </w:rPr>
        <w:t xml:space="preserve">We are submitting this Change Request to inform OMB of the </w:t>
      </w:r>
      <w:r w:rsidR="00EF43A2">
        <w:rPr>
          <w:rFonts w:eastAsia="Calibri"/>
          <w:b/>
          <w:bCs/>
        </w:rPr>
        <w:t>May 30</w:t>
      </w:r>
      <w:r w:rsidR="00EF43A2" w:rsidRPr="004725E5">
        <w:rPr>
          <w:rFonts w:eastAsia="Calibri"/>
          <w:b/>
          <w:bCs/>
        </w:rPr>
        <w:t>, 2015</w:t>
      </w:r>
      <w:r w:rsidR="00EF43A2" w:rsidRPr="004725E5">
        <w:rPr>
          <w:rFonts w:eastAsia="Calibri"/>
          <w:bCs/>
        </w:rPr>
        <w:t xml:space="preserve"> implementation date for this transferred </w:t>
      </w:r>
      <w:r w:rsidR="001351C6">
        <w:rPr>
          <w:rFonts w:eastAsia="Calibri"/>
          <w:bCs/>
        </w:rPr>
        <w:t xml:space="preserve">iMRC (now called </w:t>
      </w:r>
      <w:r w:rsidR="00EF43A2">
        <w:rPr>
          <w:rFonts w:eastAsia="Calibri"/>
          <w:bCs/>
        </w:rPr>
        <w:t>myMRC</w:t>
      </w:r>
      <w:r w:rsidR="001351C6">
        <w:rPr>
          <w:rFonts w:eastAsia="Calibri"/>
          <w:bCs/>
        </w:rPr>
        <w:t>)</w:t>
      </w:r>
      <w:r w:rsidR="00EF43A2" w:rsidRPr="004725E5">
        <w:rPr>
          <w:rFonts w:eastAsia="Calibri"/>
          <w:bCs/>
        </w:rPr>
        <w:t xml:space="preserve"> application.</w:t>
      </w:r>
      <w:r w:rsidR="00EF43A2">
        <w:rPr>
          <w:rFonts w:eastAsia="Calibri"/>
          <w:bCs/>
        </w:rPr>
        <w:t xml:space="preserve">  </w:t>
      </w:r>
      <w:r w:rsidR="004776D4">
        <w:rPr>
          <w:rFonts w:eastAsia="Calibri"/>
          <w:bCs/>
        </w:rPr>
        <w:t>Beginning on 5</w:t>
      </w:r>
      <w:r w:rsidR="00AA0A0F">
        <w:rPr>
          <w:rFonts w:eastAsia="Calibri"/>
          <w:bCs/>
        </w:rPr>
        <w:t>/30/</w:t>
      </w:r>
      <w:r w:rsidR="004776D4" w:rsidRPr="004725E5">
        <w:rPr>
          <w:rFonts w:eastAsia="Calibri"/>
          <w:bCs/>
        </w:rPr>
        <w:t xml:space="preserve">15, the respondents for the </w:t>
      </w:r>
      <w:r w:rsidR="004776D4">
        <w:rPr>
          <w:rFonts w:eastAsia="Calibri"/>
          <w:bCs/>
        </w:rPr>
        <w:t>myMRC</w:t>
      </w:r>
      <w:r w:rsidR="004776D4" w:rsidRPr="004725E5">
        <w:rPr>
          <w:rFonts w:eastAsia="Calibri"/>
          <w:bCs/>
        </w:rPr>
        <w:t xml:space="preserve"> will need to register for</w:t>
      </w:r>
      <w:r w:rsidR="00AA0A0F">
        <w:rPr>
          <w:rFonts w:eastAsia="Calibri"/>
          <w:bCs/>
        </w:rPr>
        <w:t xml:space="preserve"> a credential using</w:t>
      </w:r>
      <w:r w:rsidR="004776D4" w:rsidRPr="004725E5">
        <w:rPr>
          <w:rFonts w:eastAsia="Calibri"/>
          <w:bCs/>
        </w:rPr>
        <w:t xml:space="preserve"> electronic access</w:t>
      </w:r>
      <w:r w:rsidR="001351C6">
        <w:rPr>
          <w:rFonts w:eastAsia="Calibri"/>
          <w:bCs/>
        </w:rPr>
        <w:t xml:space="preserve"> (0960-0789)</w:t>
      </w:r>
      <w:r w:rsidR="004776D4" w:rsidRPr="004725E5">
        <w:rPr>
          <w:rFonts w:eastAsia="Calibri"/>
          <w:bCs/>
        </w:rPr>
        <w:t xml:space="preserve"> prior to </w:t>
      </w:r>
      <w:r w:rsidR="00AA0A0F">
        <w:rPr>
          <w:rFonts w:eastAsia="Calibri"/>
          <w:bCs/>
        </w:rPr>
        <w:t>accessing</w:t>
      </w:r>
      <w:r w:rsidR="004776D4" w:rsidRPr="004725E5">
        <w:rPr>
          <w:rFonts w:eastAsia="Calibri"/>
          <w:bCs/>
        </w:rPr>
        <w:t xml:space="preserve"> the </w:t>
      </w:r>
      <w:r w:rsidR="004776D4">
        <w:rPr>
          <w:rFonts w:eastAsia="Calibri"/>
          <w:bCs/>
        </w:rPr>
        <w:t>myMRC</w:t>
      </w:r>
      <w:r w:rsidR="004776D4" w:rsidRPr="004725E5">
        <w:rPr>
          <w:rFonts w:eastAsia="Calibri"/>
          <w:bCs/>
        </w:rPr>
        <w:t xml:space="preserve"> application, if they do not already have a </w:t>
      </w:r>
      <w:r w:rsidR="004776D4" w:rsidRPr="004725E5">
        <w:rPr>
          <w:rFonts w:eastAsia="Calibri"/>
          <w:i/>
          <w:iCs/>
          <w:color w:val="D12229"/>
          <w:sz w:val="22"/>
          <w:szCs w:val="22"/>
        </w:rPr>
        <w:t xml:space="preserve">my </w:t>
      </w:r>
      <w:r w:rsidR="004776D4" w:rsidRPr="004725E5">
        <w:rPr>
          <w:rFonts w:eastAsia="Calibri"/>
          <w:color w:val="0054A6"/>
          <w:sz w:val="22"/>
          <w:szCs w:val="22"/>
        </w:rPr>
        <w:t xml:space="preserve">Social Security </w:t>
      </w:r>
      <w:r w:rsidR="004776D4" w:rsidRPr="004725E5">
        <w:rPr>
          <w:rFonts w:eastAsia="Calibri"/>
        </w:rPr>
        <w:t>account</w:t>
      </w:r>
      <w:r w:rsidR="004776D4" w:rsidRPr="004725E5">
        <w:rPr>
          <w:rFonts w:eastAsia="Calibri"/>
          <w:bCs/>
        </w:rPr>
        <w:t xml:space="preserve">.  </w:t>
      </w:r>
    </w:p>
    <w:p w:rsidR="004776D4" w:rsidRDefault="004776D4" w:rsidP="004725E5">
      <w:pPr>
        <w:spacing w:after="200"/>
        <w:contextualSpacing/>
        <w:rPr>
          <w:rFonts w:eastAsia="Calibri"/>
          <w:bCs/>
        </w:rPr>
      </w:pPr>
    </w:p>
    <w:p w:rsidR="001351C6" w:rsidRDefault="001351C6" w:rsidP="004725E5">
      <w:pPr>
        <w:spacing w:after="200"/>
        <w:contextualSpacing/>
        <w:rPr>
          <w:rFonts w:eastAsia="Calibri"/>
          <w:bCs/>
        </w:rPr>
      </w:pPr>
    </w:p>
    <w:p w:rsidR="001351C6" w:rsidRDefault="001351C6" w:rsidP="004725E5">
      <w:pPr>
        <w:spacing w:after="200"/>
        <w:contextualSpacing/>
        <w:rPr>
          <w:rFonts w:eastAsia="Calibri"/>
          <w:bCs/>
        </w:rPr>
      </w:pPr>
    </w:p>
    <w:p w:rsidR="00AA2F30" w:rsidRPr="004725E5" w:rsidRDefault="004725E5" w:rsidP="008A7CF6">
      <w:pPr>
        <w:outlineLvl w:val="0"/>
        <w:rPr>
          <w:b/>
          <w:u w:val="single"/>
        </w:rPr>
      </w:pPr>
      <w:r w:rsidRPr="004725E5">
        <w:rPr>
          <w:b/>
          <w:u w:val="single"/>
        </w:rPr>
        <w:lastRenderedPageBreak/>
        <w:t>Burden</w:t>
      </w:r>
    </w:p>
    <w:p w:rsidR="00EC2227" w:rsidRPr="004725E5" w:rsidRDefault="00EC2227" w:rsidP="007B63ED"/>
    <w:p w:rsidR="004725E5" w:rsidRPr="004725E5" w:rsidRDefault="004725E5" w:rsidP="007B63ED">
      <w:r w:rsidRPr="004725E5">
        <w:t>We are not adjusting the reporting burden to this information collect</w:t>
      </w:r>
      <w:r w:rsidR="00F01AD5">
        <w:t>ion due to the transfer of the my</w:t>
      </w:r>
      <w:r w:rsidRPr="004725E5">
        <w:t xml:space="preserve">MRC application to the </w:t>
      </w:r>
      <w:r w:rsidRPr="004725E5">
        <w:rPr>
          <w:i/>
          <w:iCs/>
          <w:color w:val="D12229"/>
        </w:rPr>
        <w:t xml:space="preserve">my </w:t>
      </w:r>
      <w:r w:rsidRPr="004725E5">
        <w:rPr>
          <w:color w:val="0054A6"/>
        </w:rPr>
        <w:t xml:space="preserve">Social Security </w:t>
      </w:r>
      <w:r w:rsidRPr="004725E5">
        <w:t>portal.  Our existing burden estimate, which OMB approved on 10/24/14, already reflects the absorption of this application into the electronic access process.</w:t>
      </w:r>
      <w:r w:rsidR="001351C6">
        <w:t xml:space="preserve">  In addition, since we already obtained OMB’s approval to remove iMRC from 0960-0596, we do not need to adjust the burden there, either.</w:t>
      </w:r>
    </w:p>
    <w:sectPr w:rsidR="004725E5" w:rsidRPr="004725E5" w:rsidSect="008E52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CFB" w:rsidRDefault="00746CFB">
      <w:r>
        <w:separator/>
      </w:r>
    </w:p>
  </w:endnote>
  <w:endnote w:type="continuationSeparator" w:id="0">
    <w:p w:rsidR="00746CFB" w:rsidRDefault="0074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50" w:rsidRPr="00FE1204" w:rsidRDefault="00C57E50" w:rsidP="00FE1204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CFB" w:rsidRDefault="00746CFB">
      <w:r>
        <w:separator/>
      </w:r>
    </w:p>
  </w:footnote>
  <w:footnote w:type="continuationSeparator" w:id="0">
    <w:p w:rsidR="00746CFB" w:rsidRDefault="0074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1F92"/>
    <w:multiLevelType w:val="hybridMultilevel"/>
    <w:tmpl w:val="E7007A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5B2A5B"/>
    <w:multiLevelType w:val="multilevel"/>
    <w:tmpl w:val="E700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F51412"/>
    <w:multiLevelType w:val="hybridMultilevel"/>
    <w:tmpl w:val="5B1EF57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3B5089A"/>
    <w:multiLevelType w:val="hybridMultilevel"/>
    <w:tmpl w:val="4E022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025241"/>
    <w:multiLevelType w:val="hybridMultilevel"/>
    <w:tmpl w:val="C89ED58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3A1A2791"/>
    <w:multiLevelType w:val="multilevel"/>
    <w:tmpl w:val="4E0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A676CC"/>
    <w:multiLevelType w:val="hybridMultilevel"/>
    <w:tmpl w:val="89B43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E253B5"/>
    <w:multiLevelType w:val="hybridMultilevel"/>
    <w:tmpl w:val="33664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94"/>
    <w:rsid w:val="00005ECA"/>
    <w:rsid w:val="00033B1E"/>
    <w:rsid w:val="000833BE"/>
    <w:rsid w:val="00087B03"/>
    <w:rsid w:val="001351C6"/>
    <w:rsid w:val="001D7C0D"/>
    <w:rsid w:val="001F7C1E"/>
    <w:rsid w:val="00221516"/>
    <w:rsid w:val="0023794F"/>
    <w:rsid w:val="002434EC"/>
    <w:rsid w:val="00271F6F"/>
    <w:rsid w:val="0028785E"/>
    <w:rsid w:val="002A38BB"/>
    <w:rsid w:val="00385E9E"/>
    <w:rsid w:val="00402E5A"/>
    <w:rsid w:val="00433520"/>
    <w:rsid w:val="00446F47"/>
    <w:rsid w:val="00461D23"/>
    <w:rsid w:val="004725E5"/>
    <w:rsid w:val="004776D4"/>
    <w:rsid w:val="00481B8A"/>
    <w:rsid w:val="004A3B3C"/>
    <w:rsid w:val="00554175"/>
    <w:rsid w:val="0056072D"/>
    <w:rsid w:val="006546A3"/>
    <w:rsid w:val="0067398A"/>
    <w:rsid w:val="006C20C5"/>
    <w:rsid w:val="006D53D3"/>
    <w:rsid w:val="006E0B95"/>
    <w:rsid w:val="00746CFB"/>
    <w:rsid w:val="007B63ED"/>
    <w:rsid w:val="00800F55"/>
    <w:rsid w:val="008509CF"/>
    <w:rsid w:val="008914E7"/>
    <w:rsid w:val="008A284F"/>
    <w:rsid w:val="008A7CF6"/>
    <w:rsid w:val="008E5213"/>
    <w:rsid w:val="0090330B"/>
    <w:rsid w:val="00985F6C"/>
    <w:rsid w:val="009927FB"/>
    <w:rsid w:val="009933AF"/>
    <w:rsid w:val="009934FF"/>
    <w:rsid w:val="009B1ADD"/>
    <w:rsid w:val="00A24056"/>
    <w:rsid w:val="00A42B4D"/>
    <w:rsid w:val="00A8203C"/>
    <w:rsid w:val="00AA0A0F"/>
    <w:rsid w:val="00AA2F30"/>
    <w:rsid w:val="00AC0DF6"/>
    <w:rsid w:val="00B12182"/>
    <w:rsid w:val="00BA76DF"/>
    <w:rsid w:val="00BA7E6C"/>
    <w:rsid w:val="00C13F77"/>
    <w:rsid w:val="00C1580D"/>
    <w:rsid w:val="00C34F70"/>
    <w:rsid w:val="00C57E50"/>
    <w:rsid w:val="00C83276"/>
    <w:rsid w:val="00CB298A"/>
    <w:rsid w:val="00CE567A"/>
    <w:rsid w:val="00D1205F"/>
    <w:rsid w:val="00D466AA"/>
    <w:rsid w:val="00D816E0"/>
    <w:rsid w:val="00D83AE9"/>
    <w:rsid w:val="00DD0F64"/>
    <w:rsid w:val="00E34962"/>
    <w:rsid w:val="00EA150F"/>
    <w:rsid w:val="00EC2227"/>
    <w:rsid w:val="00EF43A2"/>
    <w:rsid w:val="00EF5B94"/>
    <w:rsid w:val="00EF7006"/>
    <w:rsid w:val="00F01AD5"/>
    <w:rsid w:val="00F10BB5"/>
    <w:rsid w:val="00F20677"/>
    <w:rsid w:val="00F420F3"/>
    <w:rsid w:val="00FB2078"/>
    <w:rsid w:val="00FD64FA"/>
    <w:rsid w:val="00FE0700"/>
    <w:rsid w:val="00FE1204"/>
    <w:rsid w:val="00F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284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A7C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7B63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B63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Note:</vt:lpstr>
    </vt:vector>
  </TitlesOfParts>
  <Company>Social Security Administration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Note:</dc:title>
  <dc:creator>055019</dc:creator>
  <cp:lastModifiedBy>889123</cp:lastModifiedBy>
  <cp:revision>7</cp:revision>
  <cp:lastPrinted>2009-07-02T11:06:00Z</cp:lastPrinted>
  <dcterms:created xsi:type="dcterms:W3CDTF">2015-04-13T18:36:00Z</dcterms:created>
  <dcterms:modified xsi:type="dcterms:W3CDTF">2015-04-17T10:50:00Z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