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C5" w:rsidRPr="00D3286C" w:rsidRDefault="008D20C5" w:rsidP="00A46EE5">
      <w:pPr>
        <w:jc w:val="center"/>
        <w:rPr>
          <w:b/>
          <w:szCs w:val="22"/>
        </w:rPr>
      </w:pPr>
    </w:p>
    <w:p w:rsidR="008D20C5" w:rsidRPr="009B2637" w:rsidRDefault="00352AFD" w:rsidP="00F16D25">
      <w:pPr>
        <w:jc w:val="center"/>
        <w:rPr>
          <w:b/>
          <w:sz w:val="28"/>
          <w:szCs w:val="28"/>
        </w:rPr>
      </w:pPr>
      <w:r w:rsidRPr="009B2637">
        <w:rPr>
          <w:b/>
          <w:sz w:val="28"/>
          <w:szCs w:val="28"/>
        </w:rPr>
        <w:t>Supporting Statement A</w:t>
      </w:r>
      <w:r w:rsidR="00137EBF" w:rsidRPr="009B2637">
        <w:rPr>
          <w:b/>
          <w:sz w:val="28"/>
          <w:szCs w:val="28"/>
        </w:rPr>
        <w:t xml:space="preserve"> for:</w:t>
      </w:r>
    </w:p>
    <w:p w:rsidR="008D20C5" w:rsidRPr="009B2637" w:rsidRDefault="008D20C5" w:rsidP="00F16D25">
      <w:pPr>
        <w:jc w:val="center"/>
        <w:rPr>
          <w:b/>
          <w:sz w:val="28"/>
          <w:szCs w:val="28"/>
        </w:rPr>
      </w:pPr>
    </w:p>
    <w:p w:rsidR="008D20C5" w:rsidRPr="009B2637" w:rsidRDefault="008D20C5" w:rsidP="00F16D25">
      <w:pPr>
        <w:jc w:val="center"/>
        <w:rPr>
          <w:b/>
          <w:sz w:val="28"/>
          <w:szCs w:val="28"/>
        </w:rPr>
      </w:pPr>
    </w:p>
    <w:p w:rsidR="00137EBF" w:rsidRPr="009B2637" w:rsidRDefault="008D20C5" w:rsidP="00F16D25">
      <w:pPr>
        <w:jc w:val="center"/>
        <w:rPr>
          <w:b/>
          <w:sz w:val="28"/>
          <w:szCs w:val="28"/>
        </w:rPr>
      </w:pPr>
      <w:r w:rsidRPr="009B2637">
        <w:rPr>
          <w:b/>
          <w:sz w:val="28"/>
          <w:szCs w:val="28"/>
        </w:rPr>
        <w:t>Prostate, Lung, Colorectal and Ovarian Cancer</w:t>
      </w:r>
    </w:p>
    <w:p w:rsidR="00137EBF" w:rsidRPr="009B2637" w:rsidRDefault="00137EBF" w:rsidP="00F16D25">
      <w:pPr>
        <w:jc w:val="center"/>
        <w:rPr>
          <w:b/>
          <w:sz w:val="28"/>
          <w:szCs w:val="28"/>
        </w:rPr>
      </w:pPr>
    </w:p>
    <w:p w:rsidR="0075475E" w:rsidRPr="009B2637" w:rsidRDefault="008D20C5" w:rsidP="00F16D25">
      <w:pPr>
        <w:jc w:val="center"/>
        <w:rPr>
          <w:b/>
          <w:sz w:val="28"/>
          <w:szCs w:val="28"/>
        </w:rPr>
      </w:pPr>
      <w:r w:rsidRPr="009B2637">
        <w:rPr>
          <w:b/>
          <w:sz w:val="28"/>
          <w:szCs w:val="28"/>
        </w:rPr>
        <w:t>Screening Trial</w:t>
      </w:r>
      <w:r w:rsidR="00137EBF" w:rsidRPr="009B2637">
        <w:rPr>
          <w:b/>
          <w:sz w:val="28"/>
          <w:szCs w:val="28"/>
        </w:rPr>
        <w:t xml:space="preserve"> </w:t>
      </w:r>
      <w:r w:rsidRPr="009B2637">
        <w:rPr>
          <w:b/>
          <w:sz w:val="28"/>
          <w:szCs w:val="28"/>
        </w:rPr>
        <w:t>(PLCO)</w:t>
      </w:r>
      <w:r w:rsidR="0075475E" w:rsidRPr="009B2637">
        <w:rPr>
          <w:b/>
          <w:sz w:val="28"/>
          <w:szCs w:val="28"/>
        </w:rPr>
        <w:t xml:space="preserve"> </w:t>
      </w:r>
      <w:r w:rsidR="00137EBF" w:rsidRPr="009B2637">
        <w:rPr>
          <w:b/>
          <w:sz w:val="28"/>
          <w:szCs w:val="28"/>
        </w:rPr>
        <w:t>(NCI)</w:t>
      </w:r>
    </w:p>
    <w:p w:rsidR="0075475E" w:rsidRPr="009B2637" w:rsidRDefault="0075475E" w:rsidP="00F16D25">
      <w:pPr>
        <w:jc w:val="center"/>
        <w:rPr>
          <w:b/>
          <w:sz w:val="28"/>
          <w:szCs w:val="28"/>
        </w:rPr>
      </w:pPr>
    </w:p>
    <w:p w:rsidR="006A020C" w:rsidRDefault="006A020C" w:rsidP="00F16D25">
      <w:pPr>
        <w:jc w:val="center"/>
        <w:rPr>
          <w:b/>
          <w:szCs w:val="22"/>
        </w:rPr>
      </w:pPr>
    </w:p>
    <w:p w:rsidR="006A020C" w:rsidRDefault="006A020C" w:rsidP="006A020C">
      <w:pPr>
        <w:pStyle w:val="P1-StandPara"/>
        <w:jc w:val="center"/>
        <w:rPr>
          <w:b/>
          <w:szCs w:val="22"/>
        </w:rPr>
      </w:pPr>
    </w:p>
    <w:p w:rsidR="006A020C" w:rsidRDefault="001658F4" w:rsidP="006A020C">
      <w:pPr>
        <w:pStyle w:val="P1-StandPara"/>
        <w:jc w:val="center"/>
        <w:rPr>
          <w:sz w:val="28"/>
          <w:szCs w:val="28"/>
        </w:rPr>
      </w:pPr>
      <w:r w:rsidRPr="00C048C4">
        <w:rPr>
          <w:sz w:val="28"/>
          <w:szCs w:val="28"/>
        </w:rPr>
        <w:t>Revision Request for OMB #:</w:t>
      </w:r>
      <w:r w:rsidRPr="00B647AF">
        <w:rPr>
          <w:sz w:val="28"/>
          <w:szCs w:val="28"/>
        </w:rPr>
        <w:t xml:space="preserve">  0925-0407</w:t>
      </w:r>
      <w:r>
        <w:rPr>
          <w:sz w:val="28"/>
          <w:szCs w:val="28"/>
        </w:rPr>
        <w:t xml:space="preserve"> </w:t>
      </w:r>
    </w:p>
    <w:p w:rsidR="001658F4" w:rsidRPr="00A46EE5" w:rsidRDefault="001658F4" w:rsidP="0037528B">
      <w:pPr>
        <w:pStyle w:val="P1-StandPara"/>
        <w:ind w:left="1440" w:firstLine="0"/>
        <w:jc w:val="center"/>
      </w:pPr>
      <w:r w:rsidRPr="000357DD">
        <w:rPr>
          <w:sz w:val="28"/>
          <w:szCs w:val="28"/>
          <w:highlight w:val="yellow"/>
        </w:rPr>
        <w:t xml:space="preserve">Expiry Date:  </w:t>
      </w:r>
      <w:r w:rsidR="00A81EFE">
        <w:rPr>
          <w:sz w:val="28"/>
          <w:szCs w:val="28"/>
          <w:highlight w:val="yellow"/>
        </w:rPr>
        <w:t>12</w:t>
      </w:r>
      <w:r w:rsidRPr="000357DD">
        <w:rPr>
          <w:sz w:val="28"/>
          <w:szCs w:val="28"/>
          <w:highlight w:val="yellow"/>
        </w:rPr>
        <w:t>/3</w:t>
      </w:r>
      <w:r w:rsidR="00A81EFE">
        <w:rPr>
          <w:sz w:val="28"/>
          <w:szCs w:val="28"/>
          <w:highlight w:val="yellow"/>
        </w:rPr>
        <w:t>1</w:t>
      </w:r>
      <w:r w:rsidRPr="000357DD">
        <w:rPr>
          <w:sz w:val="28"/>
          <w:szCs w:val="28"/>
          <w:highlight w:val="yellow"/>
        </w:rPr>
        <w:t>/</w:t>
      </w:r>
      <w:r w:rsidRPr="0037528B">
        <w:rPr>
          <w:sz w:val="28"/>
          <w:szCs w:val="28"/>
          <w:highlight w:val="yellow"/>
        </w:rPr>
        <w:t>201</w:t>
      </w:r>
      <w:r w:rsidR="00A81EFE" w:rsidRPr="0037528B">
        <w:rPr>
          <w:sz w:val="28"/>
          <w:szCs w:val="28"/>
          <w:highlight w:val="yellow"/>
        </w:rPr>
        <w:t>5</w:t>
      </w:r>
    </w:p>
    <w:p w:rsidR="001658F4" w:rsidRPr="00A46EE5" w:rsidRDefault="001658F4" w:rsidP="001658F4"/>
    <w:p w:rsidR="001658F4" w:rsidRPr="00A46EE5" w:rsidRDefault="001658F4" w:rsidP="001658F4"/>
    <w:p w:rsidR="001658F4" w:rsidRPr="00472C39" w:rsidRDefault="00472C39" w:rsidP="00472C39">
      <w:pPr>
        <w:jc w:val="center"/>
        <w:rPr>
          <w:sz w:val="28"/>
          <w:szCs w:val="28"/>
        </w:rPr>
      </w:pPr>
      <w:r w:rsidRPr="00472C39">
        <w:rPr>
          <w:sz w:val="28"/>
          <w:szCs w:val="28"/>
        </w:rPr>
        <w:t xml:space="preserve">                  </w:t>
      </w:r>
      <w:r w:rsidR="00CA7691">
        <w:rPr>
          <w:sz w:val="28"/>
          <w:szCs w:val="28"/>
          <w:highlight w:val="yellow"/>
        </w:rPr>
        <w:t>April</w:t>
      </w:r>
      <w:r w:rsidR="00A81EFE" w:rsidRPr="00472C39">
        <w:rPr>
          <w:sz w:val="28"/>
          <w:szCs w:val="28"/>
          <w:highlight w:val="yellow"/>
        </w:rPr>
        <w:t xml:space="preserve"> 2015</w:t>
      </w:r>
    </w:p>
    <w:p w:rsidR="001658F4" w:rsidRPr="00A46EE5" w:rsidRDefault="001658F4" w:rsidP="001658F4"/>
    <w:p w:rsidR="001658F4" w:rsidRPr="00A46EE5" w:rsidRDefault="001658F4" w:rsidP="001658F4"/>
    <w:p w:rsidR="001658F4" w:rsidRPr="00A46EE5" w:rsidRDefault="001658F4" w:rsidP="001658F4"/>
    <w:p w:rsidR="001658F4" w:rsidRPr="00A46EE5" w:rsidRDefault="001658F4" w:rsidP="001658F4"/>
    <w:p w:rsidR="001658F4" w:rsidRPr="005E1B5C" w:rsidRDefault="001658F4" w:rsidP="001658F4">
      <w:pPr>
        <w:pStyle w:val="C2-CtrSglSp"/>
        <w:keepLines w:val="0"/>
        <w:spacing w:line="240" w:lineRule="auto"/>
        <w:rPr>
          <w:sz w:val="28"/>
          <w:szCs w:val="28"/>
          <w:lang w:val="en-CA"/>
        </w:rPr>
      </w:pPr>
      <w:r w:rsidRPr="001A7AD1">
        <w:rPr>
          <w:sz w:val="28"/>
          <w:szCs w:val="28"/>
          <w:highlight w:val="yellow"/>
          <w:lang w:val="en-CA"/>
        </w:rPr>
        <w:t>Yellow highlights indicate changes since the approval of the 20</w:t>
      </w:r>
      <w:r w:rsidR="000357DD">
        <w:rPr>
          <w:sz w:val="28"/>
          <w:szCs w:val="28"/>
          <w:highlight w:val="yellow"/>
          <w:lang w:val="en-CA"/>
        </w:rPr>
        <w:t>1</w:t>
      </w:r>
      <w:r w:rsidR="00A81EFE">
        <w:rPr>
          <w:sz w:val="28"/>
          <w:szCs w:val="28"/>
          <w:highlight w:val="yellow"/>
          <w:lang w:val="en-CA"/>
        </w:rPr>
        <w:t>2</w:t>
      </w:r>
      <w:r w:rsidRPr="001A7AD1">
        <w:rPr>
          <w:sz w:val="28"/>
          <w:szCs w:val="28"/>
          <w:highlight w:val="yellow"/>
          <w:lang w:val="en-CA"/>
        </w:rPr>
        <w:t xml:space="preserve"> submission.</w:t>
      </w:r>
    </w:p>
    <w:p w:rsidR="001658F4" w:rsidRPr="00A46EE5" w:rsidRDefault="001658F4" w:rsidP="001658F4"/>
    <w:p w:rsidR="001658F4" w:rsidRPr="00A46EE5" w:rsidRDefault="001658F4" w:rsidP="001658F4"/>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8D20C5" w:rsidRPr="00D3286C" w:rsidRDefault="008D20C5" w:rsidP="00A46EE5">
      <w:pPr>
        <w:rPr>
          <w:szCs w:val="22"/>
        </w:rPr>
      </w:pPr>
    </w:p>
    <w:p w:rsidR="00D937DC" w:rsidRPr="00D3286C" w:rsidRDefault="00A81EFE" w:rsidP="00A46EE5">
      <w:pPr>
        <w:jc w:val="center"/>
        <w:rPr>
          <w:szCs w:val="22"/>
        </w:rPr>
      </w:pPr>
      <w:r w:rsidRPr="001F2E78">
        <w:rPr>
          <w:szCs w:val="22"/>
          <w:highlight w:val="yellow"/>
        </w:rPr>
        <w:t>Kelly J. Yu, PhD,</w:t>
      </w:r>
      <w:r>
        <w:rPr>
          <w:szCs w:val="22"/>
        </w:rPr>
        <w:t xml:space="preserve"> </w:t>
      </w:r>
      <w:r w:rsidR="00D937DC" w:rsidRPr="00D3286C">
        <w:rPr>
          <w:szCs w:val="22"/>
        </w:rPr>
        <w:t>Project Officer</w:t>
      </w:r>
    </w:p>
    <w:p w:rsidR="008D20C5" w:rsidRPr="00D3286C" w:rsidRDefault="008D20C5" w:rsidP="00A46EE5">
      <w:pPr>
        <w:jc w:val="center"/>
        <w:rPr>
          <w:szCs w:val="22"/>
        </w:rPr>
      </w:pPr>
      <w:r w:rsidRPr="00D3286C">
        <w:rPr>
          <w:szCs w:val="22"/>
        </w:rPr>
        <w:t>PLCO Cancer Screening Trial</w:t>
      </w:r>
    </w:p>
    <w:p w:rsidR="008D20C5" w:rsidRPr="00D3286C" w:rsidRDefault="008D20C5" w:rsidP="00A46EE5">
      <w:pPr>
        <w:jc w:val="center"/>
        <w:rPr>
          <w:szCs w:val="22"/>
        </w:rPr>
      </w:pPr>
      <w:r w:rsidRPr="00D3286C">
        <w:rPr>
          <w:szCs w:val="22"/>
        </w:rPr>
        <w:t>Early Detection Research Group</w:t>
      </w:r>
    </w:p>
    <w:p w:rsidR="008D20C5" w:rsidRPr="00D3286C" w:rsidRDefault="008D20C5" w:rsidP="00A46EE5">
      <w:pPr>
        <w:jc w:val="center"/>
        <w:rPr>
          <w:szCs w:val="22"/>
        </w:rPr>
      </w:pPr>
      <w:r w:rsidRPr="00D3286C">
        <w:rPr>
          <w:szCs w:val="22"/>
        </w:rPr>
        <w:t>National Cancer Institute</w:t>
      </w:r>
    </w:p>
    <w:p w:rsidR="008D20C5" w:rsidRPr="00D3286C" w:rsidRDefault="008D20C5" w:rsidP="00A46EE5">
      <w:pPr>
        <w:jc w:val="center"/>
        <w:rPr>
          <w:szCs w:val="22"/>
        </w:rPr>
      </w:pPr>
    </w:p>
    <w:p w:rsidR="00A81EFE" w:rsidRPr="001F2E78" w:rsidRDefault="00A81EFE" w:rsidP="00A46EE5">
      <w:pPr>
        <w:jc w:val="center"/>
        <w:rPr>
          <w:szCs w:val="22"/>
          <w:highlight w:val="yellow"/>
        </w:rPr>
      </w:pPr>
      <w:r w:rsidRPr="001F2E78">
        <w:rPr>
          <w:szCs w:val="22"/>
          <w:highlight w:val="yellow"/>
        </w:rPr>
        <w:t>9609 Medical Center Drive</w:t>
      </w:r>
    </w:p>
    <w:p w:rsidR="00A81EFE" w:rsidRDefault="00A81EFE" w:rsidP="00A46EE5">
      <w:pPr>
        <w:jc w:val="center"/>
        <w:rPr>
          <w:szCs w:val="22"/>
        </w:rPr>
      </w:pPr>
      <w:r w:rsidRPr="001F2E78">
        <w:rPr>
          <w:szCs w:val="22"/>
          <w:highlight w:val="yellow"/>
        </w:rPr>
        <w:t>Room 5E230</w:t>
      </w:r>
    </w:p>
    <w:p w:rsidR="008D20C5" w:rsidRPr="00D3286C" w:rsidRDefault="00BE5B70" w:rsidP="00A46EE5">
      <w:pPr>
        <w:jc w:val="center"/>
        <w:rPr>
          <w:szCs w:val="22"/>
        </w:rPr>
      </w:pPr>
      <w:r w:rsidRPr="001F2E78">
        <w:rPr>
          <w:szCs w:val="22"/>
          <w:highlight w:val="yellow"/>
        </w:rPr>
        <w:t>Rockville</w:t>
      </w:r>
      <w:r w:rsidR="008D20C5" w:rsidRPr="001F2E78">
        <w:rPr>
          <w:szCs w:val="22"/>
          <w:highlight w:val="yellow"/>
        </w:rPr>
        <w:t>, MD  208</w:t>
      </w:r>
      <w:r w:rsidRPr="001F2E78">
        <w:rPr>
          <w:szCs w:val="22"/>
          <w:highlight w:val="yellow"/>
        </w:rPr>
        <w:t>5</w:t>
      </w:r>
      <w:r w:rsidR="00A81EFE" w:rsidRPr="001F2E78">
        <w:rPr>
          <w:szCs w:val="22"/>
          <w:highlight w:val="yellow"/>
        </w:rPr>
        <w:t>0</w:t>
      </w:r>
    </w:p>
    <w:p w:rsidR="008D20C5" w:rsidRPr="00D3286C" w:rsidRDefault="008D20C5" w:rsidP="00A46EE5">
      <w:pPr>
        <w:jc w:val="center"/>
        <w:rPr>
          <w:szCs w:val="22"/>
        </w:rPr>
      </w:pPr>
    </w:p>
    <w:p w:rsidR="008D20C5" w:rsidRPr="00D3286C" w:rsidRDefault="008D20C5" w:rsidP="00A46EE5">
      <w:pPr>
        <w:jc w:val="center"/>
        <w:rPr>
          <w:szCs w:val="22"/>
        </w:rPr>
      </w:pPr>
      <w:proofErr w:type="gramStart"/>
      <w:r w:rsidRPr="00D3286C">
        <w:rPr>
          <w:szCs w:val="22"/>
        </w:rPr>
        <w:t>Telephone :</w:t>
      </w:r>
      <w:proofErr w:type="gramEnd"/>
      <w:r w:rsidRPr="00D3286C">
        <w:rPr>
          <w:szCs w:val="22"/>
        </w:rPr>
        <w:t xml:space="preserve"> </w:t>
      </w:r>
      <w:r w:rsidR="00A81EFE" w:rsidRPr="001F2E78">
        <w:rPr>
          <w:szCs w:val="22"/>
          <w:highlight w:val="yellow"/>
        </w:rPr>
        <w:t>240-276-7041</w:t>
      </w:r>
    </w:p>
    <w:p w:rsidR="008D20C5" w:rsidRPr="00D3286C" w:rsidRDefault="008D20C5" w:rsidP="00A46EE5">
      <w:pPr>
        <w:jc w:val="center"/>
        <w:rPr>
          <w:szCs w:val="22"/>
        </w:rPr>
      </w:pPr>
      <w:r w:rsidRPr="00D3286C">
        <w:rPr>
          <w:szCs w:val="22"/>
        </w:rPr>
        <w:t xml:space="preserve">Facsimile: </w:t>
      </w:r>
      <w:r w:rsidR="00A81EFE" w:rsidRPr="001F2E78">
        <w:rPr>
          <w:szCs w:val="22"/>
          <w:highlight w:val="yellow"/>
        </w:rPr>
        <w:t>240-276-7848</w:t>
      </w:r>
    </w:p>
    <w:p w:rsidR="008D20C5" w:rsidRPr="00D3286C" w:rsidRDefault="008D20C5" w:rsidP="00A46EE5">
      <w:pPr>
        <w:jc w:val="center"/>
        <w:rPr>
          <w:szCs w:val="22"/>
          <w:lang w:val="it-IT"/>
        </w:rPr>
      </w:pPr>
      <w:r w:rsidRPr="00D3286C">
        <w:rPr>
          <w:szCs w:val="22"/>
          <w:lang w:val="it-IT"/>
        </w:rPr>
        <w:t xml:space="preserve">E-mail: </w:t>
      </w:r>
      <w:r w:rsidR="00A81EFE" w:rsidRPr="001F2E78">
        <w:rPr>
          <w:szCs w:val="22"/>
          <w:highlight w:val="yellow"/>
          <w:lang w:val="it-IT"/>
        </w:rPr>
        <w:t>yuke</w:t>
      </w:r>
      <w:r w:rsidRPr="001F2E78">
        <w:rPr>
          <w:szCs w:val="22"/>
          <w:highlight w:val="yellow"/>
          <w:lang w:val="it-IT"/>
        </w:rPr>
        <w:t>@mail.nih.gov</w:t>
      </w:r>
    </w:p>
    <w:p w:rsidR="008D20C5" w:rsidRPr="00D3286C" w:rsidRDefault="008D20C5" w:rsidP="00A46EE5">
      <w:pPr>
        <w:jc w:val="center"/>
        <w:rPr>
          <w:szCs w:val="22"/>
          <w:lang w:val="it-IT"/>
        </w:rPr>
      </w:pPr>
    </w:p>
    <w:p w:rsidR="008D20C5" w:rsidRPr="00D3286C" w:rsidRDefault="008D20C5" w:rsidP="00A46EE5">
      <w:pPr>
        <w:pStyle w:val="C1-CtrBoldHd"/>
        <w:pageBreakBefore/>
        <w:spacing w:before="120" w:after="120" w:line="480" w:lineRule="auto"/>
        <w:rPr>
          <w:szCs w:val="22"/>
          <w:lang w:val="it-IT"/>
        </w:rPr>
        <w:sectPr w:rsidR="008D20C5" w:rsidRPr="00D3286C" w:rsidSect="00B45844">
          <w:footerReference w:type="even" r:id="rId10"/>
          <w:footerReference w:type="default" r:id="rId11"/>
          <w:footerReference w:type="first" r:id="rId12"/>
          <w:type w:val="continuous"/>
          <w:pgSz w:w="12240" w:h="15840" w:code="1"/>
          <w:pgMar w:top="1440" w:right="1440" w:bottom="1440" w:left="1440" w:header="720" w:footer="432" w:gutter="0"/>
          <w:pgNumType w:fmt="lowerRoman" w:start="1"/>
          <w:cols w:space="720"/>
          <w:noEndnote/>
          <w:titlePg/>
        </w:sectPr>
      </w:pPr>
    </w:p>
    <w:p w:rsidR="0082022F" w:rsidRPr="00D3286C" w:rsidRDefault="0082022F" w:rsidP="0082022F">
      <w:pPr>
        <w:pStyle w:val="TOC1"/>
        <w:rPr>
          <w:sz w:val="22"/>
          <w:szCs w:val="22"/>
        </w:rPr>
      </w:pPr>
      <w:bookmarkStart w:id="1" w:name="_Toc5610271"/>
      <w:r w:rsidRPr="00D3286C">
        <w:rPr>
          <w:sz w:val="22"/>
          <w:szCs w:val="22"/>
        </w:rPr>
        <w:lastRenderedPageBreak/>
        <w:t>TABLE OF CONTENTS</w:t>
      </w:r>
    </w:p>
    <w:p w:rsidR="00CD0056" w:rsidRDefault="006266B4">
      <w:pPr>
        <w:pStyle w:val="TOC1"/>
        <w:rPr>
          <w:rFonts w:ascii="Calibri" w:hAnsi="Calibri"/>
          <w:caps w:val="0"/>
          <w:sz w:val="22"/>
          <w:szCs w:val="22"/>
        </w:rPr>
      </w:pPr>
      <w:r w:rsidRPr="00D3286C">
        <w:rPr>
          <w:sz w:val="22"/>
          <w:szCs w:val="22"/>
        </w:rPr>
        <w:fldChar w:fldCharType="begin"/>
      </w:r>
      <w:r w:rsidR="0075475E" w:rsidRPr="00D3286C">
        <w:rPr>
          <w:sz w:val="22"/>
          <w:szCs w:val="22"/>
        </w:rPr>
        <w:instrText xml:space="preserve"> TOC \o "1-2" \u </w:instrText>
      </w:r>
      <w:r w:rsidRPr="00D3286C">
        <w:rPr>
          <w:sz w:val="22"/>
          <w:szCs w:val="22"/>
        </w:rPr>
        <w:fldChar w:fldCharType="separate"/>
      </w:r>
      <w:r w:rsidR="00CD0056">
        <w:t xml:space="preserve">A.  </w:t>
      </w:r>
      <w:r w:rsidR="00CD0056">
        <w:rPr>
          <w:rFonts w:ascii="Calibri" w:hAnsi="Calibri"/>
          <w:caps w:val="0"/>
          <w:sz w:val="22"/>
          <w:szCs w:val="22"/>
        </w:rPr>
        <w:tab/>
      </w:r>
      <w:r w:rsidR="00CD0056">
        <w:t>JUSTIFICATION</w:t>
      </w:r>
      <w:r w:rsidR="00CD0056">
        <w:tab/>
      </w:r>
      <w:r>
        <w:fldChar w:fldCharType="begin"/>
      </w:r>
      <w:r w:rsidR="00CD0056">
        <w:instrText xml:space="preserve"> PAGEREF _Toc295119893 \h </w:instrText>
      </w:r>
      <w:r>
        <w:fldChar w:fldCharType="separate"/>
      </w:r>
      <w:r w:rsidR="007270B2">
        <w:t>1</w:t>
      </w:r>
      <w:r>
        <w:fldChar w:fldCharType="end"/>
      </w:r>
    </w:p>
    <w:p w:rsidR="00CD0056" w:rsidRDefault="00CD0056" w:rsidP="0079465D">
      <w:pPr>
        <w:pStyle w:val="TOC2"/>
        <w:rPr>
          <w:rFonts w:ascii="Calibri" w:hAnsi="Calibri"/>
          <w:sz w:val="22"/>
          <w:szCs w:val="22"/>
        </w:rPr>
      </w:pPr>
      <w:r>
        <w:t>A.1.</w:t>
      </w:r>
      <w:r>
        <w:rPr>
          <w:rFonts w:ascii="Calibri" w:hAnsi="Calibri"/>
          <w:sz w:val="22"/>
          <w:szCs w:val="22"/>
        </w:rPr>
        <w:tab/>
      </w:r>
      <w:r>
        <w:t>Circumstances Making the Collection of Information Necessary</w:t>
      </w:r>
      <w:r>
        <w:tab/>
      </w:r>
      <w:r w:rsidR="006266B4">
        <w:fldChar w:fldCharType="begin"/>
      </w:r>
      <w:r>
        <w:instrText xml:space="preserve"> PAGEREF _Toc295119894 \h </w:instrText>
      </w:r>
      <w:r w:rsidR="006266B4">
        <w:fldChar w:fldCharType="separate"/>
      </w:r>
      <w:r w:rsidR="007270B2">
        <w:t>1</w:t>
      </w:r>
      <w:r w:rsidR="006266B4">
        <w:fldChar w:fldCharType="end"/>
      </w:r>
    </w:p>
    <w:p w:rsidR="00492B7A" w:rsidRDefault="00CD0056">
      <w:pPr>
        <w:pStyle w:val="TOC2"/>
        <w:rPr>
          <w:rFonts w:ascii="Calibri" w:hAnsi="Calibri"/>
          <w:sz w:val="22"/>
          <w:szCs w:val="22"/>
        </w:rPr>
      </w:pPr>
      <w:r>
        <w:t>A.2.</w:t>
      </w:r>
      <w:r>
        <w:rPr>
          <w:rFonts w:ascii="Calibri" w:hAnsi="Calibri"/>
          <w:sz w:val="22"/>
          <w:szCs w:val="22"/>
        </w:rPr>
        <w:tab/>
      </w:r>
      <w:r>
        <w:t>Purpose and Use of the Information</w:t>
      </w:r>
      <w:r w:rsidR="00C23462">
        <w:t xml:space="preserve"> Collection</w:t>
      </w:r>
      <w:r>
        <w:tab/>
      </w:r>
      <w:r w:rsidR="00C6179C">
        <w:t>3</w:t>
      </w:r>
    </w:p>
    <w:p w:rsidR="00492B7A" w:rsidRDefault="00CD0056">
      <w:pPr>
        <w:pStyle w:val="TOC2"/>
        <w:rPr>
          <w:rFonts w:ascii="Calibri" w:hAnsi="Calibri"/>
          <w:sz w:val="22"/>
          <w:szCs w:val="22"/>
        </w:rPr>
      </w:pPr>
      <w:r>
        <w:t>A.3.</w:t>
      </w:r>
      <w:r>
        <w:rPr>
          <w:rFonts w:ascii="Calibri" w:hAnsi="Calibri"/>
          <w:sz w:val="22"/>
          <w:szCs w:val="22"/>
        </w:rPr>
        <w:tab/>
      </w:r>
      <w:r>
        <w:t>Use of Improved Information Technology and Burden Reduction</w:t>
      </w:r>
      <w:r>
        <w:tab/>
      </w:r>
      <w:r w:rsidR="006266B4">
        <w:fldChar w:fldCharType="begin"/>
      </w:r>
      <w:r>
        <w:instrText xml:space="preserve"> PAGEREF _Toc295119896 \h </w:instrText>
      </w:r>
      <w:r w:rsidR="006266B4">
        <w:fldChar w:fldCharType="separate"/>
      </w:r>
      <w:r w:rsidR="007270B2">
        <w:t>5</w:t>
      </w:r>
      <w:r w:rsidR="006266B4">
        <w:fldChar w:fldCharType="end"/>
      </w:r>
    </w:p>
    <w:p w:rsidR="00492B7A" w:rsidRDefault="00CD0056">
      <w:pPr>
        <w:pStyle w:val="TOC2"/>
        <w:rPr>
          <w:rFonts w:ascii="Calibri" w:hAnsi="Calibri"/>
          <w:sz w:val="22"/>
          <w:szCs w:val="22"/>
        </w:rPr>
      </w:pPr>
      <w:r>
        <w:t>A.4.</w:t>
      </w:r>
      <w:r>
        <w:rPr>
          <w:rFonts w:ascii="Calibri" w:hAnsi="Calibri"/>
          <w:sz w:val="22"/>
          <w:szCs w:val="22"/>
        </w:rPr>
        <w:tab/>
      </w:r>
      <w:r>
        <w:t>Efforts to Identify Duplication and Use of Similar Information</w:t>
      </w:r>
      <w:r>
        <w:tab/>
      </w:r>
      <w:r w:rsidR="006266B4">
        <w:fldChar w:fldCharType="begin"/>
      </w:r>
      <w:r>
        <w:instrText xml:space="preserve"> PAGEREF _Toc295119897 \h </w:instrText>
      </w:r>
      <w:r w:rsidR="006266B4">
        <w:fldChar w:fldCharType="separate"/>
      </w:r>
      <w:r w:rsidR="007270B2">
        <w:t>6</w:t>
      </w:r>
      <w:r w:rsidR="006266B4">
        <w:fldChar w:fldCharType="end"/>
      </w:r>
    </w:p>
    <w:p w:rsidR="00492B7A" w:rsidRDefault="00CD0056">
      <w:pPr>
        <w:pStyle w:val="TOC2"/>
        <w:rPr>
          <w:rFonts w:ascii="Calibri" w:hAnsi="Calibri"/>
          <w:sz w:val="22"/>
          <w:szCs w:val="22"/>
        </w:rPr>
      </w:pPr>
      <w:r>
        <w:t>A.5.</w:t>
      </w:r>
      <w:r>
        <w:rPr>
          <w:rFonts w:ascii="Calibri" w:hAnsi="Calibri"/>
          <w:sz w:val="22"/>
          <w:szCs w:val="22"/>
        </w:rPr>
        <w:tab/>
      </w:r>
      <w:r>
        <w:t>Impact on Small Businesses or Other Small Entities</w:t>
      </w:r>
      <w:r>
        <w:tab/>
      </w:r>
      <w:r w:rsidR="006266B4">
        <w:fldChar w:fldCharType="begin"/>
      </w:r>
      <w:r>
        <w:instrText xml:space="preserve"> PAGEREF _Toc295119898 \h </w:instrText>
      </w:r>
      <w:r w:rsidR="006266B4">
        <w:fldChar w:fldCharType="separate"/>
      </w:r>
      <w:r w:rsidR="007270B2">
        <w:t>6</w:t>
      </w:r>
      <w:r w:rsidR="006266B4">
        <w:fldChar w:fldCharType="end"/>
      </w:r>
    </w:p>
    <w:p w:rsidR="00492B7A" w:rsidRDefault="00CD0056">
      <w:pPr>
        <w:pStyle w:val="TOC2"/>
        <w:rPr>
          <w:rFonts w:ascii="Calibri" w:hAnsi="Calibri"/>
          <w:sz w:val="22"/>
          <w:szCs w:val="22"/>
        </w:rPr>
      </w:pPr>
      <w:r>
        <w:t>A.6.</w:t>
      </w:r>
      <w:r>
        <w:rPr>
          <w:rFonts w:ascii="Calibri" w:hAnsi="Calibri"/>
          <w:sz w:val="22"/>
          <w:szCs w:val="22"/>
        </w:rPr>
        <w:tab/>
      </w:r>
      <w:r>
        <w:t>Consequences of Collecting the Information Less Frequently</w:t>
      </w:r>
      <w:r>
        <w:tab/>
      </w:r>
      <w:r w:rsidR="006266B4">
        <w:fldChar w:fldCharType="begin"/>
      </w:r>
      <w:r>
        <w:instrText xml:space="preserve"> PAGEREF _Toc295119899 \h </w:instrText>
      </w:r>
      <w:r w:rsidR="006266B4">
        <w:fldChar w:fldCharType="separate"/>
      </w:r>
      <w:r w:rsidR="007270B2">
        <w:t>7</w:t>
      </w:r>
      <w:r w:rsidR="006266B4">
        <w:fldChar w:fldCharType="end"/>
      </w:r>
    </w:p>
    <w:p w:rsidR="00492B7A" w:rsidRDefault="00CD0056">
      <w:pPr>
        <w:pStyle w:val="TOC2"/>
        <w:rPr>
          <w:rFonts w:ascii="Calibri" w:hAnsi="Calibri"/>
          <w:sz w:val="22"/>
          <w:szCs w:val="22"/>
        </w:rPr>
      </w:pPr>
      <w:r>
        <w:t>A.7.</w:t>
      </w:r>
      <w:r>
        <w:rPr>
          <w:rFonts w:ascii="Calibri" w:hAnsi="Calibri"/>
          <w:sz w:val="22"/>
          <w:szCs w:val="22"/>
        </w:rPr>
        <w:tab/>
      </w:r>
      <w:r>
        <w:t>Special Circumstances Relating to the Guidelines of 5 CFR 1320.5</w:t>
      </w:r>
      <w:r>
        <w:tab/>
      </w:r>
      <w:r w:rsidR="006266B4">
        <w:fldChar w:fldCharType="begin"/>
      </w:r>
      <w:r>
        <w:instrText xml:space="preserve"> PAGEREF _Toc295119900 \h </w:instrText>
      </w:r>
      <w:r w:rsidR="006266B4">
        <w:fldChar w:fldCharType="separate"/>
      </w:r>
      <w:r w:rsidR="007270B2">
        <w:t>7</w:t>
      </w:r>
      <w:r w:rsidR="006266B4">
        <w:fldChar w:fldCharType="end"/>
      </w:r>
    </w:p>
    <w:p w:rsidR="00492B7A" w:rsidRDefault="00CD0056">
      <w:pPr>
        <w:pStyle w:val="TOC2"/>
        <w:rPr>
          <w:rFonts w:ascii="Calibri" w:hAnsi="Calibri"/>
          <w:sz w:val="22"/>
          <w:szCs w:val="22"/>
        </w:rPr>
      </w:pPr>
      <w:r>
        <w:t>A.8.</w:t>
      </w:r>
      <w:r>
        <w:rPr>
          <w:rFonts w:ascii="Calibri" w:hAnsi="Calibri"/>
          <w:sz w:val="22"/>
          <w:szCs w:val="22"/>
        </w:rPr>
        <w:tab/>
      </w:r>
      <w:r>
        <w:t>Comments in Response to the Federal Register Notice and Efforts to Consult Outside the Agency</w:t>
      </w:r>
      <w:r>
        <w:tab/>
      </w:r>
      <w:r w:rsidR="00C6179C">
        <w:t>7</w:t>
      </w:r>
    </w:p>
    <w:p w:rsidR="00492B7A" w:rsidRDefault="00CD0056">
      <w:pPr>
        <w:pStyle w:val="TOC2"/>
        <w:rPr>
          <w:rFonts w:ascii="Calibri" w:hAnsi="Calibri"/>
          <w:sz w:val="22"/>
          <w:szCs w:val="22"/>
        </w:rPr>
      </w:pPr>
      <w:r>
        <w:t>A.9.</w:t>
      </w:r>
      <w:r>
        <w:rPr>
          <w:rFonts w:ascii="Calibri" w:hAnsi="Calibri"/>
          <w:sz w:val="22"/>
          <w:szCs w:val="22"/>
        </w:rPr>
        <w:tab/>
      </w:r>
      <w:r>
        <w:t>Explanation of Any Payment or Gift to Respondents</w:t>
      </w:r>
      <w:r>
        <w:tab/>
      </w:r>
      <w:r w:rsidR="006266B4">
        <w:fldChar w:fldCharType="begin"/>
      </w:r>
      <w:r>
        <w:instrText xml:space="preserve"> PAGEREF _Toc295119902 \h </w:instrText>
      </w:r>
      <w:r w:rsidR="006266B4">
        <w:fldChar w:fldCharType="separate"/>
      </w:r>
      <w:r w:rsidR="007270B2">
        <w:t>7</w:t>
      </w:r>
      <w:r w:rsidR="006266B4">
        <w:fldChar w:fldCharType="end"/>
      </w:r>
    </w:p>
    <w:p w:rsidR="00492B7A" w:rsidRDefault="00CD0056">
      <w:pPr>
        <w:pStyle w:val="TOC2"/>
        <w:rPr>
          <w:rFonts w:ascii="Calibri" w:hAnsi="Calibri"/>
          <w:sz w:val="22"/>
          <w:szCs w:val="22"/>
        </w:rPr>
      </w:pPr>
      <w:r>
        <w:t>A.10.</w:t>
      </w:r>
      <w:r>
        <w:rPr>
          <w:rFonts w:ascii="Calibri" w:hAnsi="Calibri"/>
          <w:sz w:val="22"/>
          <w:szCs w:val="22"/>
        </w:rPr>
        <w:tab/>
      </w:r>
      <w:r>
        <w:t>Assurance of Confidentiality Provided to Respondents</w:t>
      </w:r>
      <w:r>
        <w:tab/>
      </w:r>
      <w:r w:rsidR="006266B4">
        <w:fldChar w:fldCharType="begin"/>
      </w:r>
      <w:r>
        <w:instrText xml:space="preserve"> PAGEREF _Toc295119903 \h </w:instrText>
      </w:r>
      <w:r w:rsidR="006266B4">
        <w:fldChar w:fldCharType="separate"/>
      </w:r>
      <w:r w:rsidR="007270B2">
        <w:t>8</w:t>
      </w:r>
      <w:r w:rsidR="006266B4">
        <w:fldChar w:fldCharType="end"/>
      </w:r>
    </w:p>
    <w:p w:rsidR="00492B7A" w:rsidRDefault="00CD0056">
      <w:pPr>
        <w:pStyle w:val="TOC2"/>
        <w:rPr>
          <w:rFonts w:ascii="Calibri" w:hAnsi="Calibri"/>
          <w:sz w:val="22"/>
          <w:szCs w:val="22"/>
        </w:rPr>
      </w:pPr>
      <w:r>
        <w:t>A.11.</w:t>
      </w:r>
      <w:r>
        <w:rPr>
          <w:rFonts w:ascii="Calibri" w:hAnsi="Calibri"/>
          <w:sz w:val="22"/>
          <w:szCs w:val="22"/>
        </w:rPr>
        <w:tab/>
      </w:r>
      <w:r>
        <w:t>Justification for Sensitive Questions</w:t>
      </w:r>
      <w:r>
        <w:tab/>
      </w:r>
      <w:r w:rsidR="00C6179C">
        <w:t>9</w:t>
      </w:r>
    </w:p>
    <w:p w:rsidR="00492B7A" w:rsidRDefault="000E1B32">
      <w:pPr>
        <w:pStyle w:val="TOC2"/>
        <w:rPr>
          <w:rFonts w:ascii="Calibri" w:hAnsi="Calibri"/>
          <w:sz w:val="22"/>
          <w:szCs w:val="22"/>
        </w:rPr>
      </w:pPr>
      <w:r w:rsidRPr="000E1B32">
        <w:t>A.12.</w:t>
      </w:r>
      <w:r w:rsidRPr="000E1B32">
        <w:rPr>
          <w:rFonts w:ascii="Calibri" w:hAnsi="Calibri"/>
          <w:sz w:val="22"/>
          <w:szCs w:val="22"/>
        </w:rPr>
        <w:tab/>
      </w:r>
      <w:r w:rsidRPr="000E1B32">
        <w:t>Estimates of Annualized Burden Hours and Costs</w:t>
      </w:r>
      <w:r w:rsidR="00CD0056" w:rsidRPr="0079465D">
        <w:tab/>
      </w:r>
      <w:r w:rsidR="006266B4" w:rsidRPr="0079465D">
        <w:fldChar w:fldCharType="begin"/>
      </w:r>
      <w:r>
        <w:instrText xml:space="preserve"> PAGEREF _Toc295119905 \h </w:instrText>
      </w:r>
      <w:r w:rsidR="006266B4" w:rsidRPr="0079465D">
        <w:fldChar w:fldCharType="separate"/>
      </w:r>
      <w:r w:rsidR="007270B2">
        <w:t>9</w:t>
      </w:r>
      <w:r w:rsidR="006266B4" w:rsidRPr="0079465D">
        <w:fldChar w:fldCharType="end"/>
      </w:r>
    </w:p>
    <w:p w:rsidR="00492B7A" w:rsidRDefault="00CD0056">
      <w:pPr>
        <w:pStyle w:val="TOC2"/>
        <w:rPr>
          <w:rFonts w:ascii="Calibri" w:hAnsi="Calibri"/>
          <w:sz w:val="22"/>
          <w:szCs w:val="22"/>
        </w:rPr>
      </w:pPr>
      <w:r>
        <w:t>A.13.</w:t>
      </w:r>
      <w:r>
        <w:rPr>
          <w:rFonts w:ascii="Calibri" w:hAnsi="Calibri"/>
          <w:sz w:val="22"/>
          <w:szCs w:val="22"/>
        </w:rPr>
        <w:tab/>
      </w:r>
      <w:r>
        <w:t>Estimate of Other Total Annual Cost Burden to Respondents and Record keepers</w:t>
      </w:r>
      <w:r>
        <w:tab/>
      </w:r>
      <w:r w:rsidR="006266B4">
        <w:fldChar w:fldCharType="begin"/>
      </w:r>
      <w:r>
        <w:instrText xml:space="preserve"> PAGEREF _Toc295119906 \h </w:instrText>
      </w:r>
      <w:r w:rsidR="006266B4">
        <w:fldChar w:fldCharType="separate"/>
      </w:r>
      <w:r w:rsidR="007270B2">
        <w:t>11</w:t>
      </w:r>
      <w:r w:rsidR="006266B4">
        <w:fldChar w:fldCharType="end"/>
      </w:r>
    </w:p>
    <w:p w:rsidR="00492B7A" w:rsidRDefault="00CD0056">
      <w:pPr>
        <w:pStyle w:val="TOC2"/>
        <w:rPr>
          <w:rFonts w:ascii="Calibri" w:hAnsi="Calibri"/>
          <w:sz w:val="22"/>
          <w:szCs w:val="22"/>
        </w:rPr>
      </w:pPr>
      <w:r>
        <w:t>A.14.</w:t>
      </w:r>
      <w:r>
        <w:rPr>
          <w:rFonts w:ascii="Calibri" w:hAnsi="Calibri"/>
          <w:sz w:val="22"/>
          <w:szCs w:val="22"/>
        </w:rPr>
        <w:tab/>
      </w:r>
      <w:r>
        <w:t>Annualized Cost to the Federal Government</w:t>
      </w:r>
      <w:r>
        <w:tab/>
      </w:r>
      <w:r w:rsidR="006266B4">
        <w:fldChar w:fldCharType="begin"/>
      </w:r>
      <w:r>
        <w:instrText xml:space="preserve"> PAGEREF _Toc295119907 \h </w:instrText>
      </w:r>
      <w:r w:rsidR="006266B4">
        <w:fldChar w:fldCharType="separate"/>
      </w:r>
      <w:r w:rsidR="007270B2">
        <w:t>12</w:t>
      </w:r>
      <w:r w:rsidR="006266B4">
        <w:fldChar w:fldCharType="end"/>
      </w:r>
    </w:p>
    <w:p w:rsidR="00492B7A" w:rsidRDefault="00CD0056">
      <w:pPr>
        <w:pStyle w:val="TOC2"/>
        <w:rPr>
          <w:rFonts w:ascii="Calibri" w:hAnsi="Calibri"/>
          <w:sz w:val="22"/>
          <w:szCs w:val="22"/>
        </w:rPr>
      </w:pPr>
      <w:r>
        <w:t>A.15.</w:t>
      </w:r>
      <w:r>
        <w:rPr>
          <w:rFonts w:ascii="Calibri" w:hAnsi="Calibri"/>
          <w:sz w:val="22"/>
          <w:szCs w:val="22"/>
        </w:rPr>
        <w:tab/>
      </w:r>
      <w:r>
        <w:t>Explanation for Program Changes or Adjustments</w:t>
      </w:r>
      <w:r>
        <w:tab/>
      </w:r>
      <w:r w:rsidR="006266B4">
        <w:fldChar w:fldCharType="begin"/>
      </w:r>
      <w:r>
        <w:instrText xml:space="preserve"> PAGEREF _Toc295119908 \h </w:instrText>
      </w:r>
      <w:r w:rsidR="006266B4">
        <w:fldChar w:fldCharType="separate"/>
      </w:r>
      <w:r w:rsidR="007270B2">
        <w:t>13</w:t>
      </w:r>
      <w:r w:rsidR="006266B4">
        <w:fldChar w:fldCharType="end"/>
      </w:r>
    </w:p>
    <w:p w:rsidR="00492B7A" w:rsidRDefault="00CD0056">
      <w:pPr>
        <w:pStyle w:val="TOC2"/>
        <w:rPr>
          <w:rFonts w:ascii="Calibri" w:hAnsi="Calibri"/>
          <w:sz w:val="22"/>
          <w:szCs w:val="22"/>
        </w:rPr>
      </w:pPr>
      <w:r>
        <w:t>A.16.</w:t>
      </w:r>
      <w:r>
        <w:rPr>
          <w:rFonts w:ascii="Calibri" w:hAnsi="Calibri"/>
          <w:sz w:val="22"/>
          <w:szCs w:val="22"/>
        </w:rPr>
        <w:tab/>
      </w:r>
      <w:r>
        <w:t>Plans for Tabulation and Publication and Project Time Schedule</w:t>
      </w:r>
      <w:r>
        <w:tab/>
      </w:r>
      <w:r w:rsidR="006266B4">
        <w:fldChar w:fldCharType="begin"/>
      </w:r>
      <w:r>
        <w:instrText xml:space="preserve"> PAGEREF _Toc295119909 \h </w:instrText>
      </w:r>
      <w:r w:rsidR="006266B4">
        <w:fldChar w:fldCharType="separate"/>
      </w:r>
      <w:r w:rsidR="007270B2">
        <w:t>13</w:t>
      </w:r>
      <w:r w:rsidR="006266B4">
        <w:fldChar w:fldCharType="end"/>
      </w:r>
    </w:p>
    <w:p w:rsidR="00492B7A" w:rsidRDefault="00CD0056">
      <w:pPr>
        <w:pStyle w:val="TOC2"/>
        <w:rPr>
          <w:rFonts w:ascii="Calibri" w:hAnsi="Calibri"/>
          <w:sz w:val="22"/>
          <w:szCs w:val="22"/>
        </w:rPr>
      </w:pPr>
      <w:r>
        <w:t>A.17.</w:t>
      </w:r>
      <w:r>
        <w:rPr>
          <w:rFonts w:ascii="Calibri" w:hAnsi="Calibri"/>
          <w:sz w:val="22"/>
          <w:szCs w:val="22"/>
        </w:rPr>
        <w:tab/>
      </w:r>
      <w:r>
        <w:t>Reason(s) Display of OMB Expiration Date is Inappropriate</w:t>
      </w:r>
      <w:r>
        <w:tab/>
      </w:r>
      <w:r w:rsidR="006266B4">
        <w:fldChar w:fldCharType="begin"/>
      </w:r>
      <w:r>
        <w:instrText xml:space="preserve"> PAGEREF _Toc295119910 \h </w:instrText>
      </w:r>
      <w:r w:rsidR="006266B4">
        <w:fldChar w:fldCharType="separate"/>
      </w:r>
      <w:r w:rsidR="007270B2">
        <w:t>16</w:t>
      </w:r>
      <w:r w:rsidR="006266B4">
        <w:fldChar w:fldCharType="end"/>
      </w:r>
    </w:p>
    <w:p w:rsidR="00492B7A" w:rsidRDefault="00CD0056">
      <w:pPr>
        <w:pStyle w:val="TOC2"/>
        <w:rPr>
          <w:rFonts w:ascii="Calibri" w:hAnsi="Calibri"/>
          <w:sz w:val="22"/>
          <w:szCs w:val="22"/>
        </w:rPr>
      </w:pPr>
      <w:r>
        <w:t>A.18.</w:t>
      </w:r>
      <w:r>
        <w:rPr>
          <w:rFonts w:ascii="Calibri" w:hAnsi="Calibri"/>
          <w:sz w:val="22"/>
          <w:szCs w:val="22"/>
        </w:rPr>
        <w:tab/>
      </w:r>
      <w:r>
        <w:t>Exceptions to Certification for Paperwork Reduction Act Submissions</w:t>
      </w:r>
      <w:r>
        <w:tab/>
      </w:r>
      <w:r w:rsidR="001A1A4E">
        <w:t>1</w:t>
      </w:r>
      <w:r w:rsidR="00993E2D">
        <w:t>6</w:t>
      </w:r>
    </w:p>
    <w:p w:rsidR="00352AFD" w:rsidRPr="00D3286C" w:rsidRDefault="006266B4" w:rsidP="00D06C17">
      <w:pPr>
        <w:spacing w:before="120" w:after="120"/>
        <w:ind w:left="900" w:hanging="900"/>
        <w:rPr>
          <w:caps/>
          <w:noProof/>
          <w:szCs w:val="22"/>
        </w:rPr>
      </w:pPr>
      <w:r w:rsidRPr="00D3286C">
        <w:rPr>
          <w:caps/>
          <w:noProof/>
          <w:szCs w:val="22"/>
        </w:rPr>
        <w:fldChar w:fldCharType="end"/>
      </w:r>
    </w:p>
    <w:p w:rsidR="00DD6201" w:rsidRPr="00D3286C" w:rsidRDefault="00352AFD" w:rsidP="00EA3388">
      <w:pPr>
        <w:spacing w:before="120" w:after="120"/>
        <w:jc w:val="center"/>
        <w:rPr>
          <w:szCs w:val="22"/>
        </w:rPr>
      </w:pPr>
      <w:r w:rsidRPr="00D3286C">
        <w:rPr>
          <w:caps/>
          <w:noProof/>
          <w:szCs w:val="22"/>
        </w:rPr>
        <w:br w:type="page"/>
      </w:r>
      <w:r w:rsidR="00DD6201" w:rsidRPr="00D3286C">
        <w:rPr>
          <w:caps/>
          <w:noProof/>
          <w:szCs w:val="22"/>
        </w:rPr>
        <w:lastRenderedPageBreak/>
        <w:t>Attachments</w:t>
      </w:r>
    </w:p>
    <w:p w:rsidR="00035E7B" w:rsidRPr="00747E59" w:rsidRDefault="001E4F4F" w:rsidP="00E017D5">
      <w:pPr>
        <w:pStyle w:val="P1-StandPara"/>
        <w:tabs>
          <w:tab w:val="right" w:leader="dot" w:pos="9540"/>
        </w:tabs>
        <w:spacing w:before="120" w:after="120" w:line="240" w:lineRule="atLeast"/>
        <w:ind w:left="619" w:right="-180" w:hanging="403"/>
        <w:rPr>
          <w:szCs w:val="22"/>
        </w:rPr>
      </w:pPr>
      <w:r w:rsidRPr="00A01321">
        <w:rPr>
          <w:szCs w:val="22"/>
        </w:rPr>
        <w:t>1</w:t>
      </w:r>
      <w:r w:rsidR="00AB609F" w:rsidRPr="00A01321">
        <w:rPr>
          <w:szCs w:val="22"/>
        </w:rPr>
        <w:t>.</w:t>
      </w:r>
      <w:r w:rsidR="00035E7B" w:rsidRPr="00035E7B">
        <w:rPr>
          <w:szCs w:val="22"/>
        </w:rPr>
        <w:t xml:space="preserve"> </w:t>
      </w:r>
      <w:r w:rsidR="00035E7B" w:rsidRPr="00747E59">
        <w:rPr>
          <w:szCs w:val="22"/>
        </w:rPr>
        <w:t>Annual Study Update (ASU)</w:t>
      </w:r>
    </w:p>
    <w:p w:rsidR="001E4F4F" w:rsidRDefault="001E4F4F" w:rsidP="00192C35">
      <w:pPr>
        <w:pStyle w:val="P1-StandPara"/>
        <w:tabs>
          <w:tab w:val="right" w:leader="dot" w:pos="9630"/>
        </w:tabs>
        <w:spacing w:before="120" w:after="120" w:line="240" w:lineRule="atLeast"/>
        <w:ind w:left="619" w:right="-180" w:hanging="403"/>
        <w:rPr>
          <w:szCs w:val="22"/>
        </w:rPr>
      </w:pPr>
      <w:r w:rsidRPr="00747E59">
        <w:rPr>
          <w:szCs w:val="22"/>
        </w:rPr>
        <w:t>2.</w:t>
      </w:r>
      <w:r w:rsidRPr="00747E59">
        <w:rPr>
          <w:szCs w:val="22"/>
        </w:rPr>
        <w:tab/>
      </w:r>
      <w:r w:rsidR="00035E7B" w:rsidRPr="00747E59">
        <w:rPr>
          <w:szCs w:val="22"/>
        </w:rPr>
        <w:t>Health Status Questionnaire (HSQ)</w:t>
      </w:r>
    </w:p>
    <w:p w:rsidR="00182642" w:rsidRDefault="00182642" w:rsidP="00192C35">
      <w:pPr>
        <w:pStyle w:val="P1-StandPara"/>
        <w:tabs>
          <w:tab w:val="right" w:leader="dot" w:pos="9630"/>
        </w:tabs>
        <w:spacing w:before="120" w:after="120" w:line="240" w:lineRule="atLeast"/>
        <w:ind w:left="619" w:right="-180" w:hanging="403"/>
        <w:rPr>
          <w:szCs w:val="22"/>
        </w:rPr>
      </w:pPr>
      <w:r>
        <w:rPr>
          <w:szCs w:val="22"/>
        </w:rPr>
        <w:tab/>
        <w:t>2A. Male Questionnaire</w:t>
      </w:r>
    </w:p>
    <w:p w:rsidR="00182642" w:rsidRDefault="00182642" w:rsidP="00192C35">
      <w:pPr>
        <w:pStyle w:val="P1-StandPara"/>
        <w:tabs>
          <w:tab w:val="right" w:leader="dot" w:pos="9630"/>
        </w:tabs>
        <w:spacing w:before="120" w:after="120" w:line="240" w:lineRule="atLeast"/>
        <w:ind w:left="619" w:right="-180" w:hanging="403"/>
        <w:rPr>
          <w:szCs w:val="22"/>
        </w:rPr>
      </w:pPr>
      <w:r>
        <w:rPr>
          <w:szCs w:val="22"/>
        </w:rPr>
        <w:tab/>
        <w:t>2B. Female Questionnaire</w:t>
      </w:r>
    </w:p>
    <w:p w:rsidR="001E4F4F" w:rsidRPr="00747E59" w:rsidRDefault="001E4F4F" w:rsidP="00035E7B">
      <w:pPr>
        <w:pStyle w:val="P1-StandPara"/>
        <w:tabs>
          <w:tab w:val="right" w:leader="dot" w:pos="9504"/>
        </w:tabs>
        <w:spacing w:before="120" w:after="120" w:line="240" w:lineRule="atLeast"/>
        <w:ind w:left="619" w:hanging="403"/>
        <w:rPr>
          <w:szCs w:val="22"/>
        </w:rPr>
      </w:pPr>
      <w:r w:rsidRPr="00747E59">
        <w:rPr>
          <w:szCs w:val="22"/>
        </w:rPr>
        <w:t>3.</w:t>
      </w:r>
      <w:r w:rsidRPr="00747E59">
        <w:rPr>
          <w:szCs w:val="22"/>
        </w:rPr>
        <w:tab/>
        <w:t>Cover Letters</w:t>
      </w:r>
    </w:p>
    <w:p w:rsidR="001E4F4F" w:rsidRPr="00747E59" w:rsidRDefault="00035E7B" w:rsidP="00EB3D0A">
      <w:pPr>
        <w:pStyle w:val="P1-StandPara"/>
        <w:tabs>
          <w:tab w:val="right" w:leader="dot" w:pos="9450"/>
        </w:tabs>
        <w:spacing w:before="120" w:after="120" w:line="240" w:lineRule="atLeast"/>
        <w:ind w:left="619" w:right="-180" w:hanging="403"/>
        <w:rPr>
          <w:szCs w:val="22"/>
        </w:rPr>
      </w:pPr>
      <w:r>
        <w:rPr>
          <w:szCs w:val="22"/>
        </w:rPr>
        <w:t>4</w:t>
      </w:r>
      <w:r w:rsidR="001E4F4F" w:rsidRPr="00747E59">
        <w:rPr>
          <w:szCs w:val="22"/>
        </w:rPr>
        <w:t>.</w:t>
      </w:r>
      <w:r w:rsidR="001E4F4F" w:rsidRPr="00747E59">
        <w:rPr>
          <w:szCs w:val="22"/>
        </w:rPr>
        <w:tab/>
        <w:t>Medication Use Questionnaire</w:t>
      </w:r>
      <w:r w:rsidR="006A43C0" w:rsidRPr="00747E59">
        <w:rPr>
          <w:szCs w:val="22"/>
        </w:rPr>
        <w:t xml:space="preserve"> (MUQ)</w:t>
      </w:r>
      <w:r w:rsidR="001E4F4F" w:rsidRPr="00747E59">
        <w:rPr>
          <w:szCs w:val="22"/>
        </w:rPr>
        <w:t xml:space="preserve"> </w:t>
      </w:r>
    </w:p>
    <w:p w:rsidR="001E4F4F" w:rsidRPr="00747E59" w:rsidRDefault="00035E7B" w:rsidP="001E4F4F">
      <w:pPr>
        <w:pStyle w:val="P1-StandPara"/>
        <w:tabs>
          <w:tab w:val="right" w:leader="dot" w:pos="9504"/>
        </w:tabs>
        <w:spacing w:before="120" w:after="120" w:line="240" w:lineRule="atLeast"/>
        <w:ind w:left="619" w:hanging="403"/>
        <w:rPr>
          <w:szCs w:val="22"/>
        </w:rPr>
      </w:pPr>
      <w:r>
        <w:rPr>
          <w:szCs w:val="22"/>
        </w:rPr>
        <w:t>5</w:t>
      </w:r>
      <w:r w:rsidR="001E4F4F" w:rsidRPr="00747E59">
        <w:rPr>
          <w:szCs w:val="22"/>
        </w:rPr>
        <w:t>.</w:t>
      </w:r>
      <w:r w:rsidR="001E4F4F" w:rsidRPr="00747E59">
        <w:rPr>
          <w:szCs w:val="22"/>
        </w:rPr>
        <w:tab/>
        <w:t>Telephone Script</w:t>
      </w:r>
    </w:p>
    <w:p w:rsidR="001E4F4F" w:rsidRPr="00C45989" w:rsidRDefault="00035E7B" w:rsidP="001E4F4F">
      <w:pPr>
        <w:pStyle w:val="P1-StandPara"/>
        <w:tabs>
          <w:tab w:val="right" w:leader="dot" w:pos="9504"/>
        </w:tabs>
        <w:spacing w:before="120" w:after="120" w:line="240" w:lineRule="atLeast"/>
        <w:ind w:left="619" w:hanging="403"/>
        <w:rPr>
          <w:szCs w:val="22"/>
        </w:rPr>
      </w:pPr>
      <w:r>
        <w:rPr>
          <w:szCs w:val="22"/>
        </w:rPr>
        <w:t>6</w:t>
      </w:r>
      <w:r w:rsidR="001E4F4F" w:rsidRPr="00C45989">
        <w:rPr>
          <w:szCs w:val="22"/>
        </w:rPr>
        <w:t>.</w:t>
      </w:r>
      <w:r w:rsidR="001E4F4F" w:rsidRPr="00C45989">
        <w:rPr>
          <w:szCs w:val="22"/>
        </w:rPr>
        <w:tab/>
        <w:t>Privacy Impact Assessment (PIA)</w:t>
      </w:r>
    </w:p>
    <w:p w:rsidR="00604B20" w:rsidRPr="00A01321" w:rsidRDefault="00035E7B" w:rsidP="00604B20">
      <w:pPr>
        <w:pStyle w:val="P1-StandPara"/>
        <w:tabs>
          <w:tab w:val="right" w:leader="dot" w:pos="9504"/>
        </w:tabs>
        <w:spacing w:before="120" w:after="120" w:line="240" w:lineRule="atLeast"/>
        <w:ind w:left="619" w:hanging="403"/>
        <w:rPr>
          <w:szCs w:val="22"/>
        </w:rPr>
      </w:pPr>
      <w:r>
        <w:rPr>
          <w:szCs w:val="22"/>
        </w:rPr>
        <w:t>7</w:t>
      </w:r>
      <w:r w:rsidR="00604B20" w:rsidRPr="00945B2A">
        <w:rPr>
          <w:szCs w:val="22"/>
        </w:rPr>
        <w:t>.</w:t>
      </w:r>
      <w:r w:rsidR="00604B20" w:rsidRPr="00945B2A">
        <w:rPr>
          <w:szCs w:val="22"/>
        </w:rPr>
        <w:tab/>
        <w:t xml:space="preserve">Literature Review </w:t>
      </w:r>
    </w:p>
    <w:p w:rsidR="000E3253" w:rsidRDefault="00035E7B" w:rsidP="00604B20">
      <w:pPr>
        <w:pStyle w:val="P1-StandPara"/>
        <w:tabs>
          <w:tab w:val="right" w:leader="dot" w:pos="9504"/>
        </w:tabs>
        <w:spacing w:before="120" w:after="120" w:line="240" w:lineRule="atLeast"/>
        <w:ind w:left="619" w:hanging="403"/>
        <w:rPr>
          <w:szCs w:val="22"/>
        </w:rPr>
      </w:pPr>
      <w:r>
        <w:rPr>
          <w:szCs w:val="22"/>
        </w:rPr>
        <w:t>8</w:t>
      </w:r>
      <w:r w:rsidR="00604B20" w:rsidRPr="00747E59">
        <w:rPr>
          <w:szCs w:val="22"/>
        </w:rPr>
        <w:t>.</w:t>
      </w:r>
      <w:r w:rsidR="00604B20" w:rsidRPr="00747E59">
        <w:rPr>
          <w:szCs w:val="22"/>
        </w:rPr>
        <w:tab/>
      </w:r>
      <w:r w:rsidR="000E3253" w:rsidRPr="00322AA9">
        <w:rPr>
          <w:szCs w:val="22"/>
          <w:highlight w:val="yellow"/>
        </w:rPr>
        <w:t>Institutional Review Boards (IRB’s) Certifications</w:t>
      </w:r>
    </w:p>
    <w:p w:rsidR="00604B20" w:rsidRPr="00747E59" w:rsidRDefault="00286D0B" w:rsidP="00604B20">
      <w:pPr>
        <w:pStyle w:val="P1-StandPara"/>
        <w:tabs>
          <w:tab w:val="right" w:leader="dot" w:pos="9504"/>
        </w:tabs>
        <w:spacing w:before="120" w:after="120" w:line="240" w:lineRule="atLeast"/>
        <w:ind w:left="619" w:hanging="403"/>
        <w:rPr>
          <w:szCs w:val="22"/>
        </w:rPr>
      </w:pPr>
      <w:r>
        <w:rPr>
          <w:szCs w:val="22"/>
        </w:rPr>
        <w:t>9</w:t>
      </w:r>
      <w:r w:rsidR="00604B20" w:rsidRPr="00747E59">
        <w:rPr>
          <w:szCs w:val="22"/>
        </w:rPr>
        <w:t>.</w:t>
      </w:r>
      <w:r w:rsidR="00604B20" w:rsidRPr="00747E59">
        <w:rPr>
          <w:szCs w:val="22"/>
        </w:rPr>
        <w:tab/>
      </w:r>
      <w:r w:rsidR="000E3253" w:rsidRPr="00A01321">
        <w:rPr>
          <w:szCs w:val="22"/>
        </w:rPr>
        <w:t xml:space="preserve">Memo from NIH Privacy Act Officer </w:t>
      </w:r>
      <w:r w:rsidR="000E3253" w:rsidRPr="00A01321" w:rsidDel="006A1908">
        <w:rPr>
          <w:szCs w:val="22"/>
        </w:rPr>
        <w:t xml:space="preserve"> </w:t>
      </w:r>
    </w:p>
    <w:p w:rsidR="00604B20" w:rsidRPr="00A01321" w:rsidRDefault="00604B20" w:rsidP="00604B20">
      <w:pPr>
        <w:pStyle w:val="P1-StandPara"/>
        <w:tabs>
          <w:tab w:val="right" w:leader="dot" w:pos="9504"/>
        </w:tabs>
        <w:spacing w:before="120" w:after="120" w:line="240" w:lineRule="atLeast"/>
        <w:ind w:left="619" w:hanging="403"/>
        <w:rPr>
          <w:szCs w:val="22"/>
        </w:rPr>
      </w:pPr>
      <w:r w:rsidRPr="00A01321">
        <w:rPr>
          <w:szCs w:val="22"/>
        </w:rPr>
        <w:t>1</w:t>
      </w:r>
      <w:r w:rsidR="00286D0B">
        <w:rPr>
          <w:szCs w:val="22"/>
        </w:rPr>
        <w:t>0</w:t>
      </w:r>
      <w:r w:rsidRPr="00A01321">
        <w:rPr>
          <w:szCs w:val="22"/>
        </w:rPr>
        <w:t>.</w:t>
      </w:r>
      <w:r w:rsidRPr="00A01321">
        <w:rPr>
          <w:szCs w:val="22"/>
        </w:rPr>
        <w:tab/>
      </w:r>
      <w:r w:rsidRPr="00A01321" w:rsidDel="006A1908">
        <w:rPr>
          <w:szCs w:val="22"/>
        </w:rPr>
        <w:t xml:space="preserve"> </w:t>
      </w:r>
      <w:r w:rsidR="000E3253" w:rsidRPr="00A01321">
        <w:rPr>
          <w:szCs w:val="22"/>
        </w:rPr>
        <w:t>Confidentiality Procedures of Screening Centers</w:t>
      </w:r>
    </w:p>
    <w:p w:rsidR="000E3253" w:rsidRPr="00747E59" w:rsidRDefault="00286D0B" w:rsidP="000E3253">
      <w:pPr>
        <w:pStyle w:val="P1-StandPara"/>
        <w:tabs>
          <w:tab w:val="right" w:leader="dot" w:pos="9504"/>
        </w:tabs>
        <w:spacing w:before="120" w:after="120" w:line="240" w:lineRule="atLeast"/>
        <w:ind w:left="619" w:hanging="403"/>
        <w:rPr>
          <w:szCs w:val="22"/>
        </w:rPr>
      </w:pPr>
      <w:r>
        <w:rPr>
          <w:szCs w:val="22"/>
        </w:rPr>
        <w:t>11</w:t>
      </w:r>
      <w:r w:rsidR="00AB609F" w:rsidRPr="00A01321">
        <w:rPr>
          <w:szCs w:val="22"/>
        </w:rPr>
        <w:t>.</w:t>
      </w:r>
      <w:r w:rsidR="00DD6201" w:rsidRPr="00A01321">
        <w:rPr>
          <w:szCs w:val="22"/>
        </w:rPr>
        <w:tab/>
      </w:r>
      <w:r w:rsidR="006A1908" w:rsidRPr="00A01321" w:rsidDel="006A1908">
        <w:rPr>
          <w:szCs w:val="22"/>
        </w:rPr>
        <w:t xml:space="preserve"> </w:t>
      </w:r>
      <w:r w:rsidR="000E3253" w:rsidRPr="00A53A3F">
        <w:rPr>
          <w:szCs w:val="22"/>
          <w:highlight w:val="yellow"/>
        </w:rPr>
        <w:t>Authorization to Release Medical Records</w:t>
      </w:r>
      <w:r w:rsidR="000E3253" w:rsidRPr="00747E59" w:rsidDel="006A1908">
        <w:rPr>
          <w:szCs w:val="22"/>
        </w:rPr>
        <w:t xml:space="preserve"> </w:t>
      </w:r>
    </w:p>
    <w:p w:rsidR="00DD6201" w:rsidRPr="005752E2" w:rsidRDefault="00EB2C11" w:rsidP="00A46EE5">
      <w:pPr>
        <w:pStyle w:val="P1-StandPara"/>
        <w:tabs>
          <w:tab w:val="right" w:leader="dot" w:pos="9504"/>
        </w:tabs>
        <w:spacing w:before="120" w:after="120" w:line="240" w:lineRule="atLeast"/>
        <w:ind w:left="619" w:hanging="403"/>
        <w:rPr>
          <w:szCs w:val="22"/>
          <w:highlight w:val="yellow"/>
        </w:rPr>
      </w:pPr>
      <w:r w:rsidRPr="00F654D9">
        <w:rPr>
          <w:szCs w:val="22"/>
        </w:rPr>
        <w:t>1</w:t>
      </w:r>
      <w:r w:rsidR="00286D0B">
        <w:rPr>
          <w:szCs w:val="22"/>
        </w:rPr>
        <w:t>2</w:t>
      </w:r>
      <w:r w:rsidR="00AB609F" w:rsidRPr="00F654D9">
        <w:rPr>
          <w:szCs w:val="22"/>
        </w:rPr>
        <w:t>.</w:t>
      </w:r>
      <w:r w:rsidR="00DD6201" w:rsidRPr="00F654D9">
        <w:rPr>
          <w:szCs w:val="22"/>
        </w:rPr>
        <w:tab/>
      </w:r>
      <w:r w:rsidR="004242C5" w:rsidRPr="005752E2">
        <w:rPr>
          <w:szCs w:val="22"/>
          <w:highlight w:val="yellow"/>
        </w:rPr>
        <w:t>PLCO Publications</w:t>
      </w:r>
      <w:r w:rsidR="004242C5" w:rsidRPr="005752E2" w:rsidDel="006A1908">
        <w:rPr>
          <w:szCs w:val="22"/>
          <w:highlight w:val="yellow"/>
        </w:rPr>
        <w:t xml:space="preserve"> </w:t>
      </w:r>
    </w:p>
    <w:p w:rsidR="00DD6201" w:rsidRDefault="00DD6201" w:rsidP="00A46EE5">
      <w:pPr>
        <w:pStyle w:val="P1-StandPara"/>
        <w:tabs>
          <w:tab w:val="right" w:leader="dot" w:pos="9504"/>
        </w:tabs>
        <w:spacing w:before="120" w:after="120" w:line="240" w:lineRule="atLeast"/>
        <w:ind w:left="619" w:hanging="403"/>
        <w:rPr>
          <w:szCs w:val="22"/>
        </w:rPr>
      </w:pPr>
      <w:r w:rsidRPr="00A01321">
        <w:rPr>
          <w:szCs w:val="22"/>
        </w:rPr>
        <w:t>1</w:t>
      </w:r>
      <w:r w:rsidR="00286D0B">
        <w:rPr>
          <w:szCs w:val="22"/>
        </w:rPr>
        <w:t>3</w:t>
      </w:r>
      <w:r w:rsidR="00AB609F" w:rsidRPr="00A01321">
        <w:rPr>
          <w:szCs w:val="22"/>
        </w:rPr>
        <w:t>.</w:t>
      </w:r>
      <w:r w:rsidRPr="00A01321">
        <w:rPr>
          <w:szCs w:val="22"/>
        </w:rPr>
        <w:tab/>
      </w:r>
      <w:r w:rsidR="004242C5" w:rsidRPr="00A01321">
        <w:rPr>
          <w:szCs w:val="22"/>
        </w:rPr>
        <w:t>Sample Size &amp; Power Calculations</w:t>
      </w:r>
    </w:p>
    <w:p w:rsidR="001F6985" w:rsidRDefault="001F6985" w:rsidP="001F6985">
      <w:pPr>
        <w:pStyle w:val="P1-StandPara"/>
        <w:tabs>
          <w:tab w:val="right" w:leader="dot" w:pos="9504"/>
        </w:tabs>
        <w:spacing w:before="120" w:after="120" w:line="240" w:lineRule="atLeast"/>
        <w:ind w:left="619" w:hanging="403"/>
        <w:rPr>
          <w:szCs w:val="22"/>
        </w:rPr>
      </w:pPr>
      <w:r>
        <w:rPr>
          <w:szCs w:val="22"/>
        </w:rPr>
        <w:t>14.</w:t>
      </w:r>
      <w:r>
        <w:rPr>
          <w:szCs w:val="22"/>
        </w:rPr>
        <w:tab/>
      </w:r>
      <w:r>
        <w:rPr>
          <w:szCs w:val="22"/>
          <w:highlight w:val="yellow"/>
        </w:rPr>
        <w:t>List of Statisticians Involved in the Study</w:t>
      </w:r>
    </w:p>
    <w:p w:rsidR="00790054" w:rsidRDefault="00790054" w:rsidP="00A46EE5">
      <w:pPr>
        <w:pStyle w:val="P1-StandPara"/>
        <w:tabs>
          <w:tab w:val="right" w:leader="dot" w:pos="9504"/>
        </w:tabs>
        <w:spacing w:before="120" w:after="120" w:line="240" w:lineRule="atLeast"/>
        <w:ind w:left="619" w:hanging="403"/>
        <w:rPr>
          <w:szCs w:val="22"/>
        </w:rPr>
      </w:pPr>
    </w:p>
    <w:p w:rsidR="00790054" w:rsidRPr="00D3286C" w:rsidRDefault="00790054" w:rsidP="00A46EE5">
      <w:pPr>
        <w:pStyle w:val="P1-StandPara"/>
        <w:tabs>
          <w:tab w:val="right" w:leader="dot" w:pos="9504"/>
        </w:tabs>
        <w:spacing w:before="120" w:after="120" w:line="240" w:lineRule="atLeast"/>
        <w:ind w:left="619" w:hanging="403"/>
        <w:rPr>
          <w:szCs w:val="22"/>
        </w:rPr>
      </w:pPr>
    </w:p>
    <w:p w:rsidR="00C56D75" w:rsidRDefault="00C56D75" w:rsidP="00C56D75">
      <w:pPr>
        <w:pStyle w:val="P1-StandPara"/>
        <w:tabs>
          <w:tab w:val="left" w:pos="720"/>
          <w:tab w:val="right" w:pos="9504"/>
        </w:tabs>
        <w:ind w:firstLine="0"/>
        <w:rPr>
          <w:szCs w:val="22"/>
        </w:rPr>
      </w:pPr>
    </w:p>
    <w:p w:rsidR="00DD6201" w:rsidRDefault="00DD6201" w:rsidP="00A46EE5">
      <w:pPr>
        <w:pStyle w:val="P1-StandPara"/>
        <w:rPr>
          <w:szCs w:val="22"/>
        </w:rPr>
      </w:pPr>
    </w:p>
    <w:p w:rsidR="00790054" w:rsidRDefault="00790054" w:rsidP="00A46EE5">
      <w:pPr>
        <w:pStyle w:val="P1-StandPara"/>
        <w:rPr>
          <w:szCs w:val="22"/>
        </w:rPr>
      </w:pPr>
    </w:p>
    <w:p w:rsidR="00790054" w:rsidRPr="00D3286C" w:rsidRDefault="00790054" w:rsidP="00A46EE5">
      <w:pPr>
        <w:pStyle w:val="P1-StandPara"/>
        <w:rPr>
          <w:szCs w:val="22"/>
        </w:rPr>
        <w:sectPr w:rsidR="00790054" w:rsidRPr="00D3286C" w:rsidSect="00192C35">
          <w:footerReference w:type="first" r:id="rId13"/>
          <w:pgSz w:w="12240" w:h="15840" w:code="1"/>
          <w:pgMar w:top="1440" w:right="1350" w:bottom="1440" w:left="1440" w:header="720" w:footer="432" w:gutter="0"/>
          <w:pgNumType w:fmt="lowerRoman" w:start="1"/>
          <w:cols w:space="720"/>
          <w:noEndnote/>
        </w:sectPr>
      </w:pPr>
    </w:p>
    <w:p w:rsidR="005E266B" w:rsidRPr="00E63C9E" w:rsidRDefault="00EA3388" w:rsidP="00E63C9E">
      <w:pPr>
        <w:jc w:val="left"/>
        <w:rPr>
          <w:szCs w:val="22"/>
          <w:highlight w:val="yellow"/>
        </w:rPr>
      </w:pPr>
      <w:r w:rsidRPr="00D3286C">
        <w:rPr>
          <w:szCs w:val="22"/>
        </w:rPr>
        <w:br w:type="page"/>
      </w:r>
      <w:bookmarkStart w:id="2" w:name="_Toc295119893"/>
      <w:r w:rsidR="00C45989" w:rsidRPr="00E63C9E">
        <w:rPr>
          <w:b/>
          <w:szCs w:val="22"/>
          <w:highlight w:val="yellow"/>
        </w:rPr>
        <w:t>This is a request for a</w:t>
      </w:r>
      <w:r w:rsidR="00F654D9" w:rsidRPr="00E63C9E">
        <w:rPr>
          <w:b/>
          <w:szCs w:val="22"/>
          <w:highlight w:val="yellow"/>
        </w:rPr>
        <w:t xml:space="preserve"> </w:t>
      </w:r>
      <w:r w:rsidR="00FF226F">
        <w:rPr>
          <w:b/>
          <w:szCs w:val="22"/>
          <w:highlight w:val="yellow"/>
        </w:rPr>
        <w:t>revision of the</w:t>
      </w:r>
      <w:r w:rsidR="00FF226F" w:rsidRPr="00FF226F">
        <w:rPr>
          <w:b/>
          <w:sz w:val="28"/>
          <w:szCs w:val="28"/>
        </w:rPr>
        <w:t xml:space="preserve"> </w:t>
      </w:r>
      <w:r w:rsidR="00FF226F" w:rsidRPr="00E63C9E">
        <w:rPr>
          <w:b/>
          <w:szCs w:val="22"/>
          <w:highlight w:val="yellow"/>
        </w:rPr>
        <w:t xml:space="preserve">Prostate, Lung, Colorectal and Ovarian Cancer Screening Trial (PLCO) </w:t>
      </w:r>
      <w:r w:rsidR="00FF226F">
        <w:rPr>
          <w:b/>
          <w:szCs w:val="22"/>
          <w:highlight w:val="yellow"/>
        </w:rPr>
        <w:t>for three years</w:t>
      </w:r>
      <w:r w:rsidR="00C45989">
        <w:rPr>
          <w:b/>
          <w:szCs w:val="22"/>
          <w:highlight w:val="yellow"/>
        </w:rPr>
        <w:t xml:space="preserve">. </w:t>
      </w:r>
      <w:r w:rsidR="005E266B" w:rsidRPr="00F6701C">
        <w:rPr>
          <w:b/>
          <w:szCs w:val="22"/>
          <w:highlight w:val="yellow"/>
        </w:rPr>
        <w:t>This trial was designed to determine if cancer screening for prostate, lung, colorectal, and ovarian cancer can reduce mortality from these cancers which cause</w:t>
      </w:r>
      <w:r w:rsidR="00F24D8F">
        <w:rPr>
          <w:b/>
          <w:szCs w:val="22"/>
          <w:highlight w:val="yellow"/>
        </w:rPr>
        <w:t>d</w:t>
      </w:r>
      <w:r w:rsidR="005E266B" w:rsidRPr="00F6701C">
        <w:rPr>
          <w:b/>
          <w:szCs w:val="22"/>
          <w:highlight w:val="yellow"/>
        </w:rPr>
        <w:t xml:space="preserve"> an estimated </w:t>
      </w:r>
      <w:r w:rsidR="00025A41">
        <w:rPr>
          <w:b/>
          <w:szCs w:val="22"/>
          <w:highlight w:val="yellow"/>
        </w:rPr>
        <w:t>253,320</w:t>
      </w:r>
      <w:r w:rsidR="005E266B" w:rsidRPr="00F6701C">
        <w:rPr>
          <w:b/>
          <w:szCs w:val="22"/>
          <w:highlight w:val="yellow"/>
        </w:rPr>
        <w:t xml:space="preserve"> deaths in the U.S</w:t>
      </w:r>
      <w:r w:rsidR="00025A41">
        <w:rPr>
          <w:b/>
          <w:szCs w:val="22"/>
          <w:highlight w:val="yellow"/>
        </w:rPr>
        <w:t xml:space="preserve"> in 2014</w:t>
      </w:r>
      <w:r w:rsidR="005E266B" w:rsidRPr="00F6701C">
        <w:rPr>
          <w:b/>
          <w:szCs w:val="22"/>
          <w:highlight w:val="yellow"/>
        </w:rPr>
        <w:t xml:space="preserve">. The design is a two-armed randomized trial of men and women aged 55 to 74 at entry. OMB first approved this study in 1993 and has approved it every 3 years since then. </w:t>
      </w:r>
      <w:r w:rsidR="005640B9">
        <w:rPr>
          <w:b/>
          <w:szCs w:val="22"/>
          <w:highlight w:val="yellow"/>
        </w:rPr>
        <w:t xml:space="preserve"> </w:t>
      </w:r>
      <w:r w:rsidR="005E266B" w:rsidRPr="00F6701C">
        <w:rPr>
          <w:b/>
          <w:szCs w:val="22"/>
          <w:highlight w:val="yellow"/>
        </w:rPr>
        <w:t>Recruitment was completed in 2001, baseline cancer screening was completed in 2006, and data collection continues</w:t>
      </w:r>
      <w:r w:rsidR="005640B9">
        <w:rPr>
          <w:b/>
          <w:szCs w:val="22"/>
          <w:highlight w:val="yellow"/>
        </w:rPr>
        <w:t xml:space="preserve"> on the current cohort of </w:t>
      </w:r>
      <w:r w:rsidR="00025A41">
        <w:rPr>
          <w:b/>
          <w:szCs w:val="22"/>
          <w:highlight w:val="yellow"/>
        </w:rPr>
        <w:t>77,281</w:t>
      </w:r>
      <w:r w:rsidR="005640B9">
        <w:rPr>
          <w:b/>
          <w:szCs w:val="22"/>
          <w:highlight w:val="yellow"/>
        </w:rPr>
        <w:t xml:space="preserve"> participants who are actively being followed</w:t>
      </w:r>
      <w:r w:rsidR="005E266B" w:rsidRPr="00F6701C">
        <w:rPr>
          <w:b/>
          <w:szCs w:val="22"/>
          <w:highlight w:val="yellow"/>
        </w:rPr>
        <w:t xml:space="preserve">.  The additional follow-up will provide data that will clarify further the long term effects of the screening on cancer incidence and mortality for the four targeted cancers.  Further, demographic and risk factor information may be used to analyze the differential effectiveness of cancer screening in high versus low risk individuals. </w:t>
      </w:r>
    </w:p>
    <w:p w:rsidR="005A2E52" w:rsidRPr="005A2E52" w:rsidRDefault="005A2E52" w:rsidP="005A2E52">
      <w:pPr>
        <w:pStyle w:val="P1-StandPara"/>
      </w:pPr>
    </w:p>
    <w:p w:rsidR="008D20C5" w:rsidRPr="00D3286C" w:rsidRDefault="008D20C5" w:rsidP="00970519">
      <w:pPr>
        <w:pStyle w:val="Heading1"/>
        <w:keepNext w:val="0"/>
        <w:tabs>
          <w:tab w:val="clear" w:pos="1152"/>
          <w:tab w:val="left" w:pos="720"/>
        </w:tabs>
        <w:spacing w:after="0" w:line="480" w:lineRule="auto"/>
        <w:ind w:left="0" w:firstLine="0"/>
        <w:jc w:val="left"/>
        <w:rPr>
          <w:szCs w:val="22"/>
        </w:rPr>
      </w:pPr>
      <w:r w:rsidRPr="00D3286C">
        <w:rPr>
          <w:szCs w:val="22"/>
        </w:rPr>
        <w:t xml:space="preserve">A.  </w:t>
      </w:r>
      <w:r w:rsidR="00970519" w:rsidRPr="00D3286C">
        <w:rPr>
          <w:szCs w:val="22"/>
        </w:rPr>
        <w:tab/>
      </w:r>
      <w:r w:rsidRPr="00D3286C">
        <w:rPr>
          <w:szCs w:val="22"/>
        </w:rPr>
        <w:t>JUSTIFICATION</w:t>
      </w:r>
      <w:bookmarkEnd w:id="1"/>
      <w:bookmarkEnd w:id="2"/>
    </w:p>
    <w:p w:rsidR="008D20C5" w:rsidRPr="00D3286C" w:rsidRDefault="00A233E3" w:rsidP="00A233E3">
      <w:pPr>
        <w:pStyle w:val="Heading2"/>
        <w:keepNext w:val="0"/>
        <w:spacing w:after="0" w:line="480" w:lineRule="auto"/>
        <w:ind w:left="720" w:hanging="720"/>
        <w:jc w:val="left"/>
        <w:rPr>
          <w:szCs w:val="22"/>
        </w:rPr>
      </w:pPr>
      <w:bookmarkStart w:id="3" w:name="_Toc443881742"/>
      <w:bookmarkStart w:id="4" w:name="_Toc451592231"/>
      <w:bookmarkStart w:id="5" w:name="_Toc5610272"/>
      <w:bookmarkStart w:id="6" w:name="_Toc295119894"/>
      <w:r w:rsidRPr="00D3286C">
        <w:rPr>
          <w:szCs w:val="22"/>
        </w:rPr>
        <w:t>A.</w:t>
      </w:r>
      <w:r w:rsidR="008D20C5" w:rsidRPr="00D3286C">
        <w:rPr>
          <w:szCs w:val="22"/>
        </w:rPr>
        <w:t>1.</w:t>
      </w:r>
      <w:r w:rsidR="008D20C5" w:rsidRPr="00D3286C">
        <w:rPr>
          <w:szCs w:val="22"/>
        </w:rPr>
        <w:tab/>
        <w:t>Circumstances Making the Collection of Information Necessary</w:t>
      </w:r>
      <w:bookmarkEnd w:id="3"/>
      <w:bookmarkEnd w:id="4"/>
      <w:bookmarkEnd w:id="5"/>
      <w:bookmarkEnd w:id="6"/>
    </w:p>
    <w:p w:rsidR="008D20C5" w:rsidRPr="001A57DD" w:rsidRDefault="008D20C5" w:rsidP="0078050E">
      <w:pPr>
        <w:spacing w:line="480" w:lineRule="auto"/>
        <w:ind w:firstLine="720"/>
        <w:rPr>
          <w:szCs w:val="22"/>
        </w:rPr>
      </w:pPr>
      <w:r w:rsidRPr="00D3286C">
        <w:rPr>
          <w:szCs w:val="22"/>
        </w:rPr>
        <w:t>The Early Detection Research Group of the Division of Cancer Prevention, National Cancer Institute (NCI), developed the concept of the Prostate, Lung, Colorectal</w:t>
      </w:r>
      <w:r w:rsidR="00F915F2">
        <w:rPr>
          <w:szCs w:val="22"/>
        </w:rPr>
        <w:t>,</w:t>
      </w:r>
      <w:r w:rsidRPr="00D3286C">
        <w:rPr>
          <w:szCs w:val="22"/>
        </w:rPr>
        <w:t xml:space="preserve"> and Ovarian (PLCO) Cancer Screening Trial (OMB Number:  0925</w:t>
      </w:r>
      <w:r w:rsidRPr="00D3286C">
        <w:rPr>
          <w:szCs w:val="22"/>
        </w:rPr>
        <w:noBreakHyphen/>
        <w:t xml:space="preserve">0407; </w:t>
      </w:r>
      <w:r w:rsidR="00C56D75" w:rsidRPr="00A867DB">
        <w:rPr>
          <w:szCs w:val="22"/>
        </w:rPr>
        <w:t xml:space="preserve">Expiration Date: </w:t>
      </w:r>
      <w:r w:rsidR="0089616F">
        <w:rPr>
          <w:szCs w:val="22"/>
        </w:rPr>
        <w:t xml:space="preserve"> </w:t>
      </w:r>
      <w:r w:rsidR="0089616F" w:rsidRPr="00C45989">
        <w:rPr>
          <w:szCs w:val="22"/>
          <w:highlight w:val="yellow"/>
        </w:rPr>
        <w:t>December 31, 201</w:t>
      </w:r>
      <w:r w:rsidR="00EC466B" w:rsidRPr="00C45989">
        <w:rPr>
          <w:szCs w:val="22"/>
          <w:highlight w:val="yellow"/>
        </w:rPr>
        <w:t>5</w:t>
      </w:r>
      <w:r w:rsidRPr="00A867DB">
        <w:rPr>
          <w:szCs w:val="22"/>
        </w:rPr>
        <w:t>)</w:t>
      </w:r>
      <w:r w:rsidRPr="00D3286C">
        <w:rPr>
          <w:szCs w:val="22"/>
        </w:rPr>
        <w:t xml:space="preserve"> in accordance with their mission to develop scientific information and concepts and disseminate the acquired knowledge regarding early detection techniques, practices, and strategies to reduce mortality and morbidity from cancer.  To this end, the Research Group sponsors and conducts clinical trials and other appropriate research, fosters technology development, and encourages publication of scientific findings and adoption of proven early detection practices. </w:t>
      </w:r>
      <w:r w:rsidR="0078050E" w:rsidRPr="00D3286C">
        <w:rPr>
          <w:color w:val="000000"/>
          <w:szCs w:val="22"/>
        </w:rPr>
        <w:t xml:space="preserve">Section 412 of the Public Health Service Act (42 USC </w:t>
      </w:r>
      <w:r w:rsidR="0078050E" w:rsidRPr="00D3286C">
        <w:rPr>
          <w:i/>
          <w:color w:val="000000"/>
          <w:szCs w:val="22"/>
        </w:rPr>
        <w:t>§</w:t>
      </w:r>
      <w:r w:rsidR="0078050E" w:rsidRPr="00D3286C">
        <w:rPr>
          <w:color w:val="000000"/>
          <w:szCs w:val="22"/>
        </w:rPr>
        <w:t xml:space="preserve"> 285a-1) authorizes the collection of the information.</w:t>
      </w:r>
    </w:p>
    <w:p w:rsidR="00782712" w:rsidRPr="00D3286C" w:rsidRDefault="00C56D75" w:rsidP="00A46EE5">
      <w:pPr>
        <w:pStyle w:val="P1-StandPara"/>
        <w:rPr>
          <w:szCs w:val="22"/>
        </w:rPr>
      </w:pPr>
      <w:r w:rsidRPr="002D005B">
        <w:rPr>
          <w:szCs w:val="22"/>
          <w:highlight w:val="yellow"/>
        </w:rPr>
        <w:t>According to the American Cancer Society “Cancer Facts and Figures 20</w:t>
      </w:r>
      <w:r w:rsidR="0089616F">
        <w:rPr>
          <w:szCs w:val="22"/>
          <w:highlight w:val="yellow"/>
        </w:rPr>
        <w:t>14</w:t>
      </w:r>
      <w:r w:rsidRPr="002D005B">
        <w:rPr>
          <w:szCs w:val="22"/>
          <w:highlight w:val="yellow"/>
        </w:rPr>
        <w:t xml:space="preserve">” </w:t>
      </w:r>
      <w:r w:rsidRPr="0089616F">
        <w:rPr>
          <w:szCs w:val="22"/>
          <w:highlight w:val="yellow"/>
        </w:rPr>
        <w:t>(</w:t>
      </w:r>
      <w:r w:rsidR="0089616F" w:rsidRPr="00945B2A">
        <w:rPr>
          <w:szCs w:val="22"/>
          <w:highlight w:val="yellow"/>
        </w:rPr>
        <w:t>http://www.cancer.org/research/cancerfactsstatistics/cancerfactsfigures2014/)</w:t>
      </w:r>
      <w:r w:rsidRPr="0089616F">
        <w:rPr>
          <w:szCs w:val="22"/>
          <w:highlight w:val="yellow"/>
        </w:rPr>
        <w:t xml:space="preserve">, </w:t>
      </w:r>
      <w:r w:rsidRPr="002D005B">
        <w:rPr>
          <w:szCs w:val="22"/>
          <w:highlight w:val="yellow"/>
        </w:rPr>
        <w:t>in 201</w:t>
      </w:r>
      <w:r w:rsidR="0089616F">
        <w:rPr>
          <w:szCs w:val="22"/>
          <w:highlight w:val="yellow"/>
        </w:rPr>
        <w:t>4</w:t>
      </w:r>
      <w:r w:rsidRPr="002D005B">
        <w:rPr>
          <w:szCs w:val="22"/>
          <w:highlight w:val="yellow"/>
        </w:rPr>
        <w:t xml:space="preserve"> there were an estimated 5</w:t>
      </w:r>
      <w:r w:rsidR="0089616F">
        <w:rPr>
          <w:szCs w:val="22"/>
          <w:highlight w:val="yellow"/>
        </w:rPr>
        <w:t>0,310</w:t>
      </w:r>
      <w:r w:rsidRPr="002D005B">
        <w:rPr>
          <w:szCs w:val="22"/>
          <w:highlight w:val="yellow"/>
        </w:rPr>
        <w:t xml:space="preserve"> deaths from </w:t>
      </w:r>
      <w:r w:rsidR="00945B2A" w:rsidRPr="002D005B">
        <w:rPr>
          <w:szCs w:val="22"/>
          <w:highlight w:val="yellow"/>
        </w:rPr>
        <w:t>colo</w:t>
      </w:r>
      <w:r w:rsidR="00945B2A">
        <w:rPr>
          <w:szCs w:val="22"/>
          <w:highlight w:val="yellow"/>
        </w:rPr>
        <w:t xml:space="preserve">n </w:t>
      </w:r>
      <w:r w:rsidR="00945B2A" w:rsidRPr="002D005B">
        <w:rPr>
          <w:szCs w:val="22"/>
          <w:highlight w:val="yellow"/>
        </w:rPr>
        <w:t>cancer</w:t>
      </w:r>
      <w:r w:rsidRPr="002D005B">
        <w:rPr>
          <w:szCs w:val="22"/>
          <w:highlight w:val="yellow"/>
        </w:rPr>
        <w:t xml:space="preserve"> and </w:t>
      </w:r>
      <w:r w:rsidR="0089616F">
        <w:rPr>
          <w:szCs w:val="22"/>
          <w:highlight w:val="yellow"/>
        </w:rPr>
        <w:t>159,260</w:t>
      </w:r>
      <w:r w:rsidRPr="002D005B">
        <w:rPr>
          <w:szCs w:val="22"/>
          <w:highlight w:val="yellow"/>
        </w:rPr>
        <w:t xml:space="preserve"> deaths from lung cancer. About </w:t>
      </w:r>
      <w:r w:rsidR="0089616F">
        <w:rPr>
          <w:szCs w:val="22"/>
          <w:highlight w:val="yellow"/>
        </w:rPr>
        <w:t xml:space="preserve">14,270 </w:t>
      </w:r>
      <w:r w:rsidRPr="002D005B">
        <w:rPr>
          <w:szCs w:val="22"/>
          <w:highlight w:val="yellow"/>
        </w:rPr>
        <w:t xml:space="preserve">women died from ovarian cancer and </w:t>
      </w:r>
      <w:r w:rsidR="00F654D9">
        <w:rPr>
          <w:szCs w:val="22"/>
          <w:highlight w:val="yellow"/>
        </w:rPr>
        <w:t xml:space="preserve">29,480 </w:t>
      </w:r>
      <w:r w:rsidRPr="002D005B">
        <w:rPr>
          <w:szCs w:val="22"/>
          <w:highlight w:val="yellow"/>
        </w:rPr>
        <w:t>men from prostate cancer.</w:t>
      </w:r>
      <w:r w:rsidRPr="00A867DB">
        <w:rPr>
          <w:szCs w:val="22"/>
        </w:rPr>
        <w:t xml:space="preserve"> </w:t>
      </w:r>
      <w:r w:rsidRPr="00945B2A">
        <w:rPr>
          <w:szCs w:val="22"/>
          <w:highlight w:val="yellow"/>
        </w:rPr>
        <w:t xml:space="preserve">Lung and </w:t>
      </w:r>
      <w:r w:rsidR="0089616F" w:rsidRPr="00945B2A">
        <w:rPr>
          <w:szCs w:val="22"/>
          <w:highlight w:val="yellow"/>
        </w:rPr>
        <w:t xml:space="preserve">colon </w:t>
      </w:r>
      <w:r w:rsidRPr="00945B2A">
        <w:rPr>
          <w:szCs w:val="22"/>
          <w:highlight w:val="yellow"/>
        </w:rPr>
        <w:t>cancers account for over one-third of all cancer deaths</w:t>
      </w:r>
      <w:r w:rsidR="0089616F" w:rsidRPr="00945B2A">
        <w:rPr>
          <w:szCs w:val="22"/>
          <w:highlight w:val="yellow"/>
        </w:rPr>
        <w:t xml:space="preserve"> in the United States</w:t>
      </w:r>
      <w:r w:rsidRPr="000C27FA">
        <w:rPr>
          <w:szCs w:val="22"/>
        </w:rPr>
        <w:t xml:space="preserve">.  </w:t>
      </w:r>
      <w:r w:rsidR="00CE57AE" w:rsidRPr="00C20C2C">
        <w:rPr>
          <w:szCs w:val="22"/>
        </w:rPr>
        <w:t>Successful screening programs for these cancers could possibly have a major impact on</w:t>
      </w:r>
      <w:r w:rsidR="000C4B04">
        <w:rPr>
          <w:szCs w:val="22"/>
        </w:rPr>
        <w:t xml:space="preserve"> overall cancer mortality in the U.S.</w:t>
      </w:r>
      <w:r w:rsidR="00CE57AE" w:rsidRPr="00D3286C">
        <w:rPr>
          <w:szCs w:val="22"/>
        </w:rPr>
        <w:t xml:space="preserve"> </w:t>
      </w:r>
    </w:p>
    <w:p w:rsidR="00E63C9E" w:rsidRDefault="000E1B32" w:rsidP="00E63C9E">
      <w:pPr>
        <w:pStyle w:val="P1-StandPara"/>
        <w:rPr>
          <w:szCs w:val="22"/>
        </w:rPr>
      </w:pPr>
      <w:r w:rsidRPr="00A867DB">
        <w:rPr>
          <w:szCs w:val="22"/>
        </w:rPr>
        <w:t xml:space="preserve">OMB first approved the PLCO Cancer Screening Trial in October 1993. Since that initial approval, OMB approved the trial in 1996, 1999, 2002, </w:t>
      </w:r>
      <w:r w:rsidR="00C56D75" w:rsidRPr="00A867DB">
        <w:rPr>
          <w:szCs w:val="22"/>
        </w:rPr>
        <w:t>2005</w:t>
      </w:r>
      <w:r w:rsidR="00C56D75" w:rsidRPr="002D005B">
        <w:rPr>
          <w:szCs w:val="22"/>
        </w:rPr>
        <w:t>, 2008</w:t>
      </w:r>
      <w:r w:rsidR="00A33D8A" w:rsidRPr="002D005B">
        <w:rPr>
          <w:szCs w:val="22"/>
        </w:rPr>
        <w:t>, 2011</w:t>
      </w:r>
      <w:r w:rsidR="0089616F">
        <w:rPr>
          <w:szCs w:val="22"/>
        </w:rPr>
        <w:t xml:space="preserve">, </w:t>
      </w:r>
      <w:proofErr w:type="gramStart"/>
      <w:r w:rsidR="0089616F" w:rsidRPr="00A33D8A">
        <w:rPr>
          <w:szCs w:val="22"/>
          <w:highlight w:val="yellow"/>
        </w:rPr>
        <w:t xml:space="preserve">and </w:t>
      </w:r>
      <w:r w:rsidR="001D75D5">
        <w:rPr>
          <w:szCs w:val="22"/>
          <w:highlight w:val="yellow"/>
        </w:rPr>
        <w:t xml:space="preserve"> </w:t>
      </w:r>
      <w:r w:rsidR="0089616F" w:rsidRPr="00A33D8A">
        <w:rPr>
          <w:szCs w:val="22"/>
          <w:highlight w:val="yellow"/>
        </w:rPr>
        <w:t>2012</w:t>
      </w:r>
      <w:proofErr w:type="gramEnd"/>
      <w:r w:rsidR="003A6FB1">
        <w:rPr>
          <w:szCs w:val="22"/>
        </w:rPr>
        <w:t>.</w:t>
      </w:r>
      <w:r w:rsidR="00AF13CE" w:rsidRPr="00A867DB">
        <w:rPr>
          <w:szCs w:val="22"/>
        </w:rPr>
        <w:t xml:space="preserve"> During the first approval </w:t>
      </w:r>
      <w:r w:rsidR="00AF13CE" w:rsidRPr="005E266B">
        <w:rPr>
          <w:szCs w:val="22"/>
        </w:rPr>
        <w:t>period a</w:t>
      </w:r>
      <w:r w:rsidR="008922FC" w:rsidRPr="005E266B">
        <w:rPr>
          <w:szCs w:val="22"/>
        </w:rPr>
        <w:t xml:space="preserve"> two-year </w:t>
      </w:r>
      <w:r w:rsidR="00AF13CE" w:rsidRPr="005E266B">
        <w:rPr>
          <w:szCs w:val="22"/>
        </w:rPr>
        <w:t>pilot study</w:t>
      </w:r>
      <w:r w:rsidR="00AF13CE" w:rsidRPr="00A867DB">
        <w:rPr>
          <w:szCs w:val="22"/>
        </w:rPr>
        <w:t xml:space="preserve"> was conducted to evaluate recruitment methods and data collection procedures.  </w:t>
      </w:r>
      <w:r w:rsidR="008922FC" w:rsidRPr="00A33D8A">
        <w:rPr>
          <w:szCs w:val="22"/>
        </w:rPr>
        <w:t>Participants who were recruited during the pilot were included in the main study.</w:t>
      </w:r>
      <w:r w:rsidR="008922FC">
        <w:rPr>
          <w:szCs w:val="22"/>
        </w:rPr>
        <w:t xml:space="preserve">  </w:t>
      </w:r>
      <w:r w:rsidR="00CE57AE" w:rsidRPr="00A867DB">
        <w:rPr>
          <w:szCs w:val="22"/>
        </w:rPr>
        <w:t>PLCO t</w:t>
      </w:r>
      <w:r w:rsidR="00782712" w:rsidRPr="00A867DB">
        <w:rPr>
          <w:szCs w:val="22"/>
        </w:rPr>
        <w:t xml:space="preserve">rial recruitment ended in 2001, </w:t>
      </w:r>
      <w:r w:rsidR="005E266B">
        <w:rPr>
          <w:szCs w:val="22"/>
        </w:rPr>
        <w:t xml:space="preserve">cancer </w:t>
      </w:r>
      <w:r w:rsidR="00782712" w:rsidRPr="00A867DB">
        <w:rPr>
          <w:szCs w:val="22"/>
        </w:rPr>
        <w:t xml:space="preserve">screening was completed in 2006, and to date, </w:t>
      </w:r>
      <w:proofErr w:type="gramStart"/>
      <w:r w:rsidR="00EC466B">
        <w:rPr>
          <w:szCs w:val="22"/>
        </w:rPr>
        <w:t>approximately</w:t>
      </w:r>
      <w:proofErr w:type="gramEnd"/>
      <w:r w:rsidR="00EC466B">
        <w:rPr>
          <w:szCs w:val="22"/>
        </w:rPr>
        <w:t xml:space="preserve"> </w:t>
      </w:r>
      <w:r w:rsidR="00202368" w:rsidRPr="00A867DB">
        <w:rPr>
          <w:szCs w:val="22"/>
        </w:rPr>
        <w:t>half</w:t>
      </w:r>
      <w:r w:rsidR="00782712" w:rsidRPr="00A867DB">
        <w:rPr>
          <w:szCs w:val="22"/>
        </w:rPr>
        <w:t xml:space="preserve"> of participants have completed </w:t>
      </w:r>
      <w:r w:rsidR="00782712" w:rsidRPr="00A33D8A">
        <w:rPr>
          <w:szCs w:val="22"/>
          <w:highlight w:val="yellow"/>
        </w:rPr>
        <w:t>1</w:t>
      </w:r>
      <w:r w:rsidR="00EC466B" w:rsidRPr="00A33D8A">
        <w:rPr>
          <w:szCs w:val="22"/>
          <w:highlight w:val="yellow"/>
        </w:rPr>
        <w:t>4</w:t>
      </w:r>
      <w:r w:rsidR="00782712" w:rsidRPr="00A867DB">
        <w:rPr>
          <w:szCs w:val="22"/>
        </w:rPr>
        <w:t xml:space="preserve"> or more years of </w:t>
      </w:r>
      <w:r w:rsidR="000F7C08" w:rsidRPr="00A867DB">
        <w:rPr>
          <w:szCs w:val="22"/>
        </w:rPr>
        <w:t>follow</w:t>
      </w:r>
      <w:r w:rsidR="00D70069">
        <w:rPr>
          <w:szCs w:val="22"/>
        </w:rPr>
        <w:t>-</w:t>
      </w:r>
      <w:r w:rsidR="000F7C08" w:rsidRPr="00A867DB">
        <w:rPr>
          <w:szCs w:val="22"/>
        </w:rPr>
        <w:t>up</w:t>
      </w:r>
      <w:r w:rsidR="00782712" w:rsidRPr="00A867DB">
        <w:rPr>
          <w:szCs w:val="22"/>
        </w:rPr>
        <w:t>.</w:t>
      </w:r>
      <w:r w:rsidRPr="00A867DB">
        <w:rPr>
          <w:szCs w:val="22"/>
        </w:rPr>
        <w:t xml:space="preserve"> </w:t>
      </w:r>
      <w:r w:rsidR="00C56D75" w:rsidRPr="00A867DB">
        <w:rPr>
          <w:szCs w:val="22"/>
        </w:rPr>
        <w:t xml:space="preserve">In March 2009, the first report on </w:t>
      </w:r>
      <w:r w:rsidR="005E266B">
        <w:rPr>
          <w:szCs w:val="22"/>
        </w:rPr>
        <w:t xml:space="preserve">cancer </w:t>
      </w:r>
      <w:r w:rsidR="00C56D75" w:rsidRPr="00A867DB">
        <w:rPr>
          <w:szCs w:val="22"/>
        </w:rPr>
        <w:t xml:space="preserve">screening and prostate cancer mortality was published in the </w:t>
      </w:r>
      <w:r w:rsidR="00C56D75" w:rsidRPr="00A867DB">
        <w:rPr>
          <w:i/>
          <w:szCs w:val="22"/>
        </w:rPr>
        <w:t xml:space="preserve">New England Journal of Medicine </w:t>
      </w:r>
      <w:r w:rsidR="00C56D75" w:rsidRPr="00A867DB">
        <w:rPr>
          <w:szCs w:val="22"/>
        </w:rPr>
        <w:t>(</w:t>
      </w:r>
      <w:proofErr w:type="spellStart"/>
      <w:r w:rsidR="00C56D75" w:rsidRPr="00A867DB">
        <w:rPr>
          <w:szCs w:val="22"/>
        </w:rPr>
        <w:t>Andriole</w:t>
      </w:r>
      <w:proofErr w:type="spellEnd"/>
      <w:r w:rsidR="00C56D75" w:rsidRPr="00A867DB">
        <w:rPr>
          <w:szCs w:val="22"/>
        </w:rPr>
        <w:t xml:space="preserve"> et al., 2009). In October of the same year, investigators from the Cancer Genetic Markers of Susceptibility (CGEMS) initiative reported in </w:t>
      </w:r>
      <w:r w:rsidR="00C56D75" w:rsidRPr="00A867DB">
        <w:rPr>
          <w:i/>
          <w:szCs w:val="22"/>
        </w:rPr>
        <w:t>Nature and Genetics</w:t>
      </w:r>
      <w:r w:rsidR="00C56D75" w:rsidRPr="00A867DB">
        <w:rPr>
          <w:szCs w:val="22"/>
        </w:rPr>
        <w:t xml:space="preserve"> the results of a third genome-wide association study leading to the identification of a new prostate cancer susceptibility locus on chromosome 8q24 (Yeager et al., 2009).</w:t>
      </w:r>
      <w:r w:rsidR="00782712" w:rsidRPr="00A867DB">
        <w:rPr>
          <w:szCs w:val="22"/>
        </w:rPr>
        <w:t xml:space="preserve"> </w:t>
      </w:r>
      <w:r w:rsidR="00C56D75" w:rsidRPr="00A867DB">
        <w:rPr>
          <w:szCs w:val="22"/>
        </w:rPr>
        <w:t xml:space="preserve">PLCO </w:t>
      </w:r>
      <w:proofErr w:type="spellStart"/>
      <w:r w:rsidR="00C56D75" w:rsidRPr="00A867DB">
        <w:rPr>
          <w:szCs w:val="22"/>
        </w:rPr>
        <w:t>biospecimens</w:t>
      </w:r>
      <w:proofErr w:type="spellEnd"/>
      <w:r w:rsidR="00C56D75" w:rsidRPr="00A867DB">
        <w:rPr>
          <w:szCs w:val="22"/>
        </w:rPr>
        <w:t xml:space="preserve"> and data were used in this CGEMS study. </w:t>
      </w:r>
      <w:r w:rsidR="00AA5BF3">
        <w:rPr>
          <w:szCs w:val="22"/>
        </w:rPr>
        <w:t xml:space="preserve"> </w:t>
      </w:r>
      <w:r w:rsidR="0089616F" w:rsidRPr="0033382E">
        <w:rPr>
          <w:szCs w:val="22"/>
        </w:rPr>
        <w:t xml:space="preserve">Also </w:t>
      </w:r>
      <w:r w:rsidR="00BD0E0C" w:rsidRPr="0033382E">
        <w:rPr>
          <w:szCs w:val="22"/>
        </w:rPr>
        <w:t xml:space="preserve">both </w:t>
      </w:r>
      <w:r w:rsidR="00AA5BF3" w:rsidRPr="0033382E">
        <w:rPr>
          <w:szCs w:val="22"/>
        </w:rPr>
        <w:t>the report on screening and ovarian cancer mortality</w:t>
      </w:r>
      <w:r w:rsidR="0001347F" w:rsidRPr="0033382E">
        <w:rPr>
          <w:szCs w:val="22"/>
        </w:rPr>
        <w:t xml:space="preserve"> and</w:t>
      </w:r>
      <w:r w:rsidR="00456D65">
        <w:rPr>
          <w:szCs w:val="22"/>
        </w:rPr>
        <w:t xml:space="preserve"> the</w:t>
      </w:r>
      <w:r w:rsidR="0001347F" w:rsidRPr="0033382E">
        <w:rPr>
          <w:szCs w:val="22"/>
        </w:rPr>
        <w:t xml:space="preserve"> report on screen</w:t>
      </w:r>
      <w:r w:rsidR="00BD0E0C" w:rsidRPr="0033382E">
        <w:rPr>
          <w:szCs w:val="22"/>
        </w:rPr>
        <w:t>ing and lung cancer mortality were</w:t>
      </w:r>
      <w:r w:rsidR="0001347F" w:rsidRPr="0033382E">
        <w:rPr>
          <w:szCs w:val="22"/>
        </w:rPr>
        <w:t xml:space="preserve"> published in the </w:t>
      </w:r>
      <w:r w:rsidR="0001347F" w:rsidRPr="0033382E">
        <w:rPr>
          <w:i/>
          <w:szCs w:val="22"/>
        </w:rPr>
        <w:t>Journal of the American Medical Association</w:t>
      </w:r>
      <w:r w:rsidR="0001347F" w:rsidRPr="0033382E">
        <w:rPr>
          <w:szCs w:val="22"/>
        </w:rPr>
        <w:t xml:space="preserve"> (</w:t>
      </w:r>
      <w:r w:rsidR="00BD0E0C" w:rsidRPr="0033382E">
        <w:rPr>
          <w:szCs w:val="22"/>
        </w:rPr>
        <w:t xml:space="preserve">Buys et al., 2011; </w:t>
      </w:r>
      <w:proofErr w:type="spellStart"/>
      <w:r w:rsidR="0001347F" w:rsidRPr="0033382E">
        <w:rPr>
          <w:szCs w:val="22"/>
        </w:rPr>
        <w:t>Oken</w:t>
      </w:r>
      <w:proofErr w:type="spellEnd"/>
      <w:r w:rsidR="0001347F" w:rsidRPr="0033382E">
        <w:rPr>
          <w:szCs w:val="22"/>
        </w:rPr>
        <w:t xml:space="preserve"> et al., 2011)</w:t>
      </w:r>
      <w:r w:rsidR="009D5C90" w:rsidRPr="0033382E">
        <w:rPr>
          <w:szCs w:val="22"/>
        </w:rPr>
        <w:t>.  In</w:t>
      </w:r>
      <w:r w:rsidR="003A20AD" w:rsidRPr="0033382E">
        <w:rPr>
          <w:szCs w:val="22"/>
        </w:rPr>
        <w:t xml:space="preserve"> addition</w:t>
      </w:r>
      <w:r w:rsidR="00BD0E0C" w:rsidRPr="0033382E">
        <w:rPr>
          <w:szCs w:val="22"/>
        </w:rPr>
        <w:t>,</w:t>
      </w:r>
      <w:r w:rsidR="009D5C90" w:rsidRPr="0033382E">
        <w:rPr>
          <w:szCs w:val="22"/>
        </w:rPr>
        <w:t xml:space="preserve"> the effect of screening on prostate can</w:t>
      </w:r>
      <w:r w:rsidR="00BD0E0C" w:rsidRPr="0033382E">
        <w:rPr>
          <w:szCs w:val="22"/>
        </w:rPr>
        <w:t>c</w:t>
      </w:r>
      <w:r w:rsidR="009D5C90" w:rsidRPr="0033382E">
        <w:rPr>
          <w:szCs w:val="22"/>
        </w:rPr>
        <w:t xml:space="preserve">er mortality after 13 years of follow-up was published in the </w:t>
      </w:r>
      <w:r w:rsidR="009D5C90" w:rsidRPr="0033382E">
        <w:rPr>
          <w:i/>
          <w:szCs w:val="22"/>
        </w:rPr>
        <w:t>Journal of the National Cancer Institute</w:t>
      </w:r>
      <w:r w:rsidR="009D5C90" w:rsidRPr="0033382E">
        <w:rPr>
          <w:szCs w:val="22"/>
        </w:rPr>
        <w:t xml:space="preserve"> (</w:t>
      </w:r>
      <w:proofErr w:type="spellStart"/>
      <w:r w:rsidR="009D5C90" w:rsidRPr="0033382E">
        <w:rPr>
          <w:szCs w:val="22"/>
        </w:rPr>
        <w:t>Andriole</w:t>
      </w:r>
      <w:proofErr w:type="spellEnd"/>
      <w:r w:rsidR="009D5C90" w:rsidRPr="0033382E">
        <w:rPr>
          <w:szCs w:val="22"/>
        </w:rPr>
        <w:t>, 2012).</w:t>
      </w:r>
      <w:r w:rsidR="003A20AD" w:rsidRPr="0033382E">
        <w:rPr>
          <w:szCs w:val="22"/>
        </w:rPr>
        <w:t xml:space="preserve">  </w:t>
      </w:r>
      <w:r w:rsidR="0089616F" w:rsidRPr="0033382E">
        <w:rPr>
          <w:szCs w:val="22"/>
        </w:rPr>
        <w:t>T</w:t>
      </w:r>
      <w:r w:rsidR="003A20AD" w:rsidRPr="0033382E">
        <w:rPr>
          <w:szCs w:val="22"/>
        </w:rPr>
        <w:t xml:space="preserve">he report on screening and colorectal cancer mortality was published in the </w:t>
      </w:r>
      <w:r w:rsidR="00F30DB2" w:rsidRPr="0033382E">
        <w:rPr>
          <w:i/>
          <w:szCs w:val="22"/>
        </w:rPr>
        <w:t>New England Journal of Medicine</w:t>
      </w:r>
      <w:r w:rsidR="003A20AD" w:rsidRPr="0033382E">
        <w:rPr>
          <w:szCs w:val="22"/>
        </w:rPr>
        <w:t xml:space="preserve"> (Schoen et al., 2012).  Since the inception of the trial, there </w:t>
      </w:r>
      <w:r w:rsidR="0033382E" w:rsidRPr="0033382E">
        <w:rPr>
          <w:szCs w:val="22"/>
        </w:rPr>
        <w:t>have</w:t>
      </w:r>
      <w:r w:rsidR="003A20AD" w:rsidRPr="0033382E">
        <w:rPr>
          <w:szCs w:val="22"/>
        </w:rPr>
        <w:t xml:space="preserve"> been more than </w:t>
      </w:r>
      <w:r w:rsidR="00261AF0">
        <w:rPr>
          <w:szCs w:val="22"/>
          <w:highlight w:val="yellow"/>
        </w:rPr>
        <w:t xml:space="preserve">351 </w:t>
      </w:r>
      <w:r w:rsidR="00863048" w:rsidRPr="00863048">
        <w:rPr>
          <w:szCs w:val="22"/>
          <w:highlight w:val="yellow"/>
        </w:rPr>
        <w:t>articles published in peer-reviewed journals</w:t>
      </w:r>
      <w:r w:rsidR="00C56D75" w:rsidRPr="00863048">
        <w:rPr>
          <w:szCs w:val="22"/>
          <w:highlight w:val="yellow"/>
        </w:rPr>
        <w:t>;</w:t>
      </w:r>
      <w:r w:rsidR="00C56D75" w:rsidRPr="00A867DB">
        <w:rPr>
          <w:szCs w:val="22"/>
        </w:rPr>
        <w:t xml:space="preserve"> and the number of investigators that submit applications requesting use of PLCO </w:t>
      </w:r>
      <w:proofErr w:type="spellStart"/>
      <w:r w:rsidR="00C56D75" w:rsidRPr="00A867DB">
        <w:rPr>
          <w:szCs w:val="22"/>
        </w:rPr>
        <w:t>biospecimens</w:t>
      </w:r>
      <w:proofErr w:type="spellEnd"/>
      <w:r w:rsidR="00C56D75" w:rsidRPr="00A867DB">
        <w:rPr>
          <w:szCs w:val="22"/>
        </w:rPr>
        <w:t xml:space="preserve"> and data increases every year.</w:t>
      </w:r>
      <w:r w:rsidR="00AF13CE" w:rsidRPr="00A867DB">
        <w:rPr>
          <w:szCs w:val="22"/>
        </w:rPr>
        <w:t xml:space="preserve">  </w:t>
      </w:r>
      <w:r w:rsidRPr="00A867DB">
        <w:rPr>
          <w:szCs w:val="22"/>
        </w:rPr>
        <w:t>In addition to publications of benefit to the scientific community, data collected will be used to evaluate the effect of screening on the reduction of cancer specific mortality from the four targeted sites:  prostate, lung, colorect</w:t>
      </w:r>
      <w:r w:rsidR="00F915F2">
        <w:rPr>
          <w:szCs w:val="22"/>
        </w:rPr>
        <w:t>al,</w:t>
      </w:r>
      <w:r w:rsidRPr="00A867DB">
        <w:rPr>
          <w:szCs w:val="22"/>
        </w:rPr>
        <w:t xml:space="preserve"> and ovary.  </w:t>
      </w:r>
    </w:p>
    <w:p w:rsidR="00B83786" w:rsidRPr="00A867DB" w:rsidRDefault="00C56D75" w:rsidP="00E63C9E">
      <w:pPr>
        <w:pStyle w:val="P1-StandPara"/>
        <w:rPr>
          <w:szCs w:val="22"/>
        </w:rPr>
      </w:pPr>
      <w:r w:rsidRPr="00A867DB">
        <w:rPr>
          <w:szCs w:val="22"/>
        </w:rPr>
        <w:t>The NCI seeks to increase the value of PLCO as a resource to intra- and extra-mural researchers by continuing to collect follow</w:t>
      </w:r>
      <w:r w:rsidR="00D70069">
        <w:rPr>
          <w:szCs w:val="22"/>
        </w:rPr>
        <w:t>-</w:t>
      </w:r>
      <w:r w:rsidRPr="00A867DB">
        <w:rPr>
          <w:szCs w:val="22"/>
        </w:rPr>
        <w:t>up behavioral data, morbidity and mortality outcomes</w:t>
      </w:r>
      <w:r w:rsidR="00F915F2">
        <w:rPr>
          <w:szCs w:val="22"/>
        </w:rPr>
        <w:t>,</w:t>
      </w:r>
      <w:r w:rsidRPr="00A867DB">
        <w:rPr>
          <w:szCs w:val="22"/>
        </w:rPr>
        <w:t xml:space="preserve"> and tumor tissue. Given the advanced age of participants with at least </w:t>
      </w:r>
      <w:r w:rsidR="00261AF0" w:rsidRPr="0033382E">
        <w:rPr>
          <w:szCs w:val="22"/>
          <w:highlight w:val="yellow"/>
        </w:rPr>
        <w:t>14</w:t>
      </w:r>
      <w:r w:rsidR="00261AF0">
        <w:rPr>
          <w:szCs w:val="22"/>
        </w:rPr>
        <w:t xml:space="preserve"> </w:t>
      </w:r>
      <w:r w:rsidRPr="00A867DB">
        <w:rPr>
          <w:szCs w:val="22"/>
        </w:rPr>
        <w:t>years of follow</w:t>
      </w:r>
      <w:r w:rsidR="00D70069">
        <w:rPr>
          <w:szCs w:val="22"/>
        </w:rPr>
        <w:t>-</w:t>
      </w:r>
      <w:r w:rsidRPr="00A867DB">
        <w:rPr>
          <w:szCs w:val="22"/>
        </w:rPr>
        <w:t xml:space="preserve">up, the PLCO is entering its most productive years of cancer and vital status ascertainment. These additional data will clarify further the long-term effects of </w:t>
      </w:r>
      <w:r w:rsidR="005E266B">
        <w:rPr>
          <w:szCs w:val="22"/>
        </w:rPr>
        <w:t xml:space="preserve">cancer </w:t>
      </w:r>
      <w:r w:rsidRPr="00A867DB">
        <w:rPr>
          <w:szCs w:val="22"/>
        </w:rPr>
        <w:t>screening on cancer mortality, and enable new studies of rare tumors and common tumors in subpopulations.</w:t>
      </w:r>
    </w:p>
    <w:p w:rsidR="00C55774" w:rsidRPr="00A867DB" w:rsidRDefault="00837885" w:rsidP="00660E88">
      <w:pPr>
        <w:pStyle w:val="L1-FlLSp12"/>
        <w:tabs>
          <w:tab w:val="clear" w:pos="1152"/>
        </w:tabs>
        <w:spacing w:line="480" w:lineRule="auto"/>
        <w:rPr>
          <w:szCs w:val="22"/>
        </w:rPr>
      </w:pPr>
      <w:r w:rsidRPr="00A867DB">
        <w:rPr>
          <w:szCs w:val="22"/>
        </w:rPr>
        <w:tab/>
      </w:r>
      <w:r w:rsidR="00C56D75" w:rsidRPr="00A867DB">
        <w:rPr>
          <w:szCs w:val="22"/>
        </w:rPr>
        <w:t xml:space="preserve">This request is for the ongoing data collection for </w:t>
      </w:r>
      <w:r w:rsidR="00C56D75" w:rsidRPr="0040485C">
        <w:rPr>
          <w:szCs w:val="22"/>
          <w:highlight w:val="yellow"/>
        </w:rPr>
        <w:t>years twenty-</w:t>
      </w:r>
      <w:r w:rsidR="00261AF0">
        <w:rPr>
          <w:szCs w:val="22"/>
          <w:highlight w:val="yellow"/>
        </w:rPr>
        <w:t>four</w:t>
      </w:r>
      <w:r w:rsidR="00C56D75" w:rsidRPr="0040485C">
        <w:rPr>
          <w:szCs w:val="22"/>
          <w:highlight w:val="yellow"/>
        </w:rPr>
        <w:t xml:space="preserve"> </w:t>
      </w:r>
      <w:r w:rsidR="0040485C" w:rsidRPr="0040485C">
        <w:rPr>
          <w:szCs w:val="22"/>
          <w:highlight w:val="yellow"/>
        </w:rPr>
        <w:t>through twenty-</w:t>
      </w:r>
      <w:r w:rsidR="00261AF0" w:rsidRPr="00821EDB">
        <w:rPr>
          <w:szCs w:val="22"/>
          <w:highlight w:val="yellow"/>
        </w:rPr>
        <w:t>six</w:t>
      </w:r>
      <w:r w:rsidR="0040485C">
        <w:rPr>
          <w:szCs w:val="22"/>
        </w:rPr>
        <w:t xml:space="preserve"> </w:t>
      </w:r>
      <w:r w:rsidR="00C56D75" w:rsidRPr="00A867DB">
        <w:rPr>
          <w:szCs w:val="22"/>
        </w:rPr>
        <w:t>of the study.</w:t>
      </w:r>
      <w:r w:rsidR="0096504E" w:rsidRPr="00A867DB">
        <w:rPr>
          <w:szCs w:val="22"/>
        </w:rPr>
        <w:t xml:space="preserve">  </w:t>
      </w:r>
      <w:r w:rsidR="00C55774" w:rsidRPr="00C013CD">
        <w:rPr>
          <w:szCs w:val="22"/>
          <w:highlight w:val="yellow"/>
        </w:rPr>
        <w:t xml:space="preserve">The contracts for </w:t>
      </w:r>
      <w:r w:rsidR="00261AF0">
        <w:rPr>
          <w:szCs w:val="22"/>
          <w:highlight w:val="yellow"/>
        </w:rPr>
        <w:t>all</w:t>
      </w:r>
      <w:r w:rsidR="00C55774" w:rsidRPr="00C013CD">
        <w:rPr>
          <w:szCs w:val="22"/>
          <w:highlight w:val="yellow"/>
        </w:rPr>
        <w:t xml:space="preserve"> 10 Screening </w:t>
      </w:r>
      <w:r w:rsidR="0040485C" w:rsidRPr="00C013CD">
        <w:rPr>
          <w:szCs w:val="22"/>
          <w:highlight w:val="yellow"/>
        </w:rPr>
        <w:t xml:space="preserve">Centers (SCs) </w:t>
      </w:r>
      <w:r w:rsidR="00C55774" w:rsidRPr="00C013CD">
        <w:rPr>
          <w:szCs w:val="22"/>
          <w:highlight w:val="yellow"/>
        </w:rPr>
        <w:t>end</w:t>
      </w:r>
      <w:r w:rsidR="0040485C" w:rsidRPr="00C013CD">
        <w:rPr>
          <w:szCs w:val="22"/>
          <w:highlight w:val="yellow"/>
        </w:rPr>
        <w:t>ed</w:t>
      </w:r>
      <w:r w:rsidR="00C55774" w:rsidRPr="00C013CD">
        <w:rPr>
          <w:szCs w:val="22"/>
          <w:highlight w:val="yellow"/>
        </w:rPr>
        <w:t xml:space="preserve"> </w:t>
      </w:r>
      <w:r w:rsidR="00DE5E3F">
        <w:rPr>
          <w:szCs w:val="22"/>
          <w:highlight w:val="yellow"/>
        </w:rPr>
        <w:t>by</w:t>
      </w:r>
      <w:r w:rsidR="00DE5E3F" w:rsidRPr="0040485C">
        <w:rPr>
          <w:szCs w:val="22"/>
          <w:highlight w:val="yellow"/>
        </w:rPr>
        <w:t xml:space="preserve"> </w:t>
      </w:r>
      <w:r w:rsidR="00C55774" w:rsidRPr="003827A1">
        <w:rPr>
          <w:szCs w:val="22"/>
          <w:highlight w:val="yellow"/>
        </w:rPr>
        <w:t>2014.</w:t>
      </w:r>
      <w:r w:rsidR="00C55774" w:rsidRPr="00A867DB">
        <w:rPr>
          <w:szCs w:val="22"/>
        </w:rPr>
        <w:t xml:space="preserve"> NCI has awarded a contract for continuation of participant follow</w:t>
      </w:r>
      <w:r w:rsidR="00D70069">
        <w:rPr>
          <w:szCs w:val="22"/>
        </w:rPr>
        <w:t>-</w:t>
      </w:r>
      <w:r w:rsidR="00C55774" w:rsidRPr="00A867DB">
        <w:rPr>
          <w:szCs w:val="22"/>
        </w:rPr>
        <w:t>up activities to one data collection site named the PLCO Central Data Collection Center (CDCC). The CDCC will conduct all active data collection to ascertain cancer and vital status with participants, relatives, physicians, and medical records and pathology departments for those participants who agree</w:t>
      </w:r>
      <w:r w:rsidR="00557C9C">
        <w:rPr>
          <w:szCs w:val="22"/>
        </w:rPr>
        <w:t>d</w:t>
      </w:r>
      <w:r w:rsidR="00C55774" w:rsidRPr="00A867DB">
        <w:rPr>
          <w:szCs w:val="22"/>
        </w:rPr>
        <w:t xml:space="preserve"> to be followed by the CDCC. The CDCC will also conduct passive data collection</w:t>
      </w:r>
      <w:r w:rsidR="00DF106F">
        <w:rPr>
          <w:rFonts w:hint="eastAsia"/>
          <w:szCs w:val="22"/>
          <w:lang w:eastAsia="zh-CN"/>
        </w:rPr>
        <w:t>,</w:t>
      </w:r>
      <w:r w:rsidR="00C55774" w:rsidRPr="00A867DB">
        <w:rPr>
          <w:szCs w:val="22"/>
        </w:rPr>
        <w:t xml:space="preserve"> i.</w:t>
      </w:r>
      <w:r w:rsidR="00C55774" w:rsidRPr="00C013CD">
        <w:rPr>
          <w:szCs w:val="22"/>
        </w:rPr>
        <w:t xml:space="preserve">e., </w:t>
      </w:r>
      <w:r w:rsidR="005463F4" w:rsidRPr="00C013CD">
        <w:rPr>
          <w:szCs w:val="22"/>
        </w:rPr>
        <w:t>submission to tumor registries, and the National Death Index</w:t>
      </w:r>
      <w:r w:rsidR="00C55774" w:rsidRPr="00C013CD">
        <w:rPr>
          <w:szCs w:val="22"/>
        </w:rPr>
        <w:t xml:space="preserve"> (NDI), for participants</w:t>
      </w:r>
      <w:r w:rsidR="00BD0E0C" w:rsidRPr="00DB0965">
        <w:rPr>
          <w:szCs w:val="22"/>
        </w:rPr>
        <w:t xml:space="preserve"> who transfer</w:t>
      </w:r>
      <w:r w:rsidR="00BD0E0C">
        <w:rPr>
          <w:szCs w:val="22"/>
        </w:rPr>
        <w:t>red to the CDCC</w:t>
      </w:r>
      <w:r w:rsidR="00C55774" w:rsidRPr="00A867DB">
        <w:rPr>
          <w:szCs w:val="22"/>
        </w:rPr>
        <w:t xml:space="preserve"> and participants who are lost to follow</w:t>
      </w:r>
      <w:r w:rsidR="00D70069">
        <w:rPr>
          <w:szCs w:val="22"/>
        </w:rPr>
        <w:t>-</w:t>
      </w:r>
      <w:r w:rsidR="00C55774" w:rsidRPr="00A867DB">
        <w:rPr>
          <w:szCs w:val="22"/>
        </w:rPr>
        <w:t>up or deceased, and it will coordinate passive data collection by the former SCs for participants who agree</w:t>
      </w:r>
      <w:r w:rsidR="00557C9C">
        <w:rPr>
          <w:szCs w:val="22"/>
        </w:rPr>
        <w:t>d to continued follow</w:t>
      </w:r>
      <w:r w:rsidR="00551F5F">
        <w:rPr>
          <w:szCs w:val="22"/>
        </w:rPr>
        <w:t>-</w:t>
      </w:r>
      <w:r w:rsidR="00557C9C">
        <w:rPr>
          <w:szCs w:val="22"/>
        </w:rPr>
        <w:t>up, but did</w:t>
      </w:r>
      <w:r w:rsidR="00C55774" w:rsidRPr="00A867DB">
        <w:rPr>
          <w:szCs w:val="22"/>
        </w:rPr>
        <w:t xml:space="preserve"> not agree to be contacted by a new data collection site.</w:t>
      </w:r>
      <w:r w:rsidR="00C55774" w:rsidRPr="00A867DB" w:rsidDel="002D7A64">
        <w:rPr>
          <w:szCs w:val="22"/>
        </w:rPr>
        <w:t xml:space="preserve">  </w:t>
      </w:r>
    </w:p>
    <w:p w:rsidR="00C55774" w:rsidRPr="00CB23B7" w:rsidRDefault="00C56D75" w:rsidP="00C55774">
      <w:pPr>
        <w:spacing w:line="480" w:lineRule="auto"/>
        <w:ind w:firstLine="720"/>
        <w:rPr>
          <w:szCs w:val="22"/>
          <w:highlight w:val="yellow"/>
        </w:rPr>
      </w:pPr>
      <w:r w:rsidRPr="00A867DB">
        <w:rPr>
          <w:szCs w:val="22"/>
        </w:rPr>
        <w:t xml:space="preserve">With the extensive questionnaire and clinical data and the rich collection of </w:t>
      </w:r>
      <w:proofErr w:type="spellStart"/>
      <w:r w:rsidRPr="00A867DB">
        <w:rPr>
          <w:szCs w:val="22"/>
        </w:rPr>
        <w:t>biospecimens</w:t>
      </w:r>
      <w:proofErr w:type="spellEnd"/>
      <w:r w:rsidRPr="00A867DB">
        <w:rPr>
          <w:szCs w:val="22"/>
        </w:rPr>
        <w:t xml:space="preserve"> collected at multiple time points before and after cancer diagnosis, the PLCO Trial has proven to be </w:t>
      </w:r>
      <w:r w:rsidR="0040485C">
        <w:rPr>
          <w:szCs w:val="22"/>
        </w:rPr>
        <w:t xml:space="preserve">an </w:t>
      </w:r>
      <w:r w:rsidRPr="00A867DB">
        <w:rPr>
          <w:szCs w:val="22"/>
        </w:rPr>
        <w:t>extremely valuable resource for research in cancer prevention and molecular epidemiology.</w:t>
      </w:r>
      <w:r w:rsidR="008D20C5" w:rsidRPr="00D3286C">
        <w:rPr>
          <w:szCs w:val="22"/>
        </w:rPr>
        <w:t xml:space="preserve"> </w:t>
      </w:r>
      <w:r w:rsidR="00B83786" w:rsidRPr="00D3286C">
        <w:rPr>
          <w:szCs w:val="22"/>
        </w:rPr>
        <w:t>E</w:t>
      </w:r>
      <w:r w:rsidR="008D20C5" w:rsidRPr="00D3286C">
        <w:rPr>
          <w:szCs w:val="22"/>
        </w:rPr>
        <w:t xml:space="preserve">tiologic and early marker studies are being carried out to address hypotheses concerning potential carcinogenic and anti-carcinogenic exposures and genetic susceptibility to disease risk.  Biochemical and genetic studies of cancer etiology will typically involve comparison of risk factors between cases and a similar number of comparison subjects.  Studies to evaluate the natural history of disease and to characterize early markers will be carried out utilizing </w:t>
      </w:r>
      <w:r w:rsidR="00882A61" w:rsidRPr="00D3286C">
        <w:rPr>
          <w:szCs w:val="22"/>
        </w:rPr>
        <w:t xml:space="preserve">previously </w:t>
      </w:r>
      <w:r w:rsidR="008D20C5" w:rsidRPr="00D3286C">
        <w:rPr>
          <w:szCs w:val="22"/>
        </w:rPr>
        <w:t>sequential</w:t>
      </w:r>
      <w:r w:rsidR="00AC3EDF" w:rsidRPr="00D3286C">
        <w:rPr>
          <w:szCs w:val="22"/>
        </w:rPr>
        <w:t>ly</w:t>
      </w:r>
      <w:r w:rsidR="008D20C5" w:rsidRPr="00D3286C">
        <w:rPr>
          <w:szCs w:val="22"/>
        </w:rPr>
        <w:t xml:space="preserve"> </w:t>
      </w:r>
      <w:r w:rsidR="00882A61" w:rsidRPr="00D3286C">
        <w:rPr>
          <w:szCs w:val="22"/>
        </w:rPr>
        <w:t>collected</w:t>
      </w:r>
      <w:r w:rsidR="008D20C5" w:rsidRPr="00D3286C">
        <w:rPr>
          <w:szCs w:val="22"/>
        </w:rPr>
        <w:t xml:space="preserve"> samples to relate biochemical changes in blood to the pre-diagnostic course of disease development.</w:t>
      </w:r>
      <w:r w:rsidR="00D24DD1" w:rsidRPr="00D3286C">
        <w:rPr>
          <w:szCs w:val="22"/>
        </w:rPr>
        <w:t xml:space="preserve"> </w:t>
      </w:r>
      <w:r w:rsidR="008D20C5" w:rsidRPr="00D3286C">
        <w:rPr>
          <w:szCs w:val="22"/>
        </w:rPr>
        <w:t>The etiology and early marker component is fully integrated with the early detection component of the Trial</w:t>
      </w:r>
      <w:r w:rsidR="00D24DD1" w:rsidRPr="00D3286C">
        <w:rPr>
          <w:szCs w:val="22"/>
        </w:rPr>
        <w:t xml:space="preserve"> and </w:t>
      </w:r>
      <w:r w:rsidR="00882A61" w:rsidRPr="00D3286C">
        <w:rPr>
          <w:szCs w:val="22"/>
        </w:rPr>
        <w:t xml:space="preserve">was </w:t>
      </w:r>
      <w:r w:rsidR="008D20C5" w:rsidRPr="00D3286C">
        <w:rPr>
          <w:szCs w:val="22"/>
        </w:rPr>
        <w:t>explained to participants</w:t>
      </w:r>
      <w:r w:rsidR="00D24DD1" w:rsidRPr="00D3286C">
        <w:rPr>
          <w:szCs w:val="22"/>
        </w:rPr>
        <w:t>.</w:t>
      </w:r>
      <w:r w:rsidR="008D20C5" w:rsidRPr="00D3286C">
        <w:rPr>
          <w:szCs w:val="22"/>
        </w:rPr>
        <w:t xml:space="preserve"> </w:t>
      </w:r>
      <w:r w:rsidR="00D24DD1" w:rsidRPr="00D3286C">
        <w:rPr>
          <w:szCs w:val="22"/>
        </w:rPr>
        <w:t>T</w:t>
      </w:r>
      <w:r w:rsidR="008D20C5" w:rsidRPr="00D3286C">
        <w:rPr>
          <w:szCs w:val="22"/>
        </w:rPr>
        <w:t xml:space="preserve">hey </w:t>
      </w:r>
      <w:r w:rsidR="00882A61" w:rsidRPr="00D3286C">
        <w:rPr>
          <w:szCs w:val="22"/>
        </w:rPr>
        <w:t xml:space="preserve">were </w:t>
      </w:r>
      <w:r w:rsidR="008D20C5" w:rsidRPr="00D3286C">
        <w:rPr>
          <w:szCs w:val="22"/>
        </w:rPr>
        <w:t xml:space="preserve">offered the opportunity to participate in these additional studies of cancer and other diseases which affect their age group.  Participation in the additional studies </w:t>
      </w:r>
      <w:r w:rsidR="008E12AD" w:rsidRPr="00D3286C">
        <w:rPr>
          <w:szCs w:val="22"/>
        </w:rPr>
        <w:t>was</w:t>
      </w:r>
      <w:r w:rsidR="008D20C5" w:rsidRPr="00D3286C">
        <w:rPr>
          <w:szCs w:val="22"/>
        </w:rPr>
        <w:t xml:space="preserve"> completely voluntary</w:t>
      </w:r>
      <w:r w:rsidR="00551447" w:rsidRPr="00D3286C">
        <w:rPr>
          <w:szCs w:val="22"/>
        </w:rPr>
        <w:t xml:space="preserve">. </w:t>
      </w:r>
    </w:p>
    <w:p w:rsidR="00E151CE" w:rsidRDefault="00E151CE" w:rsidP="00A233E3">
      <w:pPr>
        <w:pStyle w:val="Heading2"/>
        <w:spacing w:after="0" w:line="480" w:lineRule="auto"/>
        <w:ind w:left="720" w:hanging="720"/>
        <w:rPr>
          <w:szCs w:val="22"/>
        </w:rPr>
      </w:pPr>
      <w:bookmarkStart w:id="7" w:name="_Toc295119895"/>
    </w:p>
    <w:p w:rsidR="008D20C5" w:rsidRPr="00D3286C" w:rsidRDefault="00A233E3" w:rsidP="00A233E3">
      <w:pPr>
        <w:pStyle w:val="Heading2"/>
        <w:spacing w:after="0" w:line="480" w:lineRule="auto"/>
        <w:ind w:left="720" w:hanging="720"/>
        <w:rPr>
          <w:szCs w:val="22"/>
        </w:rPr>
      </w:pPr>
      <w:r w:rsidRPr="00D3286C">
        <w:rPr>
          <w:szCs w:val="22"/>
        </w:rPr>
        <w:t>A.</w:t>
      </w:r>
      <w:r w:rsidR="008D20C5" w:rsidRPr="00D3286C">
        <w:rPr>
          <w:szCs w:val="22"/>
        </w:rPr>
        <w:t>2.</w:t>
      </w:r>
      <w:r w:rsidR="008D20C5" w:rsidRPr="00D3286C">
        <w:rPr>
          <w:szCs w:val="22"/>
        </w:rPr>
        <w:tab/>
        <w:t>Purpose and Use of the Information</w:t>
      </w:r>
      <w:bookmarkEnd w:id="7"/>
    </w:p>
    <w:p w:rsidR="008D20C5" w:rsidRPr="00D3286C" w:rsidRDefault="008D20C5" w:rsidP="00A46EE5">
      <w:pPr>
        <w:pStyle w:val="P1-StandPara"/>
        <w:rPr>
          <w:szCs w:val="22"/>
        </w:rPr>
      </w:pPr>
      <w:r w:rsidRPr="00D3286C">
        <w:rPr>
          <w:szCs w:val="22"/>
        </w:rPr>
        <w:t xml:space="preserve">Trials adequate to answer questions of risk and benefit </w:t>
      </w:r>
      <w:r w:rsidR="005F27C0" w:rsidRPr="00D3286C">
        <w:rPr>
          <w:szCs w:val="22"/>
        </w:rPr>
        <w:t>of</w:t>
      </w:r>
      <w:r w:rsidR="008205CC" w:rsidRPr="00D3286C">
        <w:rPr>
          <w:szCs w:val="22"/>
        </w:rPr>
        <w:t xml:space="preserve"> </w:t>
      </w:r>
      <w:r w:rsidR="00EC20E2" w:rsidRPr="00E64720">
        <w:rPr>
          <w:szCs w:val="22"/>
        </w:rPr>
        <w:t>the</w:t>
      </w:r>
      <w:r w:rsidR="008205CC" w:rsidRPr="00E64720">
        <w:rPr>
          <w:szCs w:val="22"/>
        </w:rPr>
        <w:t xml:space="preserve"> </w:t>
      </w:r>
      <w:r w:rsidR="005E266B">
        <w:rPr>
          <w:szCs w:val="22"/>
        </w:rPr>
        <w:t xml:space="preserve">cancer </w:t>
      </w:r>
      <w:r w:rsidR="008205CC" w:rsidRPr="00E64720">
        <w:rPr>
          <w:szCs w:val="22"/>
        </w:rPr>
        <w:t xml:space="preserve">screening </w:t>
      </w:r>
      <w:r w:rsidR="00EC20E2" w:rsidRPr="00E64720">
        <w:rPr>
          <w:szCs w:val="22"/>
        </w:rPr>
        <w:t xml:space="preserve">modalities used in this trial </w:t>
      </w:r>
      <w:r w:rsidRPr="00E64720">
        <w:rPr>
          <w:szCs w:val="22"/>
        </w:rPr>
        <w:t xml:space="preserve">have not been </w:t>
      </w:r>
      <w:r w:rsidR="00261A77" w:rsidRPr="00E64720">
        <w:rPr>
          <w:szCs w:val="22"/>
        </w:rPr>
        <w:t xml:space="preserve">previously </w:t>
      </w:r>
      <w:r w:rsidRPr="00E64720">
        <w:rPr>
          <w:szCs w:val="22"/>
        </w:rPr>
        <w:t>conducted</w:t>
      </w:r>
      <w:r w:rsidR="00EC20E2" w:rsidRPr="00E64720">
        <w:rPr>
          <w:szCs w:val="22"/>
        </w:rPr>
        <w:t xml:space="preserve"> in the United States</w:t>
      </w:r>
      <w:r w:rsidRPr="00E64720">
        <w:rPr>
          <w:szCs w:val="22"/>
        </w:rPr>
        <w:t>, so there is no other source</w:t>
      </w:r>
      <w:r w:rsidRPr="00D3286C">
        <w:rPr>
          <w:szCs w:val="22"/>
        </w:rPr>
        <w:t xml:space="preserve"> from which to obtain the data.  The scientific goals, design, and clinical process for generating the data have been subjected to multiple peer reviews.  Contamination in the control arm and non</w:t>
      </w:r>
      <w:r w:rsidRPr="00D3286C">
        <w:rPr>
          <w:szCs w:val="22"/>
        </w:rPr>
        <w:softHyphen/>
        <w:t>compliance in the screened arm were explicitly considered in the statistical design.  Anticipated levels of contamination and non</w:t>
      </w:r>
      <w:r w:rsidRPr="00D3286C">
        <w:rPr>
          <w:szCs w:val="22"/>
        </w:rPr>
        <w:noBreakHyphen/>
        <w:t>compliance were estimated from available literature and are monitored during the trial.  The sizes of the mortality differences between screened and control arms for each cancer site detectable in the trial were determined in the presence of anticipated levels of contamination and non</w:t>
      </w:r>
      <w:r w:rsidRPr="00D3286C">
        <w:rPr>
          <w:szCs w:val="22"/>
        </w:rPr>
        <w:noBreakHyphen/>
        <w:t xml:space="preserve">compliance.  The PLCO Screening Trial was designed to achieve maximum financial efficiency while achieving the scientific goals of the research.  Separate trials to answer the questions of screening effectiveness in the </w:t>
      </w:r>
      <w:r w:rsidRPr="004679C2">
        <w:rPr>
          <w:szCs w:val="22"/>
        </w:rPr>
        <w:t xml:space="preserve">four </w:t>
      </w:r>
      <w:r w:rsidR="000E1B32" w:rsidRPr="000E1B32">
        <w:rPr>
          <w:szCs w:val="22"/>
        </w:rPr>
        <w:t>cancer</w:t>
      </w:r>
      <w:r w:rsidR="005E04D0" w:rsidRPr="004679C2">
        <w:rPr>
          <w:szCs w:val="22"/>
        </w:rPr>
        <w:t xml:space="preserve"> </w:t>
      </w:r>
      <w:r w:rsidRPr="004679C2">
        <w:rPr>
          <w:szCs w:val="22"/>
        </w:rPr>
        <w:t xml:space="preserve">sites </w:t>
      </w:r>
      <w:r w:rsidR="000E1B32" w:rsidRPr="000E1B32">
        <w:rPr>
          <w:szCs w:val="22"/>
        </w:rPr>
        <w:t xml:space="preserve">(prostate, lung, </w:t>
      </w:r>
      <w:r w:rsidR="00A867DB" w:rsidRPr="000E1B32">
        <w:rPr>
          <w:szCs w:val="22"/>
        </w:rPr>
        <w:t>colorectal</w:t>
      </w:r>
      <w:r w:rsidR="00F52481">
        <w:rPr>
          <w:szCs w:val="22"/>
        </w:rPr>
        <w:t>,</w:t>
      </w:r>
      <w:r w:rsidR="000E1B32" w:rsidRPr="000E1B32">
        <w:rPr>
          <w:szCs w:val="22"/>
        </w:rPr>
        <w:t xml:space="preserve"> and ovary)</w:t>
      </w:r>
      <w:r w:rsidR="005E04D0" w:rsidRPr="004679C2">
        <w:rPr>
          <w:szCs w:val="22"/>
        </w:rPr>
        <w:t xml:space="preserve"> </w:t>
      </w:r>
      <w:r w:rsidRPr="004679C2">
        <w:rPr>
          <w:szCs w:val="22"/>
        </w:rPr>
        <w:t>individually would have cost two to four times as</w:t>
      </w:r>
      <w:r w:rsidRPr="00D3286C">
        <w:rPr>
          <w:szCs w:val="22"/>
        </w:rPr>
        <w:t xml:space="preserve"> much due to replication of study infrastructure.  The technologies being tested </w:t>
      </w:r>
      <w:r w:rsidR="00D026A1">
        <w:rPr>
          <w:szCs w:val="22"/>
        </w:rPr>
        <w:t>were</w:t>
      </w:r>
      <w:r w:rsidR="00D026A1" w:rsidRPr="00D3286C">
        <w:rPr>
          <w:szCs w:val="22"/>
        </w:rPr>
        <w:t xml:space="preserve"> </w:t>
      </w:r>
      <w:r w:rsidRPr="00D3286C">
        <w:rPr>
          <w:szCs w:val="22"/>
        </w:rPr>
        <w:t xml:space="preserve">of current interest, because they </w:t>
      </w:r>
      <w:r w:rsidR="00D026A1">
        <w:rPr>
          <w:szCs w:val="22"/>
        </w:rPr>
        <w:t>were</w:t>
      </w:r>
      <w:r w:rsidR="00D026A1" w:rsidRPr="00D3286C">
        <w:rPr>
          <w:szCs w:val="22"/>
        </w:rPr>
        <w:t xml:space="preserve"> </w:t>
      </w:r>
      <w:r w:rsidRPr="00D3286C">
        <w:rPr>
          <w:szCs w:val="22"/>
        </w:rPr>
        <w:t>being considered by clinicians for screening. The PLCO primary endpoint is cancer</w:t>
      </w:r>
      <w:r w:rsidRPr="00D3286C">
        <w:rPr>
          <w:szCs w:val="22"/>
        </w:rPr>
        <w:noBreakHyphen/>
        <w:t xml:space="preserve">specific mortality for each of the four cancer sites.  In addition, cancer incidence, stage shift, and case survival are to be monitored to help understand and explain the results.  Biologic prognostic characteristics of the cancers </w:t>
      </w:r>
      <w:r w:rsidR="001E6D29" w:rsidRPr="00D3286C">
        <w:rPr>
          <w:szCs w:val="22"/>
        </w:rPr>
        <w:t>were m</w:t>
      </w:r>
      <w:r w:rsidRPr="00D3286C">
        <w:rPr>
          <w:szCs w:val="22"/>
        </w:rPr>
        <w:t xml:space="preserve">easured and </w:t>
      </w:r>
      <w:r w:rsidR="001E6D29" w:rsidRPr="00D3286C">
        <w:rPr>
          <w:szCs w:val="22"/>
        </w:rPr>
        <w:t xml:space="preserve">will continue to be </w:t>
      </w:r>
      <w:r w:rsidRPr="00D3286C">
        <w:rPr>
          <w:szCs w:val="22"/>
        </w:rPr>
        <w:t>correlated with mortality to determine the mortality predictive value of these intermediate endpoints.</w:t>
      </w:r>
      <w:r w:rsidR="0065747D" w:rsidRPr="00D3286C">
        <w:rPr>
          <w:szCs w:val="22"/>
        </w:rPr>
        <w:t xml:space="preserve">  </w:t>
      </w:r>
    </w:p>
    <w:p w:rsidR="008D20C5" w:rsidRPr="00D3286C" w:rsidRDefault="008D20C5" w:rsidP="007807C2">
      <w:pPr>
        <w:pStyle w:val="P1-StandPara"/>
        <w:rPr>
          <w:szCs w:val="22"/>
        </w:rPr>
      </w:pPr>
      <w:r w:rsidRPr="00D3286C">
        <w:rPr>
          <w:szCs w:val="22"/>
        </w:rPr>
        <w:t xml:space="preserve">Basic demographic, screening history, and risk factor data for the four cancer sites, as collected from all participants at baseline, will be used to assure comparability between the screening and control groups and make appropriate adjustments in analysis.  Further, demographic and risk factor information will be used to analyze the differential effectiveness of </w:t>
      </w:r>
      <w:r w:rsidR="005E266B">
        <w:rPr>
          <w:szCs w:val="22"/>
        </w:rPr>
        <w:t xml:space="preserve">cancer </w:t>
      </w:r>
      <w:r w:rsidRPr="00D3286C">
        <w:rPr>
          <w:szCs w:val="22"/>
        </w:rPr>
        <w:t>screening in high vs. low risk individuals.  It is also important to have this baseline data in order to characterize participants who drop out of the study.</w:t>
      </w:r>
      <w:r w:rsidR="00261A77">
        <w:rPr>
          <w:szCs w:val="22"/>
        </w:rPr>
        <w:t xml:space="preserve">  </w:t>
      </w:r>
    </w:p>
    <w:p w:rsidR="002D5B0F" w:rsidRDefault="00DC7B7E" w:rsidP="0066665F">
      <w:pPr>
        <w:spacing w:line="480" w:lineRule="auto"/>
        <w:rPr>
          <w:szCs w:val="22"/>
        </w:rPr>
      </w:pPr>
      <w:r w:rsidRPr="00D3286C">
        <w:rPr>
          <w:szCs w:val="22"/>
        </w:rPr>
        <w:tab/>
      </w:r>
      <w:bookmarkStart w:id="8" w:name="_Toc286390820"/>
      <w:r w:rsidR="00F30DB2" w:rsidRPr="00E1043A">
        <w:rPr>
          <w:szCs w:val="22"/>
        </w:rPr>
        <w:t>It is critical that the PLCO participants continue to be followed to determine the long term effects of screening on incidence and mortality for the four target cancers.</w:t>
      </w:r>
      <w:r w:rsidR="00986EAD">
        <w:rPr>
          <w:szCs w:val="22"/>
        </w:rPr>
        <w:t xml:space="preserve"> </w:t>
      </w:r>
      <w:r w:rsidR="009D649A" w:rsidRPr="00CB23B7">
        <w:rPr>
          <w:szCs w:val="22"/>
        </w:rPr>
        <w:t xml:space="preserve"> </w:t>
      </w:r>
      <w:r w:rsidRPr="00CB23B7">
        <w:rPr>
          <w:szCs w:val="22"/>
        </w:rPr>
        <w:t>During the past three years</w:t>
      </w:r>
      <w:r w:rsidR="00557C9C">
        <w:rPr>
          <w:szCs w:val="22"/>
        </w:rPr>
        <w:t>,</w:t>
      </w:r>
      <w:r w:rsidRPr="00CB23B7">
        <w:rPr>
          <w:szCs w:val="22"/>
        </w:rPr>
        <w:t xml:space="preserve"> ongoing data collection has consisted of ascertaining and confirming new cancers </w:t>
      </w:r>
      <w:r w:rsidRPr="00DB0965">
        <w:rPr>
          <w:szCs w:val="22"/>
        </w:rPr>
        <w:t xml:space="preserve">and </w:t>
      </w:r>
      <w:r w:rsidR="005463F4" w:rsidRPr="00DB0965">
        <w:rPr>
          <w:szCs w:val="22"/>
        </w:rPr>
        <w:t>determining vital status</w:t>
      </w:r>
      <w:r w:rsidRPr="00DB0965">
        <w:rPr>
          <w:szCs w:val="22"/>
        </w:rPr>
        <w:t xml:space="preserve"> for</w:t>
      </w:r>
      <w:r w:rsidRPr="00CB23B7">
        <w:rPr>
          <w:szCs w:val="22"/>
        </w:rPr>
        <w:t xml:space="preserve"> each participant.</w:t>
      </w:r>
      <w:bookmarkEnd w:id="8"/>
      <w:r w:rsidR="009744FD" w:rsidRPr="00CB23B7">
        <w:rPr>
          <w:szCs w:val="22"/>
        </w:rPr>
        <w:t xml:space="preserve"> </w:t>
      </w:r>
      <w:r w:rsidR="009D649A" w:rsidRPr="00CB23B7">
        <w:t xml:space="preserve"> </w:t>
      </w:r>
      <w:r w:rsidR="009D649A" w:rsidRPr="00CB23B7">
        <w:rPr>
          <w:szCs w:val="22"/>
        </w:rPr>
        <w:t>The data collection instruments include</w:t>
      </w:r>
      <w:r w:rsidR="000141E0">
        <w:rPr>
          <w:szCs w:val="22"/>
        </w:rPr>
        <w:t>d</w:t>
      </w:r>
      <w:r w:rsidR="009D649A" w:rsidRPr="00CB23B7">
        <w:rPr>
          <w:szCs w:val="22"/>
        </w:rPr>
        <w:t xml:space="preserve"> the Annual Study Update (</w:t>
      </w:r>
      <w:r w:rsidR="00C56D75" w:rsidRPr="00E63C9E">
        <w:rPr>
          <w:b/>
          <w:szCs w:val="22"/>
          <w:highlight w:val="yellow"/>
        </w:rPr>
        <w:t xml:space="preserve">Attachment </w:t>
      </w:r>
      <w:r w:rsidR="00E63C9E" w:rsidRPr="00E63C9E">
        <w:rPr>
          <w:b/>
          <w:szCs w:val="22"/>
          <w:highlight w:val="yellow"/>
        </w:rPr>
        <w:t>1</w:t>
      </w:r>
      <w:r w:rsidR="009D649A" w:rsidRPr="00CB23B7">
        <w:rPr>
          <w:szCs w:val="22"/>
        </w:rPr>
        <w:t>), the Health Status Questionnaire (</w:t>
      </w:r>
      <w:r w:rsidR="00C56D75" w:rsidRPr="00E63C9E">
        <w:rPr>
          <w:b/>
          <w:szCs w:val="22"/>
          <w:highlight w:val="yellow"/>
        </w:rPr>
        <w:t>Attachment</w:t>
      </w:r>
      <w:r w:rsidR="008429F4" w:rsidRPr="00E63C9E">
        <w:rPr>
          <w:b/>
          <w:szCs w:val="22"/>
          <w:highlight w:val="yellow"/>
        </w:rPr>
        <w:t>s</w:t>
      </w:r>
      <w:r w:rsidR="00C56D75" w:rsidRPr="00E63C9E">
        <w:rPr>
          <w:b/>
          <w:szCs w:val="22"/>
          <w:highlight w:val="yellow"/>
        </w:rPr>
        <w:t xml:space="preserve"> </w:t>
      </w:r>
      <w:r w:rsidR="00E63C9E" w:rsidRPr="00E63C9E">
        <w:rPr>
          <w:b/>
          <w:szCs w:val="22"/>
          <w:highlight w:val="yellow"/>
        </w:rPr>
        <w:t>2</w:t>
      </w:r>
      <w:r w:rsidR="00C56D75" w:rsidRPr="00E63C9E">
        <w:rPr>
          <w:b/>
          <w:szCs w:val="22"/>
          <w:highlight w:val="yellow"/>
        </w:rPr>
        <w:t xml:space="preserve">A and </w:t>
      </w:r>
      <w:r w:rsidR="00E63C9E" w:rsidRPr="00E63C9E">
        <w:rPr>
          <w:b/>
          <w:szCs w:val="22"/>
          <w:highlight w:val="yellow"/>
        </w:rPr>
        <w:t>2</w:t>
      </w:r>
      <w:r w:rsidR="00C56D75" w:rsidRPr="00E63C9E">
        <w:rPr>
          <w:b/>
          <w:szCs w:val="22"/>
          <w:highlight w:val="yellow"/>
        </w:rPr>
        <w:t>B</w:t>
      </w:r>
      <w:r w:rsidR="009D649A" w:rsidRPr="00CB23B7">
        <w:rPr>
          <w:b/>
          <w:szCs w:val="22"/>
        </w:rPr>
        <w:t>)</w:t>
      </w:r>
      <w:r w:rsidR="009D649A" w:rsidRPr="00CB23B7">
        <w:rPr>
          <w:szCs w:val="22"/>
        </w:rPr>
        <w:t xml:space="preserve"> </w:t>
      </w:r>
      <w:r w:rsidR="009D649A" w:rsidRPr="00E64720">
        <w:rPr>
          <w:szCs w:val="22"/>
        </w:rPr>
        <w:t xml:space="preserve">and the </w:t>
      </w:r>
      <w:r w:rsidR="00A2462A" w:rsidRPr="0066665F">
        <w:rPr>
          <w:szCs w:val="22"/>
        </w:rPr>
        <w:t>Medication Use Questionnaire (MUQ) (</w:t>
      </w:r>
      <w:r w:rsidR="00E63C9E" w:rsidRPr="00E63C9E">
        <w:rPr>
          <w:b/>
          <w:szCs w:val="22"/>
          <w:highlight w:val="yellow"/>
        </w:rPr>
        <w:t>Attachment 4</w:t>
      </w:r>
      <w:r w:rsidR="0066665F">
        <w:rPr>
          <w:b/>
          <w:szCs w:val="22"/>
        </w:rPr>
        <w:t>)</w:t>
      </w:r>
      <w:r w:rsidR="00DE5E3F" w:rsidRPr="00E1043A">
        <w:rPr>
          <w:szCs w:val="22"/>
        </w:rPr>
        <w:t xml:space="preserve"> </w:t>
      </w:r>
      <w:r w:rsidR="00456D65">
        <w:rPr>
          <w:szCs w:val="22"/>
        </w:rPr>
        <w:t xml:space="preserve">all of which are </w:t>
      </w:r>
      <w:r w:rsidR="00DE5E3F" w:rsidRPr="00E1043A">
        <w:rPr>
          <w:szCs w:val="22"/>
        </w:rPr>
        <w:t>self-admin</w:t>
      </w:r>
      <w:r w:rsidR="00E1043A">
        <w:rPr>
          <w:szCs w:val="22"/>
        </w:rPr>
        <w:t>i</w:t>
      </w:r>
      <w:r w:rsidR="00DE5E3F" w:rsidRPr="00E1043A">
        <w:rPr>
          <w:szCs w:val="22"/>
        </w:rPr>
        <w:t>stered.</w:t>
      </w:r>
      <w:r w:rsidR="000E1B32" w:rsidRPr="00E64720">
        <w:rPr>
          <w:szCs w:val="22"/>
        </w:rPr>
        <w:t xml:space="preserve"> </w:t>
      </w:r>
    </w:p>
    <w:p w:rsidR="00DC7B7E" w:rsidRPr="00375611" w:rsidRDefault="000E1B32" w:rsidP="00DB0965">
      <w:pPr>
        <w:spacing w:line="480" w:lineRule="auto"/>
        <w:ind w:firstLine="720"/>
        <w:rPr>
          <w:strike/>
          <w:szCs w:val="22"/>
        </w:rPr>
      </w:pPr>
      <w:r w:rsidRPr="00E64720">
        <w:rPr>
          <w:szCs w:val="22"/>
        </w:rPr>
        <w:t>The Health Status Questionnaire is gender specific and is mailed</w:t>
      </w:r>
      <w:r w:rsidR="00A2462A">
        <w:rPr>
          <w:szCs w:val="22"/>
        </w:rPr>
        <w:t xml:space="preserve"> </w:t>
      </w:r>
      <w:r w:rsidR="00FF59B0" w:rsidRPr="003E5439">
        <w:rPr>
          <w:szCs w:val="22"/>
          <w:highlight w:val="yellow"/>
        </w:rPr>
        <w:t>annually to</w:t>
      </w:r>
      <w:r w:rsidRPr="003E5439">
        <w:rPr>
          <w:szCs w:val="22"/>
          <w:highlight w:val="yellow"/>
        </w:rPr>
        <w:t xml:space="preserve"> a subset of 2,000 participants. The Annual Study Update </w:t>
      </w:r>
      <w:r w:rsidR="00A2462A" w:rsidRPr="003E5439">
        <w:rPr>
          <w:szCs w:val="22"/>
          <w:highlight w:val="yellow"/>
        </w:rPr>
        <w:t xml:space="preserve">is </w:t>
      </w:r>
      <w:r w:rsidR="00C56D75" w:rsidRPr="003E5439">
        <w:rPr>
          <w:szCs w:val="22"/>
          <w:highlight w:val="yellow"/>
        </w:rPr>
        <w:t xml:space="preserve">mailed </w:t>
      </w:r>
      <w:r w:rsidR="00706AC5" w:rsidRPr="003E5439">
        <w:rPr>
          <w:szCs w:val="22"/>
          <w:highlight w:val="yellow"/>
        </w:rPr>
        <w:t>to</w:t>
      </w:r>
      <w:r w:rsidR="00A2462A" w:rsidRPr="003E5439">
        <w:rPr>
          <w:szCs w:val="22"/>
          <w:highlight w:val="yellow"/>
        </w:rPr>
        <w:t xml:space="preserve"> all active</w:t>
      </w:r>
      <w:r w:rsidR="00706AC5" w:rsidRPr="003E5439">
        <w:rPr>
          <w:szCs w:val="22"/>
          <w:highlight w:val="yellow"/>
        </w:rPr>
        <w:t xml:space="preserve"> participants.</w:t>
      </w:r>
      <w:r w:rsidRPr="003E5439">
        <w:rPr>
          <w:szCs w:val="22"/>
          <w:highlight w:val="yellow"/>
        </w:rPr>
        <w:t xml:space="preserve">  </w:t>
      </w:r>
      <w:r w:rsidR="00A2462A" w:rsidRPr="003E5439">
        <w:rPr>
          <w:szCs w:val="22"/>
          <w:highlight w:val="yellow"/>
        </w:rPr>
        <w:t xml:space="preserve">The MUQ was </w:t>
      </w:r>
      <w:r w:rsidR="00D53EA2" w:rsidRPr="00D53EA2">
        <w:rPr>
          <w:szCs w:val="22"/>
          <w:highlight w:val="yellow"/>
        </w:rPr>
        <w:t>administered</w:t>
      </w:r>
      <w:r w:rsidR="00A2462A" w:rsidRPr="003E5439">
        <w:rPr>
          <w:szCs w:val="22"/>
          <w:highlight w:val="yellow"/>
        </w:rPr>
        <w:t xml:space="preserve"> once during the last approval period. </w:t>
      </w:r>
    </w:p>
    <w:p w:rsidR="00363469" w:rsidRDefault="00363469" w:rsidP="00A233E3">
      <w:pPr>
        <w:pStyle w:val="Heading2"/>
        <w:spacing w:after="0" w:line="480" w:lineRule="auto"/>
        <w:ind w:left="720" w:hanging="720"/>
        <w:rPr>
          <w:szCs w:val="22"/>
        </w:rPr>
      </w:pPr>
      <w:bookmarkStart w:id="9" w:name="_Toc295119896"/>
    </w:p>
    <w:p w:rsidR="008D20C5" w:rsidRPr="00D3286C" w:rsidRDefault="00A233E3" w:rsidP="00A233E3">
      <w:pPr>
        <w:pStyle w:val="Heading2"/>
        <w:spacing w:after="0" w:line="480" w:lineRule="auto"/>
        <w:ind w:left="720" w:hanging="720"/>
        <w:rPr>
          <w:szCs w:val="22"/>
        </w:rPr>
      </w:pPr>
      <w:r w:rsidRPr="00D3286C">
        <w:rPr>
          <w:szCs w:val="22"/>
        </w:rPr>
        <w:t>A.</w:t>
      </w:r>
      <w:bookmarkStart w:id="10" w:name="_Toc443881744"/>
      <w:bookmarkStart w:id="11" w:name="_Toc451592233"/>
      <w:bookmarkStart w:id="12" w:name="_Toc5610274"/>
      <w:bookmarkStart w:id="13" w:name="_Toc194810107"/>
      <w:r w:rsidR="008D20C5" w:rsidRPr="00D3286C">
        <w:rPr>
          <w:szCs w:val="22"/>
        </w:rPr>
        <w:t>3.</w:t>
      </w:r>
      <w:r w:rsidR="008D20C5" w:rsidRPr="00D3286C">
        <w:rPr>
          <w:szCs w:val="22"/>
        </w:rPr>
        <w:tab/>
        <w:t xml:space="preserve">Use of </w:t>
      </w:r>
      <w:r w:rsidR="007E4AD7" w:rsidRPr="00D3286C">
        <w:rPr>
          <w:szCs w:val="22"/>
        </w:rPr>
        <w:t xml:space="preserve">Improved </w:t>
      </w:r>
      <w:r w:rsidR="008D20C5" w:rsidRPr="00D3286C">
        <w:rPr>
          <w:szCs w:val="22"/>
        </w:rPr>
        <w:t>Information Technology and Burden Reduction</w:t>
      </w:r>
      <w:bookmarkEnd w:id="9"/>
      <w:bookmarkEnd w:id="10"/>
      <w:bookmarkEnd w:id="11"/>
      <w:bookmarkEnd w:id="12"/>
      <w:bookmarkEnd w:id="13"/>
    </w:p>
    <w:p w:rsidR="00882A61" w:rsidRPr="00D3286C" w:rsidRDefault="008D20C5" w:rsidP="00A46EE5">
      <w:pPr>
        <w:pStyle w:val="P1-StandPara"/>
        <w:rPr>
          <w:szCs w:val="22"/>
        </w:rPr>
      </w:pPr>
      <w:r w:rsidRPr="00D3286C">
        <w:rPr>
          <w:szCs w:val="22"/>
        </w:rPr>
        <w:t>Computer</w:t>
      </w:r>
      <w:r w:rsidRPr="00D3286C">
        <w:rPr>
          <w:szCs w:val="22"/>
        </w:rPr>
        <w:noBreakHyphen/>
        <w:t>assisted telephone interviewing for the data collection instruments</w:t>
      </w:r>
      <w:r w:rsidR="004A14DD" w:rsidRPr="00D3286C">
        <w:rPr>
          <w:szCs w:val="22"/>
        </w:rPr>
        <w:t>,</w:t>
      </w:r>
      <w:r w:rsidRPr="00D3286C">
        <w:rPr>
          <w:szCs w:val="22"/>
        </w:rPr>
        <w:t xml:space="preserve"> including the Annual Study Update</w:t>
      </w:r>
      <w:r w:rsidR="00B76EE2" w:rsidRPr="00D3286C">
        <w:rPr>
          <w:szCs w:val="22"/>
        </w:rPr>
        <w:t xml:space="preserve"> (ASU),</w:t>
      </w:r>
      <w:r w:rsidRPr="00D3286C">
        <w:rPr>
          <w:szCs w:val="22"/>
        </w:rPr>
        <w:t xml:space="preserve"> Health Status Questionnaire</w:t>
      </w:r>
      <w:r w:rsidR="00B76EE2" w:rsidRPr="00D3286C">
        <w:rPr>
          <w:szCs w:val="22"/>
        </w:rPr>
        <w:t xml:space="preserve"> (HSQ), and the </w:t>
      </w:r>
      <w:r w:rsidR="005E266B" w:rsidRPr="00B36E5F">
        <w:rPr>
          <w:szCs w:val="22"/>
        </w:rPr>
        <w:t xml:space="preserve">Medication Use Questionnaire </w:t>
      </w:r>
      <w:r w:rsidR="00564527" w:rsidRPr="00B36E5F">
        <w:rPr>
          <w:szCs w:val="22"/>
        </w:rPr>
        <w:t xml:space="preserve">(MUQ) </w:t>
      </w:r>
      <w:r w:rsidRPr="00B36E5F">
        <w:rPr>
          <w:szCs w:val="22"/>
        </w:rPr>
        <w:t>w</w:t>
      </w:r>
      <w:r w:rsidR="004A14DD" w:rsidRPr="00B458DA">
        <w:rPr>
          <w:szCs w:val="22"/>
        </w:rPr>
        <w:t>as</w:t>
      </w:r>
      <w:r w:rsidRPr="008457E2">
        <w:rPr>
          <w:szCs w:val="22"/>
        </w:rPr>
        <w:t xml:space="preserve"> not consid</w:t>
      </w:r>
      <w:r w:rsidRPr="00E64720">
        <w:rPr>
          <w:szCs w:val="22"/>
        </w:rPr>
        <w:t>ered appropriate given the</w:t>
      </w:r>
      <w:r w:rsidR="00F763EB" w:rsidRPr="00E64720">
        <w:rPr>
          <w:szCs w:val="22"/>
        </w:rPr>
        <w:t>ir</w:t>
      </w:r>
      <w:r w:rsidRPr="00E64720">
        <w:rPr>
          <w:szCs w:val="22"/>
        </w:rPr>
        <w:t xml:space="preserve"> proposed method of administration.  These instruments</w:t>
      </w:r>
      <w:r w:rsidRPr="00D3286C">
        <w:rPr>
          <w:szCs w:val="22"/>
        </w:rPr>
        <w:t xml:space="preserve"> are self</w:t>
      </w:r>
      <w:r w:rsidRPr="00D3286C">
        <w:rPr>
          <w:szCs w:val="22"/>
        </w:rPr>
        <w:noBreakHyphen/>
        <w:t xml:space="preserve">administered and are mailed to the participant to complete at home.  This mode of administration is necessary given the large number of participants.  Telephone administration is usually limited to non-responders.  </w:t>
      </w:r>
      <w:r w:rsidR="004058C1" w:rsidRPr="00D3286C">
        <w:rPr>
          <w:szCs w:val="22"/>
        </w:rPr>
        <w:t xml:space="preserve">In cases where telephone administration is used, </w:t>
      </w:r>
      <w:r w:rsidR="00F71673" w:rsidRPr="00D3286C">
        <w:rPr>
          <w:szCs w:val="22"/>
        </w:rPr>
        <w:t>the staff person introduces him/herself, explains the reason for the call</w:t>
      </w:r>
      <w:r w:rsidR="00DB62CE">
        <w:rPr>
          <w:szCs w:val="22"/>
        </w:rPr>
        <w:t>,</w:t>
      </w:r>
      <w:r w:rsidR="00F71673" w:rsidRPr="00D3286C">
        <w:rPr>
          <w:szCs w:val="22"/>
        </w:rPr>
        <w:t xml:space="preserve"> and asks if it is a good time for the participant to answer a couple of questions</w:t>
      </w:r>
      <w:r w:rsidR="00896790">
        <w:rPr>
          <w:szCs w:val="22"/>
        </w:rPr>
        <w:t xml:space="preserve"> </w:t>
      </w:r>
      <w:r w:rsidR="00896790" w:rsidRPr="00E64720">
        <w:rPr>
          <w:szCs w:val="22"/>
        </w:rPr>
        <w:t>(</w:t>
      </w:r>
      <w:r w:rsidR="00C56D75" w:rsidRPr="00723BBD">
        <w:rPr>
          <w:b/>
          <w:szCs w:val="22"/>
          <w:highlight w:val="yellow"/>
        </w:rPr>
        <w:t xml:space="preserve">Attachment </w:t>
      </w:r>
      <w:r w:rsidR="00723BBD" w:rsidRPr="00723BBD">
        <w:rPr>
          <w:b/>
          <w:szCs w:val="22"/>
          <w:highlight w:val="yellow"/>
        </w:rPr>
        <w:t>5</w:t>
      </w:r>
      <w:r w:rsidR="00896790" w:rsidRPr="00E64720">
        <w:rPr>
          <w:szCs w:val="22"/>
        </w:rPr>
        <w:t>)</w:t>
      </w:r>
      <w:r w:rsidR="00F71673" w:rsidRPr="00E64720">
        <w:rPr>
          <w:szCs w:val="22"/>
        </w:rPr>
        <w:t>.</w:t>
      </w:r>
      <w:r w:rsidR="00F71673" w:rsidRPr="00D3286C">
        <w:rPr>
          <w:szCs w:val="22"/>
        </w:rPr>
        <w:t xml:space="preserve">  The ASU is </w:t>
      </w:r>
      <w:r w:rsidR="004058C1" w:rsidRPr="00D3286C">
        <w:rPr>
          <w:szCs w:val="22"/>
        </w:rPr>
        <w:t xml:space="preserve">read </w:t>
      </w:r>
      <w:r w:rsidR="004058C1" w:rsidRPr="005E266B">
        <w:rPr>
          <w:szCs w:val="22"/>
        </w:rPr>
        <w:t xml:space="preserve">to the </w:t>
      </w:r>
      <w:r w:rsidR="005463F4" w:rsidRPr="005E266B">
        <w:rPr>
          <w:szCs w:val="22"/>
        </w:rPr>
        <w:t>participant</w:t>
      </w:r>
      <w:r w:rsidR="004058C1" w:rsidRPr="005E266B">
        <w:rPr>
          <w:szCs w:val="22"/>
        </w:rPr>
        <w:t xml:space="preserve"> </w:t>
      </w:r>
      <w:r w:rsidR="00564527" w:rsidRPr="005E266B">
        <w:rPr>
          <w:szCs w:val="22"/>
        </w:rPr>
        <w:t>verbatim;</w:t>
      </w:r>
      <w:r w:rsidR="004058C1" w:rsidRPr="005E266B">
        <w:rPr>
          <w:szCs w:val="22"/>
        </w:rPr>
        <w:t xml:space="preserve"> exactly</w:t>
      </w:r>
      <w:r w:rsidR="004058C1" w:rsidRPr="00D3286C">
        <w:rPr>
          <w:szCs w:val="22"/>
        </w:rPr>
        <w:t xml:space="preserve"> as the data collection items are written</w:t>
      </w:r>
      <w:r w:rsidR="00790054">
        <w:rPr>
          <w:szCs w:val="22"/>
        </w:rPr>
        <w:t>.</w:t>
      </w:r>
      <w:r w:rsidR="004058C1" w:rsidRPr="00D3286C">
        <w:rPr>
          <w:szCs w:val="22"/>
        </w:rPr>
        <w:t xml:space="preserve">  </w:t>
      </w:r>
    </w:p>
    <w:p w:rsidR="008D20C5" w:rsidRPr="00D3286C" w:rsidRDefault="008D20C5" w:rsidP="00A46EE5">
      <w:pPr>
        <w:pStyle w:val="P1-StandPara"/>
        <w:rPr>
          <w:szCs w:val="22"/>
        </w:rPr>
      </w:pPr>
      <w:r w:rsidRPr="00D3286C">
        <w:rPr>
          <w:szCs w:val="22"/>
        </w:rPr>
        <w:t>In addition, for the Annual Study Update, self</w:t>
      </w:r>
      <w:r w:rsidRPr="00D3286C">
        <w:rPr>
          <w:szCs w:val="22"/>
        </w:rPr>
        <w:noBreakHyphen/>
        <w:t>administration is advantageous in order to minimize contact with the control group and thus reduce potential for contamination (e.g., controls deciding to have screening examinations because of their involvement with a screening trial).</w:t>
      </w:r>
    </w:p>
    <w:p w:rsidR="007807C2" w:rsidRDefault="000E1B32" w:rsidP="0089183B">
      <w:pPr>
        <w:pStyle w:val="P1-StandPara"/>
        <w:rPr>
          <w:szCs w:val="22"/>
        </w:rPr>
      </w:pPr>
      <w:r w:rsidRPr="00E64720">
        <w:rPr>
          <w:szCs w:val="22"/>
        </w:rPr>
        <w:t xml:space="preserve">A previous Privacy Impact Assessment (PIA) was completed </w:t>
      </w:r>
      <w:r w:rsidR="005D6C39" w:rsidRPr="00E64720">
        <w:rPr>
          <w:szCs w:val="22"/>
        </w:rPr>
        <w:t xml:space="preserve">and published by HHS </w:t>
      </w:r>
      <w:r w:rsidR="00972047" w:rsidRPr="00E64720">
        <w:rPr>
          <w:szCs w:val="22"/>
        </w:rPr>
        <w:t xml:space="preserve">on </w:t>
      </w:r>
      <w:r w:rsidR="005D6C39" w:rsidRPr="0034177E">
        <w:rPr>
          <w:szCs w:val="22"/>
        </w:rPr>
        <w:t>February 22, 2011</w:t>
      </w:r>
      <w:r w:rsidRPr="00E64720">
        <w:rPr>
          <w:szCs w:val="22"/>
        </w:rPr>
        <w:t xml:space="preserve"> for the IT system being used to store and monitor data.  The system name is “NIH NCI PLCO Research Database (PLCO)” </w:t>
      </w:r>
      <w:r w:rsidR="004002BB" w:rsidRPr="00E64720">
        <w:rPr>
          <w:szCs w:val="22"/>
        </w:rPr>
        <w:t>(</w:t>
      </w:r>
      <w:r w:rsidR="00C56D75" w:rsidRPr="00723BBD">
        <w:rPr>
          <w:b/>
          <w:szCs w:val="22"/>
          <w:highlight w:val="yellow"/>
        </w:rPr>
        <w:t xml:space="preserve">Attachment </w:t>
      </w:r>
      <w:r w:rsidR="00723BBD" w:rsidRPr="00723BBD">
        <w:rPr>
          <w:b/>
          <w:szCs w:val="22"/>
          <w:highlight w:val="yellow"/>
        </w:rPr>
        <w:t>6</w:t>
      </w:r>
      <w:r w:rsidR="004002BB" w:rsidRPr="00E64720">
        <w:rPr>
          <w:szCs w:val="22"/>
        </w:rPr>
        <w:t>)</w:t>
      </w:r>
      <w:r w:rsidRPr="00E64720">
        <w:rPr>
          <w:szCs w:val="22"/>
        </w:rPr>
        <w:t>.</w:t>
      </w:r>
      <w:r w:rsidR="00927B91" w:rsidRPr="00E64720">
        <w:rPr>
          <w:szCs w:val="22"/>
        </w:rPr>
        <w:t xml:space="preserve">  </w:t>
      </w:r>
      <w:r w:rsidR="00972047" w:rsidRPr="00E64720">
        <w:rPr>
          <w:szCs w:val="22"/>
        </w:rPr>
        <w:t>The</w:t>
      </w:r>
      <w:r w:rsidR="008D20C5" w:rsidRPr="00D3286C">
        <w:rPr>
          <w:szCs w:val="22"/>
        </w:rPr>
        <w:t xml:space="preserve"> computerized data management system</w:t>
      </w:r>
      <w:r w:rsidR="00F763EB" w:rsidRPr="00D3286C">
        <w:rPr>
          <w:szCs w:val="22"/>
        </w:rPr>
        <w:t xml:space="preserve"> </w:t>
      </w:r>
      <w:r w:rsidR="008D20C5" w:rsidRPr="00D3286C">
        <w:rPr>
          <w:szCs w:val="22"/>
        </w:rPr>
        <w:t>reduce</w:t>
      </w:r>
      <w:r w:rsidR="00972047" w:rsidRPr="00D3286C">
        <w:rPr>
          <w:szCs w:val="22"/>
        </w:rPr>
        <w:t>s</w:t>
      </w:r>
      <w:r w:rsidR="008D20C5" w:rsidRPr="00D3286C">
        <w:rPr>
          <w:szCs w:val="22"/>
        </w:rPr>
        <w:t xml:space="preserve"> respondent burden.  Information collected at baseline </w:t>
      </w:r>
      <w:r w:rsidR="00AC3EDF" w:rsidRPr="00D3286C">
        <w:rPr>
          <w:szCs w:val="22"/>
        </w:rPr>
        <w:t xml:space="preserve">is </w:t>
      </w:r>
      <w:r w:rsidR="008D20C5" w:rsidRPr="00D3286C">
        <w:rPr>
          <w:szCs w:val="22"/>
        </w:rPr>
        <w:t xml:space="preserve">stored in the system.  For subsequent </w:t>
      </w:r>
      <w:r w:rsidR="00882A61" w:rsidRPr="00D3286C">
        <w:rPr>
          <w:szCs w:val="22"/>
        </w:rPr>
        <w:t>annual information collections</w:t>
      </w:r>
      <w:r w:rsidR="008D20C5" w:rsidRPr="00D3286C">
        <w:rPr>
          <w:szCs w:val="22"/>
        </w:rPr>
        <w:t xml:space="preserve">, information previously supplied by the participant is </w:t>
      </w:r>
      <w:r w:rsidR="009E3F28" w:rsidRPr="00E64720">
        <w:rPr>
          <w:szCs w:val="22"/>
        </w:rPr>
        <w:t>pre-populated and</w:t>
      </w:r>
      <w:r w:rsidR="009E3F28">
        <w:rPr>
          <w:szCs w:val="22"/>
        </w:rPr>
        <w:t xml:space="preserve"> </w:t>
      </w:r>
      <w:r w:rsidR="008D20C5" w:rsidRPr="00D3286C">
        <w:rPr>
          <w:szCs w:val="22"/>
        </w:rPr>
        <w:t xml:space="preserve">sent to him/her for confirmation (e.g. name and address of primary care physician and tracing contacts).  The participant only needs to indicate whether the information is still correct and not repeat </w:t>
      </w:r>
      <w:r w:rsidR="00F763EB" w:rsidRPr="00D3286C">
        <w:rPr>
          <w:szCs w:val="22"/>
        </w:rPr>
        <w:t>uncha</w:t>
      </w:r>
      <w:r w:rsidR="00352AFD" w:rsidRPr="00D3286C">
        <w:rPr>
          <w:szCs w:val="22"/>
        </w:rPr>
        <w:t>n</w:t>
      </w:r>
      <w:r w:rsidR="00F763EB" w:rsidRPr="00D3286C">
        <w:rPr>
          <w:szCs w:val="22"/>
        </w:rPr>
        <w:t xml:space="preserve">ged </w:t>
      </w:r>
      <w:r w:rsidR="008D20C5" w:rsidRPr="00D3286C">
        <w:rPr>
          <w:szCs w:val="22"/>
        </w:rPr>
        <w:t xml:space="preserve">information.  The Annual Study Update </w:t>
      </w:r>
      <w:r w:rsidR="00F763EB" w:rsidRPr="00D3286C">
        <w:rPr>
          <w:szCs w:val="22"/>
        </w:rPr>
        <w:t>shows a</w:t>
      </w:r>
      <w:r w:rsidR="008D20C5" w:rsidRPr="00D3286C">
        <w:rPr>
          <w:szCs w:val="22"/>
        </w:rPr>
        <w:t xml:space="preserve"> computer generated reference date after which the participant is asked to provide cancer diagnosis information</w:t>
      </w:r>
      <w:r w:rsidR="00F763EB" w:rsidRPr="00D3286C">
        <w:rPr>
          <w:szCs w:val="22"/>
        </w:rPr>
        <w:t xml:space="preserve">; </w:t>
      </w:r>
      <w:r w:rsidR="008D20C5" w:rsidRPr="00D3286C">
        <w:rPr>
          <w:szCs w:val="22"/>
        </w:rPr>
        <w:t>diagnosis information for prior periods</w:t>
      </w:r>
      <w:r w:rsidR="00F763EB" w:rsidRPr="00D3286C">
        <w:rPr>
          <w:szCs w:val="22"/>
        </w:rPr>
        <w:t xml:space="preserve"> need not be repeated</w:t>
      </w:r>
      <w:r w:rsidR="008D20C5" w:rsidRPr="00D3286C">
        <w:rPr>
          <w:szCs w:val="22"/>
        </w:rPr>
        <w:t>.</w:t>
      </w:r>
      <w:r w:rsidR="00972047" w:rsidRPr="00D3286C">
        <w:rPr>
          <w:szCs w:val="22"/>
        </w:rPr>
        <w:t xml:space="preserve">  </w:t>
      </w:r>
    </w:p>
    <w:p w:rsidR="00D015D3" w:rsidRPr="00D3286C" w:rsidDel="0089183B" w:rsidRDefault="00D015D3" w:rsidP="0089183B">
      <w:pPr>
        <w:pStyle w:val="P1-StandPara"/>
        <w:rPr>
          <w:szCs w:val="22"/>
        </w:rPr>
      </w:pPr>
    </w:p>
    <w:p w:rsidR="008D20C5" w:rsidRPr="00D3286C" w:rsidRDefault="00A233E3" w:rsidP="00A233E3">
      <w:pPr>
        <w:pStyle w:val="Heading2"/>
        <w:spacing w:after="0" w:line="480" w:lineRule="auto"/>
        <w:ind w:left="720" w:hanging="720"/>
        <w:rPr>
          <w:szCs w:val="22"/>
        </w:rPr>
      </w:pPr>
      <w:bookmarkStart w:id="14" w:name="_Toc295119897"/>
      <w:r w:rsidRPr="00D3286C">
        <w:rPr>
          <w:szCs w:val="22"/>
        </w:rPr>
        <w:t>A.</w:t>
      </w:r>
      <w:bookmarkStart w:id="15" w:name="_Toc443881745"/>
      <w:bookmarkStart w:id="16" w:name="_Toc451592234"/>
      <w:bookmarkStart w:id="17" w:name="_Toc5610275"/>
      <w:bookmarkStart w:id="18" w:name="_Toc194810108"/>
      <w:r w:rsidR="008D20C5" w:rsidRPr="00D3286C">
        <w:rPr>
          <w:szCs w:val="22"/>
        </w:rPr>
        <w:t>4.</w:t>
      </w:r>
      <w:r w:rsidR="008D20C5" w:rsidRPr="00D3286C">
        <w:rPr>
          <w:szCs w:val="22"/>
        </w:rPr>
        <w:tab/>
        <w:t>Efforts to Identify Duplication and Use of Similar Information</w:t>
      </w:r>
      <w:bookmarkEnd w:id="14"/>
      <w:bookmarkEnd w:id="15"/>
      <w:bookmarkEnd w:id="16"/>
      <w:bookmarkEnd w:id="17"/>
      <w:bookmarkEnd w:id="18"/>
    </w:p>
    <w:p w:rsidR="00F30DB2" w:rsidRPr="00AC5014" w:rsidRDefault="008D20C5" w:rsidP="00F30DB2">
      <w:pPr>
        <w:pStyle w:val="P1-StandPara"/>
        <w:ind w:right="-126"/>
      </w:pPr>
      <w:r w:rsidRPr="00D3286C">
        <w:rPr>
          <w:szCs w:val="22"/>
        </w:rPr>
        <w:t>This trial was four years in design.  Consultations with expert groups regarding each of the four cancer sites were numerous.  Presentations to professional groups, NCI</w:t>
      </w:r>
      <w:r w:rsidRPr="00D3286C">
        <w:rPr>
          <w:szCs w:val="22"/>
        </w:rPr>
        <w:noBreakHyphen/>
        <w:t>sponsored workshops, external and internal peer review of the concept, a comprehensive review of the literature (</w:t>
      </w:r>
      <w:r w:rsidR="00C56D75" w:rsidRPr="00723BBD">
        <w:rPr>
          <w:b/>
          <w:szCs w:val="22"/>
          <w:highlight w:val="yellow"/>
        </w:rPr>
        <w:t xml:space="preserve">Attachment </w:t>
      </w:r>
      <w:r w:rsidR="00723BBD" w:rsidRPr="00723BBD">
        <w:rPr>
          <w:b/>
          <w:szCs w:val="22"/>
          <w:highlight w:val="yellow"/>
        </w:rPr>
        <w:t>7</w:t>
      </w:r>
      <w:r w:rsidRPr="00D3286C">
        <w:rPr>
          <w:szCs w:val="22"/>
        </w:rPr>
        <w:t xml:space="preserve">) and interactions with investigators in European countries interested in these research questions, were aggressively pursued in the design and concept development effort.  </w:t>
      </w:r>
      <w:r w:rsidRPr="0054179A">
        <w:rPr>
          <w:szCs w:val="22"/>
        </w:rPr>
        <w:t xml:space="preserve">NCI staff involved in </w:t>
      </w:r>
      <w:r w:rsidR="005463F4" w:rsidRPr="0054179A">
        <w:rPr>
          <w:szCs w:val="22"/>
        </w:rPr>
        <w:t>the</w:t>
      </w:r>
      <w:r w:rsidR="00DB62CE" w:rsidRPr="0054179A">
        <w:rPr>
          <w:szCs w:val="22"/>
        </w:rPr>
        <w:t xml:space="preserve"> </w:t>
      </w:r>
      <w:r w:rsidRPr="00D65221">
        <w:rPr>
          <w:szCs w:val="22"/>
        </w:rPr>
        <w:t>design</w:t>
      </w:r>
      <w:r w:rsidRPr="00D3286C">
        <w:rPr>
          <w:szCs w:val="22"/>
        </w:rPr>
        <w:t xml:space="preserve"> of this trial also participated in the screening evaluation project of the Internatio</w:t>
      </w:r>
      <w:r w:rsidR="000707E7" w:rsidRPr="00D3286C">
        <w:rPr>
          <w:szCs w:val="22"/>
        </w:rPr>
        <w:t xml:space="preserve">nal Union </w:t>
      </w:r>
      <w:proofErr w:type="gramStart"/>
      <w:r w:rsidR="000707E7" w:rsidRPr="00D3286C">
        <w:rPr>
          <w:szCs w:val="22"/>
        </w:rPr>
        <w:t>Against</w:t>
      </w:r>
      <w:proofErr w:type="gramEnd"/>
      <w:r w:rsidR="000707E7" w:rsidRPr="00D3286C">
        <w:rPr>
          <w:szCs w:val="22"/>
        </w:rPr>
        <w:t xml:space="preserve"> Cancer which </w:t>
      </w:r>
      <w:r w:rsidRPr="00D3286C">
        <w:rPr>
          <w:szCs w:val="22"/>
        </w:rPr>
        <w:t xml:space="preserve">monitored and assessed the status of cancer screening worldwide.  This </w:t>
      </w:r>
      <w:r w:rsidR="000707E7" w:rsidRPr="00D3286C">
        <w:rPr>
          <w:szCs w:val="22"/>
        </w:rPr>
        <w:t>is</w:t>
      </w:r>
      <w:r w:rsidRPr="00D3286C">
        <w:rPr>
          <w:szCs w:val="22"/>
        </w:rPr>
        <w:t xml:space="preserve"> the first, and possibly only, study in the world to evaluate these multiple screening modalities in a randomized, controlled trial.  No similar data are available to answer the questions addressed in the PLCO trial.  There is no duplication, although since the PLCO trial has entered its main phase, some European countries are collaborating in the evaluation of prostate cancer screening by a protocol unique to their needs, and once</w:t>
      </w:r>
      <w:r w:rsidR="000707E7" w:rsidRPr="00D3286C">
        <w:rPr>
          <w:szCs w:val="22"/>
        </w:rPr>
        <w:t>-</w:t>
      </w:r>
      <w:r w:rsidRPr="00D3286C">
        <w:rPr>
          <w:szCs w:val="22"/>
        </w:rPr>
        <w:t>in</w:t>
      </w:r>
      <w:r w:rsidR="000707E7" w:rsidRPr="00D3286C">
        <w:rPr>
          <w:szCs w:val="22"/>
        </w:rPr>
        <w:t>-</w:t>
      </w:r>
      <w:r w:rsidRPr="00D3286C">
        <w:rPr>
          <w:szCs w:val="22"/>
        </w:rPr>
        <w:t>a</w:t>
      </w:r>
      <w:r w:rsidR="000707E7" w:rsidRPr="00D3286C">
        <w:rPr>
          <w:szCs w:val="22"/>
        </w:rPr>
        <w:t>-</w:t>
      </w:r>
      <w:r w:rsidRPr="00D3286C">
        <w:rPr>
          <w:szCs w:val="22"/>
        </w:rPr>
        <w:t xml:space="preserve">lifetime </w:t>
      </w:r>
      <w:r w:rsidR="00F30DB2" w:rsidRPr="00B458DA">
        <w:rPr>
          <w:szCs w:val="22"/>
        </w:rPr>
        <w:t>screening by flexible sigmoidoscopy, and screening for ovarian cancer using a different protocol are</w:t>
      </w:r>
      <w:r w:rsidRPr="00D3286C">
        <w:rPr>
          <w:szCs w:val="22"/>
        </w:rPr>
        <w:t xml:space="preserve"> being evaluated in the United Kingdom.</w:t>
      </w:r>
      <w:r w:rsidR="009744FD" w:rsidRPr="009744FD">
        <w:t xml:space="preserve"> </w:t>
      </w:r>
      <w:r w:rsidR="00C56D75" w:rsidRPr="00E64720">
        <w:t>In addition, the evaluation</w:t>
      </w:r>
      <w:r w:rsidR="009B2637" w:rsidRPr="00E64720">
        <w:t>s</w:t>
      </w:r>
      <w:r w:rsidR="00C56D75" w:rsidRPr="00E64720">
        <w:t xml:space="preserve"> of c</w:t>
      </w:r>
      <w:r w:rsidR="00C56D75" w:rsidRPr="00E64720">
        <w:rPr>
          <w:szCs w:val="22"/>
        </w:rPr>
        <w:t xml:space="preserve">ancer screening programs in Korea and </w:t>
      </w:r>
      <w:r w:rsidR="00C56D75" w:rsidRPr="0054179A">
        <w:rPr>
          <w:szCs w:val="22"/>
        </w:rPr>
        <w:t xml:space="preserve">Japan </w:t>
      </w:r>
      <w:r w:rsidR="00F30DB2" w:rsidRPr="0054179A">
        <w:rPr>
          <w:szCs w:val="22"/>
        </w:rPr>
        <w:t>have been published</w:t>
      </w:r>
      <w:proofErr w:type="gramStart"/>
      <w:r w:rsidR="00C56D75" w:rsidRPr="0054179A">
        <w:rPr>
          <w:szCs w:val="22"/>
        </w:rPr>
        <w:t>.</w:t>
      </w:r>
      <w:bookmarkStart w:id="19" w:name="_Toc443881746"/>
      <w:bookmarkStart w:id="20" w:name="_Toc451592235"/>
      <w:bookmarkStart w:id="21" w:name="_Toc5610276"/>
      <w:bookmarkStart w:id="22" w:name="_Toc194810109"/>
      <w:bookmarkStart w:id="23" w:name="_Toc295119898"/>
      <w:r w:rsidR="001124B5" w:rsidRPr="0054179A">
        <w:rPr>
          <w:rStyle w:val="FootnoteReference"/>
          <w:szCs w:val="22"/>
        </w:rPr>
        <w:footnoteReference w:id="2"/>
      </w:r>
      <w:r w:rsidR="001124B5" w:rsidRPr="00D65221">
        <w:rPr>
          <w:szCs w:val="22"/>
          <w:vertAlign w:val="superscript"/>
        </w:rPr>
        <w:t>,</w:t>
      </w:r>
      <w:proofErr w:type="gramEnd"/>
      <w:r w:rsidR="001124B5" w:rsidRPr="00D65221">
        <w:rPr>
          <w:szCs w:val="22"/>
          <w:vertAlign w:val="superscript"/>
        </w:rPr>
        <w:t xml:space="preserve"> </w:t>
      </w:r>
      <w:r w:rsidR="001124B5" w:rsidRPr="00D65221">
        <w:rPr>
          <w:rStyle w:val="FootnoteReference"/>
          <w:szCs w:val="22"/>
        </w:rPr>
        <w:footnoteReference w:id="3"/>
      </w:r>
      <w:r w:rsidR="00AC5014">
        <w:rPr>
          <w:szCs w:val="22"/>
          <w:vertAlign w:val="superscript"/>
        </w:rPr>
        <w:t xml:space="preserve"> </w:t>
      </w:r>
    </w:p>
    <w:p w:rsidR="0054179A" w:rsidRDefault="0054179A" w:rsidP="00A233E3">
      <w:pPr>
        <w:pStyle w:val="Heading2"/>
        <w:spacing w:after="0" w:line="480" w:lineRule="auto"/>
        <w:ind w:left="720" w:hanging="720"/>
        <w:rPr>
          <w:szCs w:val="22"/>
        </w:rPr>
      </w:pPr>
    </w:p>
    <w:p w:rsidR="008D20C5" w:rsidRPr="00D3286C" w:rsidRDefault="00A233E3" w:rsidP="00A233E3">
      <w:pPr>
        <w:pStyle w:val="Heading2"/>
        <w:spacing w:after="0" w:line="480" w:lineRule="auto"/>
        <w:ind w:left="720" w:hanging="720"/>
        <w:rPr>
          <w:szCs w:val="22"/>
        </w:rPr>
      </w:pPr>
      <w:r w:rsidRPr="00D3286C">
        <w:rPr>
          <w:szCs w:val="22"/>
        </w:rPr>
        <w:t>A.</w:t>
      </w:r>
      <w:r w:rsidR="008D20C5" w:rsidRPr="00D3286C">
        <w:rPr>
          <w:szCs w:val="22"/>
        </w:rPr>
        <w:t>5.</w:t>
      </w:r>
      <w:r w:rsidR="008D20C5" w:rsidRPr="00D3286C">
        <w:rPr>
          <w:szCs w:val="22"/>
        </w:rPr>
        <w:tab/>
        <w:t>Impact on Small Businesses or Other Small Entities</w:t>
      </w:r>
      <w:bookmarkEnd w:id="19"/>
      <w:bookmarkEnd w:id="20"/>
      <w:bookmarkEnd w:id="21"/>
      <w:bookmarkEnd w:id="22"/>
      <w:bookmarkEnd w:id="23"/>
    </w:p>
    <w:p w:rsidR="008D20C5" w:rsidRPr="00D3286C" w:rsidRDefault="008D20C5" w:rsidP="00A46EE5">
      <w:pPr>
        <w:pStyle w:val="P1-StandPara"/>
        <w:rPr>
          <w:szCs w:val="22"/>
        </w:rPr>
      </w:pPr>
      <w:r w:rsidRPr="00D3286C">
        <w:rPr>
          <w:szCs w:val="22"/>
        </w:rPr>
        <w:t>This information collection does not involve small businesses or other small entities.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24" w:name="_Toc443881747"/>
      <w:bookmarkStart w:id="25" w:name="_Toc451592236"/>
      <w:bookmarkStart w:id="26" w:name="_Toc5610277"/>
      <w:bookmarkStart w:id="27" w:name="_Toc194810110"/>
      <w:bookmarkStart w:id="28" w:name="_Toc295119899"/>
      <w:r w:rsidRPr="00D3286C">
        <w:rPr>
          <w:szCs w:val="22"/>
        </w:rPr>
        <w:t>A.</w:t>
      </w:r>
      <w:r w:rsidR="008D20C5" w:rsidRPr="00D3286C">
        <w:rPr>
          <w:szCs w:val="22"/>
        </w:rPr>
        <w:t>6.</w:t>
      </w:r>
      <w:r w:rsidR="008D20C5" w:rsidRPr="00D3286C">
        <w:rPr>
          <w:szCs w:val="22"/>
        </w:rPr>
        <w:tab/>
        <w:t>Consequences of Collecting the Information Less Frequently</w:t>
      </w:r>
      <w:bookmarkEnd w:id="24"/>
      <w:bookmarkEnd w:id="25"/>
      <w:bookmarkEnd w:id="26"/>
      <w:bookmarkEnd w:id="27"/>
      <w:bookmarkEnd w:id="28"/>
    </w:p>
    <w:p w:rsidR="008D20C5" w:rsidRPr="00D3286C" w:rsidRDefault="008D20C5" w:rsidP="00A46EE5">
      <w:pPr>
        <w:pStyle w:val="P1-StandPara"/>
        <w:rPr>
          <w:szCs w:val="22"/>
        </w:rPr>
      </w:pPr>
      <w:r w:rsidRPr="00D3286C">
        <w:rPr>
          <w:szCs w:val="22"/>
        </w:rPr>
        <w:t>Annual follow</w:t>
      </w:r>
      <w:r w:rsidRPr="00D3286C">
        <w:rPr>
          <w:szCs w:val="22"/>
        </w:rPr>
        <w:noBreakHyphen/>
        <w:t>up provides timely information on incidence of new cancers and deaths from the cancers of interest.  Less frequent follow</w:t>
      </w:r>
      <w:r w:rsidRPr="00D3286C">
        <w:rPr>
          <w:szCs w:val="22"/>
        </w:rPr>
        <w:noBreakHyphen/>
        <w:t xml:space="preserve">up would be deleterious to monitoring requirements.  Current </w:t>
      </w:r>
      <w:r w:rsidR="00882A61" w:rsidRPr="00D3286C">
        <w:rPr>
          <w:szCs w:val="22"/>
        </w:rPr>
        <w:t xml:space="preserve">participant </w:t>
      </w:r>
      <w:r w:rsidRPr="00D3286C">
        <w:rPr>
          <w:szCs w:val="22"/>
        </w:rPr>
        <w:t>files are essential to minimize loss to follow</w:t>
      </w:r>
      <w:r w:rsidRPr="00D3286C">
        <w:rPr>
          <w:szCs w:val="22"/>
        </w:rPr>
        <w:noBreakHyphen/>
        <w:t>up and ensure timely acquisition of endpoint events.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29" w:name="_Toc443881748"/>
      <w:bookmarkStart w:id="30" w:name="_Toc451592237"/>
      <w:bookmarkStart w:id="31" w:name="_Toc5610278"/>
      <w:bookmarkStart w:id="32" w:name="_Toc194810111"/>
      <w:bookmarkStart w:id="33" w:name="_Toc295119900"/>
      <w:r w:rsidRPr="00D3286C">
        <w:rPr>
          <w:szCs w:val="22"/>
        </w:rPr>
        <w:t>A.</w:t>
      </w:r>
      <w:r w:rsidR="008D20C5" w:rsidRPr="00D3286C">
        <w:rPr>
          <w:szCs w:val="22"/>
        </w:rPr>
        <w:t>7.</w:t>
      </w:r>
      <w:r w:rsidR="008D20C5" w:rsidRPr="00D3286C">
        <w:rPr>
          <w:szCs w:val="22"/>
        </w:rPr>
        <w:tab/>
        <w:t>Special Circumstances Relating to the Guidelines of 5 CFR 1320.5</w:t>
      </w:r>
      <w:bookmarkEnd w:id="29"/>
      <w:bookmarkEnd w:id="30"/>
      <w:bookmarkEnd w:id="31"/>
      <w:bookmarkEnd w:id="32"/>
      <w:bookmarkEnd w:id="33"/>
    </w:p>
    <w:p w:rsidR="008D20C5" w:rsidRPr="00D3286C" w:rsidRDefault="008D20C5" w:rsidP="00A46EE5">
      <w:pPr>
        <w:pStyle w:val="P1-StandPara"/>
        <w:rPr>
          <w:szCs w:val="22"/>
        </w:rPr>
      </w:pPr>
      <w:r w:rsidRPr="00D3286C">
        <w:rPr>
          <w:szCs w:val="22"/>
        </w:rPr>
        <w:t>The proposal is consistent with the information collection guidelines in 5 CFR 1320.5.</w:t>
      </w:r>
    </w:p>
    <w:p w:rsidR="008D20C5" w:rsidRPr="00D3286C" w:rsidRDefault="00A233E3" w:rsidP="005E266B">
      <w:pPr>
        <w:pStyle w:val="Heading2"/>
        <w:spacing w:after="0" w:line="240" w:lineRule="auto"/>
        <w:ind w:left="720" w:hanging="720"/>
        <w:rPr>
          <w:szCs w:val="22"/>
        </w:rPr>
      </w:pPr>
      <w:bookmarkStart w:id="34" w:name="_Toc443881749"/>
      <w:bookmarkStart w:id="35" w:name="_Toc451592238"/>
      <w:bookmarkStart w:id="36" w:name="_Toc5610279"/>
      <w:bookmarkStart w:id="37" w:name="_Toc194810112"/>
      <w:bookmarkStart w:id="38" w:name="_Toc295119901"/>
      <w:r w:rsidRPr="00D3286C">
        <w:rPr>
          <w:szCs w:val="22"/>
        </w:rPr>
        <w:t>A.</w:t>
      </w:r>
      <w:r w:rsidR="008D20C5" w:rsidRPr="00D3286C">
        <w:rPr>
          <w:szCs w:val="22"/>
        </w:rPr>
        <w:t>8.</w:t>
      </w:r>
      <w:r w:rsidR="008D20C5" w:rsidRPr="00D3286C">
        <w:rPr>
          <w:szCs w:val="22"/>
        </w:rPr>
        <w:tab/>
        <w:t xml:space="preserve">Comments in Response to the Federal Register Notice and Efforts to Consult Outside </w:t>
      </w:r>
      <w:r w:rsidR="00972047" w:rsidRPr="00D3286C">
        <w:rPr>
          <w:szCs w:val="22"/>
        </w:rPr>
        <w:t xml:space="preserve">the </w:t>
      </w:r>
      <w:r w:rsidR="008D20C5" w:rsidRPr="00D3286C">
        <w:rPr>
          <w:szCs w:val="22"/>
        </w:rPr>
        <w:t>Agency</w:t>
      </w:r>
      <w:bookmarkEnd w:id="34"/>
      <w:bookmarkEnd w:id="35"/>
      <w:bookmarkEnd w:id="36"/>
      <w:bookmarkEnd w:id="37"/>
      <w:bookmarkEnd w:id="38"/>
    </w:p>
    <w:p w:rsidR="005E266B" w:rsidRDefault="005E266B" w:rsidP="00A46EE5">
      <w:pPr>
        <w:pStyle w:val="P1-StandPara"/>
        <w:rPr>
          <w:szCs w:val="22"/>
          <w:highlight w:val="yellow"/>
        </w:rPr>
      </w:pPr>
    </w:p>
    <w:p w:rsidR="00865A62" w:rsidRPr="00865A62" w:rsidRDefault="008D20C5" w:rsidP="00A46EE5">
      <w:pPr>
        <w:pStyle w:val="P1-StandPara"/>
        <w:rPr>
          <w:szCs w:val="22"/>
        </w:rPr>
      </w:pPr>
      <w:r w:rsidRPr="008457E2">
        <w:rPr>
          <w:szCs w:val="22"/>
        </w:rPr>
        <w:t>A 60</w:t>
      </w:r>
      <w:r w:rsidRPr="008457E2">
        <w:rPr>
          <w:szCs w:val="22"/>
        </w:rPr>
        <w:noBreakHyphen/>
        <w:t xml:space="preserve">day Federal Register notice soliciting comments on the PLCO trial prior to submission to </w:t>
      </w:r>
      <w:r w:rsidRPr="00A1194E">
        <w:rPr>
          <w:szCs w:val="22"/>
          <w:highlight w:val="yellow"/>
        </w:rPr>
        <w:t xml:space="preserve">OMB was published in the </w:t>
      </w:r>
      <w:r w:rsidRPr="00A1194E">
        <w:rPr>
          <w:szCs w:val="22"/>
          <w:highlight w:val="yellow"/>
          <w:u w:val="single"/>
        </w:rPr>
        <w:t>Federal</w:t>
      </w:r>
      <w:r w:rsidRPr="00A1194E">
        <w:rPr>
          <w:szCs w:val="22"/>
          <w:highlight w:val="yellow"/>
        </w:rPr>
        <w:t xml:space="preserve"> </w:t>
      </w:r>
      <w:r w:rsidRPr="00A1194E">
        <w:rPr>
          <w:szCs w:val="22"/>
          <w:highlight w:val="yellow"/>
          <w:u w:val="single"/>
        </w:rPr>
        <w:t>Register</w:t>
      </w:r>
      <w:r w:rsidRPr="00A1194E">
        <w:rPr>
          <w:szCs w:val="22"/>
          <w:highlight w:val="yellow"/>
        </w:rPr>
        <w:t xml:space="preserve"> on</w:t>
      </w:r>
      <w:r w:rsidR="009778EF" w:rsidRPr="00A1194E">
        <w:rPr>
          <w:szCs w:val="22"/>
          <w:highlight w:val="yellow"/>
        </w:rPr>
        <w:t xml:space="preserve"> </w:t>
      </w:r>
      <w:r w:rsidR="00AF480F" w:rsidRPr="00A1194E">
        <w:rPr>
          <w:szCs w:val="22"/>
          <w:highlight w:val="yellow"/>
        </w:rPr>
        <w:t xml:space="preserve">April 21, 2015, Vol. 80, </w:t>
      </w:r>
      <w:proofErr w:type="gramStart"/>
      <w:r w:rsidR="00AF480F" w:rsidRPr="00A1194E">
        <w:rPr>
          <w:szCs w:val="22"/>
          <w:highlight w:val="yellow"/>
        </w:rPr>
        <w:t>P</w:t>
      </w:r>
      <w:proofErr w:type="gramEnd"/>
      <w:r w:rsidR="00AF480F" w:rsidRPr="00A1194E">
        <w:rPr>
          <w:szCs w:val="22"/>
          <w:highlight w:val="yellow"/>
        </w:rPr>
        <w:t>. 22211. No comments were received.</w:t>
      </w:r>
    </w:p>
    <w:p w:rsidR="00910A79" w:rsidRPr="0040485C" w:rsidRDefault="0088225B" w:rsidP="00DB62CE">
      <w:pPr>
        <w:pStyle w:val="P1-StandPara"/>
        <w:rPr>
          <w:strike/>
          <w:szCs w:val="22"/>
          <w:highlight w:val="yellow"/>
        </w:rPr>
      </w:pPr>
      <w:r w:rsidRPr="005F2535">
        <w:rPr>
          <w:szCs w:val="22"/>
        </w:rPr>
        <w:t>The PLCO Steering Committee was</w:t>
      </w:r>
      <w:r w:rsidR="008D20C5" w:rsidRPr="005F2535">
        <w:rPr>
          <w:szCs w:val="22"/>
        </w:rPr>
        <w:t xml:space="preserve"> involved in designing, conducting, and monitoring the PLC</w:t>
      </w:r>
      <w:r w:rsidRPr="005F2535">
        <w:rPr>
          <w:szCs w:val="22"/>
        </w:rPr>
        <w:t>O trial.  The committee provided</w:t>
      </w:r>
      <w:r w:rsidR="008D20C5" w:rsidRPr="005F2535">
        <w:rPr>
          <w:szCs w:val="22"/>
        </w:rPr>
        <w:t xml:space="preserve"> overall scientific direction for the study and serve</w:t>
      </w:r>
      <w:r w:rsidRPr="005F2535">
        <w:rPr>
          <w:szCs w:val="22"/>
        </w:rPr>
        <w:t>d</w:t>
      </w:r>
      <w:r w:rsidR="008D20C5" w:rsidRPr="005F2535">
        <w:rPr>
          <w:szCs w:val="22"/>
        </w:rPr>
        <w:t xml:space="preserve"> as the maj</w:t>
      </w:r>
      <w:r w:rsidR="00834F8F" w:rsidRPr="005F2535">
        <w:rPr>
          <w:szCs w:val="22"/>
        </w:rPr>
        <w:t>or decision</w:t>
      </w:r>
      <w:r w:rsidR="00834F8F" w:rsidRPr="005F2535">
        <w:rPr>
          <w:szCs w:val="22"/>
        </w:rPr>
        <w:noBreakHyphen/>
        <w:t xml:space="preserve">making body for </w:t>
      </w:r>
      <w:r w:rsidR="008D20C5" w:rsidRPr="005F2535">
        <w:rPr>
          <w:szCs w:val="22"/>
        </w:rPr>
        <w:t>operation</w:t>
      </w:r>
      <w:r w:rsidR="00834F8F" w:rsidRPr="005F2535">
        <w:rPr>
          <w:szCs w:val="22"/>
        </w:rPr>
        <w:t>s</w:t>
      </w:r>
      <w:r w:rsidR="008D20C5" w:rsidRPr="005F2535">
        <w:rPr>
          <w:szCs w:val="22"/>
        </w:rPr>
        <w:t xml:space="preserve">.  </w:t>
      </w:r>
      <w:r w:rsidR="008D20C5" w:rsidRPr="008457E2">
        <w:rPr>
          <w:szCs w:val="22"/>
        </w:rPr>
        <w:t xml:space="preserve">The </w:t>
      </w:r>
      <w:r w:rsidR="00834F8F" w:rsidRPr="008457E2">
        <w:rPr>
          <w:szCs w:val="22"/>
        </w:rPr>
        <w:t>Steering C</w:t>
      </w:r>
      <w:r w:rsidR="008D20C5" w:rsidRPr="008457E2">
        <w:rPr>
          <w:szCs w:val="22"/>
        </w:rPr>
        <w:t xml:space="preserve">ommittee </w:t>
      </w:r>
      <w:r w:rsidRPr="008457E2">
        <w:rPr>
          <w:szCs w:val="22"/>
        </w:rPr>
        <w:t>was disbanded when the majority of the screening center contracts ended in September 2011.</w:t>
      </w:r>
      <w:r w:rsidRPr="0088225B">
        <w:rPr>
          <w:szCs w:val="22"/>
          <w:highlight w:val="yellow"/>
        </w:rPr>
        <w:t xml:space="preserve">  </w:t>
      </w:r>
    </w:p>
    <w:p w:rsidR="00910A79" w:rsidRPr="0040485C" w:rsidRDefault="00081135" w:rsidP="00DB62CE">
      <w:pPr>
        <w:pStyle w:val="N2-2ndBullet"/>
        <w:numPr>
          <w:ilvl w:val="0"/>
          <w:numId w:val="0"/>
        </w:numPr>
        <w:tabs>
          <w:tab w:val="clear" w:pos="1728"/>
        </w:tabs>
        <w:spacing w:after="0" w:line="480" w:lineRule="auto"/>
        <w:ind w:firstLine="720"/>
        <w:jc w:val="left"/>
        <w:rPr>
          <w:strike/>
          <w:szCs w:val="22"/>
          <w:highlight w:val="yellow"/>
        </w:rPr>
      </w:pPr>
      <w:r w:rsidRPr="00556C52">
        <w:rPr>
          <w:szCs w:val="22"/>
        </w:rPr>
        <w:t xml:space="preserve">Data </w:t>
      </w:r>
      <w:r w:rsidR="0040485C" w:rsidRPr="00556C52">
        <w:rPr>
          <w:szCs w:val="22"/>
        </w:rPr>
        <w:t>were</w:t>
      </w:r>
      <w:r w:rsidRPr="00556C52">
        <w:rPr>
          <w:szCs w:val="22"/>
        </w:rPr>
        <w:t xml:space="preserve"> reviewed on a regul</w:t>
      </w:r>
      <w:r w:rsidR="0040485C" w:rsidRPr="00556C52">
        <w:rPr>
          <w:szCs w:val="22"/>
        </w:rPr>
        <w:t>ar basis by the D</w:t>
      </w:r>
      <w:r w:rsidR="00556C52">
        <w:rPr>
          <w:szCs w:val="22"/>
        </w:rPr>
        <w:t xml:space="preserve">ata </w:t>
      </w:r>
      <w:r w:rsidR="0040485C" w:rsidRPr="00556C52">
        <w:rPr>
          <w:szCs w:val="22"/>
        </w:rPr>
        <w:t>S</w:t>
      </w:r>
      <w:r w:rsidR="00556C52">
        <w:rPr>
          <w:szCs w:val="22"/>
        </w:rPr>
        <w:t xml:space="preserve">afety </w:t>
      </w:r>
      <w:r w:rsidR="0040485C" w:rsidRPr="00556C52">
        <w:rPr>
          <w:szCs w:val="22"/>
        </w:rPr>
        <w:t>M</w:t>
      </w:r>
      <w:r w:rsidR="00556C52">
        <w:rPr>
          <w:szCs w:val="22"/>
        </w:rPr>
        <w:t xml:space="preserve">onitoring </w:t>
      </w:r>
      <w:r w:rsidR="0040485C" w:rsidRPr="00556C52">
        <w:rPr>
          <w:szCs w:val="22"/>
        </w:rPr>
        <w:t>B</w:t>
      </w:r>
      <w:r w:rsidR="00556C52">
        <w:rPr>
          <w:szCs w:val="22"/>
        </w:rPr>
        <w:t>oard (D</w:t>
      </w:r>
      <w:r w:rsidR="001763C2">
        <w:rPr>
          <w:szCs w:val="22"/>
        </w:rPr>
        <w:t>S</w:t>
      </w:r>
      <w:r w:rsidR="00556C52">
        <w:rPr>
          <w:szCs w:val="22"/>
        </w:rPr>
        <w:t>MB)</w:t>
      </w:r>
      <w:r w:rsidR="0040485C" w:rsidRPr="00556C52">
        <w:rPr>
          <w:szCs w:val="22"/>
        </w:rPr>
        <w:t xml:space="preserve"> for PLCO.  </w:t>
      </w:r>
      <w:r w:rsidR="00DF3435" w:rsidRPr="008457E2">
        <w:rPr>
          <w:szCs w:val="22"/>
        </w:rPr>
        <w:t>Given the</w:t>
      </w:r>
      <w:r w:rsidR="0040485C" w:rsidRPr="008457E2">
        <w:rPr>
          <w:szCs w:val="22"/>
        </w:rPr>
        <w:t xml:space="preserve"> final results for all four cancers were e</w:t>
      </w:r>
      <w:r w:rsidR="00DF3435" w:rsidRPr="008457E2">
        <w:rPr>
          <w:szCs w:val="22"/>
        </w:rPr>
        <w:t>i</w:t>
      </w:r>
      <w:r w:rsidR="0040485C" w:rsidRPr="008457E2">
        <w:rPr>
          <w:szCs w:val="22"/>
        </w:rPr>
        <w:t xml:space="preserve">ther published or </w:t>
      </w:r>
      <w:r w:rsidR="00DF3435" w:rsidRPr="008457E2">
        <w:rPr>
          <w:szCs w:val="22"/>
        </w:rPr>
        <w:t>being prepared for publication, the DSMB dissolved following their meeting on December 2, 2011.</w:t>
      </w:r>
      <w:r w:rsidR="00496CAF">
        <w:rPr>
          <w:szCs w:val="22"/>
        </w:rPr>
        <w:t xml:space="preserve">  </w:t>
      </w:r>
    </w:p>
    <w:p w:rsidR="00093C80" w:rsidRPr="00D3286C" w:rsidRDefault="00093C80" w:rsidP="00A233E3">
      <w:pPr>
        <w:pStyle w:val="Heading2"/>
        <w:spacing w:after="0" w:line="480" w:lineRule="auto"/>
        <w:ind w:left="720" w:hanging="720"/>
        <w:rPr>
          <w:szCs w:val="22"/>
        </w:rPr>
      </w:pPr>
    </w:p>
    <w:p w:rsidR="008D20C5" w:rsidRPr="00D3286C" w:rsidRDefault="00A233E3" w:rsidP="00A233E3">
      <w:pPr>
        <w:pStyle w:val="Heading2"/>
        <w:spacing w:after="0" w:line="480" w:lineRule="auto"/>
        <w:ind w:left="720" w:hanging="720"/>
        <w:rPr>
          <w:szCs w:val="22"/>
        </w:rPr>
      </w:pPr>
      <w:bookmarkStart w:id="39" w:name="_Toc295119902"/>
      <w:r w:rsidRPr="00D3286C">
        <w:rPr>
          <w:szCs w:val="22"/>
        </w:rPr>
        <w:t>A.</w:t>
      </w:r>
      <w:bookmarkStart w:id="40" w:name="_Toc443881750"/>
      <w:bookmarkStart w:id="41" w:name="_Toc451592239"/>
      <w:bookmarkStart w:id="42" w:name="_Toc5610280"/>
      <w:bookmarkStart w:id="43" w:name="_Toc194810113"/>
      <w:r w:rsidR="008D20C5" w:rsidRPr="00D3286C">
        <w:rPr>
          <w:szCs w:val="22"/>
        </w:rPr>
        <w:t>9.</w:t>
      </w:r>
      <w:r w:rsidR="008D20C5" w:rsidRPr="00D3286C">
        <w:rPr>
          <w:szCs w:val="22"/>
        </w:rPr>
        <w:tab/>
        <w:t>Explanation of Any Payment o</w:t>
      </w:r>
      <w:r w:rsidR="00FA66E6" w:rsidRPr="00D3286C">
        <w:rPr>
          <w:szCs w:val="22"/>
        </w:rPr>
        <w:t>r</w:t>
      </w:r>
      <w:r w:rsidR="008D20C5" w:rsidRPr="00D3286C">
        <w:rPr>
          <w:szCs w:val="22"/>
        </w:rPr>
        <w:t xml:space="preserve"> Gift to Respondents</w:t>
      </w:r>
      <w:bookmarkEnd w:id="39"/>
      <w:bookmarkEnd w:id="40"/>
      <w:bookmarkEnd w:id="41"/>
      <w:bookmarkEnd w:id="42"/>
      <w:bookmarkEnd w:id="43"/>
    </w:p>
    <w:p w:rsidR="008D20C5" w:rsidRPr="00D3286C" w:rsidRDefault="008D20C5" w:rsidP="00A46EE5">
      <w:pPr>
        <w:pStyle w:val="P1-StandPara"/>
        <w:rPr>
          <w:szCs w:val="22"/>
        </w:rPr>
      </w:pPr>
      <w:r w:rsidRPr="00D3286C">
        <w:rPr>
          <w:szCs w:val="22"/>
        </w:rPr>
        <w:t>This information collection does not involve payment or gifts to respondents.</w:t>
      </w:r>
    </w:p>
    <w:p w:rsidR="008D20C5" w:rsidRPr="00D3286C" w:rsidRDefault="008D20C5" w:rsidP="00A46EE5">
      <w:pPr>
        <w:pStyle w:val="P1-StandPara"/>
        <w:rPr>
          <w:szCs w:val="22"/>
        </w:rPr>
      </w:pPr>
    </w:p>
    <w:p w:rsidR="008D20C5" w:rsidRPr="00D3286C" w:rsidRDefault="00A233E3" w:rsidP="00A233E3">
      <w:pPr>
        <w:pStyle w:val="Heading2"/>
        <w:spacing w:after="0" w:line="480" w:lineRule="auto"/>
        <w:ind w:left="720" w:hanging="720"/>
        <w:rPr>
          <w:szCs w:val="22"/>
        </w:rPr>
      </w:pPr>
      <w:bookmarkStart w:id="44" w:name="_Toc443881751"/>
      <w:bookmarkStart w:id="45" w:name="_Toc451592240"/>
      <w:bookmarkStart w:id="46" w:name="_Toc5610281"/>
      <w:bookmarkStart w:id="47" w:name="_Toc194810114"/>
      <w:bookmarkStart w:id="48" w:name="_Toc295119903"/>
      <w:r w:rsidRPr="00D3286C">
        <w:rPr>
          <w:szCs w:val="22"/>
        </w:rPr>
        <w:t>A.</w:t>
      </w:r>
      <w:r w:rsidR="008D20C5" w:rsidRPr="00D3286C">
        <w:rPr>
          <w:szCs w:val="22"/>
        </w:rPr>
        <w:t>10.</w:t>
      </w:r>
      <w:r w:rsidR="008D20C5" w:rsidRPr="00D3286C">
        <w:rPr>
          <w:szCs w:val="22"/>
        </w:rPr>
        <w:tab/>
        <w:t>Assurance of Confidentiality Provided to Respondents</w:t>
      </w:r>
      <w:bookmarkEnd w:id="44"/>
      <w:bookmarkEnd w:id="45"/>
      <w:bookmarkEnd w:id="46"/>
      <w:bookmarkEnd w:id="47"/>
      <w:bookmarkEnd w:id="48"/>
    </w:p>
    <w:p w:rsidR="008D20C5" w:rsidRPr="00E64720" w:rsidRDefault="00E84385" w:rsidP="00A46EE5">
      <w:pPr>
        <w:pStyle w:val="P1-StandPara"/>
        <w:spacing w:after="120"/>
        <w:rPr>
          <w:szCs w:val="22"/>
        </w:rPr>
      </w:pPr>
      <w:r w:rsidRPr="00E64720">
        <w:rPr>
          <w:szCs w:val="22"/>
        </w:rPr>
        <w:t>E</w:t>
      </w:r>
      <w:r w:rsidR="008D20C5" w:rsidRPr="00E64720">
        <w:rPr>
          <w:szCs w:val="22"/>
        </w:rPr>
        <w:t xml:space="preserve">ach participant recruited into the study signs an informed consent </w:t>
      </w:r>
      <w:r w:rsidR="006F1F5D" w:rsidRPr="00E64720">
        <w:rPr>
          <w:szCs w:val="22"/>
        </w:rPr>
        <w:t xml:space="preserve">that </w:t>
      </w:r>
      <w:r w:rsidR="008D20C5" w:rsidRPr="00E64720">
        <w:rPr>
          <w:szCs w:val="22"/>
        </w:rPr>
        <w:t xml:space="preserve">states the voluntary nature of participation and </w:t>
      </w:r>
      <w:r w:rsidR="00A24C6C" w:rsidRPr="00E64720">
        <w:rPr>
          <w:szCs w:val="22"/>
        </w:rPr>
        <w:t xml:space="preserve">states that the information they provide will be kept private </w:t>
      </w:r>
      <w:r w:rsidR="00F24136">
        <w:rPr>
          <w:szCs w:val="22"/>
        </w:rPr>
        <w:t>to the extent of the law. The Privacy Act does apply to this information collection</w:t>
      </w:r>
      <w:r w:rsidR="008D20C5" w:rsidRPr="00E64720">
        <w:rPr>
          <w:szCs w:val="22"/>
        </w:rPr>
        <w:t xml:space="preserve">.  </w:t>
      </w:r>
      <w:r w:rsidR="00A24C6C" w:rsidRPr="00E64720">
        <w:rPr>
          <w:szCs w:val="22"/>
        </w:rPr>
        <w:t>T</w:t>
      </w:r>
      <w:r w:rsidR="008D20C5" w:rsidRPr="00E64720">
        <w:rPr>
          <w:szCs w:val="22"/>
        </w:rPr>
        <w:t>he identity of participants is maintained in a number of different ways.</w:t>
      </w:r>
    </w:p>
    <w:p w:rsidR="008D20C5" w:rsidRDefault="008D20C5" w:rsidP="00A46EE5">
      <w:pPr>
        <w:pStyle w:val="N2-2ndBullet"/>
        <w:tabs>
          <w:tab w:val="clear" w:pos="1728"/>
        </w:tabs>
        <w:spacing w:line="360" w:lineRule="auto"/>
        <w:ind w:left="1354"/>
        <w:jc w:val="left"/>
        <w:rPr>
          <w:szCs w:val="22"/>
        </w:rPr>
      </w:pPr>
      <w:r w:rsidRPr="00E64720">
        <w:rPr>
          <w:szCs w:val="22"/>
        </w:rPr>
        <w:t>Access to study data is limited to the staff working on the study.</w:t>
      </w:r>
    </w:p>
    <w:p w:rsidR="00AC5014" w:rsidRPr="00BA3B53" w:rsidRDefault="00AC5014" w:rsidP="00AC5014">
      <w:pPr>
        <w:pStyle w:val="N2-2ndBullet"/>
        <w:tabs>
          <w:tab w:val="clear" w:pos="1728"/>
          <w:tab w:val="left" w:pos="1350"/>
        </w:tabs>
        <w:ind w:left="1350" w:hanging="540"/>
      </w:pPr>
      <w:r w:rsidRPr="00E64720">
        <w:t>All completed hard</w:t>
      </w:r>
      <w:r w:rsidRPr="00E64720">
        <w:noBreakHyphen/>
        <w:t xml:space="preserve">copy data forms are kept in locked filing facilities at CDCC and SC </w:t>
      </w:r>
      <w:r w:rsidRPr="00421C0D">
        <w:t xml:space="preserve">offices or </w:t>
      </w:r>
      <w:r w:rsidRPr="00BA3B53">
        <w:t>special archive facilities.</w:t>
      </w:r>
    </w:p>
    <w:p w:rsidR="008D20C5" w:rsidRPr="00D3286C" w:rsidRDefault="008D20C5" w:rsidP="00A46EE5">
      <w:pPr>
        <w:pStyle w:val="N2-2ndBullet"/>
        <w:tabs>
          <w:tab w:val="clear" w:pos="1728"/>
        </w:tabs>
        <w:spacing w:line="360" w:lineRule="auto"/>
        <w:ind w:left="1354"/>
        <w:jc w:val="left"/>
        <w:rPr>
          <w:i/>
          <w:szCs w:val="22"/>
        </w:rPr>
      </w:pPr>
      <w:r w:rsidRPr="00E64720">
        <w:rPr>
          <w:szCs w:val="22"/>
        </w:rPr>
        <w:t xml:space="preserve">Data collected at the </w:t>
      </w:r>
      <w:r w:rsidR="00C56D75" w:rsidRPr="00E64720">
        <w:rPr>
          <w:szCs w:val="22"/>
        </w:rPr>
        <w:t>CDCC</w:t>
      </w:r>
      <w:r w:rsidR="00B4715A" w:rsidRPr="00E64720">
        <w:rPr>
          <w:szCs w:val="22"/>
        </w:rPr>
        <w:t xml:space="preserve"> and </w:t>
      </w:r>
      <w:r w:rsidRPr="00E64720">
        <w:rPr>
          <w:szCs w:val="22"/>
        </w:rPr>
        <w:t>SCs are maintained in automated information systems physically separate from other institutional systems.  Limited (no personal identifiers available) dial</w:t>
      </w:r>
      <w:r w:rsidRPr="00E64720">
        <w:rPr>
          <w:szCs w:val="22"/>
        </w:rPr>
        <w:noBreakHyphen/>
        <w:t>in access is possible through a two</w:t>
      </w:r>
      <w:r w:rsidRPr="00E64720">
        <w:rPr>
          <w:szCs w:val="22"/>
        </w:rPr>
        <w:noBreakHyphen/>
        <w:t xml:space="preserve">step procedure requiring the </w:t>
      </w:r>
      <w:r w:rsidR="00B4715A" w:rsidRPr="00232B86">
        <w:rPr>
          <w:szCs w:val="22"/>
          <w:highlight w:val="yellow"/>
        </w:rPr>
        <w:t>CDCC</w:t>
      </w:r>
      <w:r w:rsidRPr="00232B86">
        <w:rPr>
          <w:szCs w:val="22"/>
          <w:highlight w:val="yellow"/>
        </w:rPr>
        <w:t xml:space="preserve"> and </w:t>
      </w:r>
      <w:r w:rsidR="00D53EA2" w:rsidRPr="00232B86">
        <w:rPr>
          <w:szCs w:val="22"/>
          <w:highlight w:val="yellow"/>
        </w:rPr>
        <w:t>S</w:t>
      </w:r>
      <w:r w:rsidRPr="00232B86">
        <w:rPr>
          <w:szCs w:val="22"/>
          <w:highlight w:val="yellow"/>
        </w:rPr>
        <w:t>C</w:t>
      </w:r>
      <w:r w:rsidRPr="00D3286C">
        <w:rPr>
          <w:szCs w:val="22"/>
        </w:rPr>
        <w:t xml:space="preserve">.  The systems have the following privacy controls:  Access to files is through the use of a password known only to </w:t>
      </w:r>
      <w:proofErr w:type="gramStart"/>
      <w:r w:rsidRPr="00D3286C">
        <w:rPr>
          <w:szCs w:val="22"/>
        </w:rPr>
        <w:t>authorized</w:t>
      </w:r>
      <w:proofErr w:type="gramEnd"/>
      <w:r w:rsidRPr="00D3286C">
        <w:rPr>
          <w:szCs w:val="22"/>
        </w:rPr>
        <w:t xml:space="preserve"> study staff.  Names and Social Security Numbers (SSN) are encrypted and stored in separate files from other data and are linked only by the participant identification number.  All reports or files (output) with identifiers, produced and maintained at the SCs only, carry the following disclosure statement at the top and bottom of each page:  </w:t>
      </w:r>
      <w:r w:rsidRPr="00D3286C">
        <w:rPr>
          <w:i/>
          <w:szCs w:val="22"/>
        </w:rPr>
        <w:t>"This report contains data protected under the Privacy Act of 1975.  Please distribute only to authorized personnel and store and dispose of report in a proper manner."</w:t>
      </w:r>
    </w:p>
    <w:p w:rsidR="008D20C5" w:rsidRPr="00E64720" w:rsidRDefault="008D20C5" w:rsidP="00024D79">
      <w:pPr>
        <w:pStyle w:val="N2-2ndBullet"/>
        <w:tabs>
          <w:tab w:val="clear" w:pos="1728"/>
        </w:tabs>
        <w:spacing w:line="360" w:lineRule="auto"/>
        <w:ind w:left="1354"/>
        <w:jc w:val="left"/>
        <w:rPr>
          <w:szCs w:val="22"/>
        </w:rPr>
      </w:pPr>
      <w:r w:rsidRPr="00E64720">
        <w:rPr>
          <w:szCs w:val="22"/>
        </w:rPr>
        <w:t>Data collected are maintained at the</w:t>
      </w:r>
      <w:r w:rsidR="00B4715A" w:rsidRPr="00E64720">
        <w:rPr>
          <w:szCs w:val="22"/>
        </w:rPr>
        <w:t xml:space="preserve"> CDCC and</w:t>
      </w:r>
      <w:r w:rsidRPr="00E64720">
        <w:rPr>
          <w:szCs w:val="22"/>
        </w:rPr>
        <w:t xml:space="preserve"> SCs (including identifying information) and at NCI (without identifying information) until completion of the study or until they are no longer required for the research.  Data will be destroyed as required by NIH Manual 1743 </w:t>
      </w:r>
      <w:r w:rsidRPr="00E64720">
        <w:rPr>
          <w:szCs w:val="22"/>
        </w:rPr>
        <w:noBreakHyphen/>
        <w:t xml:space="preserve"> “Keeping and Destroying Records”.</w:t>
      </w:r>
    </w:p>
    <w:p w:rsidR="008D20C5" w:rsidRPr="00D3286C" w:rsidRDefault="008D20C5" w:rsidP="00A46EE5">
      <w:pPr>
        <w:pStyle w:val="P1-StandPara"/>
        <w:rPr>
          <w:szCs w:val="22"/>
        </w:rPr>
      </w:pPr>
      <w:r w:rsidRPr="00E64720">
        <w:rPr>
          <w:szCs w:val="22"/>
        </w:rPr>
        <w:t xml:space="preserve">Each SC had </w:t>
      </w:r>
      <w:r w:rsidR="0095459E">
        <w:rPr>
          <w:szCs w:val="22"/>
        </w:rPr>
        <w:t>Institutional Review Board (</w:t>
      </w:r>
      <w:r w:rsidRPr="00E64720">
        <w:rPr>
          <w:szCs w:val="22"/>
        </w:rPr>
        <w:t>IRB</w:t>
      </w:r>
      <w:r w:rsidR="0095459E">
        <w:rPr>
          <w:szCs w:val="22"/>
        </w:rPr>
        <w:t>)</w:t>
      </w:r>
      <w:r w:rsidRPr="00E64720">
        <w:rPr>
          <w:szCs w:val="22"/>
        </w:rPr>
        <w:t xml:space="preserve"> approval, as well as </w:t>
      </w:r>
      <w:r w:rsidR="00F84895" w:rsidRPr="00E64720">
        <w:rPr>
          <w:szCs w:val="22"/>
        </w:rPr>
        <w:t>Office of Human Research Protocol (</w:t>
      </w:r>
      <w:r w:rsidRPr="00E64720">
        <w:rPr>
          <w:szCs w:val="22"/>
        </w:rPr>
        <w:t>OHRP</w:t>
      </w:r>
      <w:r w:rsidR="00F84895" w:rsidRPr="00E64720">
        <w:rPr>
          <w:szCs w:val="22"/>
        </w:rPr>
        <w:t>)</w:t>
      </w:r>
      <w:r w:rsidRPr="00E64720">
        <w:rPr>
          <w:szCs w:val="22"/>
        </w:rPr>
        <w:t xml:space="preserve"> certification before beginning participant recruitment.  </w:t>
      </w:r>
      <w:r w:rsidR="001055B3" w:rsidRPr="00421C0D">
        <w:rPr>
          <w:szCs w:val="22"/>
        </w:rPr>
        <w:t xml:space="preserve">Data </w:t>
      </w:r>
      <w:r w:rsidR="005463F4" w:rsidRPr="00421C0D">
        <w:rPr>
          <w:szCs w:val="22"/>
        </w:rPr>
        <w:t>transfer from the</w:t>
      </w:r>
      <w:r w:rsidR="0053375E" w:rsidRPr="00421C0D">
        <w:rPr>
          <w:szCs w:val="22"/>
        </w:rPr>
        <w:t xml:space="preserve"> </w:t>
      </w:r>
      <w:r w:rsidR="001055B3" w:rsidRPr="00421C0D">
        <w:rPr>
          <w:szCs w:val="22"/>
        </w:rPr>
        <w:t>SC to th</w:t>
      </w:r>
      <w:r w:rsidR="001055B3" w:rsidRPr="00E64720">
        <w:rPr>
          <w:szCs w:val="22"/>
        </w:rPr>
        <w:t xml:space="preserve">e </w:t>
      </w:r>
      <w:r w:rsidR="00C56D75" w:rsidRPr="00E64720">
        <w:rPr>
          <w:szCs w:val="22"/>
        </w:rPr>
        <w:t>CDCC</w:t>
      </w:r>
      <w:r w:rsidR="001055B3" w:rsidRPr="00E64720">
        <w:rPr>
          <w:szCs w:val="22"/>
        </w:rPr>
        <w:t xml:space="preserve"> </w:t>
      </w:r>
      <w:r w:rsidR="0038245C">
        <w:rPr>
          <w:szCs w:val="22"/>
        </w:rPr>
        <w:t>did</w:t>
      </w:r>
      <w:r w:rsidR="001055B3" w:rsidRPr="00E64720">
        <w:rPr>
          <w:szCs w:val="22"/>
        </w:rPr>
        <w:t xml:space="preserve"> not occur until both organizations ha</w:t>
      </w:r>
      <w:r w:rsidR="00456D65">
        <w:rPr>
          <w:szCs w:val="22"/>
        </w:rPr>
        <w:t>d</w:t>
      </w:r>
      <w:r w:rsidR="001055B3" w:rsidRPr="00E64720">
        <w:rPr>
          <w:szCs w:val="22"/>
        </w:rPr>
        <w:t xml:space="preserve"> IRB approval.  A</w:t>
      </w:r>
      <w:r w:rsidR="00136108" w:rsidRPr="00E64720">
        <w:rPr>
          <w:szCs w:val="22"/>
        </w:rPr>
        <w:t xml:space="preserve">t the time of study initiation, NCI and </w:t>
      </w:r>
      <w:r w:rsidR="001055B3" w:rsidRPr="00E64720">
        <w:rPr>
          <w:szCs w:val="22"/>
        </w:rPr>
        <w:t>the Coordinating Center</w:t>
      </w:r>
      <w:r w:rsidR="000B2F65">
        <w:rPr>
          <w:szCs w:val="22"/>
        </w:rPr>
        <w:t xml:space="preserve"> (CC)</w:t>
      </w:r>
      <w:r w:rsidR="00136108" w:rsidRPr="00D3286C">
        <w:rPr>
          <w:szCs w:val="22"/>
        </w:rPr>
        <w:t xml:space="preserve"> IRBs determined that IRB review was</w:t>
      </w:r>
      <w:r w:rsidR="00EB3E51" w:rsidRPr="00D3286C">
        <w:rPr>
          <w:szCs w:val="22"/>
        </w:rPr>
        <w:t xml:space="preserve"> </w:t>
      </w:r>
      <w:r w:rsidR="00136108" w:rsidRPr="00D3286C">
        <w:rPr>
          <w:szCs w:val="22"/>
        </w:rPr>
        <w:t>n</w:t>
      </w:r>
      <w:r w:rsidR="00EB3E51" w:rsidRPr="00D3286C">
        <w:rPr>
          <w:szCs w:val="22"/>
        </w:rPr>
        <w:t>o</w:t>
      </w:r>
      <w:r w:rsidR="00136108" w:rsidRPr="00D3286C">
        <w:rPr>
          <w:szCs w:val="22"/>
        </w:rPr>
        <w:t xml:space="preserve">t needed since neither </w:t>
      </w:r>
      <w:r w:rsidR="00D3286C" w:rsidRPr="00D3286C">
        <w:rPr>
          <w:szCs w:val="22"/>
        </w:rPr>
        <w:t>receives</w:t>
      </w:r>
      <w:r w:rsidR="00136108" w:rsidRPr="00D3286C">
        <w:rPr>
          <w:szCs w:val="22"/>
        </w:rPr>
        <w:t xml:space="preserve"> any identifying information about the participants.</w:t>
      </w:r>
      <w:r w:rsidR="00865AE1">
        <w:rPr>
          <w:szCs w:val="22"/>
        </w:rPr>
        <w:t xml:space="preserve">  </w:t>
      </w:r>
      <w:r w:rsidR="00865AE1" w:rsidRPr="006861FD">
        <w:rPr>
          <w:szCs w:val="22"/>
        </w:rPr>
        <w:t xml:space="preserve">However, both the Westat and NCI IRBs have approved the CDCC activities. These approvals are kept current by standard procedure and are documented in </w:t>
      </w:r>
      <w:r w:rsidR="00865AE1" w:rsidRPr="00723BBD">
        <w:rPr>
          <w:b/>
          <w:szCs w:val="22"/>
          <w:highlight w:val="yellow"/>
        </w:rPr>
        <w:t xml:space="preserve">Attachment </w:t>
      </w:r>
      <w:r w:rsidR="00723BBD" w:rsidRPr="00723BBD">
        <w:rPr>
          <w:b/>
          <w:szCs w:val="22"/>
          <w:highlight w:val="yellow"/>
        </w:rPr>
        <w:t>9</w:t>
      </w:r>
      <w:r w:rsidR="00865AE1" w:rsidRPr="006861FD">
        <w:rPr>
          <w:szCs w:val="22"/>
        </w:rPr>
        <w:t xml:space="preserve">.  </w:t>
      </w:r>
      <w:r w:rsidR="00865AE1">
        <w:rPr>
          <w:szCs w:val="22"/>
          <w:highlight w:val="yellow"/>
        </w:rPr>
        <w:t>The SC IRB approvals are kept current by standard procedures</w:t>
      </w:r>
      <w:r w:rsidR="00AC5014">
        <w:rPr>
          <w:szCs w:val="22"/>
          <w:highlight w:val="yellow"/>
        </w:rPr>
        <w:t xml:space="preserve"> and are documented in </w:t>
      </w:r>
      <w:r w:rsidR="00AC5014">
        <w:rPr>
          <w:b/>
          <w:szCs w:val="22"/>
          <w:highlight w:val="yellow"/>
        </w:rPr>
        <w:t xml:space="preserve">Attachment </w:t>
      </w:r>
      <w:r w:rsidR="00723BBD">
        <w:rPr>
          <w:b/>
          <w:szCs w:val="22"/>
          <w:highlight w:val="yellow"/>
        </w:rPr>
        <w:t>9</w:t>
      </w:r>
      <w:r w:rsidR="00865AE1">
        <w:rPr>
          <w:szCs w:val="22"/>
          <w:highlight w:val="yellow"/>
        </w:rPr>
        <w:t>.</w:t>
      </w:r>
      <w:r w:rsidR="00865AE1">
        <w:rPr>
          <w:szCs w:val="22"/>
        </w:rPr>
        <w:t xml:space="preserve">  </w:t>
      </w:r>
      <w:r w:rsidRPr="00D3286C">
        <w:rPr>
          <w:szCs w:val="22"/>
        </w:rPr>
        <w:t xml:space="preserve">The </w:t>
      </w:r>
      <w:r w:rsidR="00927B91" w:rsidRPr="00D3286C">
        <w:rPr>
          <w:szCs w:val="22"/>
        </w:rPr>
        <w:t xml:space="preserve">data collection is covered by </w:t>
      </w:r>
      <w:r w:rsidR="009C46B0" w:rsidRPr="00D3286C">
        <w:rPr>
          <w:szCs w:val="22"/>
        </w:rPr>
        <w:t xml:space="preserve">NIH </w:t>
      </w:r>
      <w:r w:rsidRPr="00D3286C">
        <w:rPr>
          <w:szCs w:val="22"/>
        </w:rPr>
        <w:t>Privacy Act System</w:t>
      </w:r>
      <w:r w:rsidR="009C46B0" w:rsidRPr="00D3286C">
        <w:rPr>
          <w:szCs w:val="22"/>
        </w:rPr>
        <w:t>s</w:t>
      </w:r>
      <w:r w:rsidRPr="00D3286C">
        <w:rPr>
          <w:szCs w:val="22"/>
        </w:rPr>
        <w:t xml:space="preserve"> of Record </w:t>
      </w:r>
      <w:r w:rsidR="00927B91" w:rsidRPr="00D3286C">
        <w:rPr>
          <w:szCs w:val="22"/>
        </w:rPr>
        <w:t>09-25-0200, “</w:t>
      </w:r>
      <w:r w:rsidR="00573127" w:rsidRPr="00D3286C">
        <w:rPr>
          <w:szCs w:val="22"/>
        </w:rPr>
        <w:t xml:space="preserve">Clinical, </w:t>
      </w:r>
      <w:r w:rsidR="00756A8E" w:rsidRPr="00D3286C">
        <w:rPr>
          <w:szCs w:val="22"/>
        </w:rPr>
        <w:t xml:space="preserve">Basic and Population-based Research Studies of the National </w:t>
      </w:r>
      <w:r w:rsidR="00573127" w:rsidRPr="00D3286C">
        <w:rPr>
          <w:szCs w:val="22"/>
        </w:rPr>
        <w:t>Institutes of Health (NIH), HHS/NIH/OD</w:t>
      </w:r>
      <w:r w:rsidRPr="00D3286C">
        <w:rPr>
          <w:szCs w:val="22"/>
        </w:rPr>
        <w:t>"</w:t>
      </w:r>
      <w:r w:rsidR="002E015D">
        <w:rPr>
          <w:szCs w:val="22"/>
        </w:rPr>
        <w:t xml:space="preserve"> </w:t>
      </w:r>
      <w:r w:rsidR="000E1B32" w:rsidRPr="00E64720">
        <w:rPr>
          <w:szCs w:val="22"/>
        </w:rPr>
        <w:t>published in the Federal Register on September 26, 2002 (67 FR 60776)</w:t>
      </w:r>
      <w:r w:rsidR="002E015D" w:rsidRPr="00E64720">
        <w:rPr>
          <w:szCs w:val="22"/>
        </w:rPr>
        <w:t xml:space="preserve"> </w:t>
      </w:r>
      <w:r w:rsidR="00927B91" w:rsidRPr="00456D65">
        <w:rPr>
          <w:szCs w:val="22"/>
        </w:rPr>
        <w:t>(</w:t>
      </w:r>
      <w:r w:rsidR="00C56D75" w:rsidRPr="00723BBD">
        <w:rPr>
          <w:b/>
          <w:szCs w:val="22"/>
          <w:highlight w:val="yellow"/>
        </w:rPr>
        <w:t>Attachment 1</w:t>
      </w:r>
      <w:r w:rsidR="00723BBD" w:rsidRPr="00723BBD">
        <w:rPr>
          <w:b/>
          <w:szCs w:val="22"/>
          <w:highlight w:val="yellow"/>
        </w:rPr>
        <w:t>0</w:t>
      </w:r>
      <w:r w:rsidR="00FF0164" w:rsidRPr="00456D65">
        <w:rPr>
          <w:szCs w:val="22"/>
        </w:rPr>
        <w:t>)</w:t>
      </w:r>
      <w:r w:rsidR="008F28B6" w:rsidRPr="00456D65">
        <w:rPr>
          <w:szCs w:val="22"/>
        </w:rPr>
        <w:t>.</w:t>
      </w:r>
      <w:r w:rsidR="008F28B6" w:rsidRPr="00D3286C">
        <w:rPr>
          <w:szCs w:val="22"/>
        </w:rPr>
        <w:t xml:space="preserve">  </w:t>
      </w:r>
    </w:p>
    <w:p w:rsidR="00492B7A" w:rsidRDefault="00492B7A">
      <w:pPr>
        <w:pStyle w:val="P1-StandPara"/>
        <w:ind w:firstLine="0"/>
        <w:rPr>
          <w:szCs w:val="22"/>
        </w:rPr>
      </w:pPr>
    </w:p>
    <w:p w:rsidR="008D20C5" w:rsidRPr="00D3286C" w:rsidRDefault="00A233E3" w:rsidP="00A233E3">
      <w:pPr>
        <w:pStyle w:val="Heading2"/>
        <w:spacing w:after="0" w:line="480" w:lineRule="auto"/>
        <w:ind w:left="720" w:hanging="720"/>
        <w:rPr>
          <w:szCs w:val="22"/>
        </w:rPr>
      </w:pPr>
      <w:bookmarkStart w:id="49" w:name="_Toc443881752"/>
      <w:bookmarkStart w:id="50" w:name="_Toc451592241"/>
      <w:bookmarkStart w:id="51" w:name="_Toc5610282"/>
      <w:bookmarkStart w:id="52" w:name="_Toc194810115"/>
      <w:bookmarkStart w:id="53" w:name="_Toc295119904"/>
      <w:r w:rsidRPr="00D3286C">
        <w:rPr>
          <w:szCs w:val="22"/>
        </w:rPr>
        <w:t>A.</w:t>
      </w:r>
      <w:r w:rsidR="008D20C5" w:rsidRPr="00D3286C">
        <w:rPr>
          <w:szCs w:val="22"/>
        </w:rPr>
        <w:t>11.</w:t>
      </w:r>
      <w:r w:rsidR="008D20C5" w:rsidRPr="00D3286C">
        <w:rPr>
          <w:szCs w:val="22"/>
        </w:rPr>
        <w:tab/>
        <w:t>Justification for Sensitive Questions</w:t>
      </w:r>
      <w:bookmarkEnd w:id="49"/>
      <w:bookmarkEnd w:id="50"/>
      <w:bookmarkEnd w:id="51"/>
      <w:bookmarkEnd w:id="52"/>
      <w:bookmarkEnd w:id="53"/>
    </w:p>
    <w:p w:rsidR="005319B8" w:rsidRDefault="00272165">
      <w:pPr>
        <w:pStyle w:val="P1-StandPara"/>
        <w:ind w:right="-126"/>
        <w:rPr>
          <w:szCs w:val="22"/>
        </w:rPr>
      </w:pPr>
      <w:r w:rsidRPr="00D3286C">
        <w:rPr>
          <w:szCs w:val="22"/>
        </w:rPr>
        <w:t xml:space="preserve">Personally identifying information </w:t>
      </w:r>
      <w:r>
        <w:rPr>
          <w:szCs w:val="22"/>
        </w:rPr>
        <w:t xml:space="preserve">(PII) </w:t>
      </w:r>
      <w:r w:rsidRPr="00D3286C">
        <w:rPr>
          <w:szCs w:val="22"/>
        </w:rPr>
        <w:t xml:space="preserve">on PLCO trial participants is collected and maintained by </w:t>
      </w:r>
      <w:r w:rsidRPr="00E64720">
        <w:rPr>
          <w:szCs w:val="22"/>
        </w:rPr>
        <w:t xml:space="preserve">the </w:t>
      </w:r>
      <w:r w:rsidR="00C56D75" w:rsidRPr="00E64720">
        <w:rPr>
          <w:szCs w:val="22"/>
        </w:rPr>
        <w:t>CDCC</w:t>
      </w:r>
      <w:r w:rsidRPr="00D3286C">
        <w:rPr>
          <w:szCs w:val="22"/>
        </w:rPr>
        <w:t xml:space="preserve"> and the SCs, and is necessary to allow annual follow</w:t>
      </w:r>
      <w:r w:rsidRPr="00D3286C">
        <w:rPr>
          <w:szCs w:val="22"/>
        </w:rPr>
        <w:noBreakHyphen/>
        <w:t>up, to access medical records</w:t>
      </w:r>
      <w:r w:rsidR="0053375E">
        <w:rPr>
          <w:szCs w:val="22"/>
        </w:rPr>
        <w:t>,</w:t>
      </w:r>
      <w:r w:rsidRPr="00D3286C">
        <w:rPr>
          <w:szCs w:val="22"/>
        </w:rPr>
        <w:t xml:space="preserve"> and to perform National Death </w:t>
      </w:r>
      <w:r w:rsidR="00BC5CC9" w:rsidRPr="00D3286C">
        <w:rPr>
          <w:szCs w:val="22"/>
        </w:rPr>
        <w:t xml:space="preserve">Index </w:t>
      </w:r>
      <w:r w:rsidR="005463F4" w:rsidRPr="003A0452">
        <w:rPr>
          <w:szCs w:val="22"/>
        </w:rPr>
        <w:t>and cancer registry</w:t>
      </w:r>
      <w:r w:rsidR="00BC5CC9" w:rsidRPr="003A0452">
        <w:rPr>
          <w:szCs w:val="22"/>
        </w:rPr>
        <w:t xml:space="preserve"> </w:t>
      </w:r>
      <w:r w:rsidRPr="003A0452">
        <w:rPr>
          <w:szCs w:val="22"/>
        </w:rPr>
        <w:t>searches</w:t>
      </w:r>
      <w:r w:rsidRPr="00D3286C">
        <w:rPr>
          <w:szCs w:val="22"/>
        </w:rPr>
        <w:t xml:space="preserve">.  </w:t>
      </w:r>
      <w:r w:rsidRPr="003A0452">
        <w:rPr>
          <w:szCs w:val="22"/>
          <w:highlight w:val="yellow"/>
        </w:rPr>
        <w:t>No identifying information is provided to the government.</w:t>
      </w:r>
      <w:r w:rsidRPr="00D3286C">
        <w:rPr>
          <w:szCs w:val="22"/>
        </w:rPr>
        <w:t xml:space="preserve">  Data analyses and reports are aggregated without personal identifiers.</w:t>
      </w:r>
    </w:p>
    <w:p w:rsidR="00937D1E" w:rsidRPr="00D3286C" w:rsidRDefault="000C0798" w:rsidP="00A46EE5">
      <w:pPr>
        <w:pStyle w:val="P1-StandPara"/>
        <w:rPr>
          <w:szCs w:val="22"/>
        </w:rPr>
      </w:pPr>
      <w:r w:rsidRPr="00D3286C">
        <w:rPr>
          <w:szCs w:val="22"/>
        </w:rPr>
        <w:t>The only p</w:t>
      </w:r>
      <w:r w:rsidR="008D20C5" w:rsidRPr="00D3286C">
        <w:rPr>
          <w:szCs w:val="22"/>
        </w:rPr>
        <w:t xml:space="preserve">otentially sensitive question </w:t>
      </w:r>
      <w:r w:rsidRPr="00D3286C">
        <w:rPr>
          <w:szCs w:val="22"/>
        </w:rPr>
        <w:t xml:space="preserve">is </w:t>
      </w:r>
      <w:r w:rsidR="008D20C5" w:rsidRPr="00D3286C">
        <w:rPr>
          <w:szCs w:val="22"/>
        </w:rPr>
        <w:t>SSN</w:t>
      </w:r>
      <w:r w:rsidRPr="00D3286C">
        <w:rPr>
          <w:szCs w:val="22"/>
        </w:rPr>
        <w:t>.</w:t>
      </w:r>
      <w:r w:rsidR="008D20C5" w:rsidRPr="00D3286C">
        <w:rPr>
          <w:szCs w:val="22"/>
        </w:rPr>
        <w:t xml:space="preserve"> </w:t>
      </w:r>
      <w:r w:rsidR="00937D1E" w:rsidRPr="00D3286C">
        <w:rPr>
          <w:szCs w:val="22"/>
        </w:rPr>
        <w:t xml:space="preserve"> </w:t>
      </w:r>
      <w:r w:rsidR="008D20C5" w:rsidRPr="00D3286C">
        <w:rPr>
          <w:szCs w:val="22"/>
        </w:rPr>
        <w:t xml:space="preserve">SSN </w:t>
      </w:r>
      <w:r w:rsidR="00D94AF0" w:rsidRPr="00D3286C">
        <w:rPr>
          <w:szCs w:val="22"/>
        </w:rPr>
        <w:t xml:space="preserve">is only collected on the Follow-up Locator Form </w:t>
      </w:r>
      <w:r w:rsidR="008F28B6" w:rsidRPr="00D3286C">
        <w:rPr>
          <w:szCs w:val="22"/>
        </w:rPr>
        <w:t>which is the second half of the ASU</w:t>
      </w:r>
      <w:r w:rsidR="00D94AF0" w:rsidRPr="00D3286C">
        <w:rPr>
          <w:szCs w:val="22"/>
        </w:rPr>
        <w:t xml:space="preserve"> (</w:t>
      </w:r>
      <w:r w:rsidR="00C56D75" w:rsidRPr="00723BBD">
        <w:rPr>
          <w:b/>
          <w:szCs w:val="22"/>
          <w:highlight w:val="yellow"/>
        </w:rPr>
        <w:t xml:space="preserve">Attachment </w:t>
      </w:r>
      <w:r w:rsidR="00723BBD" w:rsidRPr="00723BBD">
        <w:rPr>
          <w:b/>
          <w:szCs w:val="22"/>
          <w:highlight w:val="yellow"/>
        </w:rPr>
        <w:t>1</w:t>
      </w:r>
      <w:r w:rsidR="00D94AF0" w:rsidRPr="00D3286C">
        <w:rPr>
          <w:szCs w:val="22"/>
        </w:rPr>
        <w:t xml:space="preserve">), and confirmed annually by the participant.  SSN is used, as stated on the form, only to help locate participants if no longer at their home address and to search </w:t>
      </w:r>
      <w:r w:rsidR="00BC5CC9">
        <w:rPr>
          <w:szCs w:val="22"/>
        </w:rPr>
        <w:t xml:space="preserve">the </w:t>
      </w:r>
      <w:r w:rsidR="005463F4" w:rsidRPr="00623D3F">
        <w:rPr>
          <w:szCs w:val="22"/>
        </w:rPr>
        <w:t>National Death Index</w:t>
      </w:r>
      <w:r w:rsidR="00D94AF0" w:rsidRPr="00D3286C">
        <w:rPr>
          <w:szCs w:val="22"/>
        </w:rPr>
        <w:t xml:space="preserve"> </w:t>
      </w:r>
      <w:r w:rsidR="008A21F3">
        <w:rPr>
          <w:szCs w:val="22"/>
        </w:rPr>
        <w:t xml:space="preserve">and cancer registries </w:t>
      </w:r>
      <w:r w:rsidR="00D94AF0" w:rsidRPr="00D3286C">
        <w:rPr>
          <w:szCs w:val="22"/>
        </w:rPr>
        <w:t xml:space="preserve">in the future, which is essential to the validity of the study results.  When SSN is requested, the participant is told of the purpose of the data collection, the legislative authority under which the information is being collected, the voluntary and </w:t>
      </w:r>
      <w:r w:rsidR="00A24C6C">
        <w:rPr>
          <w:szCs w:val="22"/>
        </w:rPr>
        <w:t>private</w:t>
      </w:r>
      <w:r w:rsidR="00A24C6C" w:rsidRPr="00D3286C">
        <w:rPr>
          <w:szCs w:val="22"/>
        </w:rPr>
        <w:t xml:space="preserve"> </w:t>
      </w:r>
      <w:r w:rsidR="00D94AF0" w:rsidRPr="00D3286C">
        <w:rPr>
          <w:szCs w:val="22"/>
        </w:rPr>
        <w:t xml:space="preserve">nature of the survey, and the absence of any penalty for refusal.  SSN is not required for participation in the study.  </w:t>
      </w:r>
    </w:p>
    <w:p w:rsidR="008631F6" w:rsidRDefault="00D94AF0" w:rsidP="008631F6">
      <w:pPr>
        <w:pStyle w:val="P1-StandPara"/>
        <w:rPr>
          <w:szCs w:val="22"/>
        </w:rPr>
      </w:pPr>
      <w:r w:rsidRPr="00D3286C">
        <w:rPr>
          <w:szCs w:val="22"/>
        </w:rPr>
        <w:t xml:space="preserve">SSN data </w:t>
      </w:r>
      <w:r w:rsidR="000B2F65">
        <w:rPr>
          <w:szCs w:val="22"/>
        </w:rPr>
        <w:t>are</w:t>
      </w:r>
      <w:r w:rsidR="00623D3F">
        <w:rPr>
          <w:szCs w:val="22"/>
        </w:rPr>
        <w:t xml:space="preserve"> </w:t>
      </w:r>
      <w:r w:rsidRPr="00D3286C">
        <w:rPr>
          <w:szCs w:val="22"/>
        </w:rPr>
        <w:t xml:space="preserve">maintained at </w:t>
      </w:r>
      <w:r w:rsidR="00B4715A" w:rsidRPr="00D3286C">
        <w:rPr>
          <w:szCs w:val="22"/>
        </w:rPr>
        <w:t xml:space="preserve">the </w:t>
      </w:r>
      <w:r w:rsidR="00C56D75" w:rsidRPr="00E64720">
        <w:rPr>
          <w:szCs w:val="22"/>
        </w:rPr>
        <w:t>CDCC</w:t>
      </w:r>
      <w:r w:rsidR="00B4715A" w:rsidRPr="00D3286C">
        <w:rPr>
          <w:szCs w:val="22"/>
        </w:rPr>
        <w:t xml:space="preserve"> and </w:t>
      </w:r>
      <w:r w:rsidRPr="00D3286C">
        <w:rPr>
          <w:szCs w:val="22"/>
        </w:rPr>
        <w:t xml:space="preserve">each SC and </w:t>
      </w:r>
      <w:r w:rsidR="000B2F65">
        <w:rPr>
          <w:szCs w:val="22"/>
        </w:rPr>
        <w:t>are</w:t>
      </w:r>
      <w:r w:rsidRPr="00D3286C">
        <w:rPr>
          <w:szCs w:val="22"/>
        </w:rPr>
        <w:t xml:space="preserve"> stored with other confidential study data and </w:t>
      </w:r>
      <w:r w:rsidR="00447F04">
        <w:rPr>
          <w:szCs w:val="22"/>
        </w:rPr>
        <w:t>are</w:t>
      </w:r>
      <w:r w:rsidRPr="00D3286C">
        <w:rPr>
          <w:szCs w:val="22"/>
        </w:rPr>
        <w:t xml:space="preserve"> subject to the same confidentiality procedures and protections as required by the Privacy Act System</w:t>
      </w:r>
      <w:r w:rsidR="00622FE2" w:rsidRPr="00D3286C">
        <w:rPr>
          <w:szCs w:val="22"/>
        </w:rPr>
        <w:t>s</w:t>
      </w:r>
      <w:r w:rsidRPr="00D3286C">
        <w:rPr>
          <w:szCs w:val="22"/>
        </w:rPr>
        <w:t xml:space="preserve"> of Record (</w:t>
      </w:r>
      <w:r w:rsidR="00C56D75" w:rsidRPr="00723BBD">
        <w:rPr>
          <w:b/>
          <w:szCs w:val="22"/>
          <w:highlight w:val="yellow"/>
        </w:rPr>
        <w:t>Attachment 1</w:t>
      </w:r>
      <w:r w:rsidR="00723BBD" w:rsidRPr="00723BBD">
        <w:rPr>
          <w:b/>
          <w:szCs w:val="22"/>
          <w:highlight w:val="yellow"/>
        </w:rPr>
        <w:t>0</w:t>
      </w:r>
      <w:r w:rsidRPr="00D3286C">
        <w:rPr>
          <w:szCs w:val="22"/>
        </w:rPr>
        <w:t>) and as su</w:t>
      </w:r>
      <w:r w:rsidR="00E963D8" w:rsidRPr="00D3286C">
        <w:rPr>
          <w:szCs w:val="22"/>
        </w:rPr>
        <w:t>mmarized in the study-specific Confidentiality P</w:t>
      </w:r>
      <w:r w:rsidRPr="00D3286C">
        <w:rPr>
          <w:szCs w:val="22"/>
        </w:rPr>
        <w:t xml:space="preserve">rocedures </w:t>
      </w:r>
      <w:r w:rsidR="00E963D8" w:rsidRPr="00D3286C">
        <w:rPr>
          <w:szCs w:val="22"/>
        </w:rPr>
        <w:t xml:space="preserve">of Screening Centers </w:t>
      </w:r>
      <w:r w:rsidRPr="00D3286C">
        <w:rPr>
          <w:szCs w:val="22"/>
        </w:rPr>
        <w:t>(</w:t>
      </w:r>
      <w:r w:rsidR="00CA257E" w:rsidRPr="00D3286C">
        <w:rPr>
          <w:szCs w:val="22"/>
        </w:rPr>
        <w:t xml:space="preserve">example provided in </w:t>
      </w:r>
      <w:r w:rsidR="00C56D75" w:rsidRPr="00723BBD">
        <w:rPr>
          <w:b/>
          <w:szCs w:val="22"/>
          <w:highlight w:val="yellow"/>
        </w:rPr>
        <w:t xml:space="preserve">Attachment </w:t>
      </w:r>
      <w:r w:rsidR="008A21F3" w:rsidRPr="00723BBD">
        <w:rPr>
          <w:b/>
          <w:szCs w:val="22"/>
          <w:highlight w:val="yellow"/>
        </w:rPr>
        <w:t>1</w:t>
      </w:r>
      <w:r w:rsidR="00723BBD" w:rsidRPr="00723BBD">
        <w:rPr>
          <w:b/>
          <w:szCs w:val="22"/>
          <w:highlight w:val="yellow"/>
        </w:rPr>
        <w:t>1</w:t>
      </w:r>
      <w:r w:rsidRPr="00456D65">
        <w:rPr>
          <w:szCs w:val="22"/>
        </w:rPr>
        <w:t>).</w:t>
      </w:r>
      <w:bookmarkStart w:id="54" w:name="_Toc443881753"/>
      <w:bookmarkStart w:id="55" w:name="_Toc451592242"/>
      <w:bookmarkStart w:id="56" w:name="_Toc5610283"/>
      <w:bookmarkStart w:id="57" w:name="_Toc194810116"/>
    </w:p>
    <w:p w:rsidR="00D015D3" w:rsidRPr="00D3286C" w:rsidRDefault="00D015D3" w:rsidP="008631F6">
      <w:pPr>
        <w:pStyle w:val="P1-StandPara"/>
        <w:rPr>
          <w:szCs w:val="22"/>
        </w:rPr>
      </w:pPr>
    </w:p>
    <w:p w:rsidR="009F13EB" w:rsidRDefault="009F13EB" w:rsidP="001B28B4">
      <w:pPr>
        <w:pStyle w:val="P1-StandPara"/>
        <w:ind w:firstLine="0"/>
        <w:outlineLvl w:val="1"/>
        <w:rPr>
          <w:b/>
          <w:szCs w:val="22"/>
        </w:rPr>
      </w:pPr>
      <w:bookmarkStart w:id="58" w:name="_Toc295119905"/>
    </w:p>
    <w:p w:rsidR="009F13EB" w:rsidRDefault="009F13EB" w:rsidP="001B28B4">
      <w:pPr>
        <w:pStyle w:val="P1-StandPara"/>
        <w:ind w:firstLine="0"/>
        <w:outlineLvl w:val="1"/>
        <w:rPr>
          <w:b/>
          <w:szCs w:val="22"/>
        </w:rPr>
      </w:pPr>
    </w:p>
    <w:p w:rsidR="00093C80" w:rsidRPr="00D3286C" w:rsidRDefault="00A233E3" w:rsidP="001B28B4">
      <w:pPr>
        <w:pStyle w:val="P1-StandPara"/>
        <w:ind w:firstLine="0"/>
        <w:outlineLvl w:val="1"/>
        <w:rPr>
          <w:b/>
          <w:szCs w:val="22"/>
        </w:rPr>
      </w:pPr>
      <w:r w:rsidRPr="00D3286C">
        <w:rPr>
          <w:b/>
          <w:szCs w:val="22"/>
        </w:rPr>
        <w:t>A.</w:t>
      </w:r>
      <w:r w:rsidR="008D20C5" w:rsidRPr="00D3286C">
        <w:rPr>
          <w:b/>
          <w:szCs w:val="22"/>
        </w:rPr>
        <w:t>12.</w:t>
      </w:r>
      <w:r w:rsidR="008D20C5" w:rsidRPr="00D3286C">
        <w:rPr>
          <w:b/>
          <w:szCs w:val="22"/>
        </w:rPr>
        <w:tab/>
        <w:t xml:space="preserve">Estimates of Annualized </w:t>
      </w:r>
      <w:r w:rsidR="006F6116" w:rsidRPr="00D3286C">
        <w:rPr>
          <w:b/>
          <w:szCs w:val="22"/>
        </w:rPr>
        <w:t xml:space="preserve">Burden </w:t>
      </w:r>
      <w:r w:rsidR="008D20C5" w:rsidRPr="00D3286C">
        <w:rPr>
          <w:b/>
          <w:szCs w:val="22"/>
        </w:rPr>
        <w:t>Hour</w:t>
      </w:r>
      <w:r w:rsidR="006F6116" w:rsidRPr="00D3286C">
        <w:rPr>
          <w:b/>
          <w:szCs w:val="22"/>
        </w:rPr>
        <w:t>s and</w:t>
      </w:r>
      <w:r w:rsidR="008D20C5" w:rsidRPr="00D3286C">
        <w:rPr>
          <w:b/>
          <w:szCs w:val="22"/>
        </w:rPr>
        <w:t xml:space="preserve"> Costs</w:t>
      </w:r>
      <w:bookmarkEnd w:id="58"/>
      <w:r w:rsidR="00352AFD" w:rsidRPr="00D3286C">
        <w:rPr>
          <w:b/>
          <w:szCs w:val="22"/>
        </w:rPr>
        <w:t xml:space="preserve"> </w:t>
      </w:r>
    </w:p>
    <w:p w:rsidR="00093C80" w:rsidRPr="00E64720" w:rsidRDefault="00F24136" w:rsidP="00093C80">
      <w:pPr>
        <w:pStyle w:val="P1-StandPara"/>
        <w:rPr>
          <w:szCs w:val="22"/>
        </w:rPr>
      </w:pPr>
      <w:r w:rsidRPr="00E64720">
        <w:rPr>
          <w:szCs w:val="22"/>
        </w:rPr>
        <w:t>It is estimated that the annualized burden to complete the ASU, HSQ</w:t>
      </w:r>
      <w:r>
        <w:rPr>
          <w:szCs w:val="22"/>
        </w:rPr>
        <w:t>, and MUQ</w:t>
      </w:r>
      <w:r w:rsidR="006A2534">
        <w:rPr>
          <w:szCs w:val="22"/>
        </w:rPr>
        <w:t>,</w:t>
      </w:r>
      <w:r w:rsidRPr="00E64720">
        <w:rPr>
          <w:szCs w:val="22"/>
        </w:rPr>
        <w:t xml:space="preserve"> the follow-up telephone script for ASU non-responders</w:t>
      </w:r>
      <w:r w:rsidR="006A2534">
        <w:rPr>
          <w:szCs w:val="22"/>
        </w:rPr>
        <w:t xml:space="preserve">, </w:t>
      </w:r>
      <w:r w:rsidR="006A2534" w:rsidRPr="006A2534">
        <w:rPr>
          <w:szCs w:val="22"/>
          <w:highlight w:val="yellow"/>
        </w:rPr>
        <w:t>and the Authorization to Obtain Medical Records</w:t>
      </w:r>
      <w:r w:rsidRPr="00E64720">
        <w:rPr>
          <w:szCs w:val="22"/>
        </w:rPr>
        <w:t xml:space="preserve"> will be</w:t>
      </w:r>
      <w:r>
        <w:rPr>
          <w:szCs w:val="22"/>
        </w:rPr>
        <w:t xml:space="preserve"> </w:t>
      </w:r>
      <w:r w:rsidRPr="004736DE">
        <w:rPr>
          <w:szCs w:val="22"/>
          <w:highlight w:val="yellow"/>
        </w:rPr>
        <w:t>26,</w:t>
      </w:r>
      <w:r w:rsidR="00DD2DA5" w:rsidRPr="00DD2DA5">
        <w:rPr>
          <w:szCs w:val="22"/>
          <w:highlight w:val="yellow"/>
        </w:rPr>
        <w:t>320</w:t>
      </w:r>
      <w:r w:rsidRPr="00E64720">
        <w:rPr>
          <w:szCs w:val="22"/>
        </w:rPr>
        <w:t xml:space="preserve"> hours</w:t>
      </w:r>
      <w:r>
        <w:rPr>
          <w:szCs w:val="22"/>
        </w:rPr>
        <w:t xml:space="preserve"> </w:t>
      </w:r>
      <w:r w:rsidR="006A2534">
        <w:rPr>
          <w:szCs w:val="22"/>
        </w:rPr>
        <w:t>for</w:t>
      </w:r>
      <w:r>
        <w:rPr>
          <w:szCs w:val="22"/>
        </w:rPr>
        <w:t xml:space="preserve"> 77,281 respondents</w:t>
      </w:r>
      <w:r w:rsidRPr="00E64720">
        <w:rPr>
          <w:szCs w:val="22"/>
        </w:rPr>
        <w:t xml:space="preserve">.  This amounts to an estimated total of </w:t>
      </w:r>
      <w:r w:rsidRPr="004736DE">
        <w:rPr>
          <w:szCs w:val="22"/>
          <w:highlight w:val="yellow"/>
        </w:rPr>
        <w:t>78,</w:t>
      </w:r>
      <w:r w:rsidR="00DD2DA5" w:rsidRPr="00DD2DA5">
        <w:rPr>
          <w:szCs w:val="22"/>
          <w:highlight w:val="yellow"/>
        </w:rPr>
        <w:t>960</w:t>
      </w:r>
      <w:r>
        <w:rPr>
          <w:szCs w:val="22"/>
        </w:rPr>
        <w:t xml:space="preserve"> </w:t>
      </w:r>
      <w:r w:rsidRPr="00E64720">
        <w:rPr>
          <w:szCs w:val="22"/>
        </w:rPr>
        <w:t>burden hours for the respondents over the 3 years of data collection (Table A.12-1).</w:t>
      </w:r>
      <w:r w:rsidRPr="00D3286C">
        <w:rPr>
          <w:szCs w:val="22"/>
        </w:rPr>
        <w:t xml:space="preserve">    </w:t>
      </w:r>
      <w:r w:rsidR="005463F4" w:rsidRPr="005463F4">
        <w:rPr>
          <w:szCs w:val="22"/>
          <w:highlight w:val="yellow"/>
        </w:rPr>
        <w:t>In the 201</w:t>
      </w:r>
      <w:r w:rsidR="00AC5014">
        <w:rPr>
          <w:szCs w:val="22"/>
          <w:highlight w:val="yellow"/>
        </w:rPr>
        <w:t>2</w:t>
      </w:r>
      <w:r w:rsidR="005463F4" w:rsidRPr="005463F4">
        <w:rPr>
          <w:szCs w:val="22"/>
          <w:highlight w:val="yellow"/>
        </w:rPr>
        <w:t xml:space="preserve"> OMB PLCO Cancer Screening Trial submission, the estimated number of annual respondents was </w:t>
      </w:r>
      <w:r w:rsidR="00AC5014">
        <w:rPr>
          <w:szCs w:val="22"/>
          <w:highlight w:val="yellow"/>
        </w:rPr>
        <w:t>94,000</w:t>
      </w:r>
      <w:r w:rsidR="005463F4" w:rsidRPr="005463F4">
        <w:rPr>
          <w:szCs w:val="22"/>
          <w:highlight w:val="yellow"/>
        </w:rPr>
        <w:t xml:space="preserve">.  The </w:t>
      </w:r>
      <w:r w:rsidR="00AC5014">
        <w:rPr>
          <w:szCs w:val="22"/>
          <w:highlight w:val="yellow"/>
        </w:rPr>
        <w:t>decrease</w:t>
      </w:r>
      <w:r w:rsidR="005463F4" w:rsidRPr="005463F4">
        <w:rPr>
          <w:szCs w:val="22"/>
          <w:highlight w:val="yellow"/>
        </w:rPr>
        <w:t xml:space="preserve"> in the number of respondents is due</w:t>
      </w:r>
      <w:r w:rsidR="004D50DF">
        <w:rPr>
          <w:szCs w:val="22"/>
          <w:highlight w:val="yellow"/>
        </w:rPr>
        <w:t xml:space="preserve"> to</w:t>
      </w:r>
      <w:r w:rsidR="00AC5014">
        <w:rPr>
          <w:szCs w:val="22"/>
          <w:highlight w:val="yellow"/>
        </w:rPr>
        <w:t xml:space="preserve"> deaths among the cohort</w:t>
      </w:r>
      <w:r w:rsidR="00DE5E3F">
        <w:rPr>
          <w:szCs w:val="22"/>
          <w:highlight w:val="yellow"/>
        </w:rPr>
        <w:t xml:space="preserve"> and</w:t>
      </w:r>
      <w:r w:rsidR="00AC5014">
        <w:rPr>
          <w:szCs w:val="22"/>
          <w:highlight w:val="yellow"/>
        </w:rPr>
        <w:t xml:space="preserve"> </w:t>
      </w:r>
      <w:r w:rsidR="005463F4" w:rsidRPr="005463F4">
        <w:rPr>
          <w:szCs w:val="22"/>
          <w:highlight w:val="yellow"/>
        </w:rPr>
        <w:t xml:space="preserve">to an </w:t>
      </w:r>
      <w:r w:rsidR="00E41A75">
        <w:rPr>
          <w:szCs w:val="22"/>
          <w:highlight w:val="yellow"/>
        </w:rPr>
        <w:t>over</w:t>
      </w:r>
      <w:r w:rsidR="00E41A75" w:rsidRPr="005463F4">
        <w:rPr>
          <w:szCs w:val="22"/>
          <w:highlight w:val="yellow"/>
        </w:rPr>
        <w:t>estimate</w:t>
      </w:r>
      <w:r w:rsidR="00E41A75">
        <w:rPr>
          <w:szCs w:val="22"/>
          <w:highlight w:val="yellow"/>
        </w:rPr>
        <w:t xml:space="preserve"> </w:t>
      </w:r>
      <w:r w:rsidR="00BD0E0C">
        <w:rPr>
          <w:szCs w:val="22"/>
          <w:highlight w:val="yellow"/>
        </w:rPr>
        <w:t xml:space="preserve">of the number of participants </w:t>
      </w:r>
      <w:r w:rsidR="005463F4" w:rsidRPr="005463F4">
        <w:rPr>
          <w:szCs w:val="22"/>
          <w:highlight w:val="yellow"/>
        </w:rPr>
        <w:t xml:space="preserve">who </w:t>
      </w:r>
      <w:r w:rsidR="00BD0E0C">
        <w:rPr>
          <w:szCs w:val="22"/>
          <w:highlight w:val="yellow"/>
        </w:rPr>
        <w:t>consented</w:t>
      </w:r>
      <w:r w:rsidR="005463F4" w:rsidRPr="005463F4">
        <w:rPr>
          <w:szCs w:val="22"/>
          <w:highlight w:val="yellow"/>
        </w:rPr>
        <w:t xml:space="preserve"> to active follow-</w:t>
      </w:r>
      <w:r w:rsidR="005463F4" w:rsidRPr="00B128D3">
        <w:rPr>
          <w:szCs w:val="22"/>
          <w:highlight w:val="yellow"/>
        </w:rPr>
        <w:t>up</w:t>
      </w:r>
      <w:r w:rsidR="00BD0E0C" w:rsidRPr="00B128D3">
        <w:rPr>
          <w:szCs w:val="22"/>
          <w:highlight w:val="yellow"/>
        </w:rPr>
        <w:t xml:space="preserve"> from the </w:t>
      </w:r>
      <w:r w:rsidR="00DE5E3F">
        <w:rPr>
          <w:szCs w:val="22"/>
          <w:highlight w:val="yellow"/>
        </w:rPr>
        <w:t>ten</w:t>
      </w:r>
      <w:r w:rsidR="00BD0E0C" w:rsidRPr="005463F4">
        <w:rPr>
          <w:szCs w:val="22"/>
          <w:highlight w:val="yellow"/>
        </w:rPr>
        <w:t xml:space="preserve"> screening centers</w:t>
      </w:r>
      <w:r w:rsidR="00BD0E0C">
        <w:rPr>
          <w:szCs w:val="22"/>
        </w:rPr>
        <w:t>.</w:t>
      </w:r>
      <w:r w:rsidR="00665635">
        <w:rPr>
          <w:szCs w:val="22"/>
        </w:rPr>
        <w:t xml:space="preserve"> </w:t>
      </w:r>
    </w:p>
    <w:tbl>
      <w:tblPr>
        <w:tblW w:w="7740" w:type="dxa"/>
        <w:shd w:val="clear" w:color="auto" w:fill="FFFFFF"/>
        <w:tblLayout w:type="fixed"/>
        <w:tblLook w:val="0000" w:firstRow="0" w:lastRow="0" w:firstColumn="0" w:lastColumn="0" w:noHBand="0" w:noVBand="0"/>
      </w:tblPr>
      <w:tblGrid>
        <w:gridCol w:w="1890"/>
        <w:gridCol w:w="1440"/>
        <w:gridCol w:w="1530"/>
        <w:gridCol w:w="1710"/>
        <w:gridCol w:w="1170"/>
      </w:tblGrid>
      <w:tr w:rsidR="00FC00D4" w:rsidRPr="00BD0E0C" w:rsidTr="008A3BEC">
        <w:trPr>
          <w:trHeight w:val="925"/>
        </w:trPr>
        <w:tc>
          <w:tcPr>
            <w:tcW w:w="7740" w:type="dxa"/>
            <w:gridSpan w:val="5"/>
            <w:tcBorders>
              <w:top w:val="single" w:sz="8" w:space="0" w:color="auto"/>
              <w:left w:val="single" w:sz="8" w:space="0" w:color="auto"/>
              <w:bottom w:val="nil"/>
              <w:right w:val="single" w:sz="8" w:space="0" w:color="auto"/>
            </w:tcBorders>
            <w:shd w:val="clear" w:color="auto" w:fill="FFFFFF"/>
            <w:vAlign w:val="center"/>
          </w:tcPr>
          <w:p w:rsidR="00FC00D4" w:rsidRPr="00BD0E0C" w:rsidRDefault="003A5FAD" w:rsidP="00FC6613">
            <w:pPr>
              <w:keepLines/>
              <w:spacing w:line="240" w:lineRule="auto"/>
              <w:jc w:val="center"/>
              <w:rPr>
                <w:b/>
                <w:bCs/>
                <w:szCs w:val="22"/>
              </w:rPr>
            </w:pPr>
            <w:r>
              <w:rPr>
                <w:b/>
                <w:bCs/>
                <w:szCs w:val="22"/>
              </w:rPr>
              <w:t>Table A.12-1 Estimates of Annual Burden Hours</w:t>
            </w:r>
          </w:p>
        </w:tc>
      </w:tr>
      <w:tr w:rsidR="00B3081D" w:rsidRPr="00BD0E0C" w:rsidTr="008A3BEC">
        <w:trPr>
          <w:trHeight w:val="925"/>
        </w:trPr>
        <w:tc>
          <w:tcPr>
            <w:tcW w:w="1890" w:type="dxa"/>
            <w:tcBorders>
              <w:top w:val="single" w:sz="8" w:space="0" w:color="auto"/>
              <w:left w:val="single" w:sz="8" w:space="0" w:color="auto"/>
              <w:bottom w:val="nil"/>
              <w:right w:val="single" w:sz="4" w:space="0" w:color="auto"/>
            </w:tcBorders>
            <w:shd w:val="clear" w:color="auto" w:fill="FFFFFF"/>
            <w:vAlign w:val="center"/>
          </w:tcPr>
          <w:p w:rsidR="00B3081D" w:rsidRPr="00BD0E0C" w:rsidRDefault="00B3081D" w:rsidP="00CD6524">
            <w:pPr>
              <w:spacing w:line="240" w:lineRule="auto"/>
              <w:jc w:val="center"/>
              <w:rPr>
                <w:b/>
                <w:bCs/>
                <w:szCs w:val="22"/>
              </w:rPr>
            </w:pPr>
            <w:r w:rsidRPr="00BD0E0C">
              <w:rPr>
                <w:b/>
                <w:bCs/>
                <w:szCs w:val="22"/>
              </w:rPr>
              <w:t>Type of Respondents</w:t>
            </w:r>
          </w:p>
        </w:tc>
        <w:tc>
          <w:tcPr>
            <w:tcW w:w="1440" w:type="dxa"/>
            <w:tcBorders>
              <w:top w:val="single" w:sz="8" w:space="0" w:color="auto"/>
              <w:left w:val="nil"/>
              <w:bottom w:val="nil"/>
              <w:right w:val="single" w:sz="4" w:space="0" w:color="auto"/>
            </w:tcBorders>
            <w:shd w:val="clear" w:color="auto" w:fill="FFFFFF"/>
            <w:vAlign w:val="center"/>
          </w:tcPr>
          <w:p w:rsidR="00B3081D" w:rsidRPr="00BD0E0C" w:rsidRDefault="00B3081D" w:rsidP="00CD6524">
            <w:pPr>
              <w:spacing w:line="240" w:lineRule="auto"/>
              <w:jc w:val="center"/>
              <w:rPr>
                <w:b/>
                <w:bCs/>
                <w:szCs w:val="22"/>
              </w:rPr>
            </w:pPr>
            <w:r w:rsidRPr="00BD0E0C">
              <w:rPr>
                <w:b/>
                <w:bCs/>
                <w:szCs w:val="22"/>
              </w:rPr>
              <w:t xml:space="preserve">Number of Respondents </w:t>
            </w:r>
          </w:p>
        </w:tc>
        <w:tc>
          <w:tcPr>
            <w:tcW w:w="1530" w:type="dxa"/>
            <w:tcBorders>
              <w:top w:val="single" w:sz="8" w:space="0" w:color="auto"/>
              <w:left w:val="nil"/>
              <w:bottom w:val="nil"/>
              <w:right w:val="single" w:sz="4" w:space="0" w:color="auto"/>
            </w:tcBorders>
            <w:shd w:val="clear" w:color="auto" w:fill="FFFFFF"/>
            <w:vAlign w:val="center"/>
          </w:tcPr>
          <w:p w:rsidR="00B3081D" w:rsidRPr="00BD0E0C" w:rsidRDefault="00B3081D" w:rsidP="00CA182A">
            <w:pPr>
              <w:spacing w:line="240" w:lineRule="auto"/>
              <w:jc w:val="center"/>
              <w:rPr>
                <w:b/>
                <w:bCs/>
                <w:szCs w:val="22"/>
              </w:rPr>
            </w:pPr>
            <w:r>
              <w:rPr>
                <w:b/>
                <w:bCs/>
                <w:szCs w:val="22"/>
              </w:rPr>
              <w:t>Number of Responses per Respondent</w:t>
            </w:r>
          </w:p>
        </w:tc>
        <w:tc>
          <w:tcPr>
            <w:tcW w:w="1710" w:type="dxa"/>
            <w:tcBorders>
              <w:top w:val="single" w:sz="8" w:space="0" w:color="auto"/>
              <w:left w:val="nil"/>
              <w:bottom w:val="nil"/>
              <w:right w:val="single" w:sz="4" w:space="0" w:color="auto"/>
            </w:tcBorders>
            <w:shd w:val="clear" w:color="auto" w:fill="FFFFFF"/>
            <w:vAlign w:val="center"/>
          </w:tcPr>
          <w:p w:rsidR="00B3081D" w:rsidRPr="00BD0E0C" w:rsidRDefault="00B3081D" w:rsidP="00CD6524">
            <w:pPr>
              <w:spacing w:line="240" w:lineRule="auto"/>
              <w:jc w:val="center"/>
              <w:rPr>
                <w:b/>
                <w:bCs/>
                <w:szCs w:val="22"/>
              </w:rPr>
            </w:pPr>
            <w:r w:rsidRPr="00BD0E0C">
              <w:rPr>
                <w:b/>
                <w:bCs/>
                <w:szCs w:val="22"/>
              </w:rPr>
              <w:t>Average Time Per Response (Minutes/Hour)</w:t>
            </w:r>
          </w:p>
        </w:tc>
        <w:tc>
          <w:tcPr>
            <w:tcW w:w="1170" w:type="dxa"/>
            <w:tcBorders>
              <w:top w:val="single" w:sz="8" w:space="0" w:color="auto"/>
              <w:left w:val="nil"/>
              <w:bottom w:val="nil"/>
              <w:right w:val="single" w:sz="8" w:space="0" w:color="auto"/>
            </w:tcBorders>
            <w:shd w:val="clear" w:color="auto" w:fill="FFFFFF"/>
            <w:vAlign w:val="center"/>
          </w:tcPr>
          <w:p w:rsidR="00B3081D" w:rsidRPr="00BD0E0C" w:rsidRDefault="00B3081D" w:rsidP="00FC6613">
            <w:pPr>
              <w:keepLines/>
              <w:spacing w:line="240" w:lineRule="auto"/>
              <w:jc w:val="center"/>
              <w:rPr>
                <w:b/>
                <w:bCs/>
                <w:szCs w:val="22"/>
              </w:rPr>
            </w:pPr>
            <w:r w:rsidRPr="00BD0E0C">
              <w:rPr>
                <w:b/>
                <w:bCs/>
                <w:szCs w:val="22"/>
              </w:rPr>
              <w:t>Annual Burden Hours</w:t>
            </w:r>
          </w:p>
        </w:tc>
      </w:tr>
      <w:tr w:rsidR="00B3081D" w:rsidRPr="00BD0E0C" w:rsidTr="008A3BEC">
        <w:trPr>
          <w:trHeight w:val="430"/>
        </w:trPr>
        <w:tc>
          <w:tcPr>
            <w:tcW w:w="1890" w:type="dxa"/>
            <w:tcBorders>
              <w:top w:val="single" w:sz="8" w:space="0" w:color="auto"/>
              <w:left w:val="single" w:sz="8" w:space="0" w:color="auto"/>
              <w:right w:val="single" w:sz="4" w:space="0" w:color="auto"/>
            </w:tcBorders>
            <w:shd w:val="clear" w:color="auto" w:fill="FFFFFF"/>
            <w:vAlign w:val="center"/>
          </w:tcPr>
          <w:p w:rsidR="00B3081D" w:rsidRDefault="00B3081D" w:rsidP="00CD6524">
            <w:pPr>
              <w:spacing w:line="240" w:lineRule="auto"/>
              <w:jc w:val="center"/>
              <w:rPr>
                <w:szCs w:val="22"/>
              </w:rPr>
            </w:pPr>
            <w:r>
              <w:rPr>
                <w:szCs w:val="22"/>
              </w:rPr>
              <w:t xml:space="preserve">Participants who complete the ASU </w:t>
            </w:r>
          </w:p>
          <w:p w:rsidR="00B3081D" w:rsidRPr="00542E99" w:rsidRDefault="00B3081D" w:rsidP="000E3253">
            <w:pPr>
              <w:spacing w:line="240" w:lineRule="auto"/>
              <w:jc w:val="center"/>
              <w:rPr>
                <w:b/>
                <w:szCs w:val="22"/>
              </w:rPr>
            </w:pPr>
            <w:r>
              <w:rPr>
                <w:b/>
                <w:szCs w:val="22"/>
              </w:rPr>
              <w:t xml:space="preserve">(Attachment </w:t>
            </w:r>
            <w:r w:rsidR="000E3253">
              <w:rPr>
                <w:b/>
                <w:szCs w:val="22"/>
              </w:rPr>
              <w:t>1</w:t>
            </w:r>
            <w:r>
              <w:rPr>
                <w:b/>
                <w:szCs w:val="22"/>
              </w:rPr>
              <w:t>)</w:t>
            </w:r>
          </w:p>
        </w:tc>
        <w:tc>
          <w:tcPr>
            <w:tcW w:w="1440" w:type="dxa"/>
            <w:tcBorders>
              <w:top w:val="single" w:sz="8" w:space="0" w:color="auto"/>
              <w:left w:val="nil"/>
              <w:bottom w:val="single" w:sz="4" w:space="0" w:color="auto"/>
              <w:right w:val="single" w:sz="4" w:space="0" w:color="auto"/>
            </w:tcBorders>
            <w:shd w:val="clear" w:color="auto" w:fill="FFFFFF"/>
            <w:noWrap/>
            <w:vAlign w:val="center"/>
          </w:tcPr>
          <w:p w:rsidR="00B3081D" w:rsidRPr="00BD0E0C" w:rsidRDefault="00B3081D" w:rsidP="00CD6524">
            <w:pPr>
              <w:spacing w:line="240" w:lineRule="auto"/>
              <w:jc w:val="right"/>
              <w:rPr>
                <w:szCs w:val="22"/>
                <w:highlight w:val="yellow"/>
              </w:rPr>
            </w:pPr>
            <w:r>
              <w:rPr>
                <w:szCs w:val="22"/>
                <w:highlight w:val="yellow"/>
              </w:rPr>
              <w:t>77,281</w:t>
            </w:r>
          </w:p>
        </w:tc>
        <w:tc>
          <w:tcPr>
            <w:tcW w:w="1530" w:type="dxa"/>
            <w:tcBorders>
              <w:top w:val="single" w:sz="8" w:space="0" w:color="auto"/>
              <w:left w:val="nil"/>
              <w:bottom w:val="single" w:sz="4" w:space="0" w:color="auto"/>
              <w:right w:val="single" w:sz="4" w:space="0" w:color="auto"/>
            </w:tcBorders>
            <w:shd w:val="clear" w:color="auto" w:fill="FFFFFF"/>
            <w:noWrap/>
            <w:vAlign w:val="center"/>
          </w:tcPr>
          <w:p w:rsidR="00B3081D" w:rsidRPr="00BD0E0C" w:rsidRDefault="00B3081D" w:rsidP="00CD6524">
            <w:pPr>
              <w:spacing w:line="240" w:lineRule="auto"/>
              <w:jc w:val="center"/>
              <w:rPr>
                <w:szCs w:val="22"/>
              </w:rPr>
            </w:pPr>
            <w:r>
              <w:rPr>
                <w:szCs w:val="22"/>
              </w:rPr>
              <w:t>1</w:t>
            </w:r>
          </w:p>
        </w:tc>
        <w:tc>
          <w:tcPr>
            <w:tcW w:w="1710" w:type="dxa"/>
            <w:tcBorders>
              <w:top w:val="single" w:sz="8" w:space="0" w:color="auto"/>
              <w:left w:val="nil"/>
              <w:bottom w:val="single" w:sz="4" w:space="0" w:color="auto"/>
              <w:right w:val="single" w:sz="4" w:space="0" w:color="auto"/>
            </w:tcBorders>
            <w:shd w:val="clear" w:color="auto" w:fill="FFFFFF"/>
            <w:vAlign w:val="center"/>
          </w:tcPr>
          <w:p w:rsidR="00B3081D" w:rsidRPr="00BD0E0C" w:rsidRDefault="00B3081D" w:rsidP="00F22119">
            <w:pPr>
              <w:spacing w:line="240" w:lineRule="auto"/>
              <w:jc w:val="center"/>
              <w:rPr>
                <w:szCs w:val="22"/>
              </w:rPr>
            </w:pPr>
            <w:r w:rsidRPr="00BD0E0C">
              <w:rPr>
                <w:szCs w:val="22"/>
              </w:rPr>
              <w:t>5/60</w:t>
            </w:r>
          </w:p>
        </w:tc>
        <w:tc>
          <w:tcPr>
            <w:tcW w:w="1170" w:type="dxa"/>
            <w:tcBorders>
              <w:top w:val="single" w:sz="8" w:space="0" w:color="auto"/>
              <w:left w:val="nil"/>
              <w:bottom w:val="single" w:sz="4" w:space="0" w:color="auto"/>
              <w:right w:val="single" w:sz="8" w:space="0" w:color="auto"/>
            </w:tcBorders>
            <w:shd w:val="clear" w:color="auto" w:fill="FFFFFF"/>
            <w:noWrap/>
            <w:vAlign w:val="center"/>
          </w:tcPr>
          <w:p w:rsidR="00B3081D" w:rsidRPr="00BD0E0C" w:rsidRDefault="00B3081D" w:rsidP="00386D32">
            <w:pPr>
              <w:spacing w:line="240" w:lineRule="auto"/>
              <w:jc w:val="right"/>
              <w:rPr>
                <w:szCs w:val="22"/>
                <w:highlight w:val="yellow"/>
              </w:rPr>
            </w:pPr>
            <w:r>
              <w:rPr>
                <w:szCs w:val="22"/>
                <w:highlight w:val="yellow"/>
              </w:rPr>
              <w:t>6,440</w:t>
            </w:r>
          </w:p>
        </w:tc>
      </w:tr>
      <w:tr w:rsidR="00B3081D" w:rsidRPr="00BD0E0C" w:rsidTr="008A3BEC">
        <w:trPr>
          <w:trHeight w:val="430"/>
        </w:trPr>
        <w:tc>
          <w:tcPr>
            <w:tcW w:w="1890" w:type="dxa"/>
            <w:tcBorders>
              <w:top w:val="single" w:sz="8" w:space="0" w:color="auto"/>
              <w:left w:val="single" w:sz="8" w:space="0" w:color="auto"/>
              <w:bottom w:val="single" w:sz="4" w:space="0" w:color="auto"/>
              <w:right w:val="single" w:sz="4" w:space="0" w:color="auto"/>
            </w:tcBorders>
            <w:shd w:val="clear" w:color="auto" w:fill="FFFFFF"/>
            <w:vAlign w:val="center"/>
          </w:tcPr>
          <w:p w:rsidR="00B3081D" w:rsidRDefault="00B3081D" w:rsidP="00542E99">
            <w:pPr>
              <w:spacing w:line="240" w:lineRule="auto"/>
              <w:rPr>
                <w:szCs w:val="22"/>
              </w:rPr>
            </w:pPr>
            <w:r>
              <w:rPr>
                <w:szCs w:val="22"/>
              </w:rPr>
              <w:t>Non Responders to the ASU</w:t>
            </w:r>
          </w:p>
          <w:p w:rsidR="00B3081D" w:rsidRPr="00542E99" w:rsidRDefault="007F200F" w:rsidP="00542E99">
            <w:pPr>
              <w:spacing w:line="240" w:lineRule="auto"/>
              <w:rPr>
                <w:b/>
                <w:szCs w:val="22"/>
              </w:rPr>
            </w:pPr>
            <w:r>
              <w:rPr>
                <w:b/>
                <w:szCs w:val="22"/>
              </w:rPr>
              <w:t>(Attachment 5</w:t>
            </w:r>
            <w:r w:rsidR="00B3081D" w:rsidRPr="00542E99">
              <w:rPr>
                <w:b/>
                <w:szCs w:val="22"/>
              </w:rPr>
              <w:t>)</w:t>
            </w:r>
          </w:p>
        </w:tc>
        <w:tc>
          <w:tcPr>
            <w:tcW w:w="1440" w:type="dxa"/>
            <w:tcBorders>
              <w:top w:val="single" w:sz="8" w:space="0" w:color="auto"/>
              <w:left w:val="nil"/>
              <w:bottom w:val="single" w:sz="4" w:space="0" w:color="auto"/>
              <w:right w:val="single" w:sz="4" w:space="0" w:color="auto"/>
            </w:tcBorders>
            <w:shd w:val="clear" w:color="auto" w:fill="FFFFFF"/>
            <w:noWrap/>
            <w:vAlign w:val="center"/>
          </w:tcPr>
          <w:p w:rsidR="00B3081D" w:rsidRPr="00BD0E0C" w:rsidRDefault="00B3081D" w:rsidP="00036C5A">
            <w:pPr>
              <w:spacing w:line="240" w:lineRule="auto"/>
              <w:jc w:val="right"/>
              <w:rPr>
                <w:szCs w:val="22"/>
                <w:highlight w:val="yellow"/>
              </w:rPr>
            </w:pPr>
            <w:r>
              <w:rPr>
                <w:szCs w:val="22"/>
                <w:highlight w:val="yellow"/>
              </w:rPr>
              <w:t>3,091</w:t>
            </w:r>
          </w:p>
        </w:tc>
        <w:tc>
          <w:tcPr>
            <w:tcW w:w="1530" w:type="dxa"/>
            <w:tcBorders>
              <w:top w:val="single" w:sz="8" w:space="0" w:color="auto"/>
              <w:left w:val="nil"/>
              <w:bottom w:val="single" w:sz="4" w:space="0" w:color="auto"/>
              <w:right w:val="single" w:sz="4" w:space="0" w:color="auto"/>
            </w:tcBorders>
            <w:shd w:val="clear" w:color="auto" w:fill="FFFFFF"/>
            <w:noWrap/>
            <w:vAlign w:val="center"/>
          </w:tcPr>
          <w:p w:rsidR="00B3081D" w:rsidRPr="00BD0E0C" w:rsidRDefault="00B3081D" w:rsidP="00CD6524">
            <w:pPr>
              <w:spacing w:line="240" w:lineRule="auto"/>
              <w:jc w:val="center"/>
              <w:rPr>
                <w:szCs w:val="22"/>
              </w:rPr>
            </w:pPr>
            <w:r>
              <w:rPr>
                <w:szCs w:val="22"/>
              </w:rPr>
              <w:t>1</w:t>
            </w:r>
          </w:p>
        </w:tc>
        <w:tc>
          <w:tcPr>
            <w:tcW w:w="1710" w:type="dxa"/>
            <w:tcBorders>
              <w:top w:val="single" w:sz="8" w:space="0" w:color="auto"/>
              <w:left w:val="nil"/>
              <w:bottom w:val="single" w:sz="4" w:space="0" w:color="auto"/>
              <w:right w:val="single" w:sz="4" w:space="0" w:color="auto"/>
            </w:tcBorders>
            <w:shd w:val="clear" w:color="auto" w:fill="FFFFFF"/>
            <w:vAlign w:val="center"/>
          </w:tcPr>
          <w:p w:rsidR="00B3081D" w:rsidRPr="00BD0E0C" w:rsidRDefault="00B3081D" w:rsidP="00F22119">
            <w:pPr>
              <w:spacing w:line="240" w:lineRule="auto"/>
              <w:jc w:val="center"/>
              <w:rPr>
                <w:szCs w:val="22"/>
              </w:rPr>
            </w:pPr>
            <w:r w:rsidRPr="00BD0E0C">
              <w:rPr>
                <w:szCs w:val="22"/>
              </w:rPr>
              <w:t>5/60</w:t>
            </w:r>
          </w:p>
        </w:tc>
        <w:tc>
          <w:tcPr>
            <w:tcW w:w="1170" w:type="dxa"/>
            <w:tcBorders>
              <w:top w:val="single" w:sz="8" w:space="0" w:color="auto"/>
              <w:left w:val="nil"/>
              <w:bottom w:val="single" w:sz="4" w:space="0" w:color="auto"/>
              <w:right w:val="single" w:sz="8" w:space="0" w:color="auto"/>
            </w:tcBorders>
            <w:shd w:val="clear" w:color="auto" w:fill="FFFFFF"/>
            <w:noWrap/>
            <w:vAlign w:val="center"/>
          </w:tcPr>
          <w:p w:rsidR="00B3081D" w:rsidRPr="00BD0E0C" w:rsidRDefault="00FC00D4" w:rsidP="00036C5A">
            <w:pPr>
              <w:spacing w:line="240" w:lineRule="auto"/>
              <w:jc w:val="right"/>
              <w:rPr>
                <w:szCs w:val="22"/>
                <w:highlight w:val="yellow"/>
              </w:rPr>
            </w:pPr>
            <w:r>
              <w:rPr>
                <w:szCs w:val="22"/>
                <w:highlight w:val="yellow"/>
              </w:rPr>
              <w:t>258</w:t>
            </w:r>
          </w:p>
        </w:tc>
      </w:tr>
      <w:tr w:rsidR="00400347" w:rsidRPr="00BD0E0C" w:rsidTr="008A3BEC">
        <w:trPr>
          <w:trHeight w:val="520"/>
        </w:trPr>
        <w:tc>
          <w:tcPr>
            <w:tcW w:w="1890" w:type="dxa"/>
            <w:tcBorders>
              <w:top w:val="single" w:sz="4" w:space="0" w:color="auto"/>
              <w:left w:val="single" w:sz="8" w:space="0" w:color="auto"/>
              <w:right w:val="single" w:sz="4" w:space="0" w:color="auto"/>
            </w:tcBorders>
            <w:shd w:val="clear" w:color="auto" w:fill="FFFFFF"/>
            <w:vAlign w:val="center"/>
          </w:tcPr>
          <w:p w:rsidR="00400347" w:rsidRPr="00D42D47" w:rsidRDefault="00400347" w:rsidP="00CD6524">
            <w:pPr>
              <w:spacing w:line="240" w:lineRule="auto"/>
              <w:jc w:val="left"/>
              <w:rPr>
                <w:szCs w:val="22"/>
                <w:highlight w:val="yellow"/>
              </w:rPr>
            </w:pPr>
            <w:r w:rsidRPr="00D42D47">
              <w:rPr>
                <w:szCs w:val="22"/>
                <w:highlight w:val="yellow"/>
              </w:rPr>
              <w:t>Participants who complete Authorization to Release Medical Records</w:t>
            </w:r>
          </w:p>
          <w:p w:rsidR="00400347" w:rsidRPr="00D42D47" w:rsidRDefault="00400347" w:rsidP="00400347">
            <w:pPr>
              <w:spacing w:line="240" w:lineRule="auto"/>
              <w:jc w:val="left"/>
              <w:rPr>
                <w:szCs w:val="22"/>
                <w:highlight w:val="yellow"/>
              </w:rPr>
            </w:pPr>
            <w:r w:rsidRPr="00D42D47">
              <w:rPr>
                <w:szCs w:val="22"/>
                <w:highlight w:val="yellow"/>
              </w:rPr>
              <w:t>(</w:t>
            </w:r>
            <w:r w:rsidRPr="00D42D47">
              <w:rPr>
                <w:b/>
                <w:szCs w:val="22"/>
                <w:highlight w:val="yellow"/>
              </w:rPr>
              <w:t>Attachment 11</w:t>
            </w:r>
            <w:r w:rsidRPr="00D42D47">
              <w:rPr>
                <w:szCs w:val="22"/>
                <w:highlight w:val="yellow"/>
              </w:rPr>
              <w:t>)</w:t>
            </w:r>
          </w:p>
        </w:tc>
        <w:tc>
          <w:tcPr>
            <w:tcW w:w="1440" w:type="dxa"/>
            <w:tcBorders>
              <w:top w:val="single" w:sz="4" w:space="0" w:color="auto"/>
              <w:left w:val="nil"/>
              <w:bottom w:val="single" w:sz="8" w:space="0" w:color="auto"/>
              <w:right w:val="single" w:sz="4" w:space="0" w:color="auto"/>
            </w:tcBorders>
            <w:shd w:val="clear" w:color="auto" w:fill="FFFFFF"/>
            <w:noWrap/>
            <w:vAlign w:val="center"/>
          </w:tcPr>
          <w:p w:rsidR="00400347" w:rsidRPr="00D42D47" w:rsidRDefault="002124E2" w:rsidP="00D42D47">
            <w:pPr>
              <w:spacing w:line="240" w:lineRule="auto"/>
              <w:jc w:val="right"/>
              <w:rPr>
                <w:szCs w:val="22"/>
                <w:highlight w:val="yellow"/>
              </w:rPr>
            </w:pPr>
            <w:r w:rsidRPr="00D42D47">
              <w:rPr>
                <w:szCs w:val="22"/>
                <w:highlight w:val="yellow"/>
              </w:rPr>
              <w:t>2,</w:t>
            </w:r>
            <w:r w:rsidR="00D42D47" w:rsidRPr="00D42D47">
              <w:rPr>
                <w:szCs w:val="22"/>
                <w:highlight w:val="yellow"/>
              </w:rPr>
              <w:t>7</w:t>
            </w:r>
            <w:r w:rsidRPr="00D42D47">
              <w:rPr>
                <w:szCs w:val="22"/>
                <w:highlight w:val="yellow"/>
              </w:rPr>
              <w:t>00</w:t>
            </w:r>
          </w:p>
        </w:tc>
        <w:tc>
          <w:tcPr>
            <w:tcW w:w="1530" w:type="dxa"/>
            <w:tcBorders>
              <w:top w:val="single" w:sz="4" w:space="0" w:color="auto"/>
              <w:left w:val="nil"/>
              <w:bottom w:val="single" w:sz="8" w:space="0" w:color="auto"/>
              <w:right w:val="single" w:sz="4" w:space="0" w:color="auto"/>
            </w:tcBorders>
            <w:shd w:val="clear" w:color="auto" w:fill="FFFFFF"/>
            <w:noWrap/>
            <w:vAlign w:val="center"/>
          </w:tcPr>
          <w:p w:rsidR="00400347" w:rsidRPr="00D42D47" w:rsidRDefault="00400347" w:rsidP="00CD6524">
            <w:pPr>
              <w:spacing w:line="240" w:lineRule="auto"/>
              <w:jc w:val="center"/>
              <w:rPr>
                <w:szCs w:val="22"/>
                <w:highlight w:val="yellow"/>
              </w:rPr>
            </w:pPr>
            <w:r w:rsidRPr="00D42D47">
              <w:rPr>
                <w:szCs w:val="22"/>
                <w:highlight w:val="yellow"/>
              </w:rPr>
              <w:t>1</w:t>
            </w:r>
          </w:p>
        </w:tc>
        <w:tc>
          <w:tcPr>
            <w:tcW w:w="1710" w:type="dxa"/>
            <w:tcBorders>
              <w:top w:val="single" w:sz="4" w:space="0" w:color="auto"/>
              <w:left w:val="nil"/>
              <w:bottom w:val="single" w:sz="8" w:space="0" w:color="auto"/>
              <w:right w:val="single" w:sz="4" w:space="0" w:color="auto"/>
            </w:tcBorders>
            <w:shd w:val="clear" w:color="auto" w:fill="FFFFFF"/>
            <w:vAlign w:val="center"/>
          </w:tcPr>
          <w:p w:rsidR="00400347" w:rsidRPr="00D42D47" w:rsidRDefault="00400347" w:rsidP="00F22119">
            <w:pPr>
              <w:spacing w:line="240" w:lineRule="auto"/>
              <w:jc w:val="center"/>
              <w:rPr>
                <w:szCs w:val="22"/>
                <w:highlight w:val="yellow"/>
              </w:rPr>
            </w:pPr>
            <w:r w:rsidRPr="00D42D47">
              <w:rPr>
                <w:szCs w:val="22"/>
                <w:highlight w:val="yellow"/>
              </w:rPr>
              <w:t>3/60</w:t>
            </w:r>
          </w:p>
        </w:tc>
        <w:tc>
          <w:tcPr>
            <w:tcW w:w="1170" w:type="dxa"/>
            <w:tcBorders>
              <w:top w:val="single" w:sz="4" w:space="0" w:color="auto"/>
              <w:left w:val="nil"/>
              <w:bottom w:val="single" w:sz="8" w:space="0" w:color="auto"/>
              <w:right w:val="single" w:sz="8" w:space="0" w:color="auto"/>
            </w:tcBorders>
            <w:shd w:val="clear" w:color="auto" w:fill="FFFFFF"/>
            <w:noWrap/>
            <w:vAlign w:val="center"/>
          </w:tcPr>
          <w:p w:rsidR="00400347" w:rsidRPr="00D42D47" w:rsidRDefault="00D42D47" w:rsidP="00CD6524">
            <w:pPr>
              <w:spacing w:line="240" w:lineRule="auto"/>
              <w:jc w:val="right"/>
              <w:rPr>
                <w:szCs w:val="22"/>
                <w:highlight w:val="yellow"/>
              </w:rPr>
            </w:pPr>
            <w:r>
              <w:rPr>
                <w:szCs w:val="22"/>
                <w:highlight w:val="yellow"/>
              </w:rPr>
              <w:t>135</w:t>
            </w:r>
          </w:p>
        </w:tc>
      </w:tr>
      <w:tr w:rsidR="00B3081D" w:rsidRPr="00BD0E0C" w:rsidTr="008A3BEC">
        <w:trPr>
          <w:trHeight w:val="520"/>
        </w:trPr>
        <w:tc>
          <w:tcPr>
            <w:tcW w:w="1890" w:type="dxa"/>
            <w:tcBorders>
              <w:top w:val="single" w:sz="4" w:space="0" w:color="auto"/>
              <w:left w:val="single" w:sz="8" w:space="0" w:color="auto"/>
              <w:right w:val="single" w:sz="4" w:space="0" w:color="auto"/>
            </w:tcBorders>
            <w:shd w:val="clear" w:color="auto" w:fill="FFFFFF"/>
            <w:vAlign w:val="center"/>
          </w:tcPr>
          <w:p w:rsidR="00B3081D" w:rsidRDefault="00400347" w:rsidP="00CD6524">
            <w:pPr>
              <w:spacing w:line="240" w:lineRule="auto"/>
              <w:jc w:val="left"/>
              <w:rPr>
                <w:szCs w:val="22"/>
              </w:rPr>
            </w:pPr>
            <w:r>
              <w:rPr>
                <w:szCs w:val="22"/>
              </w:rPr>
              <w:t xml:space="preserve">Male </w:t>
            </w:r>
            <w:r w:rsidR="00B3081D">
              <w:rPr>
                <w:szCs w:val="22"/>
              </w:rPr>
              <w:t>Participants who complete the HSQ</w:t>
            </w:r>
          </w:p>
          <w:p w:rsidR="00B3081D" w:rsidRPr="00542E99" w:rsidRDefault="00B3081D" w:rsidP="00400347">
            <w:pPr>
              <w:spacing w:line="240" w:lineRule="auto"/>
              <w:jc w:val="left"/>
              <w:rPr>
                <w:b/>
                <w:szCs w:val="22"/>
              </w:rPr>
            </w:pPr>
            <w:r>
              <w:rPr>
                <w:b/>
                <w:szCs w:val="22"/>
              </w:rPr>
              <w:t xml:space="preserve">(Attachment </w:t>
            </w:r>
            <w:r w:rsidR="00400347">
              <w:rPr>
                <w:b/>
                <w:szCs w:val="22"/>
              </w:rPr>
              <w:t>2a</w:t>
            </w:r>
            <w:r>
              <w:rPr>
                <w:b/>
                <w:szCs w:val="22"/>
              </w:rPr>
              <w:t>)</w:t>
            </w:r>
          </w:p>
        </w:tc>
        <w:tc>
          <w:tcPr>
            <w:tcW w:w="1440" w:type="dxa"/>
            <w:tcBorders>
              <w:top w:val="single" w:sz="4" w:space="0" w:color="auto"/>
              <w:left w:val="nil"/>
              <w:bottom w:val="single" w:sz="8" w:space="0" w:color="auto"/>
              <w:right w:val="single" w:sz="4" w:space="0" w:color="auto"/>
            </w:tcBorders>
            <w:shd w:val="clear" w:color="auto" w:fill="FFFFFF"/>
            <w:noWrap/>
            <w:vAlign w:val="center"/>
          </w:tcPr>
          <w:p w:rsidR="00B3081D" w:rsidRPr="00BD0E0C" w:rsidRDefault="00400347" w:rsidP="00B4715A">
            <w:pPr>
              <w:spacing w:line="240" w:lineRule="auto"/>
              <w:jc w:val="right"/>
              <w:rPr>
                <w:szCs w:val="22"/>
                <w:highlight w:val="yellow"/>
              </w:rPr>
            </w:pPr>
            <w:r>
              <w:rPr>
                <w:szCs w:val="22"/>
                <w:highlight w:val="yellow"/>
              </w:rPr>
              <w:t>1</w:t>
            </w:r>
            <w:r w:rsidR="00D42D47">
              <w:rPr>
                <w:szCs w:val="22"/>
                <w:highlight w:val="yellow"/>
              </w:rPr>
              <w:t>,</w:t>
            </w:r>
            <w:r>
              <w:rPr>
                <w:szCs w:val="22"/>
                <w:highlight w:val="yellow"/>
              </w:rPr>
              <w:t>040</w:t>
            </w:r>
          </w:p>
        </w:tc>
        <w:tc>
          <w:tcPr>
            <w:tcW w:w="1530" w:type="dxa"/>
            <w:tcBorders>
              <w:top w:val="single" w:sz="4" w:space="0" w:color="auto"/>
              <w:left w:val="nil"/>
              <w:bottom w:val="single" w:sz="8" w:space="0" w:color="auto"/>
              <w:right w:val="single" w:sz="4" w:space="0" w:color="auto"/>
            </w:tcBorders>
            <w:shd w:val="clear" w:color="auto" w:fill="FFFFFF"/>
            <w:noWrap/>
            <w:vAlign w:val="center"/>
          </w:tcPr>
          <w:p w:rsidR="00B3081D" w:rsidRPr="00BD0E0C" w:rsidRDefault="00B3081D" w:rsidP="00CD6524">
            <w:pPr>
              <w:spacing w:line="240" w:lineRule="auto"/>
              <w:jc w:val="center"/>
              <w:rPr>
                <w:szCs w:val="22"/>
              </w:rPr>
            </w:pPr>
            <w:r>
              <w:rPr>
                <w:szCs w:val="22"/>
              </w:rPr>
              <w:t>1</w:t>
            </w:r>
          </w:p>
        </w:tc>
        <w:tc>
          <w:tcPr>
            <w:tcW w:w="1710" w:type="dxa"/>
            <w:tcBorders>
              <w:top w:val="single" w:sz="4" w:space="0" w:color="auto"/>
              <w:left w:val="nil"/>
              <w:bottom w:val="single" w:sz="8" w:space="0" w:color="auto"/>
              <w:right w:val="single" w:sz="4" w:space="0" w:color="auto"/>
            </w:tcBorders>
            <w:shd w:val="clear" w:color="auto" w:fill="FFFFFF"/>
            <w:vAlign w:val="center"/>
          </w:tcPr>
          <w:p w:rsidR="00B3081D" w:rsidRPr="00BD0E0C" w:rsidRDefault="00B3081D" w:rsidP="00F22119">
            <w:pPr>
              <w:spacing w:line="240" w:lineRule="auto"/>
              <w:jc w:val="center"/>
              <w:rPr>
                <w:szCs w:val="22"/>
              </w:rPr>
            </w:pPr>
            <w:r w:rsidRPr="00BD0E0C">
              <w:rPr>
                <w:szCs w:val="22"/>
              </w:rPr>
              <w:t>5/60</w:t>
            </w:r>
          </w:p>
        </w:tc>
        <w:tc>
          <w:tcPr>
            <w:tcW w:w="1170" w:type="dxa"/>
            <w:tcBorders>
              <w:top w:val="single" w:sz="4" w:space="0" w:color="auto"/>
              <w:left w:val="nil"/>
              <w:bottom w:val="single" w:sz="8" w:space="0" w:color="auto"/>
              <w:right w:val="single" w:sz="8" w:space="0" w:color="auto"/>
            </w:tcBorders>
            <w:shd w:val="clear" w:color="auto" w:fill="FFFFFF"/>
            <w:noWrap/>
            <w:vAlign w:val="center"/>
          </w:tcPr>
          <w:p w:rsidR="00B3081D" w:rsidRPr="00BD0E0C" w:rsidRDefault="00400347" w:rsidP="00CD6524">
            <w:pPr>
              <w:spacing w:line="240" w:lineRule="auto"/>
              <w:jc w:val="right"/>
              <w:rPr>
                <w:szCs w:val="22"/>
                <w:highlight w:val="yellow"/>
              </w:rPr>
            </w:pPr>
            <w:r>
              <w:rPr>
                <w:szCs w:val="22"/>
                <w:highlight w:val="yellow"/>
              </w:rPr>
              <w:t>87</w:t>
            </w:r>
          </w:p>
        </w:tc>
      </w:tr>
      <w:tr w:rsidR="00400347" w:rsidRPr="00BD0E0C" w:rsidTr="008A3BEC">
        <w:trPr>
          <w:trHeight w:val="520"/>
        </w:trPr>
        <w:tc>
          <w:tcPr>
            <w:tcW w:w="1890" w:type="dxa"/>
            <w:tcBorders>
              <w:top w:val="single" w:sz="4" w:space="0" w:color="auto"/>
              <w:left w:val="single" w:sz="8" w:space="0" w:color="auto"/>
              <w:right w:val="single" w:sz="4" w:space="0" w:color="auto"/>
            </w:tcBorders>
            <w:shd w:val="clear" w:color="auto" w:fill="FFFFFF"/>
            <w:vAlign w:val="center"/>
          </w:tcPr>
          <w:p w:rsidR="00400347" w:rsidRDefault="00400347" w:rsidP="00400347">
            <w:pPr>
              <w:spacing w:line="240" w:lineRule="auto"/>
              <w:jc w:val="left"/>
              <w:rPr>
                <w:szCs w:val="22"/>
              </w:rPr>
            </w:pPr>
            <w:r>
              <w:rPr>
                <w:szCs w:val="22"/>
              </w:rPr>
              <w:t>Female Participants who complete the HSQ</w:t>
            </w:r>
          </w:p>
          <w:p w:rsidR="00400347" w:rsidRDefault="00400347" w:rsidP="00400347">
            <w:pPr>
              <w:spacing w:line="240" w:lineRule="auto"/>
              <w:jc w:val="left"/>
              <w:rPr>
                <w:szCs w:val="22"/>
              </w:rPr>
            </w:pPr>
            <w:r>
              <w:rPr>
                <w:b/>
                <w:szCs w:val="22"/>
              </w:rPr>
              <w:t>(Attachment 2b)</w:t>
            </w:r>
          </w:p>
        </w:tc>
        <w:tc>
          <w:tcPr>
            <w:tcW w:w="1440" w:type="dxa"/>
            <w:tcBorders>
              <w:top w:val="single" w:sz="4" w:space="0" w:color="auto"/>
              <w:left w:val="nil"/>
              <w:bottom w:val="single" w:sz="8" w:space="0" w:color="auto"/>
              <w:right w:val="single" w:sz="4" w:space="0" w:color="auto"/>
            </w:tcBorders>
            <w:shd w:val="clear" w:color="auto" w:fill="FFFFFF"/>
            <w:noWrap/>
            <w:vAlign w:val="center"/>
          </w:tcPr>
          <w:p w:rsidR="00400347" w:rsidRPr="00BD0E0C" w:rsidRDefault="00400347" w:rsidP="00B4715A">
            <w:pPr>
              <w:spacing w:line="240" w:lineRule="auto"/>
              <w:jc w:val="right"/>
              <w:rPr>
                <w:szCs w:val="22"/>
                <w:highlight w:val="yellow"/>
              </w:rPr>
            </w:pPr>
            <w:r>
              <w:rPr>
                <w:szCs w:val="22"/>
                <w:highlight w:val="yellow"/>
              </w:rPr>
              <w:t>960</w:t>
            </w:r>
          </w:p>
        </w:tc>
        <w:tc>
          <w:tcPr>
            <w:tcW w:w="1530" w:type="dxa"/>
            <w:tcBorders>
              <w:top w:val="single" w:sz="4" w:space="0" w:color="auto"/>
              <w:left w:val="nil"/>
              <w:bottom w:val="single" w:sz="8" w:space="0" w:color="auto"/>
              <w:right w:val="single" w:sz="4" w:space="0" w:color="auto"/>
            </w:tcBorders>
            <w:shd w:val="clear" w:color="auto" w:fill="FFFFFF"/>
            <w:noWrap/>
            <w:vAlign w:val="center"/>
          </w:tcPr>
          <w:p w:rsidR="00400347" w:rsidRPr="00BD0E0C" w:rsidRDefault="00400347" w:rsidP="001D75D5">
            <w:pPr>
              <w:spacing w:line="240" w:lineRule="auto"/>
              <w:jc w:val="center"/>
              <w:rPr>
                <w:szCs w:val="22"/>
              </w:rPr>
            </w:pPr>
            <w:r>
              <w:rPr>
                <w:szCs w:val="22"/>
              </w:rPr>
              <w:t>1</w:t>
            </w:r>
          </w:p>
        </w:tc>
        <w:tc>
          <w:tcPr>
            <w:tcW w:w="1710" w:type="dxa"/>
            <w:tcBorders>
              <w:top w:val="single" w:sz="4" w:space="0" w:color="auto"/>
              <w:left w:val="nil"/>
              <w:bottom w:val="single" w:sz="8" w:space="0" w:color="auto"/>
              <w:right w:val="single" w:sz="4" w:space="0" w:color="auto"/>
            </w:tcBorders>
            <w:shd w:val="clear" w:color="auto" w:fill="FFFFFF"/>
            <w:vAlign w:val="center"/>
          </w:tcPr>
          <w:p w:rsidR="00400347" w:rsidRPr="00BD0E0C" w:rsidRDefault="00400347" w:rsidP="001D75D5">
            <w:pPr>
              <w:spacing w:line="240" w:lineRule="auto"/>
              <w:jc w:val="center"/>
              <w:rPr>
                <w:szCs w:val="22"/>
              </w:rPr>
            </w:pPr>
            <w:r w:rsidRPr="00BD0E0C">
              <w:rPr>
                <w:szCs w:val="22"/>
              </w:rPr>
              <w:t>5/60</w:t>
            </w:r>
          </w:p>
        </w:tc>
        <w:tc>
          <w:tcPr>
            <w:tcW w:w="1170" w:type="dxa"/>
            <w:tcBorders>
              <w:top w:val="single" w:sz="4" w:space="0" w:color="auto"/>
              <w:left w:val="nil"/>
              <w:bottom w:val="single" w:sz="8" w:space="0" w:color="auto"/>
              <w:right w:val="single" w:sz="8" w:space="0" w:color="auto"/>
            </w:tcBorders>
            <w:shd w:val="clear" w:color="auto" w:fill="FFFFFF"/>
            <w:noWrap/>
            <w:vAlign w:val="center"/>
          </w:tcPr>
          <w:p w:rsidR="00400347" w:rsidRPr="00BD0E0C" w:rsidRDefault="00400347" w:rsidP="00CD6524">
            <w:pPr>
              <w:spacing w:line="240" w:lineRule="auto"/>
              <w:jc w:val="right"/>
              <w:rPr>
                <w:szCs w:val="22"/>
                <w:highlight w:val="yellow"/>
              </w:rPr>
            </w:pPr>
            <w:r>
              <w:rPr>
                <w:szCs w:val="22"/>
                <w:highlight w:val="yellow"/>
              </w:rPr>
              <w:t>80</w:t>
            </w:r>
          </w:p>
        </w:tc>
      </w:tr>
      <w:tr w:rsidR="006F7B3B" w:rsidRPr="00BD0E0C" w:rsidTr="008A3BEC">
        <w:trPr>
          <w:trHeight w:val="520"/>
        </w:trPr>
        <w:tc>
          <w:tcPr>
            <w:tcW w:w="1890" w:type="dxa"/>
            <w:tcBorders>
              <w:top w:val="single" w:sz="4" w:space="0" w:color="auto"/>
              <w:left w:val="single" w:sz="8" w:space="0" w:color="auto"/>
              <w:bottom w:val="single" w:sz="4" w:space="0" w:color="auto"/>
              <w:right w:val="single" w:sz="4" w:space="0" w:color="auto"/>
            </w:tcBorders>
            <w:shd w:val="clear" w:color="auto" w:fill="FFFFFF"/>
            <w:vAlign w:val="center"/>
          </w:tcPr>
          <w:p w:rsidR="006F7B3B" w:rsidRDefault="00FF59B0" w:rsidP="00CD6524">
            <w:pPr>
              <w:spacing w:line="240" w:lineRule="auto"/>
              <w:jc w:val="left"/>
              <w:rPr>
                <w:szCs w:val="22"/>
              </w:rPr>
            </w:pPr>
            <w:r>
              <w:rPr>
                <w:szCs w:val="22"/>
              </w:rPr>
              <w:t xml:space="preserve">Participants who complete the </w:t>
            </w:r>
            <w:r w:rsidR="006F7B3B" w:rsidRPr="00713C50">
              <w:rPr>
                <w:szCs w:val="22"/>
              </w:rPr>
              <w:t>MUQ</w:t>
            </w:r>
          </w:p>
          <w:p w:rsidR="00542E99" w:rsidRPr="00542E99" w:rsidRDefault="007F200F" w:rsidP="00CD6524">
            <w:pPr>
              <w:spacing w:line="240" w:lineRule="auto"/>
              <w:jc w:val="left"/>
              <w:rPr>
                <w:b/>
                <w:szCs w:val="22"/>
              </w:rPr>
            </w:pPr>
            <w:r>
              <w:rPr>
                <w:b/>
                <w:szCs w:val="22"/>
              </w:rPr>
              <w:t>(Attachment 4</w:t>
            </w:r>
            <w:r w:rsidR="00542E99" w:rsidRPr="00542E99">
              <w:rPr>
                <w:b/>
                <w:szCs w:val="22"/>
              </w:rPr>
              <w:t>)</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rsidR="006F7B3B" w:rsidRPr="00F85B61" w:rsidRDefault="00642A6E" w:rsidP="00A73C75">
            <w:pPr>
              <w:spacing w:line="240" w:lineRule="auto"/>
              <w:jc w:val="right"/>
              <w:rPr>
                <w:szCs w:val="22"/>
                <w:highlight w:val="yellow"/>
              </w:rPr>
            </w:pPr>
            <w:r>
              <w:rPr>
                <w:szCs w:val="22"/>
                <w:highlight w:val="yellow"/>
              </w:rPr>
              <w:t>77,281</w:t>
            </w:r>
          </w:p>
        </w:tc>
        <w:tc>
          <w:tcPr>
            <w:tcW w:w="1530" w:type="dxa"/>
            <w:tcBorders>
              <w:top w:val="single" w:sz="4" w:space="0" w:color="auto"/>
              <w:left w:val="nil"/>
              <w:bottom w:val="single" w:sz="4" w:space="0" w:color="auto"/>
              <w:right w:val="single" w:sz="4" w:space="0" w:color="auto"/>
            </w:tcBorders>
            <w:shd w:val="clear" w:color="auto" w:fill="FFFFFF"/>
            <w:noWrap/>
            <w:vAlign w:val="center"/>
          </w:tcPr>
          <w:p w:rsidR="006F7B3B" w:rsidRPr="00020A89" w:rsidRDefault="006F7B3B" w:rsidP="00CD6524">
            <w:pPr>
              <w:spacing w:line="240" w:lineRule="auto"/>
              <w:jc w:val="center"/>
              <w:rPr>
                <w:szCs w:val="22"/>
              </w:rPr>
            </w:pPr>
            <w:r w:rsidRPr="005B26D1">
              <w:rPr>
                <w:szCs w:val="22"/>
              </w:rPr>
              <w:t>1</w:t>
            </w:r>
          </w:p>
        </w:tc>
        <w:tc>
          <w:tcPr>
            <w:tcW w:w="1710" w:type="dxa"/>
            <w:tcBorders>
              <w:top w:val="single" w:sz="4" w:space="0" w:color="auto"/>
              <w:left w:val="nil"/>
              <w:bottom w:val="single" w:sz="4" w:space="0" w:color="auto"/>
              <w:right w:val="single" w:sz="4" w:space="0" w:color="auto"/>
            </w:tcBorders>
            <w:shd w:val="clear" w:color="auto" w:fill="FFFFFF"/>
            <w:vAlign w:val="center"/>
          </w:tcPr>
          <w:p w:rsidR="006F7B3B" w:rsidRPr="00472C39" w:rsidRDefault="00FD2152" w:rsidP="00F22119">
            <w:pPr>
              <w:spacing w:line="240" w:lineRule="auto"/>
              <w:jc w:val="center"/>
              <w:rPr>
                <w:szCs w:val="22"/>
              </w:rPr>
            </w:pPr>
            <w:r>
              <w:rPr>
                <w:szCs w:val="22"/>
              </w:rPr>
              <w:t>15</w:t>
            </w:r>
            <w:r w:rsidR="006F7B3B" w:rsidRPr="0037528B">
              <w:rPr>
                <w:szCs w:val="22"/>
              </w:rPr>
              <w:t>/60</w:t>
            </w:r>
          </w:p>
        </w:tc>
        <w:tc>
          <w:tcPr>
            <w:tcW w:w="1170" w:type="dxa"/>
            <w:tcBorders>
              <w:top w:val="single" w:sz="4" w:space="0" w:color="auto"/>
              <w:left w:val="nil"/>
              <w:bottom w:val="single" w:sz="4" w:space="0" w:color="auto"/>
              <w:right w:val="single" w:sz="8" w:space="0" w:color="auto"/>
            </w:tcBorders>
            <w:shd w:val="clear" w:color="auto" w:fill="FFFFFF"/>
            <w:noWrap/>
            <w:vAlign w:val="center"/>
          </w:tcPr>
          <w:p w:rsidR="006F7B3B" w:rsidRPr="00713C50" w:rsidRDefault="00341D4B" w:rsidP="00FD2152">
            <w:pPr>
              <w:spacing w:line="240" w:lineRule="auto"/>
              <w:jc w:val="right"/>
              <w:rPr>
                <w:szCs w:val="22"/>
                <w:highlight w:val="yellow"/>
              </w:rPr>
            </w:pPr>
            <w:r>
              <w:rPr>
                <w:szCs w:val="22"/>
                <w:highlight w:val="yellow"/>
              </w:rPr>
              <w:t>19,320</w:t>
            </w:r>
          </w:p>
        </w:tc>
      </w:tr>
      <w:tr w:rsidR="00F24136" w:rsidRPr="00BD0E0C" w:rsidTr="00723BBD">
        <w:trPr>
          <w:trHeight w:val="520"/>
        </w:trPr>
        <w:tc>
          <w:tcPr>
            <w:tcW w:w="6570" w:type="dxa"/>
            <w:gridSpan w:val="4"/>
            <w:tcBorders>
              <w:top w:val="single" w:sz="4" w:space="0" w:color="auto"/>
              <w:left w:val="single" w:sz="8" w:space="0" w:color="auto"/>
              <w:bottom w:val="single" w:sz="4" w:space="0" w:color="auto"/>
              <w:right w:val="single" w:sz="4" w:space="0" w:color="auto"/>
            </w:tcBorders>
            <w:shd w:val="clear" w:color="auto" w:fill="FFFFFF"/>
            <w:vAlign w:val="center"/>
          </w:tcPr>
          <w:p w:rsidR="00F24136" w:rsidRDefault="00F24136" w:rsidP="00447D76">
            <w:pPr>
              <w:spacing w:line="240" w:lineRule="auto"/>
              <w:jc w:val="center"/>
              <w:rPr>
                <w:szCs w:val="22"/>
              </w:rPr>
            </w:pPr>
            <w:r>
              <w:rPr>
                <w:b/>
                <w:szCs w:val="22"/>
              </w:rPr>
              <w:t>Total</w:t>
            </w:r>
          </w:p>
        </w:tc>
        <w:tc>
          <w:tcPr>
            <w:tcW w:w="1170" w:type="dxa"/>
            <w:tcBorders>
              <w:top w:val="single" w:sz="4" w:space="0" w:color="auto"/>
              <w:left w:val="nil"/>
              <w:bottom w:val="single" w:sz="8" w:space="0" w:color="auto"/>
              <w:right w:val="single" w:sz="8" w:space="0" w:color="auto"/>
            </w:tcBorders>
            <w:shd w:val="clear" w:color="auto" w:fill="FFFFFF"/>
            <w:noWrap/>
            <w:vAlign w:val="center"/>
          </w:tcPr>
          <w:p w:rsidR="00F24136" w:rsidRDefault="00F24136" w:rsidP="00D42D47">
            <w:pPr>
              <w:spacing w:line="240" w:lineRule="auto"/>
              <w:jc w:val="right"/>
              <w:rPr>
                <w:szCs w:val="22"/>
                <w:highlight w:val="yellow"/>
              </w:rPr>
            </w:pPr>
            <w:r>
              <w:rPr>
                <w:szCs w:val="22"/>
                <w:highlight w:val="yellow"/>
              </w:rPr>
              <w:t>26,</w:t>
            </w:r>
            <w:r w:rsidR="00D42D47">
              <w:rPr>
                <w:szCs w:val="22"/>
                <w:highlight w:val="yellow"/>
              </w:rPr>
              <w:t>320</w:t>
            </w:r>
          </w:p>
        </w:tc>
      </w:tr>
      <w:bookmarkEnd w:id="54"/>
      <w:bookmarkEnd w:id="55"/>
      <w:bookmarkEnd w:id="56"/>
      <w:bookmarkEnd w:id="57"/>
    </w:tbl>
    <w:p w:rsidR="00DC69E7" w:rsidRDefault="00DC69E7" w:rsidP="00C56D75">
      <w:pPr>
        <w:spacing w:line="480" w:lineRule="auto"/>
        <w:jc w:val="left"/>
        <w:rPr>
          <w:szCs w:val="22"/>
        </w:rPr>
      </w:pPr>
    </w:p>
    <w:p w:rsidR="00363469" w:rsidRDefault="00B45844" w:rsidP="00C56D75">
      <w:pPr>
        <w:spacing w:line="480" w:lineRule="auto"/>
        <w:jc w:val="left"/>
        <w:rPr>
          <w:szCs w:val="22"/>
        </w:rPr>
      </w:pPr>
      <w:r w:rsidRPr="004C312D">
        <w:rPr>
          <w:szCs w:val="22"/>
        </w:rPr>
        <w:t xml:space="preserve">The </w:t>
      </w:r>
      <w:r w:rsidR="00C56D75" w:rsidRPr="004C312D">
        <w:rPr>
          <w:szCs w:val="22"/>
        </w:rPr>
        <w:t xml:space="preserve">annualized respondent burden is estimated at </w:t>
      </w:r>
      <w:r w:rsidR="00161032" w:rsidRPr="00161032">
        <w:rPr>
          <w:szCs w:val="22"/>
          <w:highlight w:val="yellow"/>
        </w:rPr>
        <w:t>26,</w:t>
      </w:r>
      <w:r w:rsidR="00D42D47">
        <w:rPr>
          <w:szCs w:val="22"/>
          <w:highlight w:val="yellow"/>
        </w:rPr>
        <w:t>320</w:t>
      </w:r>
      <w:r w:rsidR="00161032">
        <w:rPr>
          <w:szCs w:val="22"/>
        </w:rPr>
        <w:t xml:space="preserve"> </w:t>
      </w:r>
      <w:r w:rsidR="00C56D75" w:rsidRPr="004C312D">
        <w:rPr>
          <w:szCs w:val="22"/>
        </w:rPr>
        <w:t>hours at $</w:t>
      </w:r>
      <w:r w:rsidR="00FC00D4" w:rsidRPr="00161032">
        <w:rPr>
          <w:szCs w:val="22"/>
          <w:highlight w:val="yellow"/>
        </w:rPr>
        <w:t>22.33</w:t>
      </w:r>
      <w:r w:rsidR="00C56D75" w:rsidRPr="004C312D">
        <w:t>/hour</w:t>
      </w:r>
      <w:r w:rsidR="00C56D75" w:rsidRPr="004C312D">
        <w:rPr>
          <w:szCs w:val="22"/>
        </w:rPr>
        <w:t xml:space="preserve">, amounting to an annualized cost to respondents estimated to be </w:t>
      </w:r>
      <w:r w:rsidR="00BD7EA0" w:rsidRPr="006D6DE3">
        <w:rPr>
          <w:szCs w:val="22"/>
          <w:highlight w:val="yellow"/>
        </w:rPr>
        <w:t>$</w:t>
      </w:r>
      <w:r w:rsidR="00161032" w:rsidRPr="00DD2DA5">
        <w:rPr>
          <w:szCs w:val="22"/>
          <w:highlight w:val="yellow"/>
        </w:rPr>
        <w:t>58</w:t>
      </w:r>
      <w:r w:rsidR="00D42D47" w:rsidRPr="00DD2DA5">
        <w:rPr>
          <w:szCs w:val="22"/>
          <w:highlight w:val="yellow"/>
        </w:rPr>
        <w:t>7,7</w:t>
      </w:r>
      <w:r w:rsidR="00DD2DA5" w:rsidRPr="00DD2DA5">
        <w:rPr>
          <w:szCs w:val="22"/>
          <w:highlight w:val="yellow"/>
        </w:rPr>
        <w:t>16</w:t>
      </w:r>
      <w:r w:rsidR="00DD2DA5">
        <w:rPr>
          <w:szCs w:val="22"/>
        </w:rPr>
        <w:t xml:space="preserve"> </w:t>
      </w:r>
      <w:r w:rsidR="00981319">
        <w:rPr>
          <w:szCs w:val="22"/>
        </w:rPr>
        <w:t>(</w:t>
      </w:r>
      <w:r w:rsidR="00C56D75" w:rsidRPr="004C312D">
        <w:rPr>
          <w:szCs w:val="22"/>
        </w:rPr>
        <w:t>Table A.12</w:t>
      </w:r>
      <w:r w:rsidR="00C56D75" w:rsidRPr="004C312D">
        <w:rPr>
          <w:szCs w:val="22"/>
        </w:rPr>
        <w:noBreakHyphen/>
        <w:t xml:space="preserve">2). </w:t>
      </w:r>
      <w:r w:rsidR="00F24136" w:rsidRPr="00723BBD">
        <w:rPr>
          <w:szCs w:val="22"/>
          <w:highlight w:val="yellow"/>
        </w:rPr>
        <w:t>The hourly wage rate</w:t>
      </w:r>
      <w:r w:rsidR="00646AB9" w:rsidRPr="00447D76">
        <w:rPr>
          <w:szCs w:val="22"/>
          <w:highlight w:val="yellow"/>
        </w:rPr>
        <w:t>, $22.</w:t>
      </w:r>
      <w:r w:rsidR="00F24136" w:rsidRPr="00723BBD">
        <w:rPr>
          <w:szCs w:val="22"/>
          <w:highlight w:val="yellow"/>
        </w:rPr>
        <w:t>33</w:t>
      </w:r>
      <w:r w:rsidR="00321F37" w:rsidRPr="00723BBD">
        <w:rPr>
          <w:szCs w:val="22"/>
          <w:highlight w:val="yellow"/>
        </w:rPr>
        <w:t>, is</w:t>
      </w:r>
      <w:r w:rsidR="00F24136" w:rsidRPr="00723BBD">
        <w:rPr>
          <w:szCs w:val="22"/>
          <w:highlight w:val="yellow"/>
        </w:rPr>
        <w:t xml:space="preserve"> </w:t>
      </w:r>
      <w:r w:rsidR="00F24136" w:rsidRPr="00447D76">
        <w:rPr>
          <w:sz w:val="24"/>
          <w:highlight w:val="yellow"/>
        </w:rPr>
        <w:t xml:space="preserve">based on the Bureau of Labor Statistics </w:t>
      </w:r>
      <w:hyperlink r:id="rId14" w:anchor="00-0000" w:history="1">
        <w:r w:rsidR="00F24136" w:rsidRPr="00447D76">
          <w:rPr>
            <w:rStyle w:val="Hyperlink"/>
            <w:sz w:val="24"/>
            <w:highlight w:val="yellow"/>
          </w:rPr>
          <w:t xml:space="preserve">http://www.bls.gov/oes/current/oes_nat.htm#00-0000 </w:t>
        </w:r>
      </w:hyperlink>
      <w:r w:rsidR="00F24136" w:rsidRPr="004F562F">
        <w:rPr>
          <w:sz w:val="24"/>
          <w:highlight w:val="yellow"/>
        </w:rPr>
        <w:t xml:space="preserve"> for </w:t>
      </w:r>
      <w:r w:rsidR="00AF480F" w:rsidRPr="004F562F">
        <w:rPr>
          <w:sz w:val="24"/>
          <w:highlight w:val="yellow"/>
        </w:rPr>
        <w:t>“All</w:t>
      </w:r>
      <w:r w:rsidR="00F24136" w:rsidRPr="004F562F">
        <w:rPr>
          <w:sz w:val="24"/>
          <w:highlight w:val="yellow"/>
        </w:rPr>
        <w:t xml:space="preserve"> Occupations", occupation code</w:t>
      </w:r>
      <w:r w:rsidR="00AF480F" w:rsidRPr="004F562F">
        <w:rPr>
          <w:sz w:val="24"/>
          <w:highlight w:val="yellow"/>
        </w:rPr>
        <w:t>: 00</w:t>
      </w:r>
      <w:r w:rsidR="00F24136" w:rsidRPr="004F562F">
        <w:rPr>
          <w:sz w:val="24"/>
          <w:highlight w:val="yellow"/>
        </w:rPr>
        <w:t>-0000</w:t>
      </w:r>
      <w:r w:rsidR="00F24136">
        <w:rPr>
          <w:sz w:val="24"/>
        </w:rPr>
        <w:t>.</w:t>
      </w:r>
      <w:r w:rsidR="00F24136">
        <w:t xml:space="preserve"> </w:t>
      </w:r>
      <w:r w:rsidR="00F24136" w:rsidRPr="00723BBD">
        <w:rPr>
          <w:sz w:val="24"/>
        </w:rPr>
        <w:t xml:space="preserve"> </w:t>
      </w:r>
      <w:r w:rsidR="00C56D75" w:rsidRPr="004C312D">
        <w:rPr>
          <w:szCs w:val="22"/>
        </w:rPr>
        <w:t>For the 3 years of data collection, the total estimated cost to respondents will be</w:t>
      </w:r>
      <w:r w:rsidR="00BD0E0C">
        <w:rPr>
          <w:szCs w:val="22"/>
        </w:rPr>
        <w:t xml:space="preserve"> </w:t>
      </w:r>
      <w:r w:rsidR="006D6DE3" w:rsidRPr="006D6DE3">
        <w:rPr>
          <w:szCs w:val="22"/>
          <w:highlight w:val="yellow"/>
        </w:rPr>
        <w:t>$</w:t>
      </w:r>
      <w:r w:rsidR="00161032">
        <w:rPr>
          <w:szCs w:val="22"/>
          <w:highlight w:val="yellow"/>
        </w:rPr>
        <w:t>1,7</w:t>
      </w:r>
      <w:r w:rsidR="00DD2DA5">
        <w:rPr>
          <w:szCs w:val="22"/>
          <w:highlight w:val="yellow"/>
        </w:rPr>
        <w:t>63,148</w:t>
      </w:r>
      <w:r w:rsidR="00C56D75" w:rsidRPr="00A84E44">
        <w:rPr>
          <w:szCs w:val="22"/>
          <w:highlight w:val="yellow"/>
        </w:rPr>
        <w:t>.</w:t>
      </w:r>
    </w:p>
    <w:p w:rsidR="00DC69E7" w:rsidRDefault="00DC69E7" w:rsidP="00C56D75">
      <w:pPr>
        <w:spacing w:line="480" w:lineRule="auto"/>
        <w:jc w:val="left"/>
        <w:rPr>
          <w:szCs w:val="22"/>
        </w:rPr>
      </w:pPr>
    </w:p>
    <w:tbl>
      <w:tblPr>
        <w:tblW w:w="98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440"/>
        <w:gridCol w:w="1530"/>
        <w:gridCol w:w="1596"/>
        <w:gridCol w:w="1284"/>
        <w:gridCol w:w="1908"/>
      </w:tblGrid>
      <w:tr w:rsidR="00DC69E7" w:rsidRPr="008E4D23" w:rsidTr="00F24C6D">
        <w:tc>
          <w:tcPr>
            <w:tcW w:w="9828" w:type="dxa"/>
            <w:gridSpan w:val="6"/>
            <w:shd w:val="clear" w:color="auto" w:fill="auto"/>
          </w:tcPr>
          <w:p w:rsidR="00DC69E7" w:rsidRDefault="00DC69E7" w:rsidP="00A84E44">
            <w:pPr>
              <w:pStyle w:val="Heading2"/>
              <w:spacing w:after="0" w:line="480" w:lineRule="auto"/>
              <w:ind w:left="0" w:firstLine="0"/>
              <w:jc w:val="center"/>
              <w:rPr>
                <w:szCs w:val="22"/>
              </w:rPr>
            </w:pPr>
            <w:r>
              <w:rPr>
                <w:szCs w:val="22"/>
              </w:rPr>
              <w:t>Table A. 12-2 Annualized Cost to Respondents</w:t>
            </w:r>
          </w:p>
        </w:tc>
      </w:tr>
      <w:tr w:rsidR="003A5FAD" w:rsidRPr="008E4D23" w:rsidTr="00D42D47">
        <w:tc>
          <w:tcPr>
            <w:tcW w:w="2070" w:type="dxa"/>
            <w:shd w:val="clear" w:color="auto" w:fill="auto"/>
          </w:tcPr>
          <w:p w:rsidR="003A5FAD" w:rsidRDefault="00F24C6D" w:rsidP="00F24C6D">
            <w:pPr>
              <w:pStyle w:val="Heading2"/>
              <w:spacing w:after="0" w:line="240" w:lineRule="auto"/>
              <w:ind w:left="0" w:firstLine="0"/>
              <w:rPr>
                <w:szCs w:val="22"/>
              </w:rPr>
            </w:pPr>
            <w:bookmarkStart w:id="59" w:name="_Toc443881756"/>
            <w:bookmarkStart w:id="60" w:name="_Toc451592243"/>
            <w:bookmarkStart w:id="61" w:name="_Toc5610284"/>
            <w:bookmarkStart w:id="62" w:name="_Toc194810117"/>
            <w:bookmarkStart w:id="63" w:name="_Toc295119906"/>
            <w:r>
              <w:rPr>
                <w:szCs w:val="22"/>
              </w:rPr>
              <w:t xml:space="preserve">Type of </w:t>
            </w:r>
          </w:p>
          <w:p w:rsidR="00F24C6D" w:rsidRPr="00F24C6D" w:rsidRDefault="00F24C6D" w:rsidP="00F24C6D">
            <w:pPr>
              <w:pStyle w:val="P1-StandPara"/>
              <w:ind w:firstLine="0"/>
              <w:rPr>
                <w:b/>
              </w:rPr>
            </w:pPr>
            <w:r>
              <w:rPr>
                <w:b/>
              </w:rPr>
              <w:t>Respondent</w:t>
            </w:r>
          </w:p>
        </w:tc>
        <w:tc>
          <w:tcPr>
            <w:tcW w:w="1440" w:type="dxa"/>
            <w:shd w:val="clear" w:color="auto" w:fill="auto"/>
          </w:tcPr>
          <w:p w:rsidR="003A5FAD" w:rsidRPr="008E4D23" w:rsidRDefault="006F7B3B" w:rsidP="00F24C6D">
            <w:pPr>
              <w:pStyle w:val="Heading2"/>
              <w:spacing w:after="0" w:line="240" w:lineRule="auto"/>
              <w:ind w:left="0" w:firstLine="0"/>
              <w:rPr>
                <w:szCs w:val="22"/>
              </w:rPr>
            </w:pPr>
            <w:r>
              <w:rPr>
                <w:szCs w:val="22"/>
              </w:rPr>
              <w:t>Total Number of Respondents</w:t>
            </w:r>
          </w:p>
        </w:tc>
        <w:tc>
          <w:tcPr>
            <w:tcW w:w="1530" w:type="dxa"/>
            <w:shd w:val="clear" w:color="auto" w:fill="auto"/>
          </w:tcPr>
          <w:p w:rsidR="003A5FAD" w:rsidRPr="008E4D23" w:rsidRDefault="006F7B3B" w:rsidP="00F24C6D">
            <w:pPr>
              <w:pStyle w:val="Heading2"/>
              <w:spacing w:after="0" w:line="240" w:lineRule="auto"/>
              <w:ind w:left="0" w:firstLine="0"/>
              <w:rPr>
                <w:szCs w:val="22"/>
              </w:rPr>
            </w:pPr>
            <w:r>
              <w:rPr>
                <w:szCs w:val="22"/>
              </w:rPr>
              <w:t>Frequency of Responses</w:t>
            </w:r>
          </w:p>
        </w:tc>
        <w:tc>
          <w:tcPr>
            <w:tcW w:w="1596" w:type="dxa"/>
            <w:shd w:val="clear" w:color="auto" w:fill="auto"/>
          </w:tcPr>
          <w:p w:rsidR="003A5FAD" w:rsidRPr="008E4D23" w:rsidRDefault="006F7B3B" w:rsidP="00F24C6D">
            <w:pPr>
              <w:pStyle w:val="Heading2"/>
              <w:spacing w:after="0" w:line="240" w:lineRule="auto"/>
              <w:ind w:left="0" w:firstLine="0"/>
              <w:rPr>
                <w:szCs w:val="22"/>
              </w:rPr>
            </w:pPr>
            <w:r>
              <w:rPr>
                <w:szCs w:val="22"/>
              </w:rPr>
              <w:t>Average Time per Response</w:t>
            </w:r>
          </w:p>
        </w:tc>
        <w:tc>
          <w:tcPr>
            <w:tcW w:w="1284" w:type="dxa"/>
            <w:shd w:val="clear" w:color="auto" w:fill="auto"/>
          </w:tcPr>
          <w:p w:rsidR="003A5FAD" w:rsidRPr="008E4D23" w:rsidRDefault="006F7B3B" w:rsidP="00F24C6D">
            <w:pPr>
              <w:pStyle w:val="Heading2"/>
              <w:spacing w:after="0" w:line="240" w:lineRule="auto"/>
              <w:ind w:left="0" w:firstLine="0"/>
              <w:rPr>
                <w:szCs w:val="22"/>
              </w:rPr>
            </w:pPr>
            <w:r>
              <w:rPr>
                <w:szCs w:val="22"/>
              </w:rPr>
              <w:t>Hourly Wage Rate</w:t>
            </w:r>
          </w:p>
        </w:tc>
        <w:tc>
          <w:tcPr>
            <w:tcW w:w="1908" w:type="dxa"/>
            <w:shd w:val="clear" w:color="auto" w:fill="auto"/>
          </w:tcPr>
          <w:p w:rsidR="003A5FAD" w:rsidRPr="008E4D23" w:rsidRDefault="006F7B3B" w:rsidP="00F24C6D">
            <w:pPr>
              <w:pStyle w:val="Heading2"/>
              <w:spacing w:after="0" w:line="240" w:lineRule="auto"/>
              <w:ind w:left="0" w:firstLine="0"/>
              <w:rPr>
                <w:szCs w:val="22"/>
              </w:rPr>
            </w:pPr>
            <w:r>
              <w:rPr>
                <w:szCs w:val="22"/>
              </w:rPr>
              <w:t>Total Respondent Cost</w:t>
            </w:r>
          </w:p>
        </w:tc>
      </w:tr>
      <w:tr w:rsidR="003A5FAD" w:rsidRPr="008E4D23" w:rsidTr="00D42D47">
        <w:tc>
          <w:tcPr>
            <w:tcW w:w="2070" w:type="dxa"/>
            <w:shd w:val="clear" w:color="auto" w:fill="auto"/>
          </w:tcPr>
          <w:p w:rsidR="006F7B3B" w:rsidRDefault="006F7B3B" w:rsidP="006F7B3B">
            <w:pPr>
              <w:spacing w:line="240" w:lineRule="auto"/>
              <w:jc w:val="center"/>
              <w:rPr>
                <w:szCs w:val="22"/>
              </w:rPr>
            </w:pPr>
            <w:r>
              <w:rPr>
                <w:szCs w:val="22"/>
              </w:rPr>
              <w:t xml:space="preserve">Participants who complete the ASU </w:t>
            </w:r>
          </w:p>
          <w:p w:rsidR="003A5FAD" w:rsidRPr="008E4D23" w:rsidRDefault="006F7B3B" w:rsidP="006F7B3B">
            <w:pPr>
              <w:pStyle w:val="Heading2"/>
              <w:spacing w:after="0" w:line="480" w:lineRule="auto"/>
              <w:ind w:left="0" w:firstLine="0"/>
              <w:rPr>
                <w:szCs w:val="22"/>
              </w:rPr>
            </w:pPr>
            <w:r>
              <w:rPr>
                <w:b w:val="0"/>
                <w:szCs w:val="22"/>
              </w:rPr>
              <w:t>(</w:t>
            </w:r>
            <w:r w:rsidR="00D42D47">
              <w:rPr>
                <w:szCs w:val="22"/>
              </w:rPr>
              <w:t>Attachment 1</w:t>
            </w:r>
            <w:r>
              <w:rPr>
                <w:b w:val="0"/>
                <w:szCs w:val="22"/>
              </w:rPr>
              <w:t>)</w:t>
            </w:r>
          </w:p>
        </w:tc>
        <w:tc>
          <w:tcPr>
            <w:tcW w:w="1440" w:type="dxa"/>
            <w:shd w:val="clear" w:color="auto" w:fill="auto"/>
          </w:tcPr>
          <w:p w:rsidR="003A5FAD" w:rsidRPr="008E4D23" w:rsidRDefault="002B5F7A" w:rsidP="008E4D23">
            <w:pPr>
              <w:pStyle w:val="Heading2"/>
              <w:spacing w:after="0" w:line="480" w:lineRule="auto"/>
              <w:ind w:left="0" w:firstLine="0"/>
              <w:rPr>
                <w:szCs w:val="22"/>
              </w:rPr>
            </w:pPr>
            <w:r w:rsidRPr="004921BF">
              <w:rPr>
                <w:szCs w:val="22"/>
                <w:highlight w:val="yellow"/>
              </w:rPr>
              <w:t>77,281</w:t>
            </w:r>
          </w:p>
        </w:tc>
        <w:tc>
          <w:tcPr>
            <w:tcW w:w="1530" w:type="dxa"/>
            <w:shd w:val="clear" w:color="auto" w:fill="auto"/>
          </w:tcPr>
          <w:p w:rsidR="003A5FAD" w:rsidRPr="008E4D23" w:rsidRDefault="002B5F7A" w:rsidP="008E4D23">
            <w:pPr>
              <w:pStyle w:val="Heading2"/>
              <w:spacing w:after="0" w:line="480" w:lineRule="auto"/>
              <w:ind w:left="0" w:firstLine="0"/>
              <w:rPr>
                <w:szCs w:val="22"/>
              </w:rPr>
            </w:pPr>
            <w:r>
              <w:rPr>
                <w:szCs w:val="22"/>
              </w:rPr>
              <w:t>1</w:t>
            </w:r>
          </w:p>
        </w:tc>
        <w:tc>
          <w:tcPr>
            <w:tcW w:w="1596" w:type="dxa"/>
            <w:shd w:val="clear" w:color="auto" w:fill="auto"/>
          </w:tcPr>
          <w:p w:rsidR="003A5FAD" w:rsidRPr="008E4D23" w:rsidRDefault="002B5F7A" w:rsidP="008E4D23">
            <w:pPr>
              <w:pStyle w:val="Heading2"/>
              <w:spacing w:after="0" w:line="480" w:lineRule="auto"/>
              <w:ind w:left="0" w:firstLine="0"/>
              <w:rPr>
                <w:szCs w:val="22"/>
              </w:rPr>
            </w:pPr>
            <w:r>
              <w:rPr>
                <w:szCs w:val="22"/>
              </w:rPr>
              <w:t>5/60</w:t>
            </w:r>
          </w:p>
        </w:tc>
        <w:tc>
          <w:tcPr>
            <w:tcW w:w="1284" w:type="dxa"/>
            <w:shd w:val="clear" w:color="auto" w:fill="auto"/>
          </w:tcPr>
          <w:p w:rsidR="003A5FAD" w:rsidRPr="00F24C6D" w:rsidRDefault="00536FEE" w:rsidP="008E4D23">
            <w:pPr>
              <w:pStyle w:val="Heading2"/>
              <w:spacing w:after="0" w:line="480" w:lineRule="auto"/>
              <w:ind w:left="0" w:firstLine="0"/>
              <w:rPr>
                <w:szCs w:val="22"/>
                <w:highlight w:val="yellow"/>
              </w:rPr>
            </w:pPr>
            <w:r w:rsidRPr="00F24C6D">
              <w:rPr>
                <w:szCs w:val="22"/>
                <w:highlight w:val="yellow"/>
              </w:rPr>
              <w:t>$22.33</w:t>
            </w:r>
          </w:p>
        </w:tc>
        <w:tc>
          <w:tcPr>
            <w:tcW w:w="1908" w:type="dxa"/>
            <w:shd w:val="clear" w:color="auto" w:fill="auto"/>
          </w:tcPr>
          <w:p w:rsidR="003A5FAD" w:rsidRPr="00F24C6D" w:rsidRDefault="00536FEE" w:rsidP="00447D76">
            <w:pPr>
              <w:pStyle w:val="Heading2"/>
              <w:spacing w:after="0" w:line="480" w:lineRule="auto"/>
              <w:ind w:left="0" w:firstLine="0"/>
              <w:rPr>
                <w:szCs w:val="22"/>
                <w:highlight w:val="yellow"/>
              </w:rPr>
            </w:pPr>
            <w:r w:rsidRPr="00F24C6D">
              <w:rPr>
                <w:szCs w:val="22"/>
                <w:highlight w:val="yellow"/>
              </w:rPr>
              <w:t>$143,</w:t>
            </w:r>
            <w:r w:rsidR="00646AB9" w:rsidRPr="00F24C6D">
              <w:rPr>
                <w:szCs w:val="22"/>
                <w:highlight w:val="yellow"/>
              </w:rPr>
              <w:t>80</w:t>
            </w:r>
            <w:r w:rsidR="00646AB9">
              <w:rPr>
                <w:szCs w:val="22"/>
                <w:highlight w:val="yellow"/>
              </w:rPr>
              <w:t>7.06</w:t>
            </w:r>
          </w:p>
        </w:tc>
      </w:tr>
      <w:tr w:rsidR="003A5FAD" w:rsidRPr="008E4D23" w:rsidTr="00D42D47">
        <w:tc>
          <w:tcPr>
            <w:tcW w:w="2070" w:type="dxa"/>
            <w:shd w:val="clear" w:color="auto" w:fill="auto"/>
          </w:tcPr>
          <w:p w:rsidR="006F7B3B" w:rsidRDefault="006F7B3B" w:rsidP="006F7B3B">
            <w:pPr>
              <w:spacing w:line="240" w:lineRule="auto"/>
              <w:rPr>
                <w:szCs w:val="22"/>
              </w:rPr>
            </w:pPr>
            <w:r>
              <w:rPr>
                <w:szCs w:val="22"/>
              </w:rPr>
              <w:t>Non Responders to the ASU</w:t>
            </w:r>
          </w:p>
          <w:p w:rsidR="003A5FAD" w:rsidRPr="008E4D23" w:rsidRDefault="006F7B3B" w:rsidP="00D42D47">
            <w:pPr>
              <w:pStyle w:val="Heading2"/>
              <w:spacing w:after="0" w:line="480" w:lineRule="auto"/>
              <w:ind w:left="0" w:firstLine="0"/>
              <w:rPr>
                <w:szCs w:val="22"/>
              </w:rPr>
            </w:pPr>
            <w:r w:rsidRPr="003C0F15">
              <w:rPr>
                <w:szCs w:val="22"/>
              </w:rPr>
              <w:t xml:space="preserve">(Attachment </w:t>
            </w:r>
            <w:r w:rsidR="00D42D47">
              <w:rPr>
                <w:szCs w:val="22"/>
              </w:rPr>
              <w:t>5</w:t>
            </w:r>
            <w:r w:rsidRPr="003C0F15">
              <w:rPr>
                <w:szCs w:val="22"/>
              </w:rPr>
              <w:t>)</w:t>
            </w:r>
          </w:p>
        </w:tc>
        <w:tc>
          <w:tcPr>
            <w:tcW w:w="1440" w:type="dxa"/>
            <w:shd w:val="clear" w:color="auto" w:fill="auto"/>
          </w:tcPr>
          <w:p w:rsidR="003A5FAD" w:rsidRPr="008E4D23" w:rsidRDefault="002B5F7A" w:rsidP="008E4D23">
            <w:pPr>
              <w:pStyle w:val="Heading2"/>
              <w:spacing w:after="0" w:line="480" w:lineRule="auto"/>
              <w:ind w:left="0" w:firstLine="0"/>
              <w:rPr>
                <w:szCs w:val="22"/>
              </w:rPr>
            </w:pPr>
            <w:r w:rsidRPr="004921BF">
              <w:rPr>
                <w:szCs w:val="22"/>
                <w:highlight w:val="yellow"/>
              </w:rPr>
              <w:t>3,091</w:t>
            </w:r>
          </w:p>
        </w:tc>
        <w:tc>
          <w:tcPr>
            <w:tcW w:w="1530" w:type="dxa"/>
            <w:shd w:val="clear" w:color="auto" w:fill="auto"/>
          </w:tcPr>
          <w:p w:rsidR="003A5FAD" w:rsidRPr="008E4D23" w:rsidRDefault="002B5F7A" w:rsidP="008E4D23">
            <w:pPr>
              <w:pStyle w:val="Heading2"/>
              <w:spacing w:after="0" w:line="480" w:lineRule="auto"/>
              <w:ind w:left="0" w:firstLine="0"/>
              <w:rPr>
                <w:szCs w:val="22"/>
              </w:rPr>
            </w:pPr>
            <w:r>
              <w:rPr>
                <w:szCs w:val="22"/>
              </w:rPr>
              <w:t>1</w:t>
            </w:r>
          </w:p>
        </w:tc>
        <w:tc>
          <w:tcPr>
            <w:tcW w:w="1596" w:type="dxa"/>
            <w:shd w:val="clear" w:color="auto" w:fill="auto"/>
          </w:tcPr>
          <w:p w:rsidR="003A5FAD" w:rsidRPr="008E4D23" w:rsidRDefault="002B5F7A" w:rsidP="008E4D23">
            <w:pPr>
              <w:pStyle w:val="Heading2"/>
              <w:spacing w:after="0" w:line="480" w:lineRule="auto"/>
              <w:ind w:left="0" w:firstLine="0"/>
              <w:rPr>
                <w:szCs w:val="22"/>
              </w:rPr>
            </w:pPr>
            <w:r>
              <w:rPr>
                <w:szCs w:val="22"/>
              </w:rPr>
              <w:t>5/60</w:t>
            </w:r>
          </w:p>
        </w:tc>
        <w:tc>
          <w:tcPr>
            <w:tcW w:w="1284" w:type="dxa"/>
            <w:shd w:val="clear" w:color="auto" w:fill="auto"/>
          </w:tcPr>
          <w:p w:rsidR="003A5FAD" w:rsidRPr="00F24C6D" w:rsidRDefault="00536FEE" w:rsidP="008E4D23">
            <w:pPr>
              <w:pStyle w:val="Heading2"/>
              <w:spacing w:after="0" w:line="480" w:lineRule="auto"/>
              <w:ind w:left="0" w:firstLine="0"/>
              <w:rPr>
                <w:szCs w:val="22"/>
                <w:highlight w:val="yellow"/>
              </w:rPr>
            </w:pPr>
            <w:r w:rsidRPr="00F24C6D">
              <w:rPr>
                <w:szCs w:val="22"/>
                <w:highlight w:val="yellow"/>
              </w:rPr>
              <w:t>$22.33</w:t>
            </w:r>
          </w:p>
        </w:tc>
        <w:tc>
          <w:tcPr>
            <w:tcW w:w="1908" w:type="dxa"/>
            <w:shd w:val="clear" w:color="auto" w:fill="auto"/>
          </w:tcPr>
          <w:p w:rsidR="003A5FAD" w:rsidRPr="00F24C6D" w:rsidRDefault="00536FEE" w:rsidP="00447D76">
            <w:pPr>
              <w:pStyle w:val="Heading2"/>
              <w:spacing w:after="0" w:line="480" w:lineRule="auto"/>
              <w:ind w:left="0" w:firstLine="0"/>
              <w:rPr>
                <w:szCs w:val="22"/>
                <w:highlight w:val="yellow"/>
              </w:rPr>
            </w:pPr>
            <w:r w:rsidRPr="00F24C6D">
              <w:rPr>
                <w:szCs w:val="22"/>
                <w:highlight w:val="yellow"/>
              </w:rPr>
              <w:t>$</w:t>
            </w:r>
            <w:r w:rsidR="00646AB9">
              <w:rPr>
                <w:szCs w:val="22"/>
                <w:highlight w:val="yellow"/>
              </w:rPr>
              <w:t>5,751.84</w:t>
            </w:r>
          </w:p>
        </w:tc>
      </w:tr>
      <w:tr w:rsidR="00D42D47" w:rsidRPr="008E4D23" w:rsidTr="00D42D47">
        <w:tc>
          <w:tcPr>
            <w:tcW w:w="2070" w:type="dxa"/>
            <w:shd w:val="clear" w:color="auto" w:fill="auto"/>
          </w:tcPr>
          <w:p w:rsidR="00D42D47" w:rsidRPr="00D42D47" w:rsidRDefault="00D42D47" w:rsidP="00D42D47">
            <w:pPr>
              <w:spacing w:line="240" w:lineRule="auto"/>
              <w:jc w:val="left"/>
              <w:rPr>
                <w:szCs w:val="22"/>
                <w:highlight w:val="yellow"/>
              </w:rPr>
            </w:pPr>
            <w:r w:rsidRPr="00D42D47">
              <w:rPr>
                <w:szCs w:val="22"/>
                <w:highlight w:val="yellow"/>
              </w:rPr>
              <w:t>Participants who complete Authorization to Release Medical Records</w:t>
            </w:r>
          </w:p>
          <w:p w:rsidR="00D42D47" w:rsidRDefault="00D42D47" w:rsidP="00D42D47">
            <w:pPr>
              <w:spacing w:line="240" w:lineRule="auto"/>
              <w:jc w:val="left"/>
              <w:rPr>
                <w:szCs w:val="22"/>
              </w:rPr>
            </w:pPr>
            <w:r w:rsidRPr="00D42D47">
              <w:rPr>
                <w:szCs w:val="22"/>
                <w:highlight w:val="yellow"/>
              </w:rPr>
              <w:t>(</w:t>
            </w:r>
            <w:r w:rsidRPr="00D42D47">
              <w:rPr>
                <w:b/>
                <w:szCs w:val="22"/>
                <w:highlight w:val="yellow"/>
              </w:rPr>
              <w:t>Attachment 11</w:t>
            </w:r>
            <w:r w:rsidRPr="00D42D47">
              <w:rPr>
                <w:szCs w:val="22"/>
                <w:highlight w:val="yellow"/>
              </w:rPr>
              <w:t>)</w:t>
            </w:r>
          </w:p>
        </w:tc>
        <w:tc>
          <w:tcPr>
            <w:tcW w:w="1440" w:type="dxa"/>
            <w:shd w:val="clear" w:color="auto" w:fill="auto"/>
          </w:tcPr>
          <w:p w:rsidR="00D42D47" w:rsidRDefault="00D42D47" w:rsidP="008E4D23">
            <w:pPr>
              <w:pStyle w:val="Heading2"/>
              <w:spacing w:after="0" w:line="480" w:lineRule="auto"/>
              <w:ind w:left="0" w:firstLine="0"/>
              <w:rPr>
                <w:szCs w:val="22"/>
              </w:rPr>
            </w:pPr>
            <w:r w:rsidRPr="002E68DD">
              <w:rPr>
                <w:szCs w:val="22"/>
                <w:highlight w:val="yellow"/>
              </w:rPr>
              <w:t>2,700</w:t>
            </w:r>
          </w:p>
        </w:tc>
        <w:tc>
          <w:tcPr>
            <w:tcW w:w="1530" w:type="dxa"/>
            <w:shd w:val="clear" w:color="auto" w:fill="auto"/>
          </w:tcPr>
          <w:p w:rsidR="00D42D47" w:rsidRDefault="00D42D47" w:rsidP="008E4D23">
            <w:pPr>
              <w:pStyle w:val="Heading2"/>
              <w:spacing w:after="0" w:line="480" w:lineRule="auto"/>
              <w:ind w:left="0" w:firstLine="0"/>
              <w:rPr>
                <w:szCs w:val="22"/>
              </w:rPr>
            </w:pPr>
            <w:r>
              <w:rPr>
                <w:szCs w:val="22"/>
              </w:rPr>
              <w:t>1</w:t>
            </w:r>
          </w:p>
        </w:tc>
        <w:tc>
          <w:tcPr>
            <w:tcW w:w="1596" w:type="dxa"/>
            <w:shd w:val="clear" w:color="auto" w:fill="auto"/>
          </w:tcPr>
          <w:p w:rsidR="00D42D47" w:rsidRDefault="00D42D47" w:rsidP="008E4D23">
            <w:pPr>
              <w:pStyle w:val="Heading2"/>
              <w:spacing w:after="0" w:line="480" w:lineRule="auto"/>
              <w:ind w:left="0" w:firstLine="0"/>
              <w:rPr>
                <w:szCs w:val="22"/>
              </w:rPr>
            </w:pPr>
            <w:r>
              <w:rPr>
                <w:szCs w:val="22"/>
              </w:rPr>
              <w:t>3/60</w:t>
            </w:r>
          </w:p>
        </w:tc>
        <w:tc>
          <w:tcPr>
            <w:tcW w:w="1284" w:type="dxa"/>
            <w:shd w:val="clear" w:color="auto" w:fill="auto"/>
          </w:tcPr>
          <w:p w:rsidR="00D42D47" w:rsidRPr="00F24C6D" w:rsidRDefault="00D42D47" w:rsidP="008E4D23">
            <w:pPr>
              <w:pStyle w:val="Heading2"/>
              <w:spacing w:after="0" w:line="480" w:lineRule="auto"/>
              <w:ind w:left="0" w:firstLine="0"/>
              <w:rPr>
                <w:szCs w:val="22"/>
                <w:highlight w:val="yellow"/>
              </w:rPr>
            </w:pPr>
            <w:r>
              <w:rPr>
                <w:szCs w:val="22"/>
                <w:highlight w:val="yellow"/>
              </w:rPr>
              <w:t>$22.33</w:t>
            </w:r>
          </w:p>
        </w:tc>
        <w:tc>
          <w:tcPr>
            <w:tcW w:w="1908" w:type="dxa"/>
            <w:shd w:val="clear" w:color="auto" w:fill="auto"/>
          </w:tcPr>
          <w:p w:rsidR="00D42D47" w:rsidRPr="00F24C6D" w:rsidRDefault="002E68DD" w:rsidP="00447D76">
            <w:pPr>
              <w:pStyle w:val="Heading2"/>
              <w:spacing w:after="0" w:line="480" w:lineRule="auto"/>
              <w:ind w:left="0" w:firstLine="0"/>
              <w:rPr>
                <w:szCs w:val="22"/>
                <w:highlight w:val="yellow"/>
              </w:rPr>
            </w:pPr>
            <w:r>
              <w:rPr>
                <w:szCs w:val="22"/>
                <w:highlight w:val="yellow"/>
              </w:rPr>
              <w:t>$</w:t>
            </w:r>
            <w:r w:rsidR="009D6E06">
              <w:rPr>
                <w:szCs w:val="22"/>
                <w:highlight w:val="yellow"/>
              </w:rPr>
              <w:t>3</w:t>
            </w:r>
            <w:r>
              <w:rPr>
                <w:szCs w:val="22"/>
                <w:highlight w:val="yellow"/>
              </w:rPr>
              <w:t>,</w:t>
            </w:r>
            <w:r w:rsidR="009D6E06">
              <w:rPr>
                <w:szCs w:val="22"/>
                <w:highlight w:val="yellow"/>
              </w:rPr>
              <w:t>014.55</w:t>
            </w:r>
          </w:p>
        </w:tc>
      </w:tr>
      <w:tr w:rsidR="003A5FAD" w:rsidRPr="008E4D23" w:rsidTr="00D42D47">
        <w:tc>
          <w:tcPr>
            <w:tcW w:w="2070" w:type="dxa"/>
            <w:shd w:val="clear" w:color="auto" w:fill="auto"/>
          </w:tcPr>
          <w:p w:rsidR="006F7B3B" w:rsidRDefault="00D42D47" w:rsidP="006F7B3B">
            <w:pPr>
              <w:spacing w:line="240" w:lineRule="auto"/>
              <w:jc w:val="left"/>
              <w:rPr>
                <w:szCs w:val="22"/>
              </w:rPr>
            </w:pPr>
            <w:r>
              <w:rPr>
                <w:szCs w:val="22"/>
              </w:rPr>
              <w:t xml:space="preserve">Male </w:t>
            </w:r>
            <w:r w:rsidR="006F7B3B">
              <w:rPr>
                <w:szCs w:val="22"/>
              </w:rPr>
              <w:t>Participants who complete the HSQ</w:t>
            </w:r>
          </w:p>
          <w:p w:rsidR="003A5FAD" w:rsidRPr="008E4D23" w:rsidRDefault="006F7B3B" w:rsidP="00D42D47">
            <w:pPr>
              <w:pStyle w:val="Heading2"/>
              <w:spacing w:after="0" w:line="240" w:lineRule="auto"/>
              <w:ind w:left="0" w:firstLine="0"/>
              <w:rPr>
                <w:szCs w:val="22"/>
              </w:rPr>
            </w:pPr>
            <w:r>
              <w:rPr>
                <w:b w:val="0"/>
                <w:szCs w:val="22"/>
              </w:rPr>
              <w:t>(</w:t>
            </w:r>
            <w:r w:rsidRPr="00456D65">
              <w:rPr>
                <w:szCs w:val="22"/>
              </w:rPr>
              <w:t xml:space="preserve">Attachment </w:t>
            </w:r>
            <w:r w:rsidR="00D42D47">
              <w:rPr>
                <w:szCs w:val="22"/>
              </w:rPr>
              <w:t>2a)</w:t>
            </w:r>
          </w:p>
        </w:tc>
        <w:tc>
          <w:tcPr>
            <w:tcW w:w="1440" w:type="dxa"/>
            <w:shd w:val="clear" w:color="auto" w:fill="auto"/>
          </w:tcPr>
          <w:p w:rsidR="003A5FAD" w:rsidRPr="008E4D23" w:rsidRDefault="00D42D47" w:rsidP="008E4D23">
            <w:pPr>
              <w:pStyle w:val="Heading2"/>
              <w:spacing w:after="0" w:line="480" w:lineRule="auto"/>
              <w:ind w:left="0" w:firstLine="0"/>
              <w:rPr>
                <w:szCs w:val="22"/>
              </w:rPr>
            </w:pPr>
            <w:r w:rsidRPr="002E68DD">
              <w:rPr>
                <w:szCs w:val="22"/>
                <w:highlight w:val="yellow"/>
              </w:rPr>
              <w:t>1,040</w:t>
            </w:r>
          </w:p>
        </w:tc>
        <w:tc>
          <w:tcPr>
            <w:tcW w:w="1530" w:type="dxa"/>
            <w:shd w:val="clear" w:color="auto" w:fill="auto"/>
          </w:tcPr>
          <w:p w:rsidR="003A5FAD" w:rsidRPr="008E4D23" w:rsidRDefault="002B5F7A" w:rsidP="008E4D23">
            <w:pPr>
              <w:pStyle w:val="Heading2"/>
              <w:spacing w:after="0" w:line="480" w:lineRule="auto"/>
              <w:ind w:left="0" w:firstLine="0"/>
              <w:rPr>
                <w:szCs w:val="22"/>
              </w:rPr>
            </w:pPr>
            <w:r>
              <w:rPr>
                <w:szCs w:val="22"/>
              </w:rPr>
              <w:t>1</w:t>
            </w:r>
          </w:p>
        </w:tc>
        <w:tc>
          <w:tcPr>
            <w:tcW w:w="1596" w:type="dxa"/>
            <w:shd w:val="clear" w:color="auto" w:fill="auto"/>
          </w:tcPr>
          <w:p w:rsidR="003A5FAD" w:rsidRPr="008E4D23" w:rsidRDefault="002B5F7A" w:rsidP="008E4D23">
            <w:pPr>
              <w:pStyle w:val="Heading2"/>
              <w:spacing w:after="0" w:line="480" w:lineRule="auto"/>
              <w:ind w:left="0" w:firstLine="0"/>
              <w:rPr>
                <w:szCs w:val="22"/>
              </w:rPr>
            </w:pPr>
            <w:r>
              <w:rPr>
                <w:szCs w:val="22"/>
              </w:rPr>
              <w:t>5/60</w:t>
            </w:r>
          </w:p>
        </w:tc>
        <w:tc>
          <w:tcPr>
            <w:tcW w:w="1284" w:type="dxa"/>
            <w:shd w:val="clear" w:color="auto" w:fill="auto"/>
          </w:tcPr>
          <w:p w:rsidR="003A5FAD" w:rsidRPr="00F24C6D" w:rsidRDefault="00536FEE" w:rsidP="008E4D23">
            <w:pPr>
              <w:pStyle w:val="Heading2"/>
              <w:spacing w:after="0" w:line="480" w:lineRule="auto"/>
              <w:ind w:left="0" w:firstLine="0"/>
              <w:rPr>
                <w:szCs w:val="22"/>
                <w:highlight w:val="yellow"/>
              </w:rPr>
            </w:pPr>
            <w:r w:rsidRPr="00F24C6D">
              <w:rPr>
                <w:szCs w:val="22"/>
                <w:highlight w:val="yellow"/>
              </w:rPr>
              <w:t>$22.33</w:t>
            </w:r>
          </w:p>
        </w:tc>
        <w:tc>
          <w:tcPr>
            <w:tcW w:w="1908" w:type="dxa"/>
            <w:shd w:val="clear" w:color="auto" w:fill="auto"/>
          </w:tcPr>
          <w:p w:rsidR="003A5FAD" w:rsidRPr="00F24C6D" w:rsidRDefault="002E68DD" w:rsidP="00447D76">
            <w:pPr>
              <w:pStyle w:val="Heading2"/>
              <w:spacing w:after="0" w:line="480" w:lineRule="auto"/>
              <w:ind w:left="0" w:firstLine="0"/>
              <w:rPr>
                <w:szCs w:val="22"/>
                <w:highlight w:val="yellow"/>
              </w:rPr>
            </w:pPr>
            <w:r>
              <w:rPr>
                <w:szCs w:val="22"/>
                <w:highlight w:val="yellow"/>
              </w:rPr>
              <w:t>$</w:t>
            </w:r>
            <w:r w:rsidR="009D6E06">
              <w:rPr>
                <w:szCs w:val="22"/>
                <w:highlight w:val="yellow"/>
              </w:rPr>
              <w:t>1</w:t>
            </w:r>
            <w:r>
              <w:rPr>
                <w:szCs w:val="22"/>
                <w:highlight w:val="yellow"/>
              </w:rPr>
              <w:t>,</w:t>
            </w:r>
            <w:r w:rsidR="009D6E06">
              <w:rPr>
                <w:szCs w:val="22"/>
                <w:highlight w:val="yellow"/>
              </w:rPr>
              <w:t>935.27</w:t>
            </w:r>
          </w:p>
        </w:tc>
      </w:tr>
      <w:tr w:rsidR="00D42D47" w:rsidRPr="008E4D23" w:rsidTr="00D42D47">
        <w:tc>
          <w:tcPr>
            <w:tcW w:w="2070" w:type="dxa"/>
            <w:shd w:val="clear" w:color="auto" w:fill="auto"/>
          </w:tcPr>
          <w:p w:rsidR="00D42D47" w:rsidRDefault="00D42D47" w:rsidP="00D42D47">
            <w:pPr>
              <w:spacing w:line="240" w:lineRule="auto"/>
              <w:jc w:val="left"/>
              <w:rPr>
                <w:szCs w:val="22"/>
              </w:rPr>
            </w:pPr>
            <w:r>
              <w:rPr>
                <w:szCs w:val="22"/>
              </w:rPr>
              <w:t>Female Participants who complete the HSQ</w:t>
            </w:r>
          </w:p>
          <w:p w:rsidR="00D42D47" w:rsidRDefault="00D42D47" w:rsidP="00D42D47">
            <w:pPr>
              <w:spacing w:line="240" w:lineRule="auto"/>
              <w:jc w:val="left"/>
              <w:rPr>
                <w:szCs w:val="22"/>
              </w:rPr>
            </w:pPr>
            <w:r>
              <w:rPr>
                <w:szCs w:val="22"/>
              </w:rPr>
              <w:t>(</w:t>
            </w:r>
            <w:r w:rsidRPr="002E68DD">
              <w:rPr>
                <w:b/>
                <w:szCs w:val="22"/>
              </w:rPr>
              <w:t>Attachment 2</w:t>
            </w:r>
            <w:r w:rsidR="002E68DD">
              <w:rPr>
                <w:b/>
                <w:szCs w:val="22"/>
              </w:rPr>
              <w:t>b</w:t>
            </w:r>
            <w:r>
              <w:rPr>
                <w:szCs w:val="22"/>
              </w:rPr>
              <w:t>)</w:t>
            </w:r>
          </w:p>
        </w:tc>
        <w:tc>
          <w:tcPr>
            <w:tcW w:w="1440" w:type="dxa"/>
            <w:shd w:val="clear" w:color="auto" w:fill="auto"/>
          </w:tcPr>
          <w:p w:rsidR="00D42D47" w:rsidRPr="004921BF" w:rsidRDefault="00D42D47" w:rsidP="008E4D23">
            <w:pPr>
              <w:pStyle w:val="Heading2"/>
              <w:spacing w:after="0" w:line="480" w:lineRule="auto"/>
              <w:ind w:left="0" w:firstLine="0"/>
              <w:rPr>
                <w:szCs w:val="22"/>
                <w:highlight w:val="yellow"/>
              </w:rPr>
            </w:pPr>
            <w:r>
              <w:rPr>
                <w:szCs w:val="22"/>
                <w:highlight w:val="yellow"/>
              </w:rPr>
              <w:t>960</w:t>
            </w:r>
          </w:p>
        </w:tc>
        <w:tc>
          <w:tcPr>
            <w:tcW w:w="1530" w:type="dxa"/>
            <w:shd w:val="clear" w:color="auto" w:fill="auto"/>
          </w:tcPr>
          <w:p w:rsidR="00D42D47" w:rsidRPr="005B26D1" w:rsidRDefault="00D42D47" w:rsidP="008E4D23">
            <w:pPr>
              <w:pStyle w:val="Heading2"/>
              <w:spacing w:after="0" w:line="480" w:lineRule="auto"/>
              <w:ind w:left="0" w:firstLine="0"/>
              <w:rPr>
                <w:szCs w:val="22"/>
              </w:rPr>
            </w:pPr>
            <w:r>
              <w:rPr>
                <w:szCs w:val="22"/>
              </w:rPr>
              <w:t>1</w:t>
            </w:r>
          </w:p>
        </w:tc>
        <w:tc>
          <w:tcPr>
            <w:tcW w:w="1596" w:type="dxa"/>
            <w:shd w:val="clear" w:color="auto" w:fill="auto"/>
          </w:tcPr>
          <w:p w:rsidR="00D42D47" w:rsidRPr="0037528B" w:rsidRDefault="00D42D47" w:rsidP="008E4D23">
            <w:pPr>
              <w:pStyle w:val="Heading2"/>
              <w:spacing w:after="0" w:line="480" w:lineRule="auto"/>
              <w:ind w:left="0" w:firstLine="0"/>
              <w:rPr>
                <w:szCs w:val="22"/>
              </w:rPr>
            </w:pPr>
            <w:r>
              <w:rPr>
                <w:szCs w:val="22"/>
              </w:rPr>
              <w:t>5/60</w:t>
            </w:r>
          </w:p>
        </w:tc>
        <w:tc>
          <w:tcPr>
            <w:tcW w:w="1284" w:type="dxa"/>
            <w:shd w:val="clear" w:color="auto" w:fill="auto"/>
          </w:tcPr>
          <w:p w:rsidR="00D42D47" w:rsidRPr="00F24C6D" w:rsidRDefault="00D42D47" w:rsidP="00F24C6D">
            <w:pPr>
              <w:pStyle w:val="Heading2"/>
              <w:spacing w:after="0" w:line="480" w:lineRule="auto"/>
              <w:ind w:left="0" w:firstLine="0"/>
              <w:rPr>
                <w:szCs w:val="22"/>
                <w:highlight w:val="yellow"/>
              </w:rPr>
            </w:pPr>
            <w:r>
              <w:rPr>
                <w:szCs w:val="22"/>
                <w:highlight w:val="yellow"/>
              </w:rPr>
              <w:t>$22.33</w:t>
            </w:r>
          </w:p>
        </w:tc>
        <w:tc>
          <w:tcPr>
            <w:tcW w:w="1908" w:type="dxa"/>
            <w:shd w:val="clear" w:color="auto" w:fill="auto"/>
          </w:tcPr>
          <w:p w:rsidR="00D42D47" w:rsidRPr="00F24C6D" w:rsidRDefault="002E68DD" w:rsidP="00447D76">
            <w:pPr>
              <w:pStyle w:val="Heading2"/>
              <w:spacing w:after="0" w:line="480" w:lineRule="auto"/>
              <w:ind w:left="0" w:firstLine="0"/>
              <w:rPr>
                <w:szCs w:val="22"/>
                <w:highlight w:val="yellow"/>
              </w:rPr>
            </w:pPr>
            <w:r>
              <w:rPr>
                <w:szCs w:val="22"/>
                <w:highlight w:val="yellow"/>
              </w:rPr>
              <w:t>$</w:t>
            </w:r>
            <w:r w:rsidR="009D6E06">
              <w:rPr>
                <w:szCs w:val="22"/>
                <w:highlight w:val="yellow"/>
              </w:rPr>
              <w:t>1</w:t>
            </w:r>
            <w:r>
              <w:rPr>
                <w:szCs w:val="22"/>
                <w:highlight w:val="yellow"/>
              </w:rPr>
              <w:t>,</w:t>
            </w:r>
            <w:r w:rsidR="009D6E06">
              <w:rPr>
                <w:szCs w:val="22"/>
                <w:highlight w:val="yellow"/>
              </w:rPr>
              <w:t>786.40</w:t>
            </w:r>
          </w:p>
        </w:tc>
      </w:tr>
      <w:tr w:rsidR="003A5FAD" w:rsidRPr="008E4D23" w:rsidTr="00D42D47">
        <w:tc>
          <w:tcPr>
            <w:tcW w:w="2070" w:type="dxa"/>
            <w:shd w:val="clear" w:color="auto" w:fill="auto"/>
          </w:tcPr>
          <w:p w:rsidR="00456D65" w:rsidRDefault="00456D65" w:rsidP="00456D65">
            <w:pPr>
              <w:spacing w:line="240" w:lineRule="auto"/>
              <w:jc w:val="left"/>
              <w:rPr>
                <w:szCs w:val="22"/>
              </w:rPr>
            </w:pPr>
            <w:r>
              <w:rPr>
                <w:szCs w:val="22"/>
              </w:rPr>
              <w:t xml:space="preserve">Participants who complete the </w:t>
            </w:r>
            <w:r w:rsidRPr="00713C50">
              <w:rPr>
                <w:szCs w:val="22"/>
              </w:rPr>
              <w:t>MUQ</w:t>
            </w:r>
          </w:p>
          <w:p w:rsidR="003A5FAD" w:rsidRPr="00456D65" w:rsidRDefault="00456D65" w:rsidP="00D42D47">
            <w:pPr>
              <w:pStyle w:val="Heading2"/>
              <w:spacing w:after="0" w:line="480" w:lineRule="auto"/>
              <w:ind w:left="0" w:firstLine="0"/>
              <w:rPr>
                <w:szCs w:val="22"/>
              </w:rPr>
            </w:pPr>
            <w:r w:rsidRPr="00456D65">
              <w:rPr>
                <w:b w:val="0"/>
                <w:szCs w:val="22"/>
              </w:rPr>
              <w:t>(</w:t>
            </w:r>
            <w:r w:rsidRPr="00456D65">
              <w:rPr>
                <w:szCs w:val="22"/>
              </w:rPr>
              <w:t xml:space="preserve">Attachment </w:t>
            </w:r>
            <w:r w:rsidR="00D42D47">
              <w:rPr>
                <w:szCs w:val="22"/>
              </w:rPr>
              <w:t>4</w:t>
            </w:r>
            <w:r w:rsidRPr="00456D65">
              <w:rPr>
                <w:b w:val="0"/>
                <w:szCs w:val="22"/>
              </w:rPr>
              <w:t>)</w:t>
            </w:r>
          </w:p>
        </w:tc>
        <w:tc>
          <w:tcPr>
            <w:tcW w:w="1440" w:type="dxa"/>
            <w:shd w:val="clear" w:color="auto" w:fill="auto"/>
          </w:tcPr>
          <w:p w:rsidR="003A5FAD" w:rsidRPr="00F85B61" w:rsidRDefault="00F24C6D" w:rsidP="008E4D23">
            <w:pPr>
              <w:pStyle w:val="Heading2"/>
              <w:spacing w:after="0" w:line="480" w:lineRule="auto"/>
              <w:ind w:left="0" w:firstLine="0"/>
              <w:rPr>
                <w:szCs w:val="22"/>
              </w:rPr>
            </w:pPr>
            <w:r w:rsidRPr="004921BF">
              <w:rPr>
                <w:szCs w:val="22"/>
                <w:highlight w:val="yellow"/>
              </w:rPr>
              <w:t>77,281</w:t>
            </w:r>
          </w:p>
        </w:tc>
        <w:tc>
          <w:tcPr>
            <w:tcW w:w="1530" w:type="dxa"/>
            <w:shd w:val="clear" w:color="auto" w:fill="auto"/>
          </w:tcPr>
          <w:p w:rsidR="003A5FAD" w:rsidRPr="00020A89" w:rsidRDefault="002B5F7A" w:rsidP="008E4D23">
            <w:pPr>
              <w:pStyle w:val="Heading2"/>
              <w:spacing w:after="0" w:line="480" w:lineRule="auto"/>
              <w:ind w:left="0" w:firstLine="0"/>
              <w:rPr>
                <w:szCs w:val="22"/>
              </w:rPr>
            </w:pPr>
            <w:r w:rsidRPr="005B26D1">
              <w:rPr>
                <w:szCs w:val="22"/>
              </w:rPr>
              <w:t>1</w:t>
            </w:r>
          </w:p>
        </w:tc>
        <w:tc>
          <w:tcPr>
            <w:tcW w:w="1596" w:type="dxa"/>
            <w:shd w:val="clear" w:color="auto" w:fill="auto"/>
          </w:tcPr>
          <w:p w:rsidR="003A5FAD" w:rsidRPr="00472C39" w:rsidRDefault="002B5F7A" w:rsidP="008E4D23">
            <w:pPr>
              <w:pStyle w:val="Heading2"/>
              <w:spacing w:after="0" w:line="480" w:lineRule="auto"/>
              <w:ind w:left="0" w:firstLine="0"/>
              <w:rPr>
                <w:szCs w:val="22"/>
              </w:rPr>
            </w:pPr>
            <w:r w:rsidRPr="0037528B">
              <w:rPr>
                <w:szCs w:val="22"/>
              </w:rPr>
              <w:t>15/60</w:t>
            </w:r>
          </w:p>
        </w:tc>
        <w:tc>
          <w:tcPr>
            <w:tcW w:w="1284" w:type="dxa"/>
            <w:shd w:val="clear" w:color="auto" w:fill="auto"/>
          </w:tcPr>
          <w:p w:rsidR="003A5FAD" w:rsidRPr="00F24C6D" w:rsidRDefault="002B5F7A" w:rsidP="00F24C6D">
            <w:pPr>
              <w:pStyle w:val="Heading2"/>
              <w:spacing w:after="0" w:line="480" w:lineRule="auto"/>
              <w:ind w:left="0" w:firstLine="0"/>
              <w:rPr>
                <w:szCs w:val="22"/>
                <w:highlight w:val="yellow"/>
              </w:rPr>
            </w:pPr>
            <w:r w:rsidRPr="00F24C6D">
              <w:rPr>
                <w:szCs w:val="22"/>
                <w:highlight w:val="yellow"/>
              </w:rPr>
              <w:t>$</w:t>
            </w:r>
            <w:r w:rsidR="00F24C6D" w:rsidRPr="00F24C6D">
              <w:rPr>
                <w:szCs w:val="22"/>
                <w:highlight w:val="yellow"/>
              </w:rPr>
              <w:t>22.33</w:t>
            </w:r>
          </w:p>
        </w:tc>
        <w:tc>
          <w:tcPr>
            <w:tcW w:w="1908" w:type="dxa"/>
            <w:shd w:val="clear" w:color="auto" w:fill="auto"/>
          </w:tcPr>
          <w:p w:rsidR="003A5FAD" w:rsidRPr="00F24C6D" w:rsidRDefault="007F6893" w:rsidP="00447D76">
            <w:pPr>
              <w:pStyle w:val="Heading2"/>
              <w:spacing w:after="0" w:line="480" w:lineRule="auto"/>
              <w:ind w:left="0" w:firstLine="0"/>
              <w:rPr>
                <w:szCs w:val="22"/>
                <w:highlight w:val="yellow"/>
              </w:rPr>
            </w:pPr>
            <w:r w:rsidRPr="00F24C6D">
              <w:rPr>
                <w:szCs w:val="22"/>
                <w:highlight w:val="yellow"/>
              </w:rPr>
              <w:t>$</w:t>
            </w:r>
            <w:r w:rsidR="00F24C6D" w:rsidRPr="00F24C6D">
              <w:rPr>
                <w:szCs w:val="22"/>
                <w:highlight w:val="yellow"/>
              </w:rPr>
              <w:t>431,</w:t>
            </w:r>
            <w:r w:rsidR="00646AB9" w:rsidRPr="00F24C6D">
              <w:rPr>
                <w:szCs w:val="22"/>
                <w:highlight w:val="yellow"/>
              </w:rPr>
              <w:t>4</w:t>
            </w:r>
            <w:r w:rsidR="00646AB9">
              <w:rPr>
                <w:szCs w:val="22"/>
                <w:highlight w:val="yellow"/>
              </w:rPr>
              <w:t>21.18</w:t>
            </w:r>
          </w:p>
        </w:tc>
      </w:tr>
      <w:tr w:rsidR="00F24136" w:rsidRPr="008E4D23" w:rsidTr="00321F37">
        <w:trPr>
          <w:trHeight w:val="323"/>
        </w:trPr>
        <w:tc>
          <w:tcPr>
            <w:tcW w:w="7920" w:type="dxa"/>
            <w:gridSpan w:val="5"/>
            <w:shd w:val="clear" w:color="auto" w:fill="auto"/>
            <w:vAlign w:val="center"/>
          </w:tcPr>
          <w:p w:rsidR="00F24136" w:rsidRPr="00B20999" w:rsidRDefault="00F24136" w:rsidP="00321F37">
            <w:pPr>
              <w:pStyle w:val="Heading2"/>
              <w:spacing w:after="0" w:line="240" w:lineRule="auto"/>
              <w:ind w:left="0" w:firstLine="0"/>
              <w:jc w:val="center"/>
              <w:rPr>
                <w:szCs w:val="22"/>
                <w:highlight w:val="lightGray"/>
              </w:rPr>
            </w:pPr>
            <w:r w:rsidRPr="00975F29">
              <w:rPr>
                <w:szCs w:val="22"/>
              </w:rPr>
              <w:t>Total</w:t>
            </w:r>
          </w:p>
        </w:tc>
        <w:tc>
          <w:tcPr>
            <w:tcW w:w="1908" w:type="dxa"/>
            <w:shd w:val="clear" w:color="auto" w:fill="auto"/>
            <w:vAlign w:val="center"/>
          </w:tcPr>
          <w:p w:rsidR="00F24136" w:rsidRPr="008E4D23" w:rsidRDefault="00F24136" w:rsidP="00321F37">
            <w:pPr>
              <w:pStyle w:val="Heading2"/>
              <w:spacing w:after="0" w:line="240" w:lineRule="auto"/>
              <w:ind w:left="0" w:firstLine="0"/>
              <w:jc w:val="center"/>
              <w:rPr>
                <w:szCs w:val="22"/>
              </w:rPr>
            </w:pPr>
            <w:r w:rsidRPr="002E68DD">
              <w:rPr>
                <w:szCs w:val="22"/>
                <w:highlight w:val="yellow"/>
              </w:rPr>
              <w:t>$</w:t>
            </w:r>
            <w:r w:rsidR="00DD2DA5" w:rsidRPr="002E68DD">
              <w:rPr>
                <w:szCs w:val="22"/>
                <w:highlight w:val="yellow"/>
              </w:rPr>
              <w:t>587</w:t>
            </w:r>
            <w:r w:rsidR="002E68DD">
              <w:rPr>
                <w:szCs w:val="22"/>
                <w:highlight w:val="yellow"/>
              </w:rPr>
              <w:t>,</w:t>
            </w:r>
            <w:r w:rsidR="00DD2DA5" w:rsidRPr="002E68DD">
              <w:rPr>
                <w:szCs w:val="22"/>
                <w:highlight w:val="yellow"/>
              </w:rPr>
              <w:t>716.30</w:t>
            </w:r>
          </w:p>
        </w:tc>
      </w:tr>
    </w:tbl>
    <w:p w:rsidR="00391E0B" w:rsidRDefault="00391E0B" w:rsidP="00A233E3">
      <w:pPr>
        <w:pStyle w:val="Heading2"/>
        <w:spacing w:after="0" w:line="480" w:lineRule="auto"/>
        <w:ind w:left="720" w:hanging="720"/>
        <w:rPr>
          <w:szCs w:val="22"/>
        </w:rPr>
      </w:pPr>
    </w:p>
    <w:p w:rsidR="008D20C5" w:rsidRPr="00D3286C" w:rsidRDefault="00A233E3" w:rsidP="00A233E3">
      <w:pPr>
        <w:pStyle w:val="Heading2"/>
        <w:spacing w:after="0" w:line="480" w:lineRule="auto"/>
        <w:ind w:left="720" w:hanging="720"/>
        <w:rPr>
          <w:szCs w:val="22"/>
        </w:rPr>
      </w:pPr>
      <w:r w:rsidRPr="00D3286C">
        <w:rPr>
          <w:szCs w:val="22"/>
        </w:rPr>
        <w:t>A.</w:t>
      </w:r>
      <w:r w:rsidR="008D20C5" w:rsidRPr="00D3286C">
        <w:rPr>
          <w:szCs w:val="22"/>
        </w:rPr>
        <w:t>13.</w:t>
      </w:r>
      <w:r w:rsidR="008D20C5" w:rsidRPr="00D3286C">
        <w:rPr>
          <w:szCs w:val="22"/>
        </w:rPr>
        <w:tab/>
        <w:t>Estimate of Other Total Annu</w:t>
      </w:r>
      <w:r w:rsidR="00854AD7" w:rsidRPr="00D3286C">
        <w:rPr>
          <w:szCs w:val="22"/>
        </w:rPr>
        <w:t>al Cost Burden to Respondents and</w:t>
      </w:r>
      <w:r w:rsidR="008D20C5" w:rsidRPr="00D3286C">
        <w:rPr>
          <w:szCs w:val="22"/>
        </w:rPr>
        <w:t xml:space="preserve"> Record</w:t>
      </w:r>
      <w:r w:rsidR="003C79B7" w:rsidRPr="00D3286C">
        <w:rPr>
          <w:szCs w:val="22"/>
        </w:rPr>
        <w:t xml:space="preserve"> </w:t>
      </w:r>
      <w:r w:rsidR="008D20C5" w:rsidRPr="00D3286C">
        <w:rPr>
          <w:szCs w:val="22"/>
        </w:rPr>
        <w:t>keepers</w:t>
      </w:r>
      <w:bookmarkEnd w:id="59"/>
      <w:bookmarkEnd w:id="60"/>
      <w:bookmarkEnd w:id="61"/>
      <w:bookmarkEnd w:id="62"/>
      <w:bookmarkEnd w:id="63"/>
    </w:p>
    <w:p w:rsidR="008D20C5" w:rsidRPr="00D3286C" w:rsidRDefault="008D20C5" w:rsidP="00A46EE5">
      <w:pPr>
        <w:pStyle w:val="P1-StandPara"/>
        <w:rPr>
          <w:szCs w:val="22"/>
        </w:rPr>
      </w:pPr>
      <w:r w:rsidRPr="00D3286C">
        <w:rPr>
          <w:szCs w:val="22"/>
        </w:rPr>
        <w:t>There is no other total annual cost burden to respondents or record</w:t>
      </w:r>
      <w:r w:rsidR="003C79B7" w:rsidRPr="00D3286C">
        <w:rPr>
          <w:szCs w:val="22"/>
        </w:rPr>
        <w:t xml:space="preserve"> </w:t>
      </w:r>
      <w:r w:rsidRPr="00D3286C">
        <w:rPr>
          <w:szCs w:val="22"/>
        </w:rPr>
        <w:t>keepers for capital or start</w:t>
      </w:r>
      <w:r w:rsidRPr="00D3286C">
        <w:rPr>
          <w:szCs w:val="22"/>
        </w:rPr>
        <w:noBreakHyphen/>
        <w:t>up costs, or for operation, maintenance, or purchase of services.</w:t>
      </w:r>
    </w:p>
    <w:p w:rsidR="00E151CE" w:rsidRDefault="00E151CE" w:rsidP="00E151CE">
      <w:pPr>
        <w:spacing w:line="480" w:lineRule="auto"/>
        <w:jc w:val="left"/>
        <w:rPr>
          <w:sz w:val="20"/>
        </w:rPr>
      </w:pPr>
      <w:bookmarkStart w:id="64" w:name="_Toc443881757"/>
      <w:bookmarkStart w:id="65" w:name="_Toc451592244"/>
      <w:bookmarkStart w:id="66" w:name="_Toc5610285"/>
      <w:bookmarkStart w:id="67" w:name="_Toc194810118"/>
      <w:bookmarkStart w:id="68" w:name="_Toc295119907"/>
    </w:p>
    <w:p w:rsidR="00E151CE" w:rsidRPr="00D3286C" w:rsidRDefault="00E151CE" w:rsidP="00E151CE">
      <w:pPr>
        <w:pStyle w:val="Heading2"/>
        <w:spacing w:after="0" w:line="480" w:lineRule="auto"/>
        <w:ind w:left="720" w:hanging="720"/>
        <w:rPr>
          <w:szCs w:val="22"/>
        </w:rPr>
      </w:pPr>
      <w:r w:rsidRPr="00D3286C">
        <w:rPr>
          <w:szCs w:val="22"/>
        </w:rPr>
        <w:t>A.14.</w:t>
      </w:r>
      <w:r w:rsidRPr="00D3286C">
        <w:rPr>
          <w:szCs w:val="22"/>
        </w:rPr>
        <w:tab/>
        <w:t xml:space="preserve">Annualized Cost to the Federal Government  </w:t>
      </w:r>
    </w:p>
    <w:p w:rsidR="008D20C5" w:rsidRDefault="00646AB9" w:rsidP="00321F37">
      <w:pPr>
        <w:spacing w:line="480" w:lineRule="auto"/>
        <w:jc w:val="left"/>
        <w:rPr>
          <w:szCs w:val="22"/>
        </w:rPr>
      </w:pPr>
      <w:r w:rsidRPr="00E64720">
        <w:rPr>
          <w:szCs w:val="22"/>
        </w:rPr>
        <w:t>The total</w:t>
      </w:r>
      <w:r>
        <w:rPr>
          <w:szCs w:val="22"/>
        </w:rPr>
        <w:t xml:space="preserve"> </w:t>
      </w:r>
      <w:r w:rsidR="00321F37">
        <w:rPr>
          <w:szCs w:val="22"/>
        </w:rPr>
        <w:t>average</w:t>
      </w:r>
      <w:r w:rsidRPr="00E64720">
        <w:rPr>
          <w:szCs w:val="22"/>
        </w:rPr>
        <w:t xml:space="preserve"> </w:t>
      </w:r>
      <w:r>
        <w:rPr>
          <w:szCs w:val="22"/>
        </w:rPr>
        <w:t xml:space="preserve">annualized </w:t>
      </w:r>
      <w:r w:rsidRPr="00E64720">
        <w:rPr>
          <w:szCs w:val="22"/>
        </w:rPr>
        <w:t xml:space="preserve">cost to the Federal Government </w:t>
      </w:r>
      <w:r>
        <w:rPr>
          <w:szCs w:val="22"/>
        </w:rPr>
        <w:t xml:space="preserve">is </w:t>
      </w:r>
      <w:r w:rsidRPr="00BB5597">
        <w:rPr>
          <w:szCs w:val="22"/>
          <w:highlight w:val="yellow"/>
          <w:lang w:eastAsia="zh-CN"/>
        </w:rPr>
        <w:t>$2,</w:t>
      </w:r>
      <w:r w:rsidRPr="00D71C9A">
        <w:rPr>
          <w:szCs w:val="22"/>
          <w:highlight w:val="yellow"/>
          <w:lang w:eastAsia="zh-CN"/>
        </w:rPr>
        <w:t>2</w:t>
      </w:r>
      <w:r w:rsidR="00D71C9A" w:rsidRPr="00D71C9A">
        <w:rPr>
          <w:szCs w:val="22"/>
          <w:highlight w:val="yellow"/>
          <w:lang w:eastAsia="zh-CN"/>
        </w:rPr>
        <w:t>44,997</w:t>
      </w:r>
      <w:r w:rsidR="00055702">
        <w:rPr>
          <w:szCs w:val="22"/>
          <w:lang w:eastAsia="zh-CN"/>
        </w:rPr>
        <w:t xml:space="preserve"> (</w:t>
      </w:r>
      <w:r w:rsidRPr="00E64720">
        <w:rPr>
          <w:szCs w:val="22"/>
        </w:rPr>
        <w:t xml:space="preserve">Table A.14.1).  </w:t>
      </w:r>
      <w:r w:rsidR="00E151CE" w:rsidRPr="00D3286C">
        <w:rPr>
          <w:szCs w:val="22"/>
        </w:rPr>
        <w:t xml:space="preserve">Annual costs include costs for contractors: </w:t>
      </w:r>
      <w:r w:rsidR="00E151CE" w:rsidRPr="00B20999">
        <w:rPr>
          <w:szCs w:val="22"/>
          <w:highlight w:val="yellow"/>
        </w:rPr>
        <w:t>the CDCC</w:t>
      </w:r>
      <w:r w:rsidR="00E151CE" w:rsidRPr="00E64720">
        <w:rPr>
          <w:szCs w:val="22"/>
        </w:rPr>
        <w:t xml:space="preserve">; </w:t>
      </w:r>
      <w:r w:rsidR="00E151CE">
        <w:rPr>
          <w:szCs w:val="22"/>
        </w:rPr>
        <w:t xml:space="preserve">and </w:t>
      </w:r>
      <w:r w:rsidR="00E151CE" w:rsidRPr="00E64720">
        <w:rPr>
          <w:szCs w:val="22"/>
        </w:rPr>
        <w:t>NCI staff time</w:t>
      </w:r>
      <w:r w:rsidR="00321F37">
        <w:rPr>
          <w:szCs w:val="22"/>
        </w:rPr>
        <w:t xml:space="preserve">. NCI staff, estimated at four full–time equivalents, </w:t>
      </w:r>
      <w:r w:rsidR="0059313E">
        <w:rPr>
          <w:szCs w:val="22"/>
        </w:rPr>
        <w:t xml:space="preserve">will consist of one step 5, grade level 13; two </w:t>
      </w:r>
      <w:proofErr w:type="gramStart"/>
      <w:r w:rsidR="0059313E">
        <w:rPr>
          <w:szCs w:val="22"/>
        </w:rPr>
        <w:t>step</w:t>
      </w:r>
      <w:proofErr w:type="gramEnd"/>
      <w:r w:rsidR="0059313E">
        <w:rPr>
          <w:szCs w:val="22"/>
        </w:rPr>
        <w:t xml:space="preserve"> 5, grade level 14s; and one step 5, grade level 15, all of whom are program directors.  The NCI staff members </w:t>
      </w:r>
      <w:r w:rsidR="00321F37">
        <w:rPr>
          <w:szCs w:val="22"/>
        </w:rPr>
        <w:t xml:space="preserve">will be responsible for </w:t>
      </w:r>
      <w:r w:rsidR="00E151CE" w:rsidRPr="00E64720">
        <w:rPr>
          <w:szCs w:val="22"/>
        </w:rPr>
        <w:t>carry</w:t>
      </w:r>
      <w:r w:rsidR="00321F37">
        <w:rPr>
          <w:szCs w:val="22"/>
        </w:rPr>
        <w:t>ing</w:t>
      </w:r>
      <w:r w:rsidR="00E151CE" w:rsidRPr="00E64720">
        <w:rPr>
          <w:szCs w:val="22"/>
        </w:rPr>
        <w:t xml:space="preserve"> out planning and design activities, monitor</w:t>
      </w:r>
      <w:r w:rsidR="00321F37">
        <w:rPr>
          <w:szCs w:val="22"/>
        </w:rPr>
        <w:t xml:space="preserve">ing </w:t>
      </w:r>
      <w:r w:rsidR="00E151CE" w:rsidRPr="00E64720">
        <w:rPr>
          <w:szCs w:val="22"/>
        </w:rPr>
        <w:t>the project and conduct</w:t>
      </w:r>
      <w:r w:rsidR="00321F37">
        <w:rPr>
          <w:szCs w:val="22"/>
        </w:rPr>
        <w:t>ing</w:t>
      </w:r>
      <w:r w:rsidR="00E151CE" w:rsidRPr="00E64720">
        <w:rPr>
          <w:szCs w:val="22"/>
        </w:rPr>
        <w:t xml:space="preserve"> analyses</w:t>
      </w:r>
      <w:r w:rsidR="00321F37">
        <w:rPr>
          <w:szCs w:val="22"/>
        </w:rPr>
        <w:t xml:space="preserve"> at a cost of</w:t>
      </w:r>
      <w:r w:rsidR="00E151CE" w:rsidRPr="00E64720">
        <w:rPr>
          <w:szCs w:val="22"/>
        </w:rPr>
        <w:t xml:space="preserve"> approximately </w:t>
      </w:r>
      <w:r w:rsidR="00E151CE" w:rsidRPr="00E64720">
        <w:rPr>
          <w:rFonts w:hint="eastAsia"/>
          <w:szCs w:val="22"/>
          <w:lang w:eastAsia="zh-CN"/>
        </w:rPr>
        <w:t>$</w:t>
      </w:r>
      <w:r w:rsidR="00B85528">
        <w:rPr>
          <w:szCs w:val="22"/>
          <w:lang w:eastAsia="zh-CN"/>
        </w:rPr>
        <w:t>489,218</w:t>
      </w:r>
      <w:r w:rsidR="00E151CE" w:rsidRPr="00E64720">
        <w:rPr>
          <w:szCs w:val="22"/>
        </w:rPr>
        <w:t xml:space="preserve"> per staff year</w:t>
      </w:r>
      <w:r w:rsidR="00E151CE">
        <w:rPr>
          <w:szCs w:val="22"/>
        </w:rPr>
        <w:t xml:space="preserve">.  </w:t>
      </w:r>
      <w:bookmarkEnd w:id="64"/>
      <w:bookmarkEnd w:id="65"/>
      <w:bookmarkEnd w:id="66"/>
      <w:bookmarkEnd w:id="67"/>
      <w:bookmarkEnd w:id="68"/>
      <w:r w:rsidR="006F70E6" w:rsidRPr="00273525">
        <w:rPr>
          <w:szCs w:val="22"/>
          <w:highlight w:val="yellow"/>
        </w:rPr>
        <w:t>This is an</w:t>
      </w:r>
      <w:r w:rsidR="00E151CE">
        <w:rPr>
          <w:szCs w:val="22"/>
          <w:highlight w:val="yellow"/>
        </w:rPr>
        <w:t xml:space="preserve"> </w:t>
      </w:r>
      <w:r w:rsidR="006F70E6" w:rsidRPr="00273525">
        <w:rPr>
          <w:szCs w:val="22"/>
          <w:highlight w:val="yellow"/>
        </w:rPr>
        <w:t>estimated reduction in total cost ($</w:t>
      </w:r>
      <w:r w:rsidR="00055702">
        <w:rPr>
          <w:szCs w:val="22"/>
          <w:highlight w:val="yellow"/>
        </w:rPr>
        <w:t>5,402,138)</w:t>
      </w:r>
      <w:r w:rsidR="006F70E6" w:rsidRPr="00273525">
        <w:rPr>
          <w:szCs w:val="22"/>
          <w:highlight w:val="yellow"/>
        </w:rPr>
        <w:t xml:space="preserve"> in </w:t>
      </w:r>
      <w:r w:rsidR="00AD4DF2" w:rsidRPr="00273525">
        <w:rPr>
          <w:szCs w:val="22"/>
          <w:highlight w:val="yellow"/>
        </w:rPr>
        <w:t>the last submission</w:t>
      </w:r>
      <w:r w:rsidR="007C66E7" w:rsidRPr="00273525">
        <w:rPr>
          <w:szCs w:val="22"/>
          <w:highlight w:val="yellow"/>
        </w:rPr>
        <w:t xml:space="preserve"> as a result of </w:t>
      </w:r>
      <w:r w:rsidR="003827A1" w:rsidRPr="00273525">
        <w:rPr>
          <w:szCs w:val="22"/>
          <w:highlight w:val="yellow"/>
        </w:rPr>
        <w:t xml:space="preserve">the discontinuation of funding the screening centers and </w:t>
      </w:r>
      <w:r w:rsidR="003E6860" w:rsidRPr="00273525">
        <w:rPr>
          <w:szCs w:val="22"/>
          <w:highlight w:val="yellow"/>
        </w:rPr>
        <w:t>consultants</w:t>
      </w:r>
      <w:r w:rsidR="007C66E7" w:rsidRPr="00273525">
        <w:rPr>
          <w:szCs w:val="22"/>
          <w:highlight w:val="yellow"/>
        </w:rPr>
        <w:t>.</w:t>
      </w:r>
      <w:r w:rsidR="007C66E7">
        <w:rPr>
          <w:szCs w:val="22"/>
        </w:rPr>
        <w:t xml:space="preserve">  </w:t>
      </w:r>
      <w:r w:rsidR="008D20C5" w:rsidRPr="00E64720">
        <w:rPr>
          <w:szCs w:val="22"/>
        </w:rPr>
        <w:t>These figures include direct and indirect costs.</w:t>
      </w:r>
    </w:p>
    <w:p w:rsidR="00A3739F" w:rsidRPr="00D3286C" w:rsidRDefault="00A3739F" w:rsidP="00E40A90">
      <w:pPr>
        <w:pStyle w:val="P1-StandPara"/>
        <w:rPr>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440"/>
        <w:gridCol w:w="1800"/>
        <w:gridCol w:w="1800"/>
      </w:tblGrid>
      <w:tr w:rsidR="00E414A6" w:rsidRPr="00BD0E0C" w:rsidTr="00E414A6">
        <w:trPr>
          <w:trHeight w:val="350"/>
        </w:trPr>
        <w:tc>
          <w:tcPr>
            <w:tcW w:w="9180" w:type="dxa"/>
            <w:gridSpan w:val="4"/>
            <w:vAlign w:val="center"/>
          </w:tcPr>
          <w:p w:rsidR="00E414A6" w:rsidRPr="00BD0E0C" w:rsidRDefault="00E414A6" w:rsidP="00E414A6">
            <w:pPr>
              <w:pStyle w:val="SL-FlLftSgl"/>
              <w:keepNext/>
              <w:tabs>
                <w:tab w:val="decimal" w:pos="1224"/>
              </w:tabs>
              <w:spacing w:line="240" w:lineRule="auto"/>
              <w:ind w:left="144" w:right="144"/>
              <w:jc w:val="center"/>
              <w:rPr>
                <w:szCs w:val="22"/>
              </w:rPr>
            </w:pPr>
            <w:r w:rsidRPr="00BD0E0C">
              <w:rPr>
                <w:b/>
                <w:szCs w:val="22"/>
                <w:lang w:eastAsia="zh-CN"/>
              </w:rPr>
              <w:t>Table A.14-1</w:t>
            </w:r>
            <w:r w:rsidRPr="00BD0E0C">
              <w:rPr>
                <w:szCs w:val="22"/>
                <w:lang w:eastAsia="zh-CN"/>
              </w:rPr>
              <w:t xml:space="preserve">  Annual Cost to the Federal Government</w:t>
            </w:r>
          </w:p>
        </w:tc>
      </w:tr>
      <w:tr w:rsidR="00945AE2" w:rsidRPr="00BD0E0C" w:rsidTr="00A12C24">
        <w:trPr>
          <w:trHeight w:val="369"/>
        </w:trPr>
        <w:tc>
          <w:tcPr>
            <w:tcW w:w="4140" w:type="dxa"/>
            <w:vAlign w:val="center"/>
          </w:tcPr>
          <w:p w:rsidR="00945AE2" w:rsidRPr="00BD0E0C" w:rsidRDefault="00945AE2" w:rsidP="00A46EE5">
            <w:pPr>
              <w:pStyle w:val="SL-FlLftSgl"/>
              <w:keepNext/>
              <w:spacing w:line="240" w:lineRule="auto"/>
              <w:jc w:val="left"/>
              <w:rPr>
                <w:szCs w:val="22"/>
              </w:rPr>
            </w:pPr>
          </w:p>
        </w:tc>
        <w:tc>
          <w:tcPr>
            <w:tcW w:w="1440" w:type="dxa"/>
            <w:vAlign w:val="center"/>
          </w:tcPr>
          <w:p w:rsidR="00945AE2" w:rsidRPr="00BD0E0C" w:rsidRDefault="00945AE2" w:rsidP="00A12C24">
            <w:pPr>
              <w:pStyle w:val="SL-FlLftSgl"/>
              <w:keepNext/>
              <w:tabs>
                <w:tab w:val="decimal" w:pos="1224"/>
              </w:tabs>
              <w:spacing w:line="240" w:lineRule="auto"/>
              <w:ind w:left="144" w:right="144"/>
              <w:jc w:val="center"/>
              <w:rPr>
                <w:szCs w:val="22"/>
                <w:lang w:eastAsia="zh-CN"/>
              </w:rPr>
            </w:pPr>
            <w:r w:rsidRPr="008778B2">
              <w:rPr>
                <w:szCs w:val="22"/>
                <w:highlight w:val="yellow"/>
              </w:rPr>
              <w:t xml:space="preserve">YEAR </w:t>
            </w:r>
            <w:r w:rsidR="00480694" w:rsidRPr="008778B2">
              <w:rPr>
                <w:szCs w:val="22"/>
                <w:highlight w:val="yellow"/>
              </w:rPr>
              <w:t>2</w:t>
            </w:r>
            <w:r w:rsidR="00B332F5" w:rsidRPr="008778B2">
              <w:rPr>
                <w:szCs w:val="22"/>
                <w:highlight w:val="yellow"/>
              </w:rPr>
              <w:t>4</w:t>
            </w:r>
            <w:r w:rsidR="0089425E">
              <w:rPr>
                <w:szCs w:val="22"/>
              </w:rPr>
              <w:t xml:space="preserve"> </w:t>
            </w:r>
            <w:r w:rsidR="0089425E" w:rsidRPr="0089425E">
              <w:rPr>
                <w:szCs w:val="22"/>
                <w:highlight w:val="yellow"/>
              </w:rPr>
              <w:t>(2016)</w:t>
            </w:r>
          </w:p>
        </w:tc>
        <w:tc>
          <w:tcPr>
            <w:tcW w:w="1800" w:type="dxa"/>
            <w:vAlign w:val="center"/>
          </w:tcPr>
          <w:p w:rsidR="00945AE2" w:rsidRPr="00BD0E0C" w:rsidRDefault="00945AE2" w:rsidP="00B332F5">
            <w:pPr>
              <w:pStyle w:val="SL-FlLftSgl"/>
              <w:keepNext/>
              <w:tabs>
                <w:tab w:val="decimal" w:pos="1224"/>
              </w:tabs>
              <w:spacing w:line="240" w:lineRule="auto"/>
              <w:ind w:left="144" w:right="144"/>
              <w:jc w:val="left"/>
              <w:rPr>
                <w:szCs w:val="22"/>
                <w:highlight w:val="yellow"/>
                <w:lang w:eastAsia="zh-CN"/>
              </w:rPr>
            </w:pPr>
            <w:r w:rsidRPr="00BD0E0C">
              <w:rPr>
                <w:szCs w:val="22"/>
                <w:highlight w:val="yellow"/>
              </w:rPr>
              <w:t xml:space="preserve">YEAR </w:t>
            </w:r>
            <w:r w:rsidRPr="00BD0E0C">
              <w:rPr>
                <w:rFonts w:hint="eastAsia"/>
                <w:szCs w:val="22"/>
                <w:highlight w:val="yellow"/>
                <w:lang w:eastAsia="zh-CN"/>
              </w:rPr>
              <w:t>2</w:t>
            </w:r>
            <w:r w:rsidR="00B332F5">
              <w:rPr>
                <w:szCs w:val="22"/>
                <w:highlight w:val="yellow"/>
                <w:lang w:eastAsia="zh-CN"/>
              </w:rPr>
              <w:t>5</w:t>
            </w:r>
            <w:r w:rsidR="0089425E">
              <w:rPr>
                <w:szCs w:val="22"/>
                <w:highlight w:val="yellow"/>
                <w:lang w:eastAsia="zh-CN"/>
              </w:rPr>
              <w:t xml:space="preserve"> (2017)</w:t>
            </w:r>
          </w:p>
        </w:tc>
        <w:tc>
          <w:tcPr>
            <w:tcW w:w="1800" w:type="dxa"/>
            <w:vAlign w:val="center"/>
          </w:tcPr>
          <w:p w:rsidR="00945AE2" w:rsidRPr="00BD0E0C" w:rsidRDefault="00945AE2" w:rsidP="00B332F5">
            <w:pPr>
              <w:pStyle w:val="SL-FlLftSgl"/>
              <w:keepNext/>
              <w:tabs>
                <w:tab w:val="decimal" w:pos="1224"/>
              </w:tabs>
              <w:spacing w:line="240" w:lineRule="auto"/>
              <w:ind w:left="144" w:right="144"/>
              <w:jc w:val="left"/>
              <w:rPr>
                <w:szCs w:val="22"/>
                <w:highlight w:val="yellow"/>
                <w:lang w:eastAsia="zh-CN"/>
              </w:rPr>
            </w:pPr>
            <w:r w:rsidRPr="00BD0E0C">
              <w:rPr>
                <w:szCs w:val="22"/>
                <w:highlight w:val="yellow"/>
              </w:rPr>
              <w:t xml:space="preserve">YEAR </w:t>
            </w:r>
            <w:r w:rsidRPr="00BD0E0C">
              <w:rPr>
                <w:rFonts w:hint="eastAsia"/>
                <w:szCs w:val="22"/>
                <w:highlight w:val="yellow"/>
                <w:lang w:eastAsia="zh-CN"/>
              </w:rPr>
              <w:t>2</w:t>
            </w:r>
            <w:r w:rsidR="00B332F5">
              <w:rPr>
                <w:szCs w:val="22"/>
                <w:highlight w:val="yellow"/>
                <w:lang w:eastAsia="zh-CN"/>
              </w:rPr>
              <w:t>6</w:t>
            </w:r>
            <w:r w:rsidR="0089425E">
              <w:rPr>
                <w:szCs w:val="22"/>
                <w:highlight w:val="yellow"/>
                <w:lang w:eastAsia="zh-CN"/>
              </w:rPr>
              <w:t xml:space="preserve"> (2018)</w:t>
            </w:r>
          </w:p>
        </w:tc>
      </w:tr>
      <w:tr w:rsidR="00945AE2" w:rsidRPr="00BD0E0C" w:rsidTr="00A12C24">
        <w:trPr>
          <w:trHeight w:val="360"/>
        </w:trPr>
        <w:tc>
          <w:tcPr>
            <w:tcW w:w="4140" w:type="dxa"/>
            <w:vAlign w:val="center"/>
          </w:tcPr>
          <w:p w:rsidR="00945AE2" w:rsidRPr="00BD0E0C" w:rsidRDefault="00945AE2" w:rsidP="00A46EE5">
            <w:pPr>
              <w:pStyle w:val="SL-FlLftSgl"/>
              <w:keepNext/>
              <w:spacing w:line="240" w:lineRule="auto"/>
              <w:jc w:val="left"/>
              <w:rPr>
                <w:szCs w:val="22"/>
              </w:rPr>
            </w:pPr>
            <w:r w:rsidRPr="00BD0E0C">
              <w:rPr>
                <w:szCs w:val="22"/>
              </w:rPr>
              <w:t>Central Data Collection Center</w:t>
            </w:r>
          </w:p>
        </w:tc>
        <w:tc>
          <w:tcPr>
            <w:tcW w:w="1440" w:type="dxa"/>
            <w:vAlign w:val="center"/>
          </w:tcPr>
          <w:p w:rsidR="00945AE2" w:rsidRPr="00BD0E0C" w:rsidRDefault="00AD4DF7" w:rsidP="00A12C24">
            <w:pPr>
              <w:pStyle w:val="SL-FlLftSgl"/>
              <w:keepNext/>
              <w:tabs>
                <w:tab w:val="decimal" w:pos="1224"/>
              </w:tabs>
              <w:spacing w:line="240" w:lineRule="auto"/>
              <w:ind w:right="144"/>
              <w:jc w:val="center"/>
              <w:rPr>
                <w:szCs w:val="22"/>
                <w:highlight w:val="yellow"/>
                <w:lang w:eastAsia="zh-CN"/>
              </w:rPr>
            </w:pPr>
            <w:r w:rsidRPr="00BD0E0C">
              <w:rPr>
                <w:szCs w:val="22"/>
                <w:highlight w:val="yellow"/>
                <w:lang w:eastAsia="zh-CN"/>
              </w:rPr>
              <w:t>$</w:t>
            </w:r>
            <w:r w:rsidR="00F56794">
              <w:rPr>
                <w:szCs w:val="22"/>
                <w:highlight w:val="yellow"/>
                <w:lang w:eastAsia="zh-CN"/>
              </w:rPr>
              <w:t>1,716,</w:t>
            </w:r>
            <w:r w:rsidR="00EC46F7">
              <w:rPr>
                <w:szCs w:val="22"/>
                <w:highlight w:val="yellow"/>
                <w:lang w:eastAsia="zh-CN"/>
              </w:rPr>
              <w:t>430</w:t>
            </w:r>
          </w:p>
        </w:tc>
        <w:tc>
          <w:tcPr>
            <w:tcW w:w="1800" w:type="dxa"/>
            <w:vAlign w:val="center"/>
          </w:tcPr>
          <w:p w:rsidR="00945AE2" w:rsidRPr="00BD0E0C" w:rsidRDefault="00EC46F7" w:rsidP="00C33B91">
            <w:pPr>
              <w:pStyle w:val="SL-FlLftSgl"/>
              <w:keepNext/>
              <w:tabs>
                <w:tab w:val="decimal" w:pos="1224"/>
              </w:tabs>
              <w:spacing w:line="240" w:lineRule="auto"/>
              <w:ind w:left="144" w:right="144"/>
              <w:jc w:val="left"/>
              <w:rPr>
                <w:szCs w:val="22"/>
                <w:highlight w:val="yellow"/>
                <w:lang w:eastAsia="zh-CN"/>
              </w:rPr>
            </w:pPr>
            <w:r>
              <w:rPr>
                <w:szCs w:val="22"/>
                <w:highlight w:val="yellow"/>
                <w:lang w:eastAsia="zh-CN"/>
              </w:rPr>
              <w:t>1,750,759</w:t>
            </w:r>
          </w:p>
        </w:tc>
        <w:tc>
          <w:tcPr>
            <w:tcW w:w="1800" w:type="dxa"/>
            <w:vAlign w:val="center"/>
          </w:tcPr>
          <w:p w:rsidR="00945AE2" w:rsidRPr="00BD0E0C" w:rsidRDefault="00AD4DF7" w:rsidP="00EC46F7">
            <w:pPr>
              <w:pStyle w:val="SL-FlLftSgl"/>
              <w:keepNext/>
              <w:tabs>
                <w:tab w:val="decimal" w:pos="1224"/>
              </w:tabs>
              <w:spacing w:line="240" w:lineRule="auto"/>
              <w:ind w:left="144" w:right="144"/>
              <w:jc w:val="left"/>
              <w:rPr>
                <w:szCs w:val="22"/>
                <w:highlight w:val="yellow"/>
                <w:lang w:eastAsia="zh-CN"/>
              </w:rPr>
            </w:pPr>
            <w:r w:rsidRPr="00BD0E0C">
              <w:rPr>
                <w:szCs w:val="22"/>
                <w:highlight w:val="yellow"/>
                <w:lang w:eastAsia="zh-CN"/>
              </w:rPr>
              <w:t>$</w:t>
            </w:r>
            <w:r w:rsidR="00EC46F7">
              <w:rPr>
                <w:szCs w:val="22"/>
                <w:highlight w:val="yellow"/>
                <w:lang w:eastAsia="zh-CN"/>
              </w:rPr>
              <w:t>1,785,774</w:t>
            </w:r>
          </w:p>
        </w:tc>
      </w:tr>
      <w:tr w:rsidR="00945AE2" w:rsidRPr="00BD0E0C" w:rsidTr="00A12C24">
        <w:trPr>
          <w:trHeight w:val="360"/>
        </w:trPr>
        <w:tc>
          <w:tcPr>
            <w:tcW w:w="4140" w:type="dxa"/>
            <w:vAlign w:val="center"/>
          </w:tcPr>
          <w:p w:rsidR="00945AE2" w:rsidRPr="00BD0E0C" w:rsidRDefault="00945AE2" w:rsidP="00A46EE5">
            <w:pPr>
              <w:pStyle w:val="SL-FlLftSgl"/>
              <w:keepNext/>
              <w:spacing w:line="240" w:lineRule="auto"/>
              <w:jc w:val="left"/>
              <w:rPr>
                <w:szCs w:val="22"/>
              </w:rPr>
            </w:pPr>
            <w:r w:rsidRPr="00BD0E0C">
              <w:rPr>
                <w:szCs w:val="22"/>
              </w:rPr>
              <w:tab/>
              <w:t>TOTAL CONTRACTOR</w:t>
            </w:r>
          </w:p>
        </w:tc>
        <w:tc>
          <w:tcPr>
            <w:tcW w:w="1440" w:type="dxa"/>
            <w:vAlign w:val="center"/>
          </w:tcPr>
          <w:p w:rsidR="00945AE2" w:rsidRPr="00BD0E0C" w:rsidRDefault="00EC46F7" w:rsidP="00A12C24">
            <w:pPr>
              <w:pStyle w:val="SL-FlLftSgl"/>
              <w:keepNext/>
              <w:tabs>
                <w:tab w:val="decimal" w:pos="1224"/>
              </w:tabs>
              <w:spacing w:line="240" w:lineRule="auto"/>
              <w:ind w:left="144" w:right="144"/>
              <w:jc w:val="center"/>
              <w:rPr>
                <w:szCs w:val="22"/>
                <w:highlight w:val="yellow"/>
                <w:lang w:eastAsia="zh-CN"/>
              </w:rPr>
            </w:pPr>
            <w:r>
              <w:rPr>
                <w:szCs w:val="22"/>
                <w:highlight w:val="yellow"/>
                <w:lang w:eastAsia="zh-CN"/>
              </w:rPr>
              <w:t>$1,716,430</w:t>
            </w:r>
          </w:p>
        </w:tc>
        <w:tc>
          <w:tcPr>
            <w:tcW w:w="1800" w:type="dxa"/>
            <w:vAlign w:val="center"/>
          </w:tcPr>
          <w:p w:rsidR="00EC46F7" w:rsidRPr="00BD0E0C" w:rsidRDefault="00EC46F7" w:rsidP="00C33B91">
            <w:pPr>
              <w:pStyle w:val="SL-FlLftSgl"/>
              <w:keepNext/>
              <w:tabs>
                <w:tab w:val="decimal" w:pos="1224"/>
              </w:tabs>
              <w:spacing w:line="240" w:lineRule="auto"/>
              <w:ind w:left="144" w:right="144"/>
              <w:jc w:val="left"/>
              <w:rPr>
                <w:szCs w:val="22"/>
                <w:highlight w:val="yellow"/>
                <w:lang w:eastAsia="zh-CN"/>
              </w:rPr>
            </w:pPr>
            <w:r>
              <w:rPr>
                <w:szCs w:val="22"/>
                <w:highlight w:val="yellow"/>
                <w:lang w:eastAsia="zh-CN"/>
              </w:rPr>
              <w:t>$1,750,759</w:t>
            </w:r>
          </w:p>
        </w:tc>
        <w:tc>
          <w:tcPr>
            <w:tcW w:w="1800" w:type="dxa"/>
            <w:vAlign w:val="center"/>
          </w:tcPr>
          <w:p w:rsidR="008F2E4C" w:rsidRPr="00BD0E0C" w:rsidRDefault="008F2E4C" w:rsidP="00C33B91">
            <w:pPr>
              <w:pStyle w:val="SL-FlLftSgl"/>
              <w:keepNext/>
              <w:tabs>
                <w:tab w:val="decimal" w:pos="1224"/>
              </w:tabs>
              <w:spacing w:line="240" w:lineRule="auto"/>
              <w:ind w:left="144" w:right="144"/>
              <w:jc w:val="left"/>
              <w:rPr>
                <w:szCs w:val="22"/>
                <w:highlight w:val="yellow"/>
                <w:lang w:eastAsia="zh-CN"/>
              </w:rPr>
            </w:pPr>
            <w:r>
              <w:rPr>
                <w:szCs w:val="22"/>
                <w:highlight w:val="yellow"/>
                <w:lang w:eastAsia="zh-CN"/>
              </w:rPr>
              <w:t>$1,785,774</w:t>
            </w:r>
          </w:p>
        </w:tc>
      </w:tr>
      <w:tr w:rsidR="00945AE2" w:rsidRPr="00BD0E0C" w:rsidTr="00A12C24">
        <w:trPr>
          <w:trHeight w:val="360"/>
        </w:trPr>
        <w:tc>
          <w:tcPr>
            <w:tcW w:w="4140" w:type="dxa"/>
            <w:vAlign w:val="center"/>
          </w:tcPr>
          <w:p w:rsidR="00945AE2" w:rsidRPr="00BD0E0C" w:rsidRDefault="00945AE2" w:rsidP="00A46EE5">
            <w:pPr>
              <w:pStyle w:val="SL-FlLftSgl"/>
              <w:keepNext/>
              <w:spacing w:line="240" w:lineRule="auto"/>
              <w:jc w:val="left"/>
              <w:rPr>
                <w:szCs w:val="22"/>
              </w:rPr>
            </w:pPr>
            <w:r w:rsidRPr="00BD0E0C">
              <w:rPr>
                <w:szCs w:val="22"/>
              </w:rPr>
              <w:t>NCI Staff</w:t>
            </w:r>
          </w:p>
        </w:tc>
        <w:tc>
          <w:tcPr>
            <w:tcW w:w="1440" w:type="dxa"/>
            <w:shd w:val="clear" w:color="auto" w:fill="auto"/>
            <w:vAlign w:val="center"/>
          </w:tcPr>
          <w:p w:rsidR="00945AE2" w:rsidRPr="00E41A75" w:rsidRDefault="00945AE2" w:rsidP="00A12C24">
            <w:pPr>
              <w:pStyle w:val="SL-FlLftSgl"/>
              <w:keepNext/>
              <w:tabs>
                <w:tab w:val="decimal" w:pos="1224"/>
              </w:tabs>
              <w:spacing w:line="240" w:lineRule="auto"/>
              <w:ind w:left="144" w:right="144"/>
              <w:jc w:val="center"/>
              <w:rPr>
                <w:szCs w:val="22"/>
                <w:highlight w:val="yellow"/>
                <w:lang w:eastAsia="zh-CN"/>
              </w:rPr>
            </w:pPr>
          </w:p>
        </w:tc>
        <w:tc>
          <w:tcPr>
            <w:tcW w:w="1800" w:type="dxa"/>
            <w:vAlign w:val="center"/>
          </w:tcPr>
          <w:p w:rsidR="00945AE2" w:rsidRPr="00E41A75" w:rsidRDefault="00945AE2" w:rsidP="00255DF2">
            <w:pPr>
              <w:pStyle w:val="SL-FlLftSgl"/>
              <w:keepNext/>
              <w:tabs>
                <w:tab w:val="decimal" w:pos="1224"/>
              </w:tabs>
              <w:spacing w:line="240" w:lineRule="auto"/>
              <w:ind w:left="144" w:right="144"/>
              <w:jc w:val="left"/>
              <w:rPr>
                <w:szCs w:val="22"/>
                <w:highlight w:val="yellow"/>
                <w:lang w:eastAsia="zh-CN"/>
              </w:rPr>
            </w:pPr>
          </w:p>
        </w:tc>
        <w:tc>
          <w:tcPr>
            <w:tcW w:w="1800" w:type="dxa"/>
            <w:vAlign w:val="center"/>
          </w:tcPr>
          <w:p w:rsidR="00945AE2" w:rsidRPr="00E41A75" w:rsidRDefault="00945AE2" w:rsidP="00255DF2">
            <w:pPr>
              <w:pStyle w:val="SL-FlLftSgl"/>
              <w:keepNext/>
              <w:tabs>
                <w:tab w:val="decimal" w:pos="1224"/>
              </w:tabs>
              <w:spacing w:line="240" w:lineRule="auto"/>
              <w:ind w:left="144" w:right="144"/>
              <w:jc w:val="left"/>
              <w:rPr>
                <w:szCs w:val="22"/>
                <w:highlight w:val="yellow"/>
                <w:lang w:eastAsia="zh-CN"/>
              </w:rPr>
            </w:pPr>
          </w:p>
        </w:tc>
      </w:tr>
      <w:tr w:rsidR="00B85528" w:rsidRPr="00BD0E0C" w:rsidTr="00A12C24">
        <w:trPr>
          <w:trHeight w:val="360"/>
        </w:trPr>
        <w:tc>
          <w:tcPr>
            <w:tcW w:w="4140" w:type="dxa"/>
            <w:vAlign w:val="center"/>
          </w:tcPr>
          <w:p w:rsidR="00B85528" w:rsidRPr="00D71C9A" w:rsidRDefault="00A12C24" w:rsidP="002879ED">
            <w:pPr>
              <w:pStyle w:val="SL-FlLftSgl"/>
              <w:spacing w:line="240" w:lineRule="auto"/>
              <w:jc w:val="center"/>
              <w:rPr>
                <w:szCs w:val="22"/>
                <w:highlight w:val="yellow"/>
              </w:rPr>
            </w:pPr>
            <w:r w:rsidRPr="00D71C9A">
              <w:rPr>
                <w:szCs w:val="22"/>
                <w:highlight w:val="yellow"/>
              </w:rPr>
              <w:t>Program Director,</w:t>
            </w:r>
            <w:r w:rsidR="00B85528" w:rsidRPr="00D71C9A">
              <w:rPr>
                <w:szCs w:val="22"/>
                <w:highlight w:val="yellow"/>
              </w:rPr>
              <w:t xml:space="preserve"> Step 5, GS 13 100% FTE</w:t>
            </w:r>
          </w:p>
        </w:tc>
        <w:tc>
          <w:tcPr>
            <w:tcW w:w="1440" w:type="dxa"/>
            <w:vAlign w:val="center"/>
          </w:tcPr>
          <w:p w:rsidR="00B85528" w:rsidRPr="00D71C9A" w:rsidRDefault="00F94EAE" w:rsidP="00255DF2">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A12C24" w:rsidRPr="00D71C9A">
              <w:rPr>
                <w:szCs w:val="22"/>
                <w:highlight w:val="yellow"/>
                <w:lang w:eastAsia="zh-CN"/>
              </w:rPr>
              <w:t>102,932</w:t>
            </w:r>
          </w:p>
        </w:tc>
        <w:tc>
          <w:tcPr>
            <w:tcW w:w="1800" w:type="dxa"/>
            <w:vAlign w:val="center"/>
          </w:tcPr>
          <w:p w:rsidR="00B85528" w:rsidRPr="00D71C9A"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103,961</w:t>
            </w:r>
          </w:p>
        </w:tc>
        <w:tc>
          <w:tcPr>
            <w:tcW w:w="1800" w:type="dxa"/>
            <w:vAlign w:val="center"/>
          </w:tcPr>
          <w:p w:rsidR="00B85528" w:rsidRPr="00D71C9A"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105,000</w:t>
            </w:r>
          </w:p>
        </w:tc>
      </w:tr>
      <w:tr w:rsidR="00B85528" w:rsidRPr="00BD0E0C" w:rsidTr="00A12C24">
        <w:trPr>
          <w:trHeight w:val="360"/>
        </w:trPr>
        <w:tc>
          <w:tcPr>
            <w:tcW w:w="4140" w:type="dxa"/>
            <w:vAlign w:val="center"/>
          </w:tcPr>
          <w:p w:rsidR="00B85528" w:rsidRPr="00D71C9A" w:rsidRDefault="00A12C24" w:rsidP="00A12C24">
            <w:pPr>
              <w:pStyle w:val="SL-FlLftSgl"/>
              <w:spacing w:line="240" w:lineRule="auto"/>
              <w:rPr>
                <w:szCs w:val="22"/>
                <w:highlight w:val="yellow"/>
              </w:rPr>
            </w:pPr>
            <w:r w:rsidRPr="00D71C9A">
              <w:rPr>
                <w:szCs w:val="22"/>
                <w:highlight w:val="yellow"/>
              </w:rPr>
              <w:t>Program Director, Step 5, GS 14 100% FTE</w:t>
            </w:r>
          </w:p>
        </w:tc>
        <w:tc>
          <w:tcPr>
            <w:tcW w:w="1440" w:type="dxa"/>
            <w:vAlign w:val="center"/>
          </w:tcPr>
          <w:p w:rsidR="00B85528" w:rsidRPr="00D71C9A" w:rsidRDefault="00F94EAE" w:rsidP="00255DF2">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A12C24" w:rsidRPr="00D71C9A">
              <w:rPr>
                <w:szCs w:val="22"/>
                <w:highlight w:val="yellow"/>
                <w:lang w:eastAsia="zh-CN"/>
              </w:rPr>
              <w:t>121,635</w:t>
            </w:r>
          </w:p>
        </w:tc>
        <w:tc>
          <w:tcPr>
            <w:tcW w:w="1800" w:type="dxa"/>
            <w:vAlign w:val="center"/>
          </w:tcPr>
          <w:p w:rsidR="00B85528" w:rsidRPr="00D71C9A"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122,851</w:t>
            </w:r>
          </w:p>
        </w:tc>
        <w:tc>
          <w:tcPr>
            <w:tcW w:w="1800" w:type="dxa"/>
            <w:vAlign w:val="center"/>
          </w:tcPr>
          <w:p w:rsidR="00B85528" w:rsidRPr="00D71C9A"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123</w:t>
            </w:r>
            <w:r w:rsidR="00D71C9A" w:rsidRPr="00D71C9A">
              <w:rPr>
                <w:szCs w:val="22"/>
                <w:highlight w:val="yellow"/>
                <w:lang w:eastAsia="zh-CN"/>
              </w:rPr>
              <w:t>,</w:t>
            </w:r>
            <w:r w:rsidR="002C6DD3" w:rsidRPr="00D71C9A">
              <w:rPr>
                <w:szCs w:val="22"/>
                <w:highlight w:val="yellow"/>
                <w:lang w:eastAsia="zh-CN"/>
              </w:rPr>
              <w:t>810</w:t>
            </w:r>
          </w:p>
        </w:tc>
      </w:tr>
      <w:tr w:rsidR="002C6DD3" w:rsidRPr="00BD0E0C" w:rsidTr="00A12C24">
        <w:trPr>
          <w:trHeight w:val="360"/>
        </w:trPr>
        <w:tc>
          <w:tcPr>
            <w:tcW w:w="4140" w:type="dxa"/>
            <w:vAlign w:val="center"/>
          </w:tcPr>
          <w:p w:rsidR="002C6DD3" w:rsidRPr="00D71C9A" w:rsidRDefault="002C6DD3" w:rsidP="00A12C24">
            <w:pPr>
              <w:pStyle w:val="SL-FlLftSgl"/>
              <w:spacing w:line="240" w:lineRule="auto"/>
              <w:jc w:val="center"/>
              <w:rPr>
                <w:szCs w:val="22"/>
                <w:highlight w:val="yellow"/>
              </w:rPr>
            </w:pPr>
            <w:r w:rsidRPr="00D71C9A">
              <w:rPr>
                <w:szCs w:val="22"/>
                <w:highlight w:val="yellow"/>
              </w:rPr>
              <w:t>Program Director, Step 5, GS 14 100% FTE</w:t>
            </w:r>
          </w:p>
        </w:tc>
        <w:tc>
          <w:tcPr>
            <w:tcW w:w="1440" w:type="dxa"/>
            <w:vAlign w:val="center"/>
          </w:tcPr>
          <w:p w:rsidR="002C6DD3" w:rsidRPr="00D71C9A" w:rsidRDefault="00F94EAE" w:rsidP="00255DF2">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121,635</w:t>
            </w:r>
          </w:p>
        </w:tc>
        <w:tc>
          <w:tcPr>
            <w:tcW w:w="1800" w:type="dxa"/>
            <w:vAlign w:val="center"/>
          </w:tcPr>
          <w:p w:rsidR="002C6DD3" w:rsidRPr="00D71C9A" w:rsidRDefault="00F94EAE" w:rsidP="001D75D5">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122,851</w:t>
            </w:r>
          </w:p>
        </w:tc>
        <w:tc>
          <w:tcPr>
            <w:tcW w:w="1800" w:type="dxa"/>
            <w:vAlign w:val="center"/>
          </w:tcPr>
          <w:p w:rsidR="002C6DD3" w:rsidRPr="00D71C9A" w:rsidRDefault="00F94EAE" w:rsidP="001D75D5">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123</w:t>
            </w:r>
            <w:r w:rsidR="00D71C9A" w:rsidRPr="00D71C9A">
              <w:rPr>
                <w:szCs w:val="22"/>
                <w:highlight w:val="yellow"/>
                <w:lang w:eastAsia="zh-CN"/>
              </w:rPr>
              <w:t>,</w:t>
            </w:r>
            <w:r w:rsidR="002C6DD3" w:rsidRPr="00D71C9A">
              <w:rPr>
                <w:szCs w:val="22"/>
                <w:highlight w:val="yellow"/>
                <w:lang w:eastAsia="zh-CN"/>
              </w:rPr>
              <w:t>810</w:t>
            </w:r>
          </w:p>
        </w:tc>
      </w:tr>
      <w:tr w:rsidR="00447D76" w:rsidRPr="00BD0E0C" w:rsidTr="00A12C24">
        <w:trPr>
          <w:trHeight w:val="360"/>
        </w:trPr>
        <w:tc>
          <w:tcPr>
            <w:tcW w:w="4140" w:type="dxa"/>
            <w:vAlign w:val="center"/>
          </w:tcPr>
          <w:p w:rsidR="00447D76" w:rsidRPr="00D71C9A" w:rsidRDefault="00A12C24" w:rsidP="00A12C24">
            <w:pPr>
              <w:pStyle w:val="SL-FlLftSgl"/>
              <w:spacing w:line="240" w:lineRule="auto"/>
              <w:jc w:val="center"/>
              <w:rPr>
                <w:szCs w:val="22"/>
                <w:highlight w:val="yellow"/>
              </w:rPr>
            </w:pPr>
            <w:r w:rsidRPr="00D71C9A">
              <w:rPr>
                <w:szCs w:val="22"/>
                <w:highlight w:val="yellow"/>
              </w:rPr>
              <w:t>Program Director, Step 5, GS 15 100% FTE</w:t>
            </w:r>
          </w:p>
        </w:tc>
        <w:tc>
          <w:tcPr>
            <w:tcW w:w="1440" w:type="dxa"/>
            <w:vAlign w:val="center"/>
          </w:tcPr>
          <w:p w:rsidR="00447D76" w:rsidRPr="00D71C9A" w:rsidRDefault="00F94EAE" w:rsidP="00255DF2">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A12C24" w:rsidRPr="00D71C9A">
              <w:rPr>
                <w:szCs w:val="22"/>
                <w:highlight w:val="yellow"/>
                <w:lang w:eastAsia="zh-CN"/>
              </w:rPr>
              <w:t>143,079</w:t>
            </w:r>
          </w:p>
        </w:tc>
        <w:tc>
          <w:tcPr>
            <w:tcW w:w="1800" w:type="dxa"/>
            <w:vAlign w:val="center"/>
          </w:tcPr>
          <w:p w:rsidR="00447D76" w:rsidRPr="00D71C9A"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144510</w:t>
            </w:r>
          </w:p>
        </w:tc>
        <w:tc>
          <w:tcPr>
            <w:tcW w:w="1800" w:type="dxa"/>
            <w:vAlign w:val="center"/>
          </w:tcPr>
          <w:p w:rsidR="00447D76" w:rsidRPr="00D71C9A"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sidRPr="00D71C9A">
              <w:rPr>
                <w:szCs w:val="22"/>
                <w:highlight w:val="yellow"/>
                <w:lang w:eastAsia="zh-CN"/>
              </w:rPr>
              <w:t>145,955</w:t>
            </w:r>
          </w:p>
        </w:tc>
      </w:tr>
      <w:tr w:rsidR="00945AE2" w:rsidRPr="00BD0E0C" w:rsidTr="00A12C24">
        <w:trPr>
          <w:trHeight w:val="360"/>
        </w:trPr>
        <w:tc>
          <w:tcPr>
            <w:tcW w:w="4140" w:type="dxa"/>
            <w:vAlign w:val="center"/>
          </w:tcPr>
          <w:p w:rsidR="00945AE2" w:rsidRPr="00BD0E0C" w:rsidRDefault="00945AE2" w:rsidP="002879ED">
            <w:pPr>
              <w:pStyle w:val="SL-FlLftSgl"/>
              <w:spacing w:line="240" w:lineRule="auto"/>
              <w:jc w:val="center"/>
              <w:rPr>
                <w:szCs w:val="22"/>
              </w:rPr>
            </w:pPr>
            <w:r w:rsidRPr="00BD0E0C">
              <w:rPr>
                <w:szCs w:val="22"/>
              </w:rPr>
              <w:t>ANNUAL COST</w:t>
            </w:r>
          </w:p>
        </w:tc>
        <w:tc>
          <w:tcPr>
            <w:tcW w:w="1440" w:type="dxa"/>
            <w:vAlign w:val="center"/>
          </w:tcPr>
          <w:p w:rsidR="00945AE2" w:rsidRPr="00CB74B8" w:rsidRDefault="00F94EAE" w:rsidP="00255DF2">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Pr>
                <w:szCs w:val="22"/>
                <w:highlight w:val="yellow"/>
                <w:lang w:eastAsia="zh-CN"/>
              </w:rPr>
              <w:t>2,205,711</w:t>
            </w:r>
          </w:p>
        </w:tc>
        <w:tc>
          <w:tcPr>
            <w:tcW w:w="1800" w:type="dxa"/>
            <w:vAlign w:val="center"/>
          </w:tcPr>
          <w:p w:rsidR="00945AE2" w:rsidRPr="00CB74B8"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2C6DD3">
              <w:rPr>
                <w:szCs w:val="22"/>
                <w:highlight w:val="yellow"/>
                <w:lang w:eastAsia="zh-CN"/>
              </w:rPr>
              <w:t>2,244,932</w:t>
            </w:r>
          </w:p>
        </w:tc>
        <w:tc>
          <w:tcPr>
            <w:tcW w:w="1800" w:type="dxa"/>
            <w:vAlign w:val="center"/>
          </w:tcPr>
          <w:p w:rsidR="00945AE2" w:rsidRPr="00CB74B8" w:rsidRDefault="00F94EAE" w:rsidP="00C33B91">
            <w:pPr>
              <w:pStyle w:val="SL-FlLftSgl"/>
              <w:tabs>
                <w:tab w:val="decimal" w:pos="1224"/>
              </w:tabs>
              <w:spacing w:line="240" w:lineRule="auto"/>
              <w:ind w:left="144" w:right="144"/>
              <w:jc w:val="left"/>
              <w:rPr>
                <w:szCs w:val="22"/>
                <w:highlight w:val="yellow"/>
                <w:lang w:eastAsia="zh-CN"/>
              </w:rPr>
            </w:pPr>
            <w:r>
              <w:rPr>
                <w:szCs w:val="22"/>
                <w:highlight w:val="yellow"/>
                <w:lang w:eastAsia="zh-CN"/>
              </w:rPr>
              <w:t>$</w:t>
            </w:r>
            <w:r w:rsidR="00D71C9A">
              <w:rPr>
                <w:szCs w:val="22"/>
                <w:highlight w:val="yellow"/>
                <w:lang w:eastAsia="zh-CN"/>
              </w:rPr>
              <w:t>2,284,349</w:t>
            </w:r>
          </w:p>
        </w:tc>
      </w:tr>
    </w:tbl>
    <w:p w:rsidR="008D20C5" w:rsidRPr="00CB74B8" w:rsidRDefault="00EF213C" w:rsidP="00EF213C">
      <w:pPr>
        <w:pStyle w:val="P1-StandPara"/>
        <w:tabs>
          <w:tab w:val="left" w:pos="5565"/>
        </w:tabs>
        <w:rPr>
          <w:szCs w:val="22"/>
        </w:rPr>
      </w:pPr>
      <w:bookmarkStart w:id="69" w:name="_Toc443881754"/>
      <w:r>
        <w:rPr>
          <w:szCs w:val="22"/>
        </w:rPr>
        <w:tab/>
      </w:r>
    </w:p>
    <w:p w:rsidR="008D20C5" w:rsidRPr="00D3286C" w:rsidRDefault="00A233E3" w:rsidP="00A233E3">
      <w:pPr>
        <w:pStyle w:val="Heading2"/>
        <w:spacing w:after="0" w:line="480" w:lineRule="auto"/>
        <w:ind w:left="720" w:hanging="720"/>
        <w:rPr>
          <w:szCs w:val="22"/>
        </w:rPr>
      </w:pPr>
      <w:bookmarkStart w:id="70" w:name="_Toc443881758"/>
      <w:bookmarkStart w:id="71" w:name="_Toc451592245"/>
      <w:bookmarkStart w:id="72" w:name="_Toc5610286"/>
      <w:bookmarkStart w:id="73" w:name="_Toc194810119"/>
      <w:bookmarkStart w:id="74" w:name="_Toc295119908"/>
      <w:bookmarkEnd w:id="69"/>
      <w:r w:rsidRPr="00D3286C">
        <w:rPr>
          <w:szCs w:val="22"/>
        </w:rPr>
        <w:t>A.</w:t>
      </w:r>
      <w:r w:rsidR="008D20C5" w:rsidRPr="00D3286C">
        <w:rPr>
          <w:szCs w:val="22"/>
        </w:rPr>
        <w:t>15.</w:t>
      </w:r>
      <w:r w:rsidR="008D20C5" w:rsidRPr="00D3286C">
        <w:rPr>
          <w:szCs w:val="22"/>
        </w:rPr>
        <w:tab/>
        <w:t>Explanation for Program Changes or Adjustments</w:t>
      </w:r>
      <w:bookmarkEnd w:id="70"/>
      <w:bookmarkEnd w:id="71"/>
      <w:bookmarkEnd w:id="72"/>
      <w:bookmarkEnd w:id="73"/>
      <w:bookmarkEnd w:id="74"/>
    </w:p>
    <w:p w:rsidR="003A0A55" w:rsidRDefault="005463F4" w:rsidP="003A0A55">
      <w:pPr>
        <w:pStyle w:val="P1-StandPara"/>
        <w:rPr>
          <w:szCs w:val="22"/>
        </w:rPr>
      </w:pPr>
      <w:r w:rsidRPr="007C66E7">
        <w:rPr>
          <w:szCs w:val="22"/>
        </w:rPr>
        <w:t xml:space="preserve">This is a </w:t>
      </w:r>
      <w:r w:rsidR="00447D76">
        <w:rPr>
          <w:szCs w:val="22"/>
        </w:rPr>
        <w:t>revision</w:t>
      </w:r>
      <w:r w:rsidR="0017315C">
        <w:rPr>
          <w:szCs w:val="22"/>
        </w:rPr>
        <w:t>.</w:t>
      </w:r>
      <w:r w:rsidRPr="007C66E7">
        <w:rPr>
          <w:szCs w:val="22"/>
        </w:rPr>
        <w:t xml:space="preserve">  </w:t>
      </w:r>
      <w:r w:rsidR="00447D76" w:rsidRPr="0089425E">
        <w:rPr>
          <w:szCs w:val="22"/>
          <w:highlight w:val="yellow"/>
        </w:rPr>
        <w:t>The n</w:t>
      </w:r>
      <w:r w:rsidR="003A0A55" w:rsidRPr="0089425E">
        <w:rPr>
          <w:szCs w:val="22"/>
          <w:highlight w:val="yellow"/>
        </w:rPr>
        <w:t xml:space="preserve">umber </w:t>
      </w:r>
      <w:r w:rsidR="003A0A55" w:rsidRPr="00827869">
        <w:rPr>
          <w:szCs w:val="22"/>
          <w:highlight w:val="yellow"/>
        </w:rPr>
        <w:t>of respon</w:t>
      </w:r>
      <w:r w:rsidR="003A0A55">
        <w:rPr>
          <w:szCs w:val="22"/>
          <w:highlight w:val="yellow"/>
        </w:rPr>
        <w:t>ses to the</w:t>
      </w:r>
      <w:r w:rsidR="003A0A55" w:rsidRPr="00827869">
        <w:rPr>
          <w:szCs w:val="22"/>
          <w:highlight w:val="yellow"/>
        </w:rPr>
        <w:t xml:space="preserve"> follow up forms in the PLCO is consistently </w:t>
      </w:r>
      <w:r w:rsidR="003A0A55" w:rsidRPr="00CC4773">
        <w:rPr>
          <w:szCs w:val="22"/>
          <w:highlight w:val="yellow"/>
        </w:rPr>
        <w:t>declining</w:t>
      </w:r>
      <w:r w:rsidR="003A0A55" w:rsidRPr="000E1B32">
        <w:rPr>
          <w:szCs w:val="22"/>
          <w:highlight w:val="yellow"/>
        </w:rPr>
        <w:t xml:space="preserve"> because more deaths </w:t>
      </w:r>
      <w:r w:rsidR="003A0A55">
        <w:rPr>
          <w:szCs w:val="22"/>
          <w:highlight w:val="yellow"/>
        </w:rPr>
        <w:t xml:space="preserve">are occurring as the </w:t>
      </w:r>
      <w:r w:rsidR="003A0A55" w:rsidRPr="000E1B32">
        <w:rPr>
          <w:szCs w:val="22"/>
          <w:highlight w:val="yellow"/>
        </w:rPr>
        <w:t>study participant</w:t>
      </w:r>
      <w:r w:rsidR="003A0A55">
        <w:rPr>
          <w:szCs w:val="22"/>
          <w:highlight w:val="yellow"/>
        </w:rPr>
        <w:t>’</w:t>
      </w:r>
      <w:r w:rsidR="003A0A55" w:rsidRPr="000E1B32">
        <w:rPr>
          <w:szCs w:val="22"/>
          <w:highlight w:val="yellow"/>
        </w:rPr>
        <w:t xml:space="preserve">s age. </w:t>
      </w:r>
      <w:r w:rsidR="003A0A55" w:rsidRPr="005463F4">
        <w:rPr>
          <w:szCs w:val="22"/>
          <w:highlight w:val="yellow"/>
        </w:rPr>
        <w:t>In 2011</w:t>
      </w:r>
      <w:r w:rsidR="003A0A55">
        <w:rPr>
          <w:szCs w:val="22"/>
          <w:highlight w:val="yellow"/>
        </w:rPr>
        <w:t xml:space="preserve">, </w:t>
      </w:r>
      <w:r w:rsidR="003A0A55" w:rsidRPr="005463F4">
        <w:rPr>
          <w:szCs w:val="22"/>
          <w:highlight w:val="yellow"/>
        </w:rPr>
        <w:t>the estimated number of annual respon</w:t>
      </w:r>
      <w:r w:rsidR="003A0A55">
        <w:rPr>
          <w:szCs w:val="22"/>
          <w:highlight w:val="yellow"/>
        </w:rPr>
        <w:t>ses</w:t>
      </w:r>
      <w:r w:rsidR="003A0A55" w:rsidRPr="005463F4">
        <w:rPr>
          <w:szCs w:val="22"/>
          <w:highlight w:val="yellow"/>
        </w:rPr>
        <w:t xml:space="preserve"> was </w:t>
      </w:r>
      <w:r w:rsidR="003A0A55">
        <w:rPr>
          <w:szCs w:val="22"/>
          <w:highlight w:val="yellow"/>
        </w:rPr>
        <w:t>191,600; a substantial increase from the previous submission because a new questionnaire, the Supplemental Questionnaire (SQX), was introduced (30 minutes to 93,000 respondents).</w:t>
      </w:r>
      <w:r w:rsidR="008F69E9">
        <w:rPr>
          <w:szCs w:val="22"/>
          <w:highlight w:val="yellow"/>
        </w:rPr>
        <w:t xml:space="preserve"> </w:t>
      </w:r>
      <w:r w:rsidR="00AD0298">
        <w:rPr>
          <w:szCs w:val="22"/>
          <w:highlight w:val="yellow"/>
        </w:rPr>
        <w:t xml:space="preserve">In 2012 the number of annual responses was 193,760 </w:t>
      </w:r>
      <w:r w:rsidR="008F69E9">
        <w:rPr>
          <w:szCs w:val="22"/>
          <w:highlight w:val="yellow"/>
        </w:rPr>
        <w:t xml:space="preserve">a slight increase from the previous submission </w:t>
      </w:r>
      <w:r w:rsidR="008F69E9" w:rsidRPr="005463F4">
        <w:rPr>
          <w:szCs w:val="22"/>
          <w:highlight w:val="yellow"/>
        </w:rPr>
        <w:t xml:space="preserve">due to an </w:t>
      </w:r>
      <w:r w:rsidR="008A3BEC">
        <w:rPr>
          <w:szCs w:val="22"/>
          <w:highlight w:val="yellow"/>
        </w:rPr>
        <w:t>over</w:t>
      </w:r>
      <w:r w:rsidR="008F69E9" w:rsidRPr="005463F4">
        <w:rPr>
          <w:szCs w:val="22"/>
          <w:highlight w:val="yellow"/>
        </w:rPr>
        <w:t>estimate</w:t>
      </w:r>
      <w:r w:rsidR="008F69E9">
        <w:rPr>
          <w:szCs w:val="22"/>
          <w:highlight w:val="yellow"/>
        </w:rPr>
        <w:t xml:space="preserve"> of the number of participants </w:t>
      </w:r>
      <w:r w:rsidR="008F69E9" w:rsidRPr="005463F4">
        <w:rPr>
          <w:szCs w:val="22"/>
          <w:highlight w:val="yellow"/>
        </w:rPr>
        <w:t xml:space="preserve">who </w:t>
      </w:r>
      <w:r w:rsidR="008F69E9">
        <w:rPr>
          <w:szCs w:val="22"/>
          <w:highlight w:val="yellow"/>
        </w:rPr>
        <w:t>consented</w:t>
      </w:r>
      <w:r w:rsidR="008F69E9" w:rsidRPr="005463F4">
        <w:rPr>
          <w:szCs w:val="22"/>
          <w:highlight w:val="yellow"/>
        </w:rPr>
        <w:t xml:space="preserve"> to active follow-</w:t>
      </w:r>
      <w:r w:rsidR="008F69E9" w:rsidRPr="00B128D3">
        <w:rPr>
          <w:szCs w:val="22"/>
          <w:highlight w:val="yellow"/>
        </w:rPr>
        <w:t xml:space="preserve">up from the </w:t>
      </w:r>
      <w:r w:rsidR="008F69E9" w:rsidRPr="005463F4">
        <w:rPr>
          <w:szCs w:val="22"/>
          <w:highlight w:val="yellow"/>
        </w:rPr>
        <w:t xml:space="preserve">first eight screening </w:t>
      </w:r>
      <w:r w:rsidR="00947B18" w:rsidRPr="005463F4">
        <w:rPr>
          <w:szCs w:val="22"/>
          <w:highlight w:val="yellow"/>
        </w:rPr>
        <w:t>centers</w:t>
      </w:r>
      <w:r w:rsidR="00947B18">
        <w:rPr>
          <w:rStyle w:val="CommentReference"/>
        </w:rPr>
        <w:t>.</w:t>
      </w:r>
      <w:r w:rsidR="00947B18">
        <w:rPr>
          <w:szCs w:val="22"/>
        </w:rPr>
        <w:t xml:space="preserve"> </w:t>
      </w:r>
      <w:r w:rsidR="00947B18">
        <w:rPr>
          <w:szCs w:val="22"/>
          <w:highlight w:val="yellow"/>
        </w:rPr>
        <w:t>The</w:t>
      </w:r>
      <w:r w:rsidR="003A0A55">
        <w:rPr>
          <w:szCs w:val="22"/>
          <w:highlight w:val="yellow"/>
        </w:rPr>
        <w:t xml:space="preserve"> current number of annual responses estimated for this </w:t>
      </w:r>
      <w:r w:rsidR="00947B18">
        <w:rPr>
          <w:szCs w:val="22"/>
          <w:highlight w:val="yellow"/>
        </w:rPr>
        <w:t>submission is</w:t>
      </w:r>
      <w:r w:rsidR="008F69E9">
        <w:rPr>
          <w:szCs w:val="22"/>
          <w:highlight w:val="yellow"/>
        </w:rPr>
        <w:t xml:space="preserve"> </w:t>
      </w:r>
      <w:r w:rsidR="008A3BEC">
        <w:rPr>
          <w:szCs w:val="22"/>
          <w:highlight w:val="yellow"/>
        </w:rPr>
        <w:t>1</w:t>
      </w:r>
      <w:r w:rsidR="000205EA">
        <w:rPr>
          <w:szCs w:val="22"/>
          <w:highlight w:val="yellow"/>
        </w:rPr>
        <w:t>62,3</w:t>
      </w:r>
      <w:r w:rsidR="008A3BEC">
        <w:rPr>
          <w:szCs w:val="22"/>
          <w:highlight w:val="yellow"/>
        </w:rPr>
        <w:t>53</w:t>
      </w:r>
      <w:r w:rsidR="008F69E9">
        <w:rPr>
          <w:szCs w:val="22"/>
          <w:highlight w:val="yellow"/>
        </w:rPr>
        <w:t xml:space="preserve">. </w:t>
      </w:r>
    </w:p>
    <w:p w:rsidR="00AF5F98" w:rsidRPr="00E64720" w:rsidRDefault="00AF5F98" w:rsidP="003A0A55">
      <w:pPr>
        <w:pStyle w:val="P1-StandPara"/>
        <w:rPr>
          <w:szCs w:val="22"/>
        </w:rPr>
      </w:pPr>
      <w:r w:rsidRPr="00AF5F98">
        <w:rPr>
          <w:szCs w:val="22"/>
          <w:highlight w:val="yellow"/>
        </w:rPr>
        <w:t>This is a continued f</w:t>
      </w:r>
      <w:r w:rsidR="00361FA2">
        <w:rPr>
          <w:szCs w:val="22"/>
          <w:highlight w:val="yellow"/>
        </w:rPr>
        <w:t>ollow up of an existing cohort as a result there will n</w:t>
      </w:r>
      <w:r w:rsidRPr="00AF5F98">
        <w:rPr>
          <w:szCs w:val="22"/>
          <w:highlight w:val="yellow"/>
        </w:rPr>
        <w:t>o</w:t>
      </w:r>
      <w:r w:rsidR="00361FA2">
        <w:rPr>
          <w:szCs w:val="22"/>
          <w:highlight w:val="yellow"/>
        </w:rPr>
        <w:t xml:space="preserve">t be </w:t>
      </w:r>
      <w:proofErr w:type="gramStart"/>
      <w:r w:rsidR="00361FA2">
        <w:rPr>
          <w:szCs w:val="22"/>
          <w:highlight w:val="yellow"/>
        </w:rPr>
        <w:t>any  new</w:t>
      </w:r>
      <w:proofErr w:type="gramEnd"/>
      <w:r w:rsidR="00361FA2">
        <w:rPr>
          <w:szCs w:val="22"/>
          <w:highlight w:val="yellow"/>
        </w:rPr>
        <w:t xml:space="preserve"> participants </w:t>
      </w:r>
      <w:r w:rsidRPr="00AF5F98">
        <w:rPr>
          <w:szCs w:val="22"/>
          <w:highlight w:val="yellow"/>
        </w:rPr>
        <w:t>recrui</w:t>
      </w:r>
      <w:r w:rsidR="00F2105C">
        <w:rPr>
          <w:szCs w:val="22"/>
          <w:highlight w:val="yellow"/>
        </w:rPr>
        <w:t xml:space="preserve">ted into the study and thus no longer </w:t>
      </w:r>
      <w:r w:rsidR="00361FA2">
        <w:rPr>
          <w:szCs w:val="22"/>
          <w:highlight w:val="yellow"/>
        </w:rPr>
        <w:t xml:space="preserve">a </w:t>
      </w:r>
      <w:r w:rsidR="00F2105C">
        <w:rPr>
          <w:szCs w:val="22"/>
          <w:highlight w:val="yellow"/>
        </w:rPr>
        <w:t xml:space="preserve">need </w:t>
      </w:r>
      <w:r w:rsidR="00361FA2">
        <w:rPr>
          <w:szCs w:val="22"/>
          <w:highlight w:val="yellow"/>
        </w:rPr>
        <w:t>for</w:t>
      </w:r>
      <w:r w:rsidR="00F56794">
        <w:rPr>
          <w:szCs w:val="22"/>
          <w:highlight w:val="yellow"/>
        </w:rPr>
        <w:t xml:space="preserve"> a</w:t>
      </w:r>
      <w:bookmarkStart w:id="75" w:name="_GoBack"/>
      <w:bookmarkEnd w:id="75"/>
      <w:r w:rsidR="00F2105C">
        <w:rPr>
          <w:szCs w:val="22"/>
          <w:highlight w:val="yellow"/>
        </w:rPr>
        <w:t xml:space="preserve"> consent form.</w:t>
      </w:r>
      <w:r w:rsidR="00361FA2">
        <w:rPr>
          <w:szCs w:val="22"/>
          <w:highlight w:val="yellow"/>
        </w:rPr>
        <w:t xml:space="preserve"> The</w:t>
      </w:r>
      <w:r w:rsidRPr="00AF5F98">
        <w:rPr>
          <w:szCs w:val="22"/>
          <w:highlight w:val="yellow"/>
        </w:rPr>
        <w:t xml:space="preserve"> Authoriza</w:t>
      </w:r>
      <w:r w:rsidR="00361FA2">
        <w:rPr>
          <w:szCs w:val="22"/>
          <w:highlight w:val="yellow"/>
        </w:rPr>
        <w:t>tion to Release Medical Records</w:t>
      </w:r>
      <w:r w:rsidRPr="00AF5F98">
        <w:rPr>
          <w:szCs w:val="22"/>
          <w:highlight w:val="yellow"/>
        </w:rPr>
        <w:t xml:space="preserve"> (</w:t>
      </w:r>
      <w:r w:rsidRPr="00AF5F98">
        <w:rPr>
          <w:b/>
          <w:szCs w:val="22"/>
          <w:highlight w:val="yellow"/>
        </w:rPr>
        <w:t>Attachment 11</w:t>
      </w:r>
      <w:r w:rsidR="00361FA2">
        <w:rPr>
          <w:szCs w:val="22"/>
          <w:highlight w:val="yellow"/>
        </w:rPr>
        <w:t>) will continue to be</w:t>
      </w:r>
      <w:r w:rsidRPr="00AF5F98">
        <w:rPr>
          <w:szCs w:val="22"/>
          <w:highlight w:val="yellow"/>
        </w:rPr>
        <w:t xml:space="preserve"> completed by anyone who reports a new cancer diagnosis on an ASU</w:t>
      </w:r>
      <w:r w:rsidR="00361FA2">
        <w:rPr>
          <w:szCs w:val="22"/>
          <w:highlight w:val="yellow"/>
        </w:rPr>
        <w:t xml:space="preserve"> as in previously approved iterations of this information collection</w:t>
      </w:r>
      <w:r w:rsidRPr="00AF5F98">
        <w:rPr>
          <w:szCs w:val="22"/>
          <w:highlight w:val="yellow"/>
        </w:rPr>
        <w:t>.  It allows the CDCC to obtain a copy of the participants’ medical record for abstraction.</w:t>
      </w:r>
    </w:p>
    <w:p w:rsidR="00D70F19" w:rsidRPr="00DF106F" w:rsidRDefault="008F69E9" w:rsidP="00CF74BB">
      <w:pPr>
        <w:pStyle w:val="P1-StandPara"/>
        <w:rPr>
          <w:szCs w:val="22"/>
          <w:highlight w:val="yellow"/>
        </w:rPr>
      </w:pPr>
      <w:r>
        <w:rPr>
          <w:szCs w:val="22"/>
          <w:highlight w:val="yellow"/>
        </w:rPr>
        <w:t>T</w:t>
      </w:r>
      <w:r w:rsidR="005463F4" w:rsidRPr="005463F4">
        <w:rPr>
          <w:szCs w:val="22"/>
          <w:highlight w:val="yellow"/>
        </w:rPr>
        <w:t xml:space="preserve">he total number of burden hours has decreased since the last submission primarily due to the </w:t>
      </w:r>
      <w:r>
        <w:rPr>
          <w:szCs w:val="22"/>
          <w:highlight w:val="yellow"/>
        </w:rPr>
        <w:t>number of deaths among the cohort</w:t>
      </w:r>
      <w:r w:rsidR="00713C50">
        <w:rPr>
          <w:szCs w:val="22"/>
          <w:highlight w:val="yellow"/>
        </w:rPr>
        <w:t xml:space="preserve"> and over</w:t>
      </w:r>
      <w:r w:rsidR="00713C50" w:rsidRPr="005463F4">
        <w:rPr>
          <w:szCs w:val="22"/>
          <w:highlight w:val="yellow"/>
        </w:rPr>
        <w:t>estimate</w:t>
      </w:r>
      <w:r w:rsidR="00713C50">
        <w:rPr>
          <w:szCs w:val="22"/>
          <w:highlight w:val="yellow"/>
        </w:rPr>
        <w:t xml:space="preserve"> of the number of participants </w:t>
      </w:r>
      <w:r w:rsidR="00713C50" w:rsidRPr="005463F4">
        <w:rPr>
          <w:szCs w:val="22"/>
          <w:highlight w:val="yellow"/>
        </w:rPr>
        <w:t xml:space="preserve">who </w:t>
      </w:r>
      <w:r w:rsidR="00713C50">
        <w:rPr>
          <w:szCs w:val="22"/>
          <w:highlight w:val="yellow"/>
        </w:rPr>
        <w:t>consented</w:t>
      </w:r>
      <w:r w:rsidR="00713C50" w:rsidRPr="005463F4">
        <w:rPr>
          <w:szCs w:val="22"/>
          <w:highlight w:val="yellow"/>
        </w:rPr>
        <w:t xml:space="preserve"> to active follow-</w:t>
      </w:r>
      <w:r w:rsidR="00713C50" w:rsidRPr="00B128D3">
        <w:rPr>
          <w:szCs w:val="22"/>
          <w:highlight w:val="yellow"/>
        </w:rPr>
        <w:t xml:space="preserve">up from the </w:t>
      </w:r>
      <w:r w:rsidR="00713C50">
        <w:rPr>
          <w:szCs w:val="22"/>
          <w:highlight w:val="yellow"/>
        </w:rPr>
        <w:t>ten</w:t>
      </w:r>
      <w:r w:rsidR="00713C50" w:rsidRPr="005463F4">
        <w:rPr>
          <w:szCs w:val="22"/>
          <w:highlight w:val="yellow"/>
        </w:rPr>
        <w:t xml:space="preserve"> screening centers</w:t>
      </w:r>
      <w:r w:rsidR="005463F4" w:rsidRPr="005463F4">
        <w:rPr>
          <w:szCs w:val="22"/>
          <w:highlight w:val="yellow"/>
        </w:rPr>
        <w:t xml:space="preserve">.  </w:t>
      </w:r>
    </w:p>
    <w:p w:rsidR="00106D67" w:rsidRDefault="00106D67" w:rsidP="00CF74BB">
      <w:pPr>
        <w:spacing w:line="480" w:lineRule="auto"/>
        <w:rPr>
          <w:strike/>
        </w:rPr>
      </w:pPr>
    </w:p>
    <w:p w:rsidR="008D20C5" w:rsidRPr="00D3286C" w:rsidRDefault="00A233E3" w:rsidP="00CF74BB">
      <w:pPr>
        <w:pStyle w:val="Heading2"/>
        <w:spacing w:after="0" w:line="480" w:lineRule="auto"/>
        <w:ind w:left="720" w:hanging="720"/>
        <w:rPr>
          <w:szCs w:val="22"/>
        </w:rPr>
      </w:pPr>
      <w:bookmarkStart w:id="76" w:name="_Toc443881759"/>
      <w:bookmarkStart w:id="77" w:name="_Toc451592246"/>
      <w:bookmarkStart w:id="78" w:name="_Toc5610287"/>
      <w:bookmarkStart w:id="79" w:name="_Toc194810120"/>
      <w:bookmarkStart w:id="80" w:name="_Toc295119909"/>
      <w:r w:rsidRPr="00D3286C">
        <w:rPr>
          <w:szCs w:val="22"/>
        </w:rPr>
        <w:t>A.</w:t>
      </w:r>
      <w:r w:rsidR="008D20C5" w:rsidRPr="00D3286C">
        <w:rPr>
          <w:szCs w:val="22"/>
        </w:rPr>
        <w:t>16.</w:t>
      </w:r>
      <w:r w:rsidR="008D20C5" w:rsidRPr="00D3286C">
        <w:rPr>
          <w:szCs w:val="22"/>
        </w:rPr>
        <w:tab/>
        <w:t>Plans for Tabulation and Publication and Project Time Schedule</w:t>
      </w:r>
      <w:bookmarkEnd w:id="76"/>
      <w:bookmarkEnd w:id="77"/>
      <w:bookmarkEnd w:id="78"/>
      <w:bookmarkEnd w:id="79"/>
      <w:bookmarkEnd w:id="80"/>
      <w:r w:rsidR="005D420C" w:rsidRPr="00D3286C">
        <w:rPr>
          <w:szCs w:val="22"/>
        </w:rPr>
        <w:t xml:space="preserve"> </w:t>
      </w:r>
    </w:p>
    <w:p w:rsidR="008D20C5" w:rsidRDefault="005463F4" w:rsidP="00363DD4">
      <w:pPr>
        <w:pStyle w:val="P1-StandPara"/>
        <w:rPr>
          <w:szCs w:val="22"/>
        </w:rPr>
      </w:pPr>
      <w:r w:rsidRPr="009E5365">
        <w:rPr>
          <w:szCs w:val="22"/>
        </w:rPr>
        <w:t xml:space="preserve">Methods to be employed in the analysis of the study will include standard descriptive statistics and analytic techniques such as regression, analysis of variance and covariance, analysis of proportions, and contingency tables.  New methods of analysis or modeling will be developed and applied as needed.  </w:t>
      </w:r>
      <w:r w:rsidR="00C172FC" w:rsidRPr="00947B18">
        <w:rPr>
          <w:szCs w:val="22"/>
          <w:highlight w:val="yellow"/>
        </w:rPr>
        <w:t>D</w:t>
      </w:r>
      <w:r w:rsidRPr="00947B18">
        <w:rPr>
          <w:szCs w:val="22"/>
          <w:highlight w:val="yellow"/>
        </w:rPr>
        <w:t>ata are optically scanned and, when appropriate, manually entered daily</w:t>
      </w:r>
      <w:r w:rsidRPr="0035548D">
        <w:rPr>
          <w:szCs w:val="22"/>
        </w:rPr>
        <w:t>.  Quality assurance is monitored locally</w:t>
      </w:r>
      <w:r w:rsidR="008F69E9">
        <w:rPr>
          <w:szCs w:val="22"/>
        </w:rPr>
        <w:t>.</w:t>
      </w:r>
      <w:r w:rsidRPr="0035548D">
        <w:rPr>
          <w:szCs w:val="22"/>
        </w:rPr>
        <w:t xml:space="preserve"> </w:t>
      </w:r>
    </w:p>
    <w:p w:rsidR="008D20C5" w:rsidRPr="00D3286C" w:rsidRDefault="008D20C5" w:rsidP="00A46EE5">
      <w:pPr>
        <w:pStyle w:val="P1-StandPara"/>
        <w:rPr>
          <w:szCs w:val="22"/>
        </w:rPr>
      </w:pPr>
      <w:r w:rsidRPr="00D3286C">
        <w:rPr>
          <w:szCs w:val="22"/>
        </w:rPr>
        <w:t>Sensitivity, specificity</w:t>
      </w:r>
      <w:r w:rsidR="00363DD4">
        <w:rPr>
          <w:szCs w:val="22"/>
        </w:rPr>
        <w:t>,</w:t>
      </w:r>
      <w:r w:rsidRPr="00D3286C">
        <w:rPr>
          <w:szCs w:val="22"/>
        </w:rPr>
        <w:t xml:space="preserve"> and predictive value will be calculated for each test and test combination for each cancer site for each screen.  Prevalence will be calculated as the number of cancers detected per 1000 individuals screened on the first screen for each cancer site and SC and pooled to indicate overall prevalence.  Incidence will similarly be calculated as the number of cancers per 1000 person years at risk.  Incidence rates will be calculated yearly and cumulatively over the course of the trial.  The ratio of prevalence to incidence will be used as an estimate of the mean duration of pre-clinical disease.</w:t>
      </w:r>
    </w:p>
    <w:p w:rsidR="008D20C5" w:rsidRPr="00D3286C" w:rsidRDefault="008D20C5" w:rsidP="00A46EE5">
      <w:pPr>
        <w:pStyle w:val="P1-StandPara"/>
        <w:rPr>
          <w:szCs w:val="22"/>
        </w:rPr>
      </w:pPr>
      <w:r w:rsidRPr="00D3286C">
        <w:rPr>
          <w:szCs w:val="22"/>
        </w:rPr>
        <w:t>For cancer case characteristics such as histology and stage which carry prognostic implications, the distribution of each characteristic will be calculated for each cancer site among control group cases, all screened group cases, screen detected cases</w:t>
      </w:r>
      <w:r w:rsidR="00363DD4">
        <w:rPr>
          <w:szCs w:val="22"/>
        </w:rPr>
        <w:t>,</w:t>
      </w:r>
      <w:r w:rsidRPr="00D3286C">
        <w:rPr>
          <w:szCs w:val="22"/>
        </w:rPr>
        <w:t xml:space="preserve"> and interval cases.  The distributions can be compared using Chi-square (</w:t>
      </w:r>
      <w:r w:rsidRPr="00D3286C">
        <w:rPr>
          <w:szCs w:val="22"/>
        </w:rPr>
        <w:sym w:font="Symbol" w:char="F063"/>
      </w:r>
      <w:r w:rsidRPr="00D3286C">
        <w:rPr>
          <w:szCs w:val="22"/>
          <w:vertAlign w:val="superscript"/>
        </w:rPr>
        <w:t>2</w:t>
      </w:r>
      <w:r w:rsidRPr="00D3286C">
        <w:rPr>
          <w:szCs w:val="22"/>
        </w:rPr>
        <w:t>) tests.  Survival distributions will also be calculated for the same subsets of cancer cases using the Kaplan</w:t>
      </w:r>
      <w:r w:rsidRPr="00D3286C">
        <w:rPr>
          <w:szCs w:val="22"/>
        </w:rPr>
        <w:softHyphen/>
        <w:t>-Meier method and compared using the log rank test and Cox proportional hazards regression methods.  These distributions will be calculated cumulatively each year of the trial to assess possible screening benefit.  These intermediate endpoints cannot be relied upon for definitive evaluation, however, because they are subject to lead time and length biases.</w:t>
      </w:r>
    </w:p>
    <w:p w:rsidR="008D20C5" w:rsidRPr="00D3286C" w:rsidRDefault="008D20C5" w:rsidP="00A46EE5">
      <w:pPr>
        <w:pStyle w:val="P1-StandPara"/>
        <w:rPr>
          <w:szCs w:val="22"/>
        </w:rPr>
      </w:pPr>
      <w:r w:rsidRPr="00D3286C">
        <w:rPr>
          <w:szCs w:val="22"/>
        </w:rPr>
        <w:t xml:space="preserve">Lead time is the amount of time by which a cancer is diagnosed earlier in a </w:t>
      </w:r>
      <w:r w:rsidR="006A43C0">
        <w:rPr>
          <w:szCs w:val="22"/>
        </w:rPr>
        <w:t xml:space="preserve">cancer </w:t>
      </w:r>
      <w:r w:rsidRPr="00D3286C">
        <w:rPr>
          <w:szCs w:val="22"/>
        </w:rPr>
        <w:t>screening program relative to the time when it would present clinically in the absence of screening.  If survival is measured from time of diagnosis, cases of disease detected by screening will automatically have longer survival, even if length of life is not increased, because of the inclusion of the lead-time.  This is lead-time bias.  Length bias is related to the fact that in a population of individuals with a disease, there is a distribution of times or durations which the diseased individuals spend in a pre-clinical disease state in which the disease is asymptomatic but detectable by screening.  Individuals with longer duration and therefore slower growing, better prognosis disease are more likely to be in the pre-clinical detectable state at the time of a screen.  As a result, cases of disease which have a better prognosis even in the absence of screening are over</w:t>
      </w:r>
      <w:r w:rsidR="001D1EED">
        <w:rPr>
          <w:szCs w:val="22"/>
        </w:rPr>
        <w:t>-</w:t>
      </w:r>
      <w:r w:rsidRPr="00D3286C">
        <w:rPr>
          <w:szCs w:val="22"/>
        </w:rPr>
        <w:t>represented among the screen</w:t>
      </w:r>
      <w:r w:rsidR="001D1EED">
        <w:rPr>
          <w:szCs w:val="22"/>
        </w:rPr>
        <w:t>-</w:t>
      </w:r>
      <w:r w:rsidRPr="00D3286C">
        <w:rPr>
          <w:szCs w:val="22"/>
        </w:rPr>
        <w:t>detected case group.  Any measure of staging or survival is improved as a consequence of this length bias even if screening has no effect on disease outcome.</w:t>
      </w:r>
    </w:p>
    <w:p w:rsidR="004079A2" w:rsidRPr="00D3286C" w:rsidRDefault="004079A2" w:rsidP="004079A2">
      <w:pPr>
        <w:pStyle w:val="P1-StandPara"/>
        <w:rPr>
          <w:szCs w:val="22"/>
        </w:rPr>
      </w:pPr>
      <w:r w:rsidRPr="00D3286C">
        <w:rPr>
          <w:szCs w:val="22"/>
        </w:rPr>
        <w:t xml:space="preserve">Estimation of lead-time is an important intermediate indicator of early detection capability of the screening procedures.  Average lead-time will initially be estimated using the prevalence to incidence ratio under the assumption of an exponential distribution of pre-clinical duration.  Other modeling approaches to lead time estimation also will be employed.  These include the Day-Walter model (Am J </w:t>
      </w:r>
      <w:proofErr w:type="spellStart"/>
      <w:r w:rsidRPr="00D3286C">
        <w:rPr>
          <w:szCs w:val="22"/>
        </w:rPr>
        <w:t>Epidemiol</w:t>
      </w:r>
      <w:proofErr w:type="spellEnd"/>
      <w:r w:rsidRPr="00D3286C">
        <w:rPr>
          <w:szCs w:val="22"/>
        </w:rPr>
        <w:t xml:space="preserve"> 118:865</w:t>
      </w:r>
      <w:r w:rsidRPr="00D3286C">
        <w:rPr>
          <w:szCs w:val="22"/>
        </w:rPr>
        <w:noBreakHyphen/>
        <w:t>886, 1983 and Biometrics 40:1</w:t>
      </w:r>
      <w:r w:rsidRPr="00D3286C">
        <w:rPr>
          <w:szCs w:val="22"/>
        </w:rPr>
        <w:noBreakHyphen/>
        <w:t>14, 1984) which allows estimation of the lead time distribution, and newer approaches under development which examine differences in long term case survival rates to estimate mean lead time.  The assumption of an exponential distribution is justified by several analyses of screening data, using the Day</w:t>
      </w:r>
      <w:r w:rsidRPr="00D3286C">
        <w:rPr>
          <w:szCs w:val="22"/>
        </w:rPr>
        <w:noBreakHyphen/>
        <w:t>Walter model and other approaches, in which the exponential was the best fitting distribution.  Other, more general, lifetime distributions will also be considered including the Weibull, gamma, and generalized gamma distributions.</w:t>
      </w:r>
    </w:p>
    <w:p w:rsidR="008D20C5" w:rsidRPr="00D3286C" w:rsidRDefault="008D20C5" w:rsidP="00A46EE5">
      <w:pPr>
        <w:pStyle w:val="P1-StandPara"/>
        <w:rPr>
          <w:szCs w:val="22"/>
        </w:rPr>
      </w:pPr>
      <w:r w:rsidRPr="00E64720">
        <w:rPr>
          <w:szCs w:val="22"/>
        </w:rPr>
        <w:t>As with incidence rates, the rate of advanced stage disease and the cause</w:t>
      </w:r>
      <w:r w:rsidR="00BF0E68">
        <w:rPr>
          <w:szCs w:val="22"/>
        </w:rPr>
        <w:t>-</w:t>
      </w:r>
      <w:r w:rsidRPr="00E64720">
        <w:rPr>
          <w:szCs w:val="22"/>
        </w:rPr>
        <w:t xml:space="preserve">specific and </w:t>
      </w:r>
      <w:proofErr w:type="spellStart"/>
      <w:r w:rsidRPr="00E64720">
        <w:rPr>
          <w:szCs w:val="22"/>
        </w:rPr>
        <w:t>all cause</w:t>
      </w:r>
      <w:proofErr w:type="spellEnd"/>
      <w:r w:rsidRPr="00E64720">
        <w:rPr>
          <w:szCs w:val="22"/>
        </w:rPr>
        <w:t xml:space="preserve"> mortality rates will be calculated as the number of events per 1</w:t>
      </w:r>
      <w:r w:rsidR="008C6929" w:rsidRPr="00E64720">
        <w:rPr>
          <w:szCs w:val="22"/>
        </w:rPr>
        <w:t>,</w:t>
      </w:r>
      <w:r w:rsidRPr="00E64720">
        <w:rPr>
          <w:szCs w:val="22"/>
        </w:rPr>
        <w:t xml:space="preserve">000 person years at risk.  These will be calculated yearly and cumulatively for each successive year of the trial, and relative to each of the four cancer sites under study.  The rate of advanced stage disease is thought to be an indicator of changes in disease specific mortality, while the cause specific death rate is the primary endpoint in this trial.  These rates will be compared using Poisson tests and Poisson regression analysis.  </w:t>
      </w:r>
      <w:proofErr w:type="spellStart"/>
      <w:r w:rsidRPr="00E64720">
        <w:rPr>
          <w:szCs w:val="22"/>
        </w:rPr>
        <w:t>All cause</w:t>
      </w:r>
      <w:proofErr w:type="spellEnd"/>
      <w:r w:rsidRPr="00E64720">
        <w:rPr>
          <w:szCs w:val="22"/>
        </w:rPr>
        <w:t xml:space="preserve"> mortality is examined as an indicator of comparability of the randomized arms of the trial.</w:t>
      </w:r>
    </w:p>
    <w:p w:rsidR="008D20C5" w:rsidRPr="00D3286C" w:rsidRDefault="008D20C5" w:rsidP="00A46EE5">
      <w:pPr>
        <w:pStyle w:val="P1-StandPara"/>
        <w:rPr>
          <w:szCs w:val="22"/>
        </w:rPr>
      </w:pPr>
      <w:r w:rsidRPr="00D3286C">
        <w:rPr>
          <w:szCs w:val="22"/>
        </w:rPr>
        <w:t>Complications of the screening and diagnostic procedures administered to trial participants w</w:t>
      </w:r>
      <w:r w:rsidR="00F3213A" w:rsidRPr="00D3286C">
        <w:rPr>
          <w:szCs w:val="22"/>
        </w:rPr>
        <w:t>ere</w:t>
      </w:r>
      <w:r w:rsidRPr="00D3286C">
        <w:rPr>
          <w:szCs w:val="22"/>
        </w:rPr>
        <w:t xml:space="preserve"> reco</w:t>
      </w:r>
      <w:r w:rsidR="007B12A9" w:rsidRPr="00D3286C">
        <w:rPr>
          <w:szCs w:val="22"/>
        </w:rPr>
        <w:t>r</w:t>
      </w:r>
      <w:r w:rsidRPr="00D3286C">
        <w:rPr>
          <w:szCs w:val="22"/>
        </w:rPr>
        <w:t>ded and monitored very closely</w:t>
      </w:r>
      <w:r w:rsidR="00F3213A" w:rsidRPr="00D3286C">
        <w:rPr>
          <w:szCs w:val="22"/>
        </w:rPr>
        <w:t xml:space="preserve"> </w:t>
      </w:r>
      <w:r w:rsidR="00F3213A" w:rsidRPr="00E64720">
        <w:rPr>
          <w:szCs w:val="22"/>
        </w:rPr>
        <w:t>during the active screening phase of the trial</w:t>
      </w:r>
      <w:r w:rsidRPr="00E64720">
        <w:rPr>
          <w:szCs w:val="22"/>
        </w:rPr>
        <w:t>.</w:t>
      </w:r>
      <w:r w:rsidRPr="00D3286C">
        <w:rPr>
          <w:szCs w:val="22"/>
        </w:rPr>
        <w:t xml:space="preserve">  These include any medical complications or risks and any mortality potentially related to study procedures, particularly the more invasive procedures such as colonoscopy or laparotomy, which might follow a positive colorectal screen or ovarian screen, respectively.  These </w:t>
      </w:r>
      <w:r w:rsidRPr="008F0DD4">
        <w:rPr>
          <w:szCs w:val="22"/>
        </w:rPr>
        <w:t>w</w:t>
      </w:r>
      <w:r w:rsidR="00F3213A" w:rsidRPr="008F0DD4">
        <w:rPr>
          <w:szCs w:val="22"/>
        </w:rPr>
        <w:t xml:space="preserve">ere </w:t>
      </w:r>
      <w:r w:rsidRPr="008F0DD4">
        <w:rPr>
          <w:szCs w:val="22"/>
        </w:rPr>
        <w:t>e</w:t>
      </w:r>
      <w:r w:rsidRPr="00D3286C">
        <w:rPr>
          <w:szCs w:val="22"/>
        </w:rPr>
        <w:t xml:space="preserve">xamined for each cancer site at each SC for up to one year after a screening episode.  Cancer incidence </w:t>
      </w:r>
      <w:r w:rsidR="00F3213A" w:rsidRPr="00D3286C">
        <w:rPr>
          <w:szCs w:val="22"/>
        </w:rPr>
        <w:t xml:space="preserve">is </w:t>
      </w:r>
      <w:r w:rsidRPr="00D3286C">
        <w:rPr>
          <w:szCs w:val="22"/>
        </w:rPr>
        <w:t>also tracked to alert investigators to possible substantial over-diagnosis of one of the cancers being studied.  This is thought to be a problem particularly for prostate cancer.  Guidelines for termination in the event of adverse effects of the screening process w</w:t>
      </w:r>
      <w:r w:rsidR="00F3213A" w:rsidRPr="00D3286C">
        <w:rPr>
          <w:szCs w:val="22"/>
        </w:rPr>
        <w:t>ere</w:t>
      </w:r>
      <w:r w:rsidRPr="00D3286C">
        <w:rPr>
          <w:szCs w:val="22"/>
        </w:rPr>
        <w:t xml:space="preserve"> developed by the DSMB.</w:t>
      </w:r>
    </w:p>
    <w:p w:rsidR="008D20C5" w:rsidRPr="00D3286C" w:rsidRDefault="008D20C5" w:rsidP="00A46EE5">
      <w:pPr>
        <w:pStyle w:val="P1-StandPara"/>
        <w:rPr>
          <w:szCs w:val="22"/>
        </w:rPr>
      </w:pPr>
      <w:r w:rsidRPr="00D3286C">
        <w:rPr>
          <w:szCs w:val="22"/>
        </w:rPr>
        <w:t>The PLCO trial was designed to obtain a racially mixed study population which will permit valid scientific evaluation of each of the screening modalities under study for all races combined.  In designing this trial, it was not considered feasible to conduct mortality endpoint trials by minority subgroup.  Such an objective would have necessitated running an equivalent trial for each of the subgroups.  Race was recorded at baseline for all PLCO trial participants.  Post hoc subgroup analyses to ascertain the degree to which effectiveness is equivalent or different in racial subgroups can therefore be conducted.  If all race specific findings are consistent with the overall finding, generalization of the overall results to all racial groups would be valid.  If not, additional research hypotheses can be considered.</w:t>
      </w:r>
    </w:p>
    <w:p w:rsidR="008D20C5" w:rsidRPr="00D3286C" w:rsidRDefault="008D20C5" w:rsidP="00A46EE5">
      <w:pPr>
        <w:pStyle w:val="P1-StandPara"/>
        <w:rPr>
          <w:szCs w:val="22"/>
        </w:rPr>
      </w:pPr>
      <w:r w:rsidRPr="00D3286C">
        <w:rPr>
          <w:szCs w:val="22"/>
        </w:rPr>
        <w:t xml:space="preserve">Publications addressing all of the above topics will be submitted to appropriate medical, statistical, and clinical trials journals as the relevant data reach maturation.  A steady stream of publications is anticipated as the trial progresses to ensure that the medical and scientific communities are kept fully informed.  </w:t>
      </w:r>
      <w:r w:rsidR="00C56D75" w:rsidRPr="008F0DD4">
        <w:rPr>
          <w:szCs w:val="22"/>
        </w:rPr>
        <w:t xml:space="preserve">To date, </w:t>
      </w:r>
      <w:r w:rsidR="008968BC">
        <w:rPr>
          <w:szCs w:val="22"/>
          <w:highlight w:val="yellow"/>
        </w:rPr>
        <w:t>351</w:t>
      </w:r>
      <w:r w:rsidR="00C56D75" w:rsidRPr="006A43C0">
        <w:rPr>
          <w:szCs w:val="22"/>
          <w:highlight w:val="yellow"/>
        </w:rPr>
        <w:t xml:space="preserve"> articles and book chapters</w:t>
      </w:r>
      <w:r w:rsidR="00C56D75" w:rsidRPr="008F0DD4">
        <w:rPr>
          <w:szCs w:val="22"/>
        </w:rPr>
        <w:t xml:space="preserve"> have been published from PLCO </w:t>
      </w:r>
      <w:r w:rsidR="006E1FEC" w:rsidRPr="008F0DD4">
        <w:rPr>
          <w:szCs w:val="22"/>
        </w:rPr>
        <w:t>data (</w:t>
      </w:r>
      <w:r w:rsidR="00C56D75" w:rsidRPr="005E6A6B">
        <w:rPr>
          <w:b/>
          <w:szCs w:val="22"/>
        </w:rPr>
        <w:t>Attachment 1</w:t>
      </w:r>
      <w:r w:rsidR="002A6D51">
        <w:rPr>
          <w:b/>
          <w:szCs w:val="22"/>
        </w:rPr>
        <w:t>2</w:t>
      </w:r>
      <w:r w:rsidR="00C56D75" w:rsidRPr="005E6A6B">
        <w:rPr>
          <w:szCs w:val="22"/>
        </w:rPr>
        <w:t>).</w:t>
      </w:r>
      <w:r w:rsidRPr="00D3286C">
        <w:rPr>
          <w:szCs w:val="22"/>
        </w:rPr>
        <w:t xml:space="preserve"> </w:t>
      </w:r>
    </w:p>
    <w:p w:rsidR="008D20C5" w:rsidRPr="00D3286C" w:rsidRDefault="008D20C5" w:rsidP="00235C32">
      <w:pPr>
        <w:pStyle w:val="P1-StandPara"/>
        <w:spacing w:line="240" w:lineRule="auto"/>
        <w:rPr>
          <w:szCs w:val="22"/>
        </w:rPr>
      </w:pPr>
      <w:r w:rsidRPr="00D3286C">
        <w:rPr>
          <w:szCs w:val="22"/>
        </w:rPr>
        <w:t xml:space="preserve">The time schedule for the ongoing project is provided below.  </w:t>
      </w:r>
    </w:p>
    <w:p w:rsidR="00D15071" w:rsidRPr="00D3286C" w:rsidRDefault="00D15071" w:rsidP="00D15071">
      <w:pPr>
        <w:pStyle w:val="P1-StandPara"/>
        <w:spacing w:line="240" w:lineRule="auto"/>
        <w:rPr>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2473"/>
      </w:tblGrid>
      <w:tr w:rsidR="00D04342" w:rsidRPr="00BD0E0C" w:rsidTr="00F9189D">
        <w:tc>
          <w:tcPr>
            <w:tcW w:w="4367" w:type="dxa"/>
          </w:tcPr>
          <w:p w:rsidR="00D04342" w:rsidRPr="00BD0E0C" w:rsidRDefault="00D04342" w:rsidP="00F9189D">
            <w:pPr>
              <w:pStyle w:val="P1-StandPara"/>
              <w:spacing w:line="240" w:lineRule="auto"/>
              <w:ind w:firstLine="0"/>
              <w:jc w:val="center"/>
              <w:rPr>
                <w:b/>
                <w:szCs w:val="22"/>
              </w:rPr>
            </w:pPr>
            <w:r w:rsidRPr="00BD0E0C">
              <w:rPr>
                <w:b/>
                <w:szCs w:val="22"/>
              </w:rPr>
              <w:t>Activities</w:t>
            </w:r>
          </w:p>
        </w:tc>
        <w:tc>
          <w:tcPr>
            <w:tcW w:w="2473" w:type="dxa"/>
          </w:tcPr>
          <w:p w:rsidR="00D04342" w:rsidRPr="00BD0E0C" w:rsidRDefault="006773D6" w:rsidP="00F9189D">
            <w:pPr>
              <w:pStyle w:val="P1-StandPara"/>
              <w:spacing w:line="240" w:lineRule="auto"/>
              <w:ind w:firstLine="0"/>
              <w:jc w:val="center"/>
              <w:rPr>
                <w:b/>
                <w:szCs w:val="22"/>
              </w:rPr>
            </w:pPr>
            <w:r w:rsidRPr="00BD0E0C">
              <w:rPr>
                <w:b/>
                <w:szCs w:val="22"/>
              </w:rPr>
              <w:t>After OMB Approval (Months)</w:t>
            </w:r>
          </w:p>
        </w:tc>
      </w:tr>
      <w:tr w:rsidR="00D04342" w:rsidRPr="00BD0E0C" w:rsidTr="00F9189D">
        <w:tc>
          <w:tcPr>
            <w:tcW w:w="4367" w:type="dxa"/>
          </w:tcPr>
          <w:p w:rsidR="00D04342" w:rsidRPr="00BD0E0C" w:rsidRDefault="00D04342" w:rsidP="00F9189D">
            <w:pPr>
              <w:pStyle w:val="P1-StandPara"/>
              <w:spacing w:line="240" w:lineRule="auto"/>
              <w:ind w:firstLine="0"/>
              <w:jc w:val="both"/>
              <w:rPr>
                <w:szCs w:val="22"/>
              </w:rPr>
            </w:pPr>
            <w:r w:rsidRPr="00BD0E0C">
              <w:rPr>
                <w:szCs w:val="22"/>
              </w:rPr>
              <w:t xml:space="preserve">Continued Cancer Ascertainment  </w:t>
            </w:r>
          </w:p>
        </w:tc>
        <w:tc>
          <w:tcPr>
            <w:tcW w:w="2473" w:type="dxa"/>
          </w:tcPr>
          <w:p w:rsidR="00D04342" w:rsidRPr="00BD0E0C" w:rsidRDefault="00D04342" w:rsidP="00F9189D">
            <w:pPr>
              <w:pStyle w:val="P1-StandPara"/>
              <w:spacing w:line="240" w:lineRule="auto"/>
              <w:ind w:firstLine="0"/>
              <w:jc w:val="center"/>
              <w:rPr>
                <w:szCs w:val="22"/>
              </w:rPr>
            </w:pPr>
            <w:r w:rsidRPr="00BD0E0C">
              <w:rPr>
                <w:szCs w:val="22"/>
              </w:rPr>
              <w:t>0-36 months</w:t>
            </w:r>
          </w:p>
        </w:tc>
      </w:tr>
      <w:tr w:rsidR="00D04342" w:rsidRPr="00BD0E0C" w:rsidTr="00F9189D">
        <w:tc>
          <w:tcPr>
            <w:tcW w:w="4367" w:type="dxa"/>
          </w:tcPr>
          <w:p w:rsidR="00D04342" w:rsidRPr="00BD0E0C" w:rsidRDefault="00D04342" w:rsidP="00F9189D">
            <w:pPr>
              <w:pStyle w:val="P1-StandPara"/>
              <w:spacing w:line="240" w:lineRule="auto"/>
              <w:ind w:firstLine="0"/>
              <w:jc w:val="both"/>
              <w:rPr>
                <w:szCs w:val="22"/>
              </w:rPr>
            </w:pPr>
            <w:r w:rsidRPr="00BD0E0C">
              <w:rPr>
                <w:szCs w:val="22"/>
              </w:rPr>
              <w:t>Continued Vital Status Ascertainment</w:t>
            </w:r>
          </w:p>
        </w:tc>
        <w:tc>
          <w:tcPr>
            <w:tcW w:w="2473" w:type="dxa"/>
          </w:tcPr>
          <w:p w:rsidR="00D04342" w:rsidRPr="00BD0E0C" w:rsidRDefault="00D04342" w:rsidP="00F9189D">
            <w:pPr>
              <w:pStyle w:val="P1-StandPara"/>
              <w:spacing w:line="240" w:lineRule="auto"/>
              <w:ind w:firstLine="0"/>
              <w:jc w:val="center"/>
              <w:rPr>
                <w:szCs w:val="22"/>
              </w:rPr>
            </w:pPr>
            <w:r w:rsidRPr="00BD0E0C">
              <w:rPr>
                <w:szCs w:val="22"/>
              </w:rPr>
              <w:t>0-36 months</w:t>
            </w:r>
          </w:p>
        </w:tc>
      </w:tr>
      <w:tr w:rsidR="00D04342" w:rsidRPr="00BD0E0C" w:rsidTr="00F9189D">
        <w:trPr>
          <w:trHeight w:val="314"/>
        </w:trPr>
        <w:tc>
          <w:tcPr>
            <w:tcW w:w="4367" w:type="dxa"/>
          </w:tcPr>
          <w:p w:rsidR="00D04342" w:rsidRPr="00BD0E0C" w:rsidRDefault="00D04342" w:rsidP="00F9189D">
            <w:pPr>
              <w:pStyle w:val="P1-StandPara"/>
              <w:spacing w:line="240" w:lineRule="auto"/>
              <w:ind w:firstLine="0"/>
              <w:jc w:val="both"/>
              <w:rPr>
                <w:szCs w:val="22"/>
              </w:rPr>
            </w:pPr>
            <w:r w:rsidRPr="00BD0E0C">
              <w:rPr>
                <w:szCs w:val="22"/>
              </w:rPr>
              <w:t>Continued Data Editing</w:t>
            </w:r>
          </w:p>
        </w:tc>
        <w:tc>
          <w:tcPr>
            <w:tcW w:w="2473" w:type="dxa"/>
          </w:tcPr>
          <w:p w:rsidR="00D04342" w:rsidRPr="00BD0E0C" w:rsidRDefault="00D04342" w:rsidP="00F9189D">
            <w:pPr>
              <w:pStyle w:val="P1-StandPara"/>
              <w:spacing w:line="240" w:lineRule="auto"/>
              <w:ind w:firstLine="0"/>
              <w:jc w:val="center"/>
              <w:rPr>
                <w:szCs w:val="22"/>
              </w:rPr>
            </w:pPr>
            <w:r w:rsidRPr="00BD0E0C">
              <w:rPr>
                <w:szCs w:val="22"/>
              </w:rPr>
              <w:t>0-36 month</w:t>
            </w:r>
            <w:r w:rsidR="006773D6" w:rsidRPr="00BD0E0C">
              <w:rPr>
                <w:szCs w:val="22"/>
              </w:rPr>
              <w:t>s</w:t>
            </w:r>
          </w:p>
        </w:tc>
      </w:tr>
      <w:tr w:rsidR="00D04342" w:rsidRPr="00BD0E0C" w:rsidTr="00F9189D">
        <w:tc>
          <w:tcPr>
            <w:tcW w:w="4367" w:type="dxa"/>
          </w:tcPr>
          <w:p w:rsidR="00D04342" w:rsidRPr="00BD0E0C" w:rsidRDefault="00D04342" w:rsidP="00F9189D">
            <w:pPr>
              <w:pStyle w:val="P1-StandPara"/>
              <w:spacing w:line="240" w:lineRule="auto"/>
              <w:ind w:firstLine="0"/>
              <w:jc w:val="both"/>
              <w:rPr>
                <w:szCs w:val="22"/>
              </w:rPr>
            </w:pPr>
            <w:r w:rsidRPr="00BD0E0C">
              <w:rPr>
                <w:szCs w:val="22"/>
              </w:rPr>
              <w:t>Continued Data Analysis</w:t>
            </w:r>
          </w:p>
        </w:tc>
        <w:tc>
          <w:tcPr>
            <w:tcW w:w="2473" w:type="dxa"/>
          </w:tcPr>
          <w:p w:rsidR="00D04342" w:rsidRPr="00BD0E0C" w:rsidRDefault="006773D6" w:rsidP="00F9189D">
            <w:pPr>
              <w:pStyle w:val="P1-StandPara"/>
              <w:spacing w:line="240" w:lineRule="auto"/>
              <w:ind w:firstLine="0"/>
              <w:jc w:val="center"/>
              <w:rPr>
                <w:szCs w:val="22"/>
              </w:rPr>
            </w:pPr>
            <w:r w:rsidRPr="00BD0E0C">
              <w:rPr>
                <w:szCs w:val="22"/>
              </w:rPr>
              <w:t>0-36 months</w:t>
            </w:r>
          </w:p>
        </w:tc>
      </w:tr>
      <w:tr w:rsidR="00D04342" w:rsidRPr="00BD0E0C" w:rsidTr="00F9189D">
        <w:tc>
          <w:tcPr>
            <w:tcW w:w="4367" w:type="dxa"/>
          </w:tcPr>
          <w:p w:rsidR="00D04342" w:rsidRPr="00BD0E0C" w:rsidRDefault="00E23000" w:rsidP="00F9189D">
            <w:pPr>
              <w:pStyle w:val="P1-StandPara"/>
              <w:spacing w:line="240" w:lineRule="auto"/>
              <w:ind w:firstLine="0"/>
              <w:jc w:val="both"/>
              <w:rPr>
                <w:szCs w:val="22"/>
              </w:rPr>
            </w:pPr>
            <w:r w:rsidRPr="00BD0E0C">
              <w:rPr>
                <w:szCs w:val="22"/>
              </w:rPr>
              <w:t xml:space="preserve">Continued </w:t>
            </w:r>
            <w:r w:rsidR="00D04342" w:rsidRPr="00BD0E0C">
              <w:rPr>
                <w:szCs w:val="22"/>
              </w:rPr>
              <w:t>Publication of Findings</w:t>
            </w:r>
          </w:p>
        </w:tc>
        <w:tc>
          <w:tcPr>
            <w:tcW w:w="2473" w:type="dxa"/>
          </w:tcPr>
          <w:p w:rsidR="00D04342" w:rsidRPr="00BD0E0C" w:rsidRDefault="00D04342" w:rsidP="00F9189D">
            <w:pPr>
              <w:pStyle w:val="P1-StandPara"/>
              <w:spacing w:line="240" w:lineRule="auto"/>
              <w:ind w:firstLine="0"/>
              <w:jc w:val="center"/>
              <w:rPr>
                <w:szCs w:val="22"/>
              </w:rPr>
            </w:pPr>
            <w:r w:rsidRPr="00BD0E0C">
              <w:rPr>
                <w:szCs w:val="22"/>
              </w:rPr>
              <w:t>0-36 months</w:t>
            </w:r>
          </w:p>
        </w:tc>
      </w:tr>
    </w:tbl>
    <w:p w:rsidR="00492B7A" w:rsidRDefault="00492B7A">
      <w:pPr>
        <w:pStyle w:val="P1-StandPara"/>
        <w:ind w:firstLine="0"/>
        <w:rPr>
          <w:szCs w:val="22"/>
        </w:rPr>
      </w:pPr>
    </w:p>
    <w:p w:rsidR="00CF74BB" w:rsidRDefault="00CF74BB">
      <w:pPr>
        <w:pStyle w:val="P1-StandPara"/>
        <w:ind w:firstLine="0"/>
        <w:rPr>
          <w:szCs w:val="22"/>
        </w:rPr>
      </w:pPr>
    </w:p>
    <w:p w:rsidR="008D20C5" w:rsidRPr="00D3286C" w:rsidRDefault="00A233E3" w:rsidP="00A233E3">
      <w:pPr>
        <w:pStyle w:val="Heading2"/>
        <w:spacing w:after="0" w:line="480" w:lineRule="auto"/>
        <w:ind w:left="720" w:hanging="720"/>
        <w:rPr>
          <w:szCs w:val="22"/>
        </w:rPr>
      </w:pPr>
      <w:bookmarkStart w:id="81" w:name="_Toc443881760"/>
      <w:bookmarkStart w:id="82" w:name="_Toc451592247"/>
      <w:bookmarkStart w:id="83" w:name="_Toc5610288"/>
      <w:bookmarkStart w:id="84" w:name="_Toc194810121"/>
      <w:bookmarkStart w:id="85" w:name="_Toc295119910"/>
      <w:r w:rsidRPr="00D3286C">
        <w:rPr>
          <w:szCs w:val="22"/>
        </w:rPr>
        <w:t>A.</w:t>
      </w:r>
      <w:r w:rsidR="008D20C5" w:rsidRPr="00D3286C">
        <w:rPr>
          <w:szCs w:val="22"/>
        </w:rPr>
        <w:t>17.</w:t>
      </w:r>
      <w:r w:rsidR="008D20C5" w:rsidRPr="00D3286C">
        <w:rPr>
          <w:szCs w:val="22"/>
        </w:rPr>
        <w:tab/>
        <w:t>Reason(s) Display of OMB Expiration Date is Inappropriate</w:t>
      </w:r>
      <w:bookmarkEnd w:id="81"/>
      <w:bookmarkEnd w:id="82"/>
      <w:bookmarkEnd w:id="83"/>
      <w:bookmarkEnd w:id="84"/>
      <w:bookmarkEnd w:id="85"/>
    </w:p>
    <w:p w:rsidR="008D20C5" w:rsidRPr="00D3286C" w:rsidRDefault="008D20C5" w:rsidP="00C82A7A">
      <w:pPr>
        <w:pStyle w:val="P1-StandPara"/>
        <w:ind w:left="720" w:firstLine="0"/>
        <w:rPr>
          <w:szCs w:val="22"/>
        </w:rPr>
      </w:pPr>
      <w:r w:rsidRPr="00D3286C">
        <w:rPr>
          <w:szCs w:val="22"/>
        </w:rPr>
        <w:t xml:space="preserve">This study will display the expiration date for OMB approval of the information collection. </w:t>
      </w:r>
    </w:p>
    <w:p w:rsidR="0018402C" w:rsidRPr="00D3286C" w:rsidRDefault="0018402C" w:rsidP="00A233E3">
      <w:pPr>
        <w:pStyle w:val="Heading2"/>
        <w:spacing w:after="0" w:line="480" w:lineRule="auto"/>
        <w:ind w:left="720" w:hanging="720"/>
        <w:rPr>
          <w:szCs w:val="22"/>
        </w:rPr>
      </w:pPr>
      <w:bookmarkStart w:id="86" w:name="_Toc443881761"/>
      <w:bookmarkStart w:id="87" w:name="_Toc451592248"/>
      <w:bookmarkStart w:id="88" w:name="_Toc5610289"/>
      <w:bookmarkStart w:id="89" w:name="_Toc194810122"/>
    </w:p>
    <w:p w:rsidR="008D20C5" w:rsidRPr="00D3286C" w:rsidRDefault="00A233E3" w:rsidP="00A233E3">
      <w:pPr>
        <w:pStyle w:val="Heading2"/>
        <w:spacing w:after="0" w:line="480" w:lineRule="auto"/>
        <w:ind w:left="720" w:hanging="720"/>
        <w:rPr>
          <w:szCs w:val="22"/>
        </w:rPr>
      </w:pPr>
      <w:bookmarkStart w:id="90" w:name="_Toc295119911"/>
      <w:r w:rsidRPr="00D3286C">
        <w:rPr>
          <w:szCs w:val="22"/>
        </w:rPr>
        <w:t>A.</w:t>
      </w:r>
      <w:r w:rsidR="008D20C5" w:rsidRPr="00D3286C">
        <w:rPr>
          <w:szCs w:val="22"/>
        </w:rPr>
        <w:t>18.</w:t>
      </w:r>
      <w:r w:rsidR="008D20C5" w:rsidRPr="00D3286C">
        <w:rPr>
          <w:szCs w:val="22"/>
        </w:rPr>
        <w:tab/>
        <w:t>Exceptions to Certification for Paperwork Reduction Act Submissions</w:t>
      </w:r>
      <w:bookmarkEnd w:id="86"/>
      <w:bookmarkEnd w:id="87"/>
      <w:bookmarkEnd w:id="88"/>
      <w:bookmarkEnd w:id="89"/>
      <w:bookmarkEnd w:id="90"/>
    </w:p>
    <w:p w:rsidR="008D20C5" w:rsidRPr="00D3286C" w:rsidRDefault="008D20C5" w:rsidP="005D420C">
      <w:pPr>
        <w:pStyle w:val="P1-StandPara"/>
        <w:ind w:right="-216"/>
        <w:rPr>
          <w:szCs w:val="22"/>
        </w:rPr>
      </w:pPr>
      <w:r w:rsidRPr="00D3286C">
        <w:rPr>
          <w:szCs w:val="22"/>
        </w:rPr>
        <w:t>PLCO complies with 5 CFR 1320.9, the Certification for Paperwork Reduction Act Submissions.</w:t>
      </w:r>
    </w:p>
    <w:sectPr w:rsidR="008D20C5" w:rsidRPr="00D3286C" w:rsidSect="00B45844">
      <w:type w:val="continuous"/>
      <w:pgSz w:w="12240" w:h="15840" w:code="1"/>
      <w:pgMar w:top="1440" w:right="1440" w:bottom="1440" w:left="1440" w:header="720" w:footer="432"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0F" w:rsidRDefault="00AF480F">
      <w:r>
        <w:separator/>
      </w:r>
    </w:p>
  </w:endnote>
  <w:endnote w:type="continuationSeparator" w:id="0">
    <w:p w:rsidR="00AF480F" w:rsidRDefault="00AF480F">
      <w:r>
        <w:continuationSeparator/>
      </w:r>
    </w:p>
  </w:endnote>
  <w:endnote w:type="continuationNotice" w:id="1">
    <w:p w:rsidR="00AF480F" w:rsidRDefault="00AF48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0F" w:rsidRDefault="00AF480F" w:rsidP="00137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480F" w:rsidRDefault="00AF480F" w:rsidP="00137E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0F" w:rsidRDefault="00AF480F" w:rsidP="00137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6794">
      <w:rPr>
        <w:rStyle w:val="PageNumber"/>
        <w:noProof/>
      </w:rPr>
      <w:t>13</w:t>
    </w:r>
    <w:r>
      <w:rPr>
        <w:rStyle w:val="PageNumber"/>
      </w:rPr>
      <w:fldChar w:fldCharType="end"/>
    </w:r>
  </w:p>
  <w:p w:rsidR="00AF480F" w:rsidRPr="00246BDA" w:rsidRDefault="00AF480F" w:rsidP="009B2637">
    <w:pPr>
      <w:pStyle w:val="Footer"/>
      <w:tabs>
        <w:tab w:val="clear" w:pos="8640"/>
        <w:tab w:val="right" w:pos="9540"/>
      </w:tabs>
      <w:spacing w:line="240" w:lineRule="auto"/>
      <w:ind w:right="360"/>
      <w:rPr>
        <w:sz w:val="16"/>
        <w:szCs w:val="16"/>
      </w:rPr>
    </w:pPr>
    <w:r w:rsidRPr="00246BDA">
      <w:rPr>
        <w:snapToGrid w:val="0"/>
        <w:sz w:val="16"/>
        <w:szCs w:val="16"/>
      </w:rPr>
      <w:fldChar w:fldCharType="begin"/>
    </w:r>
    <w:r w:rsidRPr="00246BDA">
      <w:rPr>
        <w:snapToGrid w:val="0"/>
        <w:sz w:val="16"/>
        <w:szCs w:val="16"/>
      </w:rPr>
      <w:instrText xml:space="preserve"> FILENAME </w:instrText>
    </w:r>
    <w:r w:rsidRPr="00246BDA">
      <w:rPr>
        <w:snapToGrid w:val="0"/>
        <w:sz w:val="16"/>
        <w:szCs w:val="16"/>
      </w:rPr>
      <w:fldChar w:fldCharType="separate"/>
    </w:r>
    <w:r>
      <w:rPr>
        <w:noProof/>
        <w:snapToGrid w:val="0"/>
        <w:sz w:val="16"/>
        <w:szCs w:val="16"/>
      </w:rPr>
      <w:t>SSA_PLCO 4.03.2015.docx</w:t>
    </w:r>
    <w:r w:rsidRPr="00246BDA">
      <w:rPr>
        <w:snapToGrid w:val="0"/>
        <w:sz w:val="16"/>
        <w:szCs w:val="16"/>
      </w:rPr>
      <w:fldChar w:fldCharType="end"/>
    </w:r>
    <w:bookmarkStart w:id="0" w:name="_Toc443881741"/>
    <w:bookmarkEnd w:id="0"/>
    <w:r w:rsidRPr="00246BDA">
      <w:rPr>
        <w:snapToGrid w:val="0"/>
        <w:sz w:val="16"/>
        <w:szCs w:val="16"/>
      </w:rPr>
      <w:tab/>
    </w:r>
    <w:r w:rsidRPr="00246BDA">
      <w:rPr>
        <w:snapToGrid w:val="0"/>
        <w:sz w:val="16"/>
        <w:szCs w:val="16"/>
      </w:rPr>
      <w:tab/>
    </w:r>
    <w:r w:rsidRPr="00246BDA">
      <w:rPr>
        <w:snapToGrid w:val="0"/>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0F" w:rsidRPr="009778EF" w:rsidRDefault="00AF480F" w:rsidP="009778EF">
    <w:pPr>
      <w:pStyle w:val="Footer"/>
      <w:tabs>
        <w:tab w:val="clear" w:pos="8640"/>
        <w:tab w:val="right" w:pos="9540"/>
      </w:tabs>
      <w:rPr>
        <w:sz w:val="16"/>
        <w:szCs w:val="16"/>
      </w:rPr>
    </w:pPr>
    <w:r w:rsidRPr="009778EF">
      <w:rPr>
        <w:snapToGrid w:val="0"/>
        <w:sz w:val="16"/>
        <w:szCs w:val="16"/>
      </w:rPr>
      <w:fldChar w:fldCharType="begin"/>
    </w:r>
    <w:r w:rsidRPr="009778EF">
      <w:rPr>
        <w:snapToGrid w:val="0"/>
        <w:sz w:val="16"/>
        <w:szCs w:val="16"/>
      </w:rPr>
      <w:instrText xml:space="preserve"> FILENAME </w:instrText>
    </w:r>
    <w:r w:rsidRPr="009778EF">
      <w:rPr>
        <w:snapToGrid w:val="0"/>
        <w:sz w:val="16"/>
        <w:szCs w:val="16"/>
      </w:rPr>
      <w:fldChar w:fldCharType="separate"/>
    </w:r>
    <w:r>
      <w:rPr>
        <w:noProof/>
        <w:snapToGrid w:val="0"/>
        <w:sz w:val="16"/>
        <w:szCs w:val="16"/>
      </w:rPr>
      <w:t>SSA_PLCO 4.03.2015.docx</w:t>
    </w:r>
    <w:r w:rsidRPr="009778EF">
      <w:rPr>
        <w:snapToGrid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0F" w:rsidRDefault="00AF480F">
    <w:pPr>
      <w:pStyle w:val="Footer"/>
      <w:tabs>
        <w:tab w:val="clear" w:pos="8640"/>
        <w:tab w:val="right" w:pos="9540"/>
      </w:tabs>
    </w:pPr>
    <w:r>
      <w:rPr>
        <w:snapToGrid w:val="0"/>
        <w:sz w:val="12"/>
        <w:szCs w:val="12"/>
      </w:rPr>
      <w:fldChar w:fldCharType="begin"/>
    </w:r>
    <w:r>
      <w:rPr>
        <w:snapToGrid w:val="0"/>
        <w:sz w:val="12"/>
        <w:szCs w:val="12"/>
      </w:rPr>
      <w:instrText xml:space="preserve"> FILENAME \p </w:instrText>
    </w:r>
    <w:r>
      <w:rPr>
        <w:snapToGrid w:val="0"/>
        <w:sz w:val="12"/>
        <w:szCs w:val="12"/>
      </w:rPr>
      <w:fldChar w:fldCharType="separate"/>
    </w:r>
    <w:r>
      <w:rPr>
        <w:noProof/>
        <w:snapToGrid w:val="0"/>
        <w:sz w:val="12"/>
        <w:szCs w:val="12"/>
      </w:rPr>
      <w:t>K:\PLCOCDCC\Task-CancerRegistries\2015 OMB\Response to KB 4_2_15\SSA_PLCO 4.03.2015.docx</w:t>
    </w:r>
    <w:r>
      <w:rPr>
        <w:snapToGrid w:val="0"/>
        <w:sz w:val="12"/>
        <w:szCs w:val="12"/>
      </w:rPr>
      <w:fldChar w:fldCharType="end"/>
    </w:r>
  </w:p>
  <w:p w:rsidR="00AF480F" w:rsidRDefault="00AF480F">
    <w:pPr>
      <w:pStyle w:val="Footer"/>
      <w:tabs>
        <w:tab w:val="clear" w:pos="4320"/>
        <w:tab w:val="clear" w:pos="8640"/>
        <w:tab w:val="right" w:pos="9540"/>
      </w:tabs>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0F" w:rsidRDefault="00AF480F">
      <w:r>
        <w:separator/>
      </w:r>
    </w:p>
  </w:footnote>
  <w:footnote w:type="continuationSeparator" w:id="0">
    <w:p w:rsidR="00AF480F" w:rsidRDefault="00AF480F">
      <w:r>
        <w:continuationSeparator/>
      </w:r>
    </w:p>
  </w:footnote>
  <w:footnote w:type="continuationNotice" w:id="1">
    <w:p w:rsidR="00AF480F" w:rsidRDefault="00AF480F">
      <w:pPr>
        <w:spacing w:line="240" w:lineRule="auto"/>
      </w:pPr>
    </w:p>
  </w:footnote>
  <w:footnote w:id="2">
    <w:p w:rsidR="00AF480F" w:rsidRDefault="00AF480F" w:rsidP="001124B5">
      <w:pPr>
        <w:pStyle w:val="FootnoteText"/>
        <w:spacing w:before="0" w:line="240" w:lineRule="auto"/>
      </w:pPr>
      <w:r>
        <w:rPr>
          <w:rStyle w:val="FootnoteReference"/>
        </w:rPr>
        <w:footnoteRef/>
      </w:r>
      <w:r>
        <w:t xml:space="preserve">  </w:t>
      </w:r>
      <w:r w:rsidRPr="000E1B32">
        <w:rPr>
          <w:sz w:val="18"/>
          <w:szCs w:val="18"/>
        </w:rPr>
        <w:t xml:space="preserve">Jung KW, Shin HR, Kong HJ, Park S, Won YJ, Choi W, Park EC (2010). Long-term Trends in Cancer Mortality in Korea (1983-2007): A </w:t>
      </w:r>
      <w:proofErr w:type="spellStart"/>
      <w:r w:rsidRPr="000E1B32">
        <w:rPr>
          <w:sz w:val="18"/>
          <w:szCs w:val="18"/>
        </w:rPr>
        <w:t>Joinpoint</w:t>
      </w:r>
      <w:proofErr w:type="spellEnd"/>
      <w:r w:rsidRPr="000E1B32">
        <w:rPr>
          <w:sz w:val="18"/>
          <w:szCs w:val="18"/>
        </w:rPr>
        <w:t xml:space="preserve"> Regression Analysis. Asian Pacific Journal of Cancer Prevention, 11, 1451-1457 </w:t>
      </w:r>
    </w:p>
  </w:footnote>
  <w:footnote w:id="3">
    <w:p w:rsidR="00AF480F" w:rsidRDefault="00AF480F">
      <w:pPr>
        <w:pStyle w:val="FootnoteText"/>
      </w:pPr>
      <w:r>
        <w:rPr>
          <w:rStyle w:val="FootnoteReference"/>
        </w:rPr>
        <w:footnoteRef/>
      </w:r>
      <w:r>
        <w:t xml:space="preserve"> </w:t>
      </w:r>
      <w:r w:rsidRPr="000E1B32">
        <w:rPr>
          <w:sz w:val="18"/>
          <w:szCs w:val="18"/>
        </w:rPr>
        <w:t xml:space="preserve">Yoshida M, Kondo K, Tada T (2010). </w:t>
      </w:r>
      <w:proofErr w:type="gramStart"/>
      <w:r w:rsidRPr="000E1B32">
        <w:rPr>
          <w:sz w:val="18"/>
          <w:szCs w:val="18"/>
        </w:rPr>
        <w:t>The relation between the cancer screening rate and the cancer mortality rate in Japan.</w:t>
      </w:r>
      <w:proofErr w:type="gramEnd"/>
      <w:r w:rsidRPr="000E1B32">
        <w:rPr>
          <w:sz w:val="18"/>
          <w:szCs w:val="18"/>
        </w:rPr>
        <w:t xml:space="preserve">  </w:t>
      </w:r>
      <w:proofErr w:type="gramStart"/>
      <w:r w:rsidRPr="000E1B32">
        <w:rPr>
          <w:sz w:val="18"/>
          <w:szCs w:val="18"/>
        </w:rPr>
        <w:t>The relation between the cancer screening rate and the cancer mortality rate in Japan.</w:t>
      </w:r>
      <w:proofErr w:type="gramEnd"/>
      <w:r w:rsidRPr="000E1B32">
        <w:rPr>
          <w:sz w:val="18"/>
          <w:szCs w:val="18"/>
        </w:rPr>
        <w:t xml:space="preserve"> The Journal of Medical Investigation, 57, 251-259.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F005FA"/>
    <w:lvl w:ilvl="0">
      <w:start w:val="1"/>
      <w:numFmt w:val="decimal"/>
      <w:lvlText w:val="%1."/>
      <w:lvlJc w:val="left"/>
      <w:pPr>
        <w:tabs>
          <w:tab w:val="num" w:pos="1800"/>
        </w:tabs>
        <w:ind w:left="1800" w:hanging="360"/>
      </w:pPr>
    </w:lvl>
  </w:abstractNum>
  <w:abstractNum w:abstractNumId="1">
    <w:nsid w:val="FFFFFF7D"/>
    <w:multiLevelType w:val="singleLevel"/>
    <w:tmpl w:val="8F70409E"/>
    <w:lvl w:ilvl="0">
      <w:start w:val="1"/>
      <w:numFmt w:val="decimal"/>
      <w:lvlText w:val="%1."/>
      <w:lvlJc w:val="left"/>
      <w:pPr>
        <w:tabs>
          <w:tab w:val="num" w:pos="1440"/>
        </w:tabs>
        <w:ind w:left="1440" w:hanging="360"/>
      </w:pPr>
    </w:lvl>
  </w:abstractNum>
  <w:abstractNum w:abstractNumId="2">
    <w:nsid w:val="FFFFFF7E"/>
    <w:multiLevelType w:val="singleLevel"/>
    <w:tmpl w:val="73585650"/>
    <w:lvl w:ilvl="0">
      <w:start w:val="1"/>
      <w:numFmt w:val="decimal"/>
      <w:lvlText w:val="%1."/>
      <w:lvlJc w:val="left"/>
      <w:pPr>
        <w:tabs>
          <w:tab w:val="num" w:pos="1080"/>
        </w:tabs>
        <w:ind w:left="1080" w:hanging="360"/>
      </w:pPr>
    </w:lvl>
  </w:abstractNum>
  <w:abstractNum w:abstractNumId="3">
    <w:nsid w:val="FFFFFF7F"/>
    <w:multiLevelType w:val="singleLevel"/>
    <w:tmpl w:val="F0BE391C"/>
    <w:lvl w:ilvl="0">
      <w:start w:val="1"/>
      <w:numFmt w:val="decimal"/>
      <w:lvlText w:val="%1."/>
      <w:lvlJc w:val="left"/>
      <w:pPr>
        <w:tabs>
          <w:tab w:val="num" w:pos="720"/>
        </w:tabs>
        <w:ind w:left="720" w:hanging="360"/>
      </w:pPr>
    </w:lvl>
  </w:abstractNum>
  <w:abstractNum w:abstractNumId="4">
    <w:nsid w:val="FFFFFF80"/>
    <w:multiLevelType w:val="singleLevel"/>
    <w:tmpl w:val="42529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AB4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2F9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D472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4662E8"/>
    <w:lvl w:ilvl="0">
      <w:start w:val="1"/>
      <w:numFmt w:val="decimal"/>
      <w:lvlText w:val="%1."/>
      <w:lvlJc w:val="left"/>
      <w:pPr>
        <w:tabs>
          <w:tab w:val="num" w:pos="360"/>
        </w:tabs>
        <w:ind w:left="360" w:hanging="360"/>
      </w:pPr>
    </w:lvl>
  </w:abstractNum>
  <w:abstractNum w:abstractNumId="9">
    <w:nsid w:val="FFFFFF89"/>
    <w:multiLevelType w:val="singleLevel"/>
    <w:tmpl w:val="2F66AB8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566A1"/>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2">
    <w:nsid w:val="0B560CDB"/>
    <w:multiLevelType w:val="singleLevel"/>
    <w:tmpl w:val="CF3CB1E0"/>
    <w:lvl w:ilvl="0">
      <w:start w:val="7"/>
      <w:numFmt w:val="decimal"/>
      <w:lvlText w:val="%1."/>
      <w:lvlJc w:val="left"/>
      <w:pPr>
        <w:tabs>
          <w:tab w:val="num" w:pos="1722"/>
        </w:tabs>
        <w:ind w:left="1722" w:hanging="570"/>
      </w:pPr>
      <w:rPr>
        <w:rFonts w:hint="default"/>
      </w:rPr>
    </w:lvl>
  </w:abstractNum>
  <w:abstractNum w:abstractNumId="13">
    <w:nsid w:val="0B5E58A8"/>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4">
    <w:nsid w:val="0D0F3D6D"/>
    <w:multiLevelType w:val="multilevel"/>
    <w:tmpl w:val="CC2C4434"/>
    <w:lvl w:ilvl="0">
      <w:start w:val="1"/>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5">
    <w:nsid w:val="17FE2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9B31821"/>
    <w:multiLevelType w:val="singleLevel"/>
    <w:tmpl w:val="970AD6D2"/>
    <w:lvl w:ilvl="0">
      <w:start w:val="1"/>
      <w:numFmt w:val="decimal"/>
      <w:lvlText w:val="%1."/>
      <w:lvlJc w:val="left"/>
      <w:pPr>
        <w:tabs>
          <w:tab w:val="num" w:pos="1728"/>
        </w:tabs>
        <w:ind w:left="1728" w:hanging="576"/>
      </w:pPr>
    </w:lvl>
  </w:abstractNum>
  <w:abstractNum w:abstractNumId="17">
    <w:nsid w:val="1D0C7ABD"/>
    <w:multiLevelType w:val="multilevel"/>
    <w:tmpl w:val="DE2E2902"/>
    <w:lvl w:ilvl="0">
      <w:start w:val="2"/>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8">
    <w:nsid w:val="210F7082"/>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9">
    <w:nsid w:val="2A9F4CFF"/>
    <w:multiLevelType w:val="singleLevel"/>
    <w:tmpl w:val="5A1671AE"/>
    <w:lvl w:ilvl="0">
      <w:start w:val="1"/>
      <w:numFmt w:val="decimal"/>
      <w:lvlText w:val="%1."/>
      <w:lvlJc w:val="left"/>
      <w:pPr>
        <w:tabs>
          <w:tab w:val="num" w:pos="1707"/>
        </w:tabs>
        <w:ind w:left="1707" w:hanging="555"/>
      </w:pPr>
      <w:rPr>
        <w:rFonts w:hint="default"/>
      </w:r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DC4317"/>
    <w:multiLevelType w:val="singleLevel"/>
    <w:tmpl w:val="0409000F"/>
    <w:lvl w:ilvl="0">
      <w:start w:val="1"/>
      <w:numFmt w:val="decimal"/>
      <w:lvlText w:val="%1."/>
      <w:lvlJc w:val="left"/>
      <w:pPr>
        <w:tabs>
          <w:tab w:val="num" w:pos="360"/>
        </w:tabs>
        <w:ind w:left="360" w:hanging="360"/>
      </w:pPr>
    </w:lvl>
  </w:abstractNum>
  <w:abstractNum w:abstractNumId="23">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DE54C0"/>
    <w:multiLevelType w:val="singleLevel"/>
    <w:tmpl w:val="42F07396"/>
    <w:lvl w:ilvl="0">
      <w:start w:val="1"/>
      <w:numFmt w:val="decimal"/>
      <w:lvlText w:val="%1."/>
      <w:lvlJc w:val="left"/>
      <w:pPr>
        <w:tabs>
          <w:tab w:val="num" w:pos="360"/>
        </w:tabs>
        <w:ind w:left="360" w:hanging="360"/>
      </w:pPr>
      <w:rPr>
        <w:b w:val="0"/>
        <w:i w:val="0"/>
      </w:rPr>
    </w:lvl>
  </w:abstractNum>
  <w:abstractNum w:abstractNumId="25">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1435B0"/>
    <w:multiLevelType w:val="hybridMultilevel"/>
    <w:tmpl w:val="A544966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12C2B71"/>
    <w:multiLevelType w:val="singleLevel"/>
    <w:tmpl w:val="970AD6D2"/>
    <w:lvl w:ilvl="0">
      <w:start w:val="1"/>
      <w:numFmt w:val="decimal"/>
      <w:lvlText w:val="%1."/>
      <w:legacy w:legacy="1" w:legacySpace="0" w:legacyIndent="360"/>
      <w:lvlJc w:val="left"/>
      <w:pPr>
        <w:ind w:left="360" w:hanging="360"/>
      </w:pPr>
    </w:lvl>
  </w:abstractNum>
  <w:abstractNum w:abstractNumId="28">
    <w:nsid w:val="61984B7D"/>
    <w:multiLevelType w:val="singleLevel"/>
    <w:tmpl w:val="DEFE50C4"/>
    <w:lvl w:ilvl="0">
      <w:start w:val="1"/>
      <w:numFmt w:val="bullet"/>
      <w:lvlText w:val=""/>
      <w:lvlJc w:val="left"/>
      <w:pPr>
        <w:tabs>
          <w:tab w:val="num" w:pos="1728"/>
        </w:tabs>
        <w:ind w:left="1728" w:hanging="576"/>
      </w:pPr>
      <w:rPr>
        <w:rFonts w:ascii="Wingdings" w:hAnsi="Wingdings" w:hint="default"/>
        <w:sz w:val="16"/>
      </w:rPr>
    </w:lvl>
  </w:abstractNum>
  <w:abstractNum w:abstractNumId="29">
    <w:nsid w:val="61E14E3C"/>
    <w:multiLevelType w:val="singleLevel"/>
    <w:tmpl w:val="970AD6D2"/>
    <w:lvl w:ilvl="0">
      <w:start w:val="1"/>
      <w:numFmt w:val="decimal"/>
      <w:lvlText w:val="%1."/>
      <w:lvlJc w:val="left"/>
      <w:pPr>
        <w:tabs>
          <w:tab w:val="num" w:pos="1728"/>
        </w:tabs>
        <w:ind w:left="1728" w:hanging="576"/>
      </w:pPr>
    </w:lvl>
  </w:abstractNum>
  <w:abstractNum w:abstractNumId="3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576EE8"/>
    <w:multiLevelType w:val="multilevel"/>
    <w:tmpl w:val="CF9E9C74"/>
    <w:lvl w:ilvl="0">
      <w:start w:val="10"/>
      <w:numFmt w:val="decimal"/>
      <w:lvlText w:val="%1."/>
      <w:lvlJc w:val="left"/>
      <w:pPr>
        <w:tabs>
          <w:tab w:val="num" w:pos="1512"/>
        </w:tabs>
        <w:ind w:left="1512" w:hanging="36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32">
    <w:nsid w:val="7406658F"/>
    <w:multiLevelType w:val="singleLevel"/>
    <w:tmpl w:val="970AD6D2"/>
    <w:lvl w:ilvl="0">
      <w:start w:val="1"/>
      <w:numFmt w:val="decimal"/>
      <w:lvlText w:val="%1."/>
      <w:lvlJc w:val="left"/>
      <w:pPr>
        <w:tabs>
          <w:tab w:val="num" w:pos="1728"/>
        </w:tabs>
        <w:ind w:left="1728" w:hanging="576"/>
      </w:pPr>
    </w:lvl>
  </w:abstractNum>
  <w:abstractNum w:abstractNumId="33">
    <w:nsid w:val="7C43593F"/>
    <w:multiLevelType w:val="hybridMultilevel"/>
    <w:tmpl w:val="0E9244BC"/>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num w:numId="1">
    <w:abstractNumId w:val="20"/>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8"/>
  </w:num>
  <w:num w:numId="14">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5">
    <w:abstractNumId w:val="32"/>
  </w:num>
  <w:num w:numId="16">
    <w:abstractNumId w:val="32"/>
  </w:num>
  <w:num w:numId="17">
    <w:abstractNumId w:val="32"/>
  </w:num>
  <w:num w:numId="18">
    <w:abstractNumId w:val="15"/>
  </w:num>
  <w:num w:numId="19">
    <w:abstractNumId w:val="27"/>
  </w:num>
  <w:num w:numId="20">
    <w:abstractNumId w:val="12"/>
  </w:num>
  <w:num w:numId="21">
    <w:abstractNumId w:val="13"/>
  </w:num>
  <w:num w:numId="22">
    <w:abstractNumId w:val="24"/>
  </w:num>
  <w:num w:numId="23">
    <w:abstractNumId w:val="18"/>
  </w:num>
  <w:num w:numId="24">
    <w:abstractNumId w:val="22"/>
  </w:num>
  <w:num w:numId="25">
    <w:abstractNumId w:val="11"/>
  </w:num>
  <w:num w:numId="26">
    <w:abstractNumId w:val="14"/>
  </w:num>
  <w:num w:numId="27">
    <w:abstractNumId w:val="17"/>
  </w:num>
  <w:num w:numId="28">
    <w:abstractNumId w:val="31"/>
  </w:num>
  <w:num w:numId="29">
    <w:abstractNumId w:val="19"/>
  </w:num>
  <w:num w:numId="30">
    <w:abstractNumId w:val="33"/>
  </w:num>
  <w:num w:numId="31">
    <w:abstractNumId w:val="25"/>
  </w:num>
  <w:num w:numId="32">
    <w:abstractNumId w:val="21"/>
  </w:num>
  <w:num w:numId="33">
    <w:abstractNumId w:val="23"/>
  </w:num>
  <w:num w:numId="34">
    <w:abstractNumId w:val="3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0E28"/>
    <w:rsid w:val="00012BB4"/>
    <w:rsid w:val="0001347F"/>
    <w:rsid w:val="000141E0"/>
    <w:rsid w:val="000173A6"/>
    <w:rsid w:val="000205EA"/>
    <w:rsid w:val="00020A89"/>
    <w:rsid w:val="00021880"/>
    <w:rsid w:val="0002331D"/>
    <w:rsid w:val="00024D79"/>
    <w:rsid w:val="00025830"/>
    <w:rsid w:val="00025A41"/>
    <w:rsid w:val="00025B1E"/>
    <w:rsid w:val="00026788"/>
    <w:rsid w:val="00026B10"/>
    <w:rsid w:val="000357DD"/>
    <w:rsid w:val="00035C95"/>
    <w:rsid w:val="00035E7B"/>
    <w:rsid w:val="00036C5A"/>
    <w:rsid w:val="00041310"/>
    <w:rsid w:val="00041328"/>
    <w:rsid w:val="00041E92"/>
    <w:rsid w:val="000435B4"/>
    <w:rsid w:val="00044C58"/>
    <w:rsid w:val="000503FB"/>
    <w:rsid w:val="00053341"/>
    <w:rsid w:val="00054457"/>
    <w:rsid w:val="00054581"/>
    <w:rsid w:val="00055702"/>
    <w:rsid w:val="00060277"/>
    <w:rsid w:val="00061555"/>
    <w:rsid w:val="0007008D"/>
    <w:rsid w:val="000707E7"/>
    <w:rsid w:val="0007392A"/>
    <w:rsid w:val="000758D2"/>
    <w:rsid w:val="00075D93"/>
    <w:rsid w:val="0008058C"/>
    <w:rsid w:val="000805DA"/>
    <w:rsid w:val="00080C06"/>
    <w:rsid w:val="00081135"/>
    <w:rsid w:val="000816BF"/>
    <w:rsid w:val="000867BC"/>
    <w:rsid w:val="0009299F"/>
    <w:rsid w:val="000935B7"/>
    <w:rsid w:val="00093C80"/>
    <w:rsid w:val="000946C1"/>
    <w:rsid w:val="00096594"/>
    <w:rsid w:val="000A06B8"/>
    <w:rsid w:val="000A4657"/>
    <w:rsid w:val="000A4A3B"/>
    <w:rsid w:val="000B2F65"/>
    <w:rsid w:val="000C0798"/>
    <w:rsid w:val="000C27FA"/>
    <w:rsid w:val="000C4B04"/>
    <w:rsid w:val="000D5275"/>
    <w:rsid w:val="000D6729"/>
    <w:rsid w:val="000E0F88"/>
    <w:rsid w:val="000E18DA"/>
    <w:rsid w:val="000E1B32"/>
    <w:rsid w:val="000E3253"/>
    <w:rsid w:val="000E520A"/>
    <w:rsid w:val="000E646C"/>
    <w:rsid w:val="000F2330"/>
    <w:rsid w:val="000F553F"/>
    <w:rsid w:val="000F7C08"/>
    <w:rsid w:val="00100495"/>
    <w:rsid w:val="001055B3"/>
    <w:rsid w:val="00106D67"/>
    <w:rsid w:val="00111E2F"/>
    <w:rsid w:val="001124B5"/>
    <w:rsid w:val="00112D1E"/>
    <w:rsid w:val="00112DD5"/>
    <w:rsid w:val="00114651"/>
    <w:rsid w:val="00120138"/>
    <w:rsid w:val="00124A4A"/>
    <w:rsid w:val="0012682F"/>
    <w:rsid w:val="00130226"/>
    <w:rsid w:val="0013175D"/>
    <w:rsid w:val="00131951"/>
    <w:rsid w:val="00132C81"/>
    <w:rsid w:val="00133CF5"/>
    <w:rsid w:val="00136108"/>
    <w:rsid w:val="001363FF"/>
    <w:rsid w:val="00137EBF"/>
    <w:rsid w:val="001479F0"/>
    <w:rsid w:val="0015101A"/>
    <w:rsid w:val="001552C2"/>
    <w:rsid w:val="00161032"/>
    <w:rsid w:val="00162BAB"/>
    <w:rsid w:val="001658F4"/>
    <w:rsid w:val="00165D9E"/>
    <w:rsid w:val="0017034D"/>
    <w:rsid w:val="0017315C"/>
    <w:rsid w:val="00174432"/>
    <w:rsid w:val="001763C2"/>
    <w:rsid w:val="00176ADA"/>
    <w:rsid w:val="00177C1E"/>
    <w:rsid w:val="00182642"/>
    <w:rsid w:val="0018402C"/>
    <w:rsid w:val="0018416B"/>
    <w:rsid w:val="00184678"/>
    <w:rsid w:val="00185208"/>
    <w:rsid w:val="001863F5"/>
    <w:rsid w:val="00186419"/>
    <w:rsid w:val="00190D40"/>
    <w:rsid w:val="001912FB"/>
    <w:rsid w:val="00192C18"/>
    <w:rsid w:val="00192C35"/>
    <w:rsid w:val="00195F68"/>
    <w:rsid w:val="00197437"/>
    <w:rsid w:val="001A0DC7"/>
    <w:rsid w:val="001A1A4E"/>
    <w:rsid w:val="001A57DD"/>
    <w:rsid w:val="001B28B4"/>
    <w:rsid w:val="001B3B40"/>
    <w:rsid w:val="001B671A"/>
    <w:rsid w:val="001B70BE"/>
    <w:rsid w:val="001C097A"/>
    <w:rsid w:val="001C0C85"/>
    <w:rsid w:val="001C6382"/>
    <w:rsid w:val="001D1EED"/>
    <w:rsid w:val="001D41F9"/>
    <w:rsid w:val="001D4A53"/>
    <w:rsid w:val="001D5B2C"/>
    <w:rsid w:val="001D75D5"/>
    <w:rsid w:val="001E2790"/>
    <w:rsid w:val="001E4F4F"/>
    <w:rsid w:val="001E6D29"/>
    <w:rsid w:val="001F2E78"/>
    <w:rsid w:val="001F6985"/>
    <w:rsid w:val="001F702E"/>
    <w:rsid w:val="00201B92"/>
    <w:rsid w:val="00201CDA"/>
    <w:rsid w:val="00202368"/>
    <w:rsid w:val="0021189A"/>
    <w:rsid w:val="0021193B"/>
    <w:rsid w:val="0021197B"/>
    <w:rsid w:val="002124E2"/>
    <w:rsid w:val="0021408F"/>
    <w:rsid w:val="002144FC"/>
    <w:rsid w:val="00215D0E"/>
    <w:rsid w:val="00217AC6"/>
    <w:rsid w:val="00220501"/>
    <w:rsid w:val="0022247C"/>
    <w:rsid w:val="00222F72"/>
    <w:rsid w:val="00225587"/>
    <w:rsid w:val="00230B0C"/>
    <w:rsid w:val="00231C2D"/>
    <w:rsid w:val="00232B86"/>
    <w:rsid w:val="00233CAF"/>
    <w:rsid w:val="00235C32"/>
    <w:rsid w:val="00237403"/>
    <w:rsid w:val="00237A70"/>
    <w:rsid w:val="00241723"/>
    <w:rsid w:val="002439EA"/>
    <w:rsid w:val="00244C28"/>
    <w:rsid w:val="00246BDA"/>
    <w:rsid w:val="00246F0D"/>
    <w:rsid w:val="002470FD"/>
    <w:rsid w:val="00250009"/>
    <w:rsid w:val="00251F73"/>
    <w:rsid w:val="00252260"/>
    <w:rsid w:val="00253FF6"/>
    <w:rsid w:val="00255DF2"/>
    <w:rsid w:val="00261A77"/>
    <w:rsid w:val="00261AF0"/>
    <w:rsid w:val="002629BF"/>
    <w:rsid w:val="002678F0"/>
    <w:rsid w:val="002719A3"/>
    <w:rsid w:val="00272165"/>
    <w:rsid w:val="00272C0F"/>
    <w:rsid w:val="00273525"/>
    <w:rsid w:val="0027612F"/>
    <w:rsid w:val="00277B9F"/>
    <w:rsid w:val="00281164"/>
    <w:rsid w:val="00281B29"/>
    <w:rsid w:val="0028687D"/>
    <w:rsid w:val="00286B19"/>
    <w:rsid w:val="00286D0B"/>
    <w:rsid w:val="00286EFD"/>
    <w:rsid w:val="00287124"/>
    <w:rsid w:val="002879ED"/>
    <w:rsid w:val="00287AB9"/>
    <w:rsid w:val="00290F33"/>
    <w:rsid w:val="00292DAA"/>
    <w:rsid w:val="002944AB"/>
    <w:rsid w:val="002967E7"/>
    <w:rsid w:val="002A4E53"/>
    <w:rsid w:val="002A6D51"/>
    <w:rsid w:val="002A70D3"/>
    <w:rsid w:val="002B26DA"/>
    <w:rsid w:val="002B3476"/>
    <w:rsid w:val="002B5F7A"/>
    <w:rsid w:val="002B6ABB"/>
    <w:rsid w:val="002B7388"/>
    <w:rsid w:val="002C055E"/>
    <w:rsid w:val="002C100D"/>
    <w:rsid w:val="002C10B1"/>
    <w:rsid w:val="002C1399"/>
    <w:rsid w:val="002C1CFA"/>
    <w:rsid w:val="002C23AA"/>
    <w:rsid w:val="002C577D"/>
    <w:rsid w:val="002C6DD3"/>
    <w:rsid w:val="002D005B"/>
    <w:rsid w:val="002D5B0F"/>
    <w:rsid w:val="002E015D"/>
    <w:rsid w:val="002E1030"/>
    <w:rsid w:val="002E2983"/>
    <w:rsid w:val="002E2ACF"/>
    <w:rsid w:val="002E482C"/>
    <w:rsid w:val="002E5620"/>
    <w:rsid w:val="002E68DD"/>
    <w:rsid w:val="00306034"/>
    <w:rsid w:val="00307785"/>
    <w:rsid w:val="003108F5"/>
    <w:rsid w:val="00310C00"/>
    <w:rsid w:val="00310F55"/>
    <w:rsid w:val="00313836"/>
    <w:rsid w:val="00313F98"/>
    <w:rsid w:val="00321F37"/>
    <w:rsid w:val="00322AA9"/>
    <w:rsid w:val="00324BB8"/>
    <w:rsid w:val="00325D9E"/>
    <w:rsid w:val="0033214D"/>
    <w:rsid w:val="0033270C"/>
    <w:rsid w:val="0033334C"/>
    <w:rsid w:val="0033382E"/>
    <w:rsid w:val="0034177E"/>
    <w:rsid w:val="00341D4B"/>
    <w:rsid w:val="00342390"/>
    <w:rsid w:val="00342691"/>
    <w:rsid w:val="003428AA"/>
    <w:rsid w:val="00352AFD"/>
    <w:rsid w:val="0035548D"/>
    <w:rsid w:val="00361FA2"/>
    <w:rsid w:val="0036231C"/>
    <w:rsid w:val="0036259A"/>
    <w:rsid w:val="00363469"/>
    <w:rsid w:val="00363DD4"/>
    <w:rsid w:val="00364386"/>
    <w:rsid w:val="003647FA"/>
    <w:rsid w:val="00367812"/>
    <w:rsid w:val="00372B36"/>
    <w:rsid w:val="0037388F"/>
    <w:rsid w:val="0037528B"/>
    <w:rsid w:val="00375611"/>
    <w:rsid w:val="00376DA1"/>
    <w:rsid w:val="0037759B"/>
    <w:rsid w:val="00377711"/>
    <w:rsid w:val="0038245C"/>
    <w:rsid w:val="003825F2"/>
    <w:rsid w:val="003827A1"/>
    <w:rsid w:val="00382B03"/>
    <w:rsid w:val="00383113"/>
    <w:rsid w:val="003863BB"/>
    <w:rsid w:val="003866F7"/>
    <w:rsid w:val="00386D32"/>
    <w:rsid w:val="003907CC"/>
    <w:rsid w:val="003908FE"/>
    <w:rsid w:val="00390DC9"/>
    <w:rsid w:val="00391802"/>
    <w:rsid w:val="00391E0B"/>
    <w:rsid w:val="0039770D"/>
    <w:rsid w:val="003A0452"/>
    <w:rsid w:val="003A0A55"/>
    <w:rsid w:val="003A0DDC"/>
    <w:rsid w:val="003A20AD"/>
    <w:rsid w:val="003A23AE"/>
    <w:rsid w:val="003A5FAD"/>
    <w:rsid w:val="003A67E3"/>
    <w:rsid w:val="003A6FB1"/>
    <w:rsid w:val="003B1E64"/>
    <w:rsid w:val="003C091F"/>
    <w:rsid w:val="003C79B7"/>
    <w:rsid w:val="003D1ADF"/>
    <w:rsid w:val="003D5997"/>
    <w:rsid w:val="003D7AC5"/>
    <w:rsid w:val="003E397B"/>
    <w:rsid w:val="003E3ACB"/>
    <w:rsid w:val="003E5439"/>
    <w:rsid w:val="003E5D2A"/>
    <w:rsid w:val="003E5DF3"/>
    <w:rsid w:val="003E6860"/>
    <w:rsid w:val="003F0975"/>
    <w:rsid w:val="003F11AF"/>
    <w:rsid w:val="003F4CA1"/>
    <w:rsid w:val="003F56F5"/>
    <w:rsid w:val="0040004C"/>
    <w:rsid w:val="004002BB"/>
    <w:rsid w:val="00400347"/>
    <w:rsid w:val="00401798"/>
    <w:rsid w:val="0040272D"/>
    <w:rsid w:val="00403288"/>
    <w:rsid w:val="0040485C"/>
    <w:rsid w:val="004058BB"/>
    <w:rsid w:val="004058C1"/>
    <w:rsid w:val="00406E46"/>
    <w:rsid w:val="004079A2"/>
    <w:rsid w:val="00411577"/>
    <w:rsid w:val="00411A2C"/>
    <w:rsid w:val="00415673"/>
    <w:rsid w:val="00417EFC"/>
    <w:rsid w:val="00421C0D"/>
    <w:rsid w:val="00423B72"/>
    <w:rsid w:val="004242C5"/>
    <w:rsid w:val="004347C2"/>
    <w:rsid w:val="00434AB1"/>
    <w:rsid w:val="00435BF0"/>
    <w:rsid w:val="004404DF"/>
    <w:rsid w:val="00446CC1"/>
    <w:rsid w:val="004479C7"/>
    <w:rsid w:val="00447B09"/>
    <w:rsid w:val="00447D76"/>
    <w:rsid w:val="00447F04"/>
    <w:rsid w:val="00452CB0"/>
    <w:rsid w:val="00453963"/>
    <w:rsid w:val="00455F91"/>
    <w:rsid w:val="00456D65"/>
    <w:rsid w:val="00457EE8"/>
    <w:rsid w:val="004679C2"/>
    <w:rsid w:val="00471C46"/>
    <w:rsid w:val="00472C39"/>
    <w:rsid w:val="004731EB"/>
    <w:rsid w:val="004736DE"/>
    <w:rsid w:val="004759E9"/>
    <w:rsid w:val="00477EE4"/>
    <w:rsid w:val="00480694"/>
    <w:rsid w:val="00480A7B"/>
    <w:rsid w:val="00481F64"/>
    <w:rsid w:val="0048208C"/>
    <w:rsid w:val="00487C9A"/>
    <w:rsid w:val="0049137D"/>
    <w:rsid w:val="004921BF"/>
    <w:rsid w:val="0049244D"/>
    <w:rsid w:val="00492B7A"/>
    <w:rsid w:val="00493290"/>
    <w:rsid w:val="00493AC1"/>
    <w:rsid w:val="00495DD4"/>
    <w:rsid w:val="00496CAF"/>
    <w:rsid w:val="00497263"/>
    <w:rsid w:val="004A14DD"/>
    <w:rsid w:val="004A16D4"/>
    <w:rsid w:val="004A36BD"/>
    <w:rsid w:val="004B1A10"/>
    <w:rsid w:val="004B1D8D"/>
    <w:rsid w:val="004B3801"/>
    <w:rsid w:val="004B4617"/>
    <w:rsid w:val="004B56EB"/>
    <w:rsid w:val="004B64E7"/>
    <w:rsid w:val="004C181C"/>
    <w:rsid w:val="004C2AE0"/>
    <w:rsid w:val="004C2D63"/>
    <w:rsid w:val="004C2E2F"/>
    <w:rsid w:val="004C312D"/>
    <w:rsid w:val="004C52AA"/>
    <w:rsid w:val="004C5CD3"/>
    <w:rsid w:val="004C5DA6"/>
    <w:rsid w:val="004D3EC0"/>
    <w:rsid w:val="004D44F2"/>
    <w:rsid w:val="004D50DF"/>
    <w:rsid w:val="004E0B28"/>
    <w:rsid w:val="004E1F8A"/>
    <w:rsid w:val="004E30C0"/>
    <w:rsid w:val="004E3E40"/>
    <w:rsid w:val="004E695B"/>
    <w:rsid w:val="004F0648"/>
    <w:rsid w:val="004F34D2"/>
    <w:rsid w:val="005019B6"/>
    <w:rsid w:val="00512A5B"/>
    <w:rsid w:val="00517A72"/>
    <w:rsid w:val="00527BDD"/>
    <w:rsid w:val="005305E0"/>
    <w:rsid w:val="005319B8"/>
    <w:rsid w:val="00532E38"/>
    <w:rsid w:val="0053375E"/>
    <w:rsid w:val="00536FEE"/>
    <w:rsid w:val="005374ED"/>
    <w:rsid w:val="0054179A"/>
    <w:rsid w:val="00542E99"/>
    <w:rsid w:val="005463F4"/>
    <w:rsid w:val="00550A6A"/>
    <w:rsid w:val="005511BB"/>
    <w:rsid w:val="00551447"/>
    <w:rsid w:val="0055183C"/>
    <w:rsid w:val="00551F5F"/>
    <w:rsid w:val="005533B9"/>
    <w:rsid w:val="00555DE5"/>
    <w:rsid w:val="0055684E"/>
    <w:rsid w:val="00556C52"/>
    <w:rsid w:val="00557C9C"/>
    <w:rsid w:val="00560A7E"/>
    <w:rsid w:val="00561C2F"/>
    <w:rsid w:val="00562237"/>
    <w:rsid w:val="005635E6"/>
    <w:rsid w:val="005640B9"/>
    <w:rsid w:val="00564527"/>
    <w:rsid w:val="00564A51"/>
    <w:rsid w:val="00564DDE"/>
    <w:rsid w:val="00573127"/>
    <w:rsid w:val="005743CD"/>
    <w:rsid w:val="00574C3B"/>
    <w:rsid w:val="005752E2"/>
    <w:rsid w:val="00575A5F"/>
    <w:rsid w:val="00575F8B"/>
    <w:rsid w:val="00580DCC"/>
    <w:rsid w:val="00581055"/>
    <w:rsid w:val="005857F6"/>
    <w:rsid w:val="0059313E"/>
    <w:rsid w:val="00593A7C"/>
    <w:rsid w:val="005A01B1"/>
    <w:rsid w:val="005A1BF8"/>
    <w:rsid w:val="005A2E52"/>
    <w:rsid w:val="005A329C"/>
    <w:rsid w:val="005A3840"/>
    <w:rsid w:val="005A405A"/>
    <w:rsid w:val="005A4873"/>
    <w:rsid w:val="005A5C21"/>
    <w:rsid w:val="005A61AC"/>
    <w:rsid w:val="005A759A"/>
    <w:rsid w:val="005B0B30"/>
    <w:rsid w:val="005B26D1"/>
    <w:rsid w:val="005B4BDD"/>
    <w:rsid w:val="005C2343"/>
    <w:rsid w:val="005C4F78"/>
    <w:rsid w:val="005D0157"/>
    <w:rsid w:val="005D073F"/>
    <w:rsid w:val="005D16EA"/>
    <w:rsid w:val="005D2EA2"/>
    <w:rsid w:val="005D3D6F"/>
    <w:rsid w:val="005D420C"/>
    <w:rsid w:val="005D6186"/>
    <w:rsid w:val="005D6C39"/>
    <w:rsid w:val="005D70B8"/>
    <w:rsid w:val="005E04D0"/>
    <w:rsid w:val="005E133F"/>
    <w:rsid w:val="005E266B"/>
    <w:rsid w:val="005E3A6C"/>
    <w:rsid w:val="005E5A9A"/>
    <w:rsid w:val="005E5E2D"/>
    <w:rsid w:val="005E6A6B"/>
    <w:rsid w:val="005F0F88"/>
    <w:rsid w:val="005F2535"/>
    <w:rsid w:val="005F27C0"/>
    <w:rsid w:val="005F3499"/>
    <w:rsid w:val="005F5AEC"/>
    <w:rsid w:val="005F7382"/>
    <w:rsid w:val="005F75CB"/>
    <w:rsid w:val="00602507"/>
    <w:rsid w:val="00603EDB"/>
    <w:rsid w:val="0060410B"/>
    <w:rsid w:val="00604B20"/>
    <w:rsid w:val="00614A6C"/>
    <w:rsid w:val="00621F48"/>
    <w:rsid w:val="00622FE2"/>
    <w:rsid w:val="006230AD"/>
    <w:rsid w:val="00623669"/>
    <w:rsid w:val="00623D3F"/>
    <w:rsid w:val="00624197"/>
    <w:rsid w:val="006266B4"/>
    <w:rsid w:val="00627416"/>
    <w:rsid w:val="00627E90"/>
    <w:rsid w:val="00633458"/>
    <w:rsid w:val="006356B5"/>
    <w:rsid w:val="00635A27"/>
    <w:rsid w:val="00636225"/>
    <w:rsid w:val="00637CAA"/>
    <w:rsid w:val="00641549"/>
    <w:rsid w:val="00642A6E"/>
    <w:rsid w:val="00643C1C"/>
    <w:rsid w:val="00646A2C"/>
    <w:rsid w:val="00646AB9"/>
    <w:rsid w:val="006528BE"/>
    <w:rsid w:val="006566CA"/>
    <w:rsid w:val="00656AFC"/>
    <w:rsid w:val="0065747D"/>
    <w:rsid w:val="00660E88"/>
    <w:rsid w:val="00661187"/>
    <w:rsid w:val="00665635"/>
    <w:rsid w:val="00665F9B"/>
    <w:rsid w:val="0066665F"/>
    <w:rsid w:val="00673E5F"/>
    <w:rsid w:val="00673FA6"/>
    <w:rsid w:val="006740E6"/>
    <w:rsid w:val="006773D6"/>
    <w:rsid w:val="00680B20"/>
    <w:rsid w:val="006861FD"/>
    <w:rsid w:val="006907A6"/>
    <w:rsid w:val="006976A2"/>
    <w:rsid w:val="006A020C"/>
    <w:rsid w:val="006A058F"/>
    <w:rsid w:val="006A17CB"/>
    <w:rsid w:val="006A1908"/>
    <w:rsid w:val="006A2534"/>
    <w:rsid w:val="006A43C0"/>
    <w:rsid w:val="006A501F"/>
    <w:rsid w:val="006B2401"/>
    <w:rsid w:val="006B241F"/>
    <w:rsid w:val="006B5E4A"/>
    <w:rsid w:val="006B695D"/>
    <w:rsid w:val="006B7C1C"/>
    <w:rsid w:val="006C5738"/>
    <w:rsid w:val="006C6B5F"/>
    <w:rsid w:val="006C7E8A"/>
    <w:rsid w:val="006D2DD6"/>
    <w:rsid w:val="006D39AB"/>
    <w:rsid w:val="006D6073"/>
    <w:rsid w:val="006D6DE3"/>
    <w:rsid w:val="006E0F8A"/>
    <w:rsid w:val="006E1FEC"/>
    <w:rsid w:val="006E4868"/>
    <w:rsid w:val="006F1F5D"/>
    <w:rsid w:val="006F6116"/>
    <w:rsid w:val="006F6127"/>
    <w:rsid w:val="006F70E6"/>
    <w:rsid w:val="006F7B3B"/>
    <w:rsid w:val="00702DD3"/>
    <w:rsid w:val="0070566D"/>
    <w:rsid w:val="00706AC5"/>
    <w:rsid w:val="00706F2F"/>
    <w:rsid w:val="00707E81"/>
    <w:rsid w:val="00711535"/>
    <w:rsid w:val="00712336"/>
    <w:rsid w:val="00713C50"/>
    <w:rsid w:val="00714B2B"/>
    <w:rsid w:val="00721518"/>
    <w:rsid w:val="00721A83"/>
    <w:rsid w:val="00723BBD"/>
    <w:rsid w:val="007241ED"/>
    <w:rsid w:val="007248A1"/>
    <w:rsid w:val="00724EC9"/>
    <w:rsid w:val="00725B47"/>
    <w:rsid w:val="0072634C"/>
    <w:rsid w:val="00726A52"/>
    <w:rsid w:val="007270B2"/>
    <w:rsid w:val="00730CFE"/>
    <w:rsid w:val="00735E54"/>
    <w:rsid w:val="00741672"/>
    <w:rsid w:val="00747E59"/>
    <w:rsid w:val="0075475E"/>
    <w:rsid w:val="0075513D"/>
    <w:rsid w:val="00755582"/>
    <w:rsid w:val="00756A8E"/>
    <w:rsid w:val="007578B3"/>
    <w:rsid w:val="00760431"/>
    <w:rsid w:val="00763B64"/>
    <w:rsid w:val="00764171"/>
    <w:rsid w:val="007671B6"/>
    <w:rsid w:val="007760E8"/>
    <w:rsid w:val="00780235"/>
    <w:rsid w:val="007803C4"/>
    <w:rsid w:val="0078050E"/>
    <w:rsid w:val="007807C2"/>
    <w:rsid w:val="00782712"/>
    <w:rsid w:val="007844BC"/>
    <w:rsid w:val="00786321"/>
    <w:rsid w:val="007868F9"/>
    <w:rsid w:val="00786973"/>
    <w:rsid w:val="00790004"/>
    <w:rsid w:val="00790054"/>
    <w:rsid w:val="007919DD"/>
    <w:rsid w:val="007923E7"/>
    <w:rsid w:val="00793266"/>
    <w:rsid w:val="0079465D"/>
    <w:rsid w:val="00796BA5"/>
    <w:rsid w:val="007A12D8"/>
    <w:rsid w:val="007B0705"/>
    <w:rsid w:val="007B12A9"/>
    <w:rsid w:val="007B12FE"/>
    <w:rsid w:val="007B296E"/>
    <w:rsid w:val="007B3A97"/>
    <w:rsid w:val="007B5EBB"/>
    <w:rsid w:val="007C1EA1"/>
    <w:rsid w:val="007C3FD7"/>
    <w:rsid w:val="007C5373"/>
    <w:rsid w:val="007C6278"/>
    <w:rsid w:val="007C66E7"/>
    <w:rsid w:val="007C6BFD"/>
    <w:rsid w:val="007C7ADD"/>
    <w:rsid w:val="007D66DE"/>
    <w:rsid w:val="007E35FF"/>
    <w:rsid w:val="007E4AD7"/>
    <w:rsid w:val="007E4B7B"/>
    <w:rsid w:val="007F200F"/>
    <w:rsid w:val="007F459A"/>
    <w:rsid w:val="007F4868"/>
    <w:rsid w:val="007F6893"/>
    <w:rsid w:val="007F7864"/>
    <w:rsid w:val="007F79E5"/>
    <w:rsid w:val="008003A0"/>
    <w:rsid w:val="00804CFE"/>
    <w:rsid w:val="00813D87"/>
    <w:rsid w:val="00817FBB"/>
    <w:rsid w:val="0082022F"/>
    <w:rsid w:val="008205CC"/>
    <w:rsid w:val="00820C81"/>
    <w:rsid w:val="00821EDB"/>
    <w:rsid w:val="0082257A"/>
    <w:rsid w:val="008241E2"/>
    <w:rsid w:val="00824246"/>
    <w:rsid w:val="00825E74"/>
    <w:rsid w:val="00827869"/>
    <w:rsid w:val="0083046C"/>
    <w:rsid w:val="00831098"/>
    <w:rsid w:val="00831B3E"/>
    <w:rsid w:val="00832B00"/>
    <w:rsid w:val="00834F8F"/>
    <w:rsid w:val="008350BB"/>
    <w:rsid w:val="00836E30"/>
    <w:rsid w:val="00837885"/>
    <w:rsid w:val="00841A2C"/>
    <w:rsid w:val="008429F4"/>
    <w:rsid w:val="008457E2"/>
    <w:rsid w:val="00854AD7"/>
    <w:rsid w:val="0085591C"/>
    <w:rsid w:val="0085606F"/>
    <w:rsid w:val="0085678C"/>
    <w:rsid w:val="0086237E"/>
    <w:rsid w:val="00863048"/>
    <w:rsid w:val="008631F6"/>
    <w:rsid w:val="00863539"/>
    <w:rsid w:val="00863D4D"/>
    <w:rsid w:val="00865A62"/>
    <w:rsid w:val="00865AE1"/>
    <w:rsid w:val="008660B1"/>
    <w:rsid w:val="00867899"/>
    <w:rsid w:val="008724DF"/>
    <w:rsid w:val="00872A6B"/>
    <w:rsid w:val="00873AC3"/>
    <w:rsid w:val="008778B2"/>
    <w:rsid w:val="00881A3E"/>
    <w:rsid w:val="00881B75"/>
    <w:rsid w:val="0088225B"/>
    <w:rsid w:val="00882A61"/>
    <w:rsid w:val="0089183B"/>
    <w:rsid w:val="008922FC"/>
    <w:rsid w:val="00892CB6"/>
    <w:rsid w:val="0089425E"/>
    <w:rsid w:val="0089616F"/>
    <w:rsid w:val="00896790"/>
    <w:rsid w:val="008968BC"/>
    <w:rsid w:val="008A1D5D"/>
    <w:rsid w:val="008A21F3"/>
    <w:rsid w:val="008A29D1"/>
    <w:rsid w:val="008A380C"/>
    <w:rsid w:val="008A3BEC"/>
    <w:rsid w:val="008A3EBB"/>
    <w:rsid w:val="008A5B02"/>
    <w:rsid w:val="008A7461"/>
    <w:rsid w:val="008B08BC"/>
    <w:rsid w:val="008B1916"/>
    <w:rsid w:val="008B5433"/>
    <w:rsid w:val="008B68ED"/>
    <w:rsid w:val="008C0A0A"/>
    <w:rsid w:val="008C1E65"/>
    <w:rsid w:val="008C6929"/>
    <w:rsid w:val="008D20C5"/>
    <w:rsid w:val="008D4852"/>
    <w:rsid w:val="008D5EF9"/>
    <w:rsid w:val="008D6A40"/>
    <w:rsid w:val="008E12AD"/>
    <w:rsid w:val="008E4D23"/>
    <w:rsid w:val="008E6253"/>
    <w:rsid w:val="008E6E02"/>
    <w:rsid w:val="008F0DD4"/>
    <w:rsid w:val="008F28B6"/>
    <w:rsid w:val="008F2E4C"/>
    <w:rsid w:val="008F5AF6"/>
    <w:rsid w:val="008F5E3B"/>
    <w:rsid w:val="008F69E9"/>
    <w:rsid w:val="008F77D0"/>
    <w:rsid w:val="00901943"/>
    <w:rsid w:val="00902926"/>
    <w:rsid w:val="00904428"/>
    <w:rsid w:val="00904A59"/>
    <w:rsid w:val="009057DD"/>
    <w:rsid w:val="00906A51"/>
    <w:rsid w:val="009076DA"/>
    <w:rsid w:val="0091098D"/>
    <w:rsid w:val="00910A79"/>
    <w:rsid w:val="00911865"/>
    <w:rsid w:val="00920723"/>
    <w:rsid w:val="00923570"/>
    <w:rsid w:val="00925791"/>
    <w:rsid w:val="00927B91"/>
    <w:rsid w:val="00927DC2"/>
    <w:rsid w:val="00930CA4"/>
    <w:rsid w:val="0093231A"/>
    <w:rsid w:val="00932F73"/>
    <w:rsid w:val="00933E02"/>
    <w:rsid w:val="00937D1E"/>
    <w:rsid w:val="00937F7B"/>
    <w:rsid w:val="009421FF"/>
    <w:rsid w:val="00944135"/>
    <w:rsid w:val="0094454D"/>
    <w:rsid w:val="00945AE2"/>
    <w:rsid w:val="00945B2A"/>
    <w:rsid w:val="009462E2"/>
    <w:rsid w:val="00947B18"/>
    <w:rsid w:val="009500AA"/>
    <w:rsid w:val="0095459E"/>
    <w:rsid w:val="00964685"/>
    <w:rsid w:val="0096504E"/>
    <w:rsid w:val="009700E8"/>
    <w:rsid w:val="00970519"/>
    <w:rsid w:val="00971119"/>
    <w:rsid w:val="00972047"/>
    <w:rsid w:val="00972A9A"/>
    <w:rsid w:val="00973587"/>
    <w:rsid w:val="009744FD"/>
    <w:rsid w:val="00975F29"/>
    <w:rsid w:val="009778EF"/>
    <w:rsid w:val="00981319"/>
    <w:rsid w:val="009823B8"/>
    <w:rsid w:val="0098276C"/>
    <w:rsid w:val="00982D7E"/>
    <w:rsid w:val="009849FD"/>
    <w:rsid w:val="00986EAD"/>
    <w:rsid w:val="009912B0"/>
    <w:rsid w:val="00991CB1"/>
    <w:rsid w:val="00993E2D"/>
    <w:rsid w:val="00995CB4"/>
    <w:rsid w:val="0099616F"/>
    <w:rsid w:val="009976DA"/>
    <w:rsid w:val="009A1BD4"/>
    <w:rsid w:val="009A7799"/>
    <w:rsid w:val="009B2637"/>
    <w:rsid w:val="009B35A6"/>
    <w:rsid w:val="009C11C0"/>
    <w:rsid w:val="009C46B0"/>
    <w:rsid w:val="009C5A0F"/>
    <w:rsid w:val="009D02FA"/>
    <w:rsid w:val="009D5C90"/>
    <w:rsid w:val="009D649A"/>
    <w:rsid w:val="009D6E06"/>
    <w:rsid w:val="009E2583"/>
    <w:rsid w:val="009E2F98"/>
    <w:rsid w:val="009E3F28"/>
    <w:rsid w:val="009E477B"/>
    <w:rsid w:val="009E5365"/>
    <w:rsid w:val="009E7C17"/>
    <w:rsid w:val="009F13EB"/>
    <w:rsid w:val="009F5047"/>
    <w:rsid w:val="00A01321"/>
    <w:rsid w:val="00A03A95"/>
    <w:rsid w:val="00A07529"/>
    <w:rsid w:val="00A1194E"/>
    <w:rsid w:val="00A12C24"/>
    <w:rsid w:val="00A13333"/>
    <w:rsid w:val="00A20FA7"/>
    <w:rsid w:val="00A22C89"/>
    <w:rsid w:val="00A233E3"/>
    <w:rsid w:val="00A23AB9"/>
    <w:rsid w:val="00A2462A"/>
    <w:rsid w:val="00A24C6C"/>
    <w:rsid w:val="00A32B2A"/>
    <w:rsid w:val="00A33D8A"/>
    <w:rsid w:val="00A3462D"/>
    <w:rsid w:val="00A3739F"/>
    <w:rsid w:val="00A40ABF"/>
    <w:rsid w:val="00A46EE5"/>
    <w:rsid w:val="00A51A48"/>
    <w:rsid w:val="00A51D0B"/>
    <w:rsid w:val="00A53A3F"/>
    <w:rsid w:val="00A56A45"/>
    <w:rsid w:val="00A62201"/>
    <w:rsid w:val="00A637B4"/>
    <w:rsid w:val="00A647A2"/>
    <w:rsid w:val="00A64D3F"/>
    <w:rsid w:val="00A659AB"/>
    <w:rsid w:val="00A65EC8"/>
    <w:rsid w:val="00A7021E"/>
    <w:rsid w:val="00A73C75"/>
    <w:rsid w:val="00A75301"/>
    <w:rsid w:val="00A75C7B"/>
    <w:rsid w:val="00A763AB"/>
    <w:rsid w:val="00A81EFE"/>
    <w:rsid w:val="00A82DB7"/>
    <w:rsid w:val="00A84E44"/>
    <w:rsid w:val="00A859CB"/>
    <w:rsid w:val="00A867DB"/>
    <w:rsid w:val="00A90E7C"/>
    <w:rsid w:val="00A9199F"/>
    <w:rsid w:val="00A93B3A"/>
    <w:rsid w:val="00A958C3"/>
    <w:rsid w:val="00AA0551"/>
    <w:rsid w:val="00AA3A2D"/>
    <w:rsid w:val="00AA4823"/>
    <w:rsid w:val="00AA5BF3"/>
    <w:rsid w:val="00AA6969"/>
    <w:rsid w:val="00AB22F3"/>
    <w:rsid w:val="00AB56C6"/>
    <w:rsid w:val="00AB609F"/>
    <w:rsid w:val="00AC3A8F"/>
    <w:rsid w:val="00AC3EDF"/>
    <w:rsid w:val="00AC4441"/>
    <w:rsid w:val="00AC4FEF"/>
    <w:rsid w:val="00AC5014"/>
    <w:rsid w:val="00AC757A"/>
    <w:rsid w:val="00AD0298"/>
    <w:rsid w:val="00AD045F"/>
    <w:rsid w:val="00AD1FBD"/>
    <w:rsid w:val="00AD2782"/>
    <w:rsid w:val="00AD4DF2"/>
    <w:rsid w:val="00AD4DF7"/>
    <w:rsid w:val="00AD6A34"/>
    <w:rsid w:val="00AE6D59"/>
    <w:rsid w:val="00AE78F5"/>
    <w:rsid w:val="00AF13CE"/>
    <w:rsid w:val="00AF2E43"/>
    <w:rsid w:val="00AF480F"/>
    <w:rsid w:val="00AF5F98"/>
    <w:rsid w:val="00AF7263"/>
    <w:rsid w:val="00B01950"/>
    <w:rsid w:val="00B019A7"/>
    <w:rsid w:val="00B064B4"/>
    <w:rsid w:val="00B0747C"/>
    <w:rsid w:val="00B1131F"/>
    <w:rsid w:val="00B128D3"/>
    <w:rsid w:val="00B20632"/>
    <w:rsid w:val="00B20999"/>
    <w:rsid w:val="00B2241E"/>
    <w:rsid w:val="00B25E1A"/>
    <w:rsid w:val="00B25E4C"/>
    <w:rsid w:val="00B3081D"/>
    <w:rsid w:val="00B31C25"/>
    <w:rsid w:val="00B32614"/>
    <w:rsid w:val="00B32D2D"/>
    <w:rsid w:val="00B332F5"/>
    <w:rsid w:val="00B33607"/>
    <w:rsid w:val="00B358CA"/>
    <w:rsid w:val="00B35CB3"/>
    <w:rsid w:val="00B36E5F"/>
    <w:rsid w:val="00B42683"/>
    <w:rsid w:val="00B4404C"/>
    <w:rsid w:val="00B45844"/>
    <w:rsid w:val="00B458DA"/>
    <w:rsid w:val="00B4715A"/>
    <w:rsid w:val="00B604B8"/>
    <w:rsid w:val="00B605FA"/>
    <w:rsid w:val="00B60B5C"/>
    <w:rsid w:val="00B61480"/>
    <w:rsid w:val="00B63E20"/>
    <w:rsid w:val="00B64DFB"/>
    <w:rsid w:val="00B65D08"/>
    <w:rsid w:val="00B7037C"/>
    <w:rsid w:val="00B76EE2"/>
    <w:rsid w:val="00B82330"/>
    <w:rsid w:val="00B83786"/>
    <w:rsid w:val="00B842C0"/>
    <w:rsid w:val="00B84FFC"/>
    <w:rsid w:val="00B85147"/>
    <w:rsid w:val="00B85528"/>
    <w:rsid w:val="00B94157"/>
    <w:rsid w:val="00B94B7E"/>
    <w:rsid w:val="00BA48B2"/>
    <w:rsid w:val="00BA5415"/>
    <w:rsid w:val="00BA6164"/>
    <w:rsid w:val="00BA760A"/>
    <w:rsid w:val="00BB5597"/>
    <w:rsid w:val="00BB7E52"/>
    <w:rsid w:val="00BC0D6E"/>
    <w:rsid w:val="00BC5CC9"/>
    <w:rsid w:val="00BD0E0C"/>
    <w:rsid w:val="00BD1145"/>
    <w:rsid w:val="00BD308E"/>
    <w:rsid w:val="00BD5F6C"/>
    <w:rsid w:val="00BD73B1"/>
    <w:rsid w:val="00BD7EA0"/>
    <w:rsid w:val="00BE3708"/>
    <w:rsid w:val="00BE5B70"/>
    <w:rsid w:val="00BE6A66"/>
    <w:rsid w:val="00BE6CB9"/>
    <w:rsid w:val="00BE7576"/>
    <w:rsid w:val="00BF0E68"/>
    <w:rsid w:val="00C013CD"/>
    <w:rsid w:val="00C048C4"/>
    <w:rsid w:val="00C04F02"/>
    <w:rsid w:val="00C10FE1"/>
    <w:rsid w:val="00C12488"/>
    <w:rsid w:val="00C172FC"/>
    <w:rsid w:val="00C20C2C"/>
    <w:rsid w:val="00C23462"/>
    <w:rsid w:val="00C2347A"/>
    <w:rsid w:val="00C252BD"/>
    <w:rsid w:val="00C31193"/>
    <w:rsid w:val="00C314F0"/>
    <w:rsid w:val="00C33327"/>
    <w:rsid w:val="00C33B91"/>
    <w:rsid w:val="00C35664"/>
    <w:rsid w:val="00C37439"/>
    <w:rsid w:val="00C42333"/>
    <w:rsid w:val="00C44028"/>
    <w:rsid w:val="00C45989"/>
    <w:rsid w:val="00C47F38"/>
    <w:rsid w:val="00C50B73"/>
    <w:rsid w:val="00C51C9D"/>
    <w:rsid w:val="00C550FF"/>
    <w:rsid w:val="00C55774"/>
    <w:rsid w:val="00C557CD"/>
    <w:rsid w:val="00C56899"/>
    <w:rsid w:val="00C56D75"/>
    <w:rsid w:val="00C6179C"/>
    <w:rsid w:val="00C70289"/>
    <w:rsid w:val="00C714F7"/>
    <w:rsid w:val="00C81F4F"/>
    <w:rsid w:val="00C82A7A"/>
    <w:rsid w:val="00C8480C"/>
    <w:rsid w:val="00C84898"/>
    <w:rsid w:val="00C84F99"/>
    <w:rsid w:val="00C85057"/>
    <w:rsid w:val="00CA1187"/>
    <w:rsid w:val="00CA182A"/>
    <w:rsid w:val="00CA257E"/>
    <w:rsid w:val="00CA5CD0"/>
    <w:rsid w:val="00CA6138"/>
    <w:rsid w:val="00CA6227"/>
    <w:rsid w:val="00CA7691"/>
    <w:rsid w:val="00CB23B7"/>
    <w:rsid w:val="00CB2D24"/>
    <w:rsid w:val="00CB4202"/>
    <w:rsid w:val="00CB5C73"/>
    <w:rsid w:val="00CB74B8"/>
    <w:rsid w:val="00CC01F3"/>
    <w:rsid w:val="00CC1F62"/>
    <w:rsid w:val="00CC3411"/>
    <w:rsid w:val="00CC4773"/>
    <w:rsid w:val="00CD0056"/>
    <w:rsid w:val="00CD4659"/>
    <w:rsid w:val="00CD632A"/>
    <w:rsid w:val="00CD6524"/>
    <w:rsid w:val="00CD754E"/>
    <w:rsid w:val="00CE0431"/>
    <w:rsid w:val="00CE1C2E"/>
    <w:rsid w:val="00CE57AE"/>
    <w:rsid w:val="00CF06A5"/>
    <w:rsid w:val="00CF09A4"/>
    <w:rsid w:val="00CF1203"/>
    <w:rsid w:val="00CF3779"/>
    <w:rsid w:val="00CF74BB"/>
    <w:rsid w:val="00D011FA"/>
    <w:rsid w:val="00D015D3"/>
    <w:rsid w:val="00D026A1"/>
    <w:rsid w:val="00D04342"/>
    <w:rsid w:val="00D05D31"/>
    <w:rsid w:val="00D06C17"/>
    <w:rsid w:val="00D06D6C"/>
    <w:rsid w:val="00D15071"/>
    <w:rsid w:val="00D24DD1"/>
    <w:rsid w:val="00D256A0"/>
    <w:rsid w:val="00D2600E"/>
    <w:rsid w:val="00D26ADE"/>
    <w:rsid w:val="00D31FA9"/>
    <w:rsid w:val="00D32607"/>
    <w:rsid w:val="00D3286C"/>
    <w:rsid w:val="00D3394D"/>
    <w:rsid w:val="00D36043"/>
    <w:rsid w:val="00D36443"/>
    <w:rsid w:val="00D377DE"/>
    <w:rsid w:val="00D40774"/>
    <w:rsid w:val="00D41F9C"/>
    <w:rsid w:val="00D42549"/>
    <w:rsid w:val="00D42618"/>
    <w:rsid w:val="00D42D47"/>
    <w:rsid w:val="00D53EA2"/>
    <w:rsid w:val="00D56985"/>
    <w:rsid w:val="00D623B8"/>
    <w:rsid w:val="00D65221"/>
    <w:rsid w:val="00D662D5"/>
    <w:rsid w:val="00D70069"/>
    <w:rsid w:val="00D70F19"/>
    <w:rsid w:val="00D71C9A"/>
    <w:rsid w:val="00D73C83"/>
    <w:rsid w:val="00D775CA"/>
    <w:rsid w:val="00D77853"/>
    <w:rsid w:val="00D91212"/>
    <w:rsid w:val="00D91E83"/>
    <w:rsid w:val="00D936BF"/>
    <w:rsid w:val="00D937DC"/>
    <w:rsid w:val="00D9386F"/>
    <w:rsid w:val="00D94AF0"/>
    <w:rsid w:val="00D97C89"/>
    <w:rsid w:val="00DA4800"/>
    <w:rsid w:val="00DA5614"/>
    <w:rsid w:val="00DB0965"/>
    <w:rsid w:val="00DB1F4B"/>
    <w:rsid w:val="00DB2763"/>
    <w:rsid w:val="00DB3162"/>
    <w:rsid w:val="00DB3182"/>
    <w:rsid w:val="00DB4848"/>
    <w:rsid w:val="00DB62CE"/>
    <w:rsid w:val="00DB636C"/>
    <w:rsid w:val="00DC0DEA"/>
    <w:rsid w:val="00DC3D25"/>
    <w:rsid w:val="00DC4BA3"/>
    <w:rsid w:val="00DC4EF4"/>
    <w:rsid w:val="00DC69E7"/>
    <w:rsid w:val="00DC6BF4"/>
    <w:rsid w:val="00DC6C82"/>
    <w:rsid w:val="00DC7B6C"/>
    <w:rsid w:val="00DC7B7E"/>
    <w:rsid w:val="00DD08C0"/>
    <w:rsid w:val="00DD273D"/>
    <w:rsid w:val="00DD2DA5"/>
    <w:rsid w:val="00DD379E"/>
    <w:rsid w:val="00DD4533"/>
    <w:rsid w:val="00DD6201"/>
    <w:rsid w:val="00DE2D6E"/>
    <w:rsid w:val="00DE5E3F"/>
    <w:rsid w:val="00DF0814"/>
    <w:rsid w:val="00DF106F"/>
    <w:rsid w:val="00DF12B4"/>
    <w:rsid w:val="00DF1D41"/>
    <w:rsid w:val="00DF3435"/>
    <w:rsid w:val="00E00129"/>
    <w:rsid w:val="00E0167A"/>
    <w:rsid w:val="00E017D5"/>
    <w:rsid w:val="00E01C2F"/>
    <w:rsid w:val="00E02504"/>
    <w:rsid w:val="00E1043A"/>
    <w:rsid w:val="00E131F1"/>
    <w:rsid w:val="00E151CE"/>
    <w:rsid w:val="00E1541B"/>
    <w:rsid w:val="00E165C8"/>
    <w:rsid w:val="00E21393"/>
    <w:rsid w:val="00E2143E"/>
    <w:rsid w:val="00E23000"/>
    <w:rsid w:val="00E30A27"/>
    <w:rsid w:val="00E30A82"/>
    <w:rsid w:val="00E40A90"/>
    <w:rsid w:val="00E414A6"/>
    <w:rsid w:val="00E41A75"/>
    <w:rsid w:val="00E43BED"/>
    <w:rsid w:val="00E5114D"/>
    <w:rsid w:val="00E53C2D"/>
    <w:rsid w:val="00E55EAA"/>
    <w:rsid w:val="00E60346"/>
    <w:rsid w:val="00E63C9E"/>
    <w:rsid w:val="00E644EC"/>
    <w:rsid w:val="00E64720"/>
    <w:rsid w:val="00E7172D"/>
    <w:rsid w:val="00E72FE8"/>
    <w:rsid w:val="00E738AD"/>
    <w:rsid w:val="00E761DB"/>
    <w:rsid w:val="00E82EED"/>
    <w:rsid w:val="00E84385"/>
    <w:rsid w:val="00E90E99"/>
    <w:rsid w:val="00E916D4"/>
    <w:rsid w:val="00E92887"/>
    <w:rsid w:val="00E963D8"/>
    <w:rsid w:val="00EA2EFC"/>
    <w:rsid w:val="00EA3388"/>
    <w:rsid w:val="00EA3997"/>
    <w:rsid w:val="00EA4CBC"/>
    <w:rsid w:val="00EA5E33"/>
    <w:rsid w:val="00EB13E9"/>
    <w:rsid w:val="00EB1A7E"/>
    <w:rsid w:val="00EB1E3F"/>
    <w:rsid w:val="00EB2189"/>
    <w:rsid w:val="00EB2C11"/>
    <w:rsid w:val="00EB3D0A"/>
    <w:rsid w:val="00EB3E51"/>
    <w:rsid w:val="00EB5BA7"/>
    <w:rsid w:val="00EB5CD1"/>
    <w:rsid w:val="00EB5FF4"/>
    <w:rsid w:val="00EC1CD3"/>
    <w:rsid w:val="00EC20E2"/>
    <w:rsid w:val="00EC27C2"/>
    <w:rsid w:val="00EC31E0"/>
    <w:rsid w:val="00EC466B"/>
    <w:rsid w:val="00EC46F7"/>
    <w:rsid w:val="00EC70F6"/>
    <w:rsid w:val="00EC7431"/>
    <w:rsid w:val="00ED2DDD"/>
    <w:rsid w:val="00ED4FD8"/>
    <w:rsid w:val="00ED65D4"/>
    <w:rsid w:val="00ED7BBB"/>
    <w:rsid w:val="00EE08BD"/>
    <w:rsid w:val="00EE60D1"/>
    <w:rsid w:val="00EE6D8B"/>
    <w:rsid w:val="00EF153C"/>
    <w:rsid w:val="00EF213C"/>
    <w:rsid w:val="00EF5568"/>
    <w:rsid w:val="00EF57DA"/>
    <w:rsid w:val="00F00163"/>
    <w:rsid w:val="00F01E4F"/>
    <w:rsid w:val="00F0349B"/>
    <w:rsid w:val="00F036ED"/>
    <w:rsid w:val="00F03D24"/>
    <w:rsid w:val="00F13E71"/>
    <w:rsid w:val="00F14BE2"/>
    <w:rsid w:val="00F1511A"/>
    <w:rsid w:val="00F16D25"/>
    <w:rsid w:val="00F16FFA"/>
    <w:rsid w:val="00F2105C"/>
    <w:rsid w:val="00F22119"/>
    <w:rsid w:val="00F22455"/>
    <w:rsid w:val="00F24136"/>
    <w:rsid w:val="00F24C6D"/>
    <w:rsid w:val="00F24D8F"/>
    <w:rsid w:val="00F24F44"/>
    <w:rsid w:val="00F26C53"/>
    <w:rsid w:val="00F30DB2"/>
    <w:rsid w:val="00F3213A"/>
    <w:rsid w:val="00F35D57"/>
    <w:rsid w:val="00F40A94"/>
    <w:rsid w:val="00F40E8E"/>
    <w:rsid w:val="00F45977"/>
    <w:rsid w:val="00F51032"/>
    <w:rsid w:val="00F52481"/>
    <w:rsid w:val="00F5613E"/>
    <w:rsid w:val="00F56794"/>
    <w:rsid w:val="00F571E2"/>
    <w:rsid w:val="00F60751"/>
    <w:rsid w:val="00F654D9"/>
    <w:rsid w:val="00F71673"/>
    <w:rsid w:val="00F72BE4"/>
    <w:rsid w:val="00F72D65"/>
    <w:rsid w:val="00F763EB"/>
    <w:rsid w:val="00F826DC"/>
    <w:rsid w:val="00F82807"/>
    <w:rsid w:val="00F844FF"/>
    <w:rsid w:val="00F84895"/>
    <w:rsid w:val="00F85B61"/>
    <w:rsid w:val="00F875DE"/>
    <w:rsid w:val="00F915F2"/>
    <w:rsid w:val="00F9189D"/>
    <w:rsid w:val="00F92DE0"/>
    <w:rsid w:val="00F93408"/>
    <w:rsid w:val="00F94EAE"/>
    <w:rsid w:val="00F954E7"/>
    <w:rsid w:val="00F96E2E"/>
    <w:rsid w:val="00FA039B"/>
    <w:rsid w:val="00FA100D"/>
    <w:rsid w:val="00FA28BE"/>
    <w:rsid w:val="00FA2D71"/>
    <w:rsid w:val="00FA4A1E"/>
    <w:rsid w:val="00FA5203"/>
    <w:rsid w:val="00FA66E6"/>
    <w:rsid w:val="00FA74BD"/>
    <w:rsid w:val="00FB0188"/>
    <w:rsid w:val="00FB0E72"/>
    <w:rsid w:val="00FB284D"/>
    <w:rsid w:val="00FB55C0"/>
    <w:rsid w:val="00FB7555"/>
    <w:rsid w:val="00FC00D4"/>
    <w:rsid w:val="00FC0AC8"/>
    <w:rsid w:val="00FC1DC8"/>
    <w:rsid w:val="00FC20EB"/>
    <w:rsid w:val="00FC30CE"/>
    <w:rsid w:val="00FC4B47"/>
    <w:rsid w:val="00FC5348"/>
    <w:rsid w:val="00FC5C6A"/>
    <w:rsid w:val="00FC6613"/>
    <w:rsid w:val="00FC6A0C"/>
    <w:rsid w:val="00FD2152"/>
    <w:rsid w:val="00FE3BA8"/>
    <w:rsid w:val="00FE5455"/>
    <w:rsid w:val="00FE56CF"/>
    <w:rsid w:val="00FE5D2B"/>
    <w:rsid w:val="00FE6308"/>
    <w:rsid w:val="00FE6961"/>
    <w:rsid w:val="00FF0164"/>
    <w:rsid w:val="00FF226F"/>
    <w:rsid w:val="00FF59B0"/>
    <w:rsid w:val="00FF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C1"/>
    <w:pPr>
      <w:spacing w:line="240" w:lineRule="atLeast"/>
      <w:jc w:val="both"/>
    </w:pPr>
    <w:rPr>
      <w:sz w:val="22"/>
    </w:rPr>
  </w:style>
  <w:style w:type="paragraph" w:styleId="Heading1">
    <w:name w:val="heading 1"/>
    <w:aliases w:val="H1-Sec.Head"/>
    <w:basedOn w:val="Normal"/>
    <w:next w:val="P1-StandPara"/>
    <w:qFormat/>
    <w:rsid w:val="00FE56CF"/>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E56CF"/>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FE56CF"/>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E56CF"/>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E56CF"/>
    <w:pPr>
      <w:keepLines/>
      <w:spacing w:before="360" w:line="360" w:lineRule="atLeast"/>
      <w:jc w:val="center"/>
      <w:outlineLvl w:val="4"/>
    </w:pPr>
  </w:style>
  <w:style w:type="paragraph" w:styleId="Heading6">
    <w:name w:val="heading 6"/>
    <w:basedOn w:val="Normal"/>
    <w:next w:val="Normal"/>
    <w:qFormat/>
    <w:rsid w:val="00FE56CF"/>
    <w:pPr>
      <w:keepNext/>
      <w:spacing w:before="240"/>
      <w:jc w:val="center"/>
      <w:outlineLvl w:val="5"/>
    </w:pPr>
    <w:rPr>
      <w:b/>
      <w:caps/>
    </w:rPr>
  </w:style>
  <w:style w:type="paragraph" w:styleId="Heading7">
    <w:name w:val="heading 7"/>
    <w:basedOn w:val="Normal"/>
    <w:next w:val="Normal"/>
    <w:qFormat/>
    <w:rsid w:val="00FE56CF"/>
    <w:pPr>
      <w:spacing w:before="240" w:after="60"/>
      <w:outlineLvl w:val="6"/>
    </w:pPr>
  </w:style>
  <w:style w:type="paragraph" w:styleId="Heading8">
    <w:name w:val="heading 8"/>
    <w:basedOn w:val="Normal"/>
    <w:next w:val="Normal"/>
    <w:qFormat/>
    <w:rsid w:val="00FE56CF"/>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FE56CF"/>
    <w:pPr>
      <w:keepNext/>
      <w:spacing w:after="720" w:line="240" w:lineRule="atLeast"/>
      <w:jc w:val="center"/>
    </w:pPr>
    <w:rPr>
      <w:b/>
      <w:caps/>
      <w:sz w:val="22"/>
    </w:rPr>
  </w:style>
  <w:style w:type="paragraph" w:customStyle="1" w:styleId="C2-CtrSglSp">
    <w:name w:val="C2-Ctr Sgl Sp"/>
    <w:rsid w:val="00FE56CF"/>
    <w:pPr>
      <w:keepLines/>
      <w:spacing w:line="240" w:lineRule="atLeast"/>
      <w:jc w:val="center"/>
    </w:pPr>
    <w:rPr>
      <w:sz w:val="22"/>
    </w:rPr>
  </w:style>
  <w:style w:type="paragraph" w:customStyle="1" w:styleId="C3-CtrSp12">
    <w:name w:val="C3-Ctr Sp&amp;1/2"/>
    <w:rsid w:val="00FE56CF"/>
    <w:pPr>
      <w:keepLines/>
      <w:spacing w:line="360" w:lineRule="atLeast"/>
      <w:jc w:val="center"/>
    </w:pPr>
    <w:rPr>
      <w:sz w:val="22"/>
    </w:rPr>
  </w:style>
  <w:style w:type="paragraph" w:customStyle="1" w:styleId="E1-Equation">
    <w:name w:val="E1-Equation"/>
    <w:rsid w:val="00FE56CF"/>
    <w:pPr>
      <w:tabs>
        <w:tab w:val="center" w:pos="4680"/>
        <w:tab w:val="right" w:pos="9360"/>
      </w:tabs>
      <w:spacing w:line="240" w:lineRule="atLeast"/>
      <w:jc w:val="both"/>
    </w:pPr>
    <w:rPr>
      <w:sz w:val="22"/>
    </w:rPr>
  </w:style>
  <w:style w:type="paragraph" w:customStyle="1" w:styleId="E2-Equation">
    <w:name w:val="E2-Equation"/>
    <w:basedOn w:val="E1-Equation"/>
    <w:rsid w:val="00FE56CF"/>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FE56CF"/>
    <w:pPr>
      <w:tabs>
        <w:tab w:val="left" w:pos="120"/>
      </w:tabs>
      <w:spacing w:before="120" w:line="200" w:lineRule="atLeast"/>
      <w:ind w:left="115" w:hanging="115"/>
      <w:jc w:val="both"/>
    </w:pPr>
    <w:rPr>
      <w:sz w:val="16"/>
    </w:rPr>
  </w:style>
  <w:style w:type="paragraph" w:customStyle="1" w:styleId="L1-FlLSp12">
    <w:name w:val="L1-FlL Sp&amp;1/2"/>
    <w:link w:val="L1-FlLSp12Char"/>
    <w:rsid w:val="00FE56CF"/>
    <w:pPr>
      <w:tabs>
        <w:tab w:val="left" w:pos="1152"/>
      </w:tabs>
      <w:spacing w:line="360" w:lineRule="atLeast"/>
      <w:jc w:val="both"/>
    </w:pPr>
    <w:rPr>
      <w:sz w:val="22"/>
    </w:rPr>
  </w:style>
  <w:style w:type="paragraph" w:customStyle="1" w:styleId="N0-FlLftBullet">
    <w:name w:val="N0-Fl Lft Bullet"/>
    <w:basedOn w:val="Normal"/>
    <w:rsid w:val="00FE56CF"/>
    <w:pPr>
      <w:tabs>
        <w:tab w:val="left" w:pos="576"/>
      </w:tabs>
      <w:spacing w:after="240"/>
      <w:ind w:left="576" w:hanging="576"/>
    </w:pPr>
  </w:style>
  <w:style w:type="paragraph" w:customStyle="1" w:styleId="N1-1stBullet">
    <w:name w:val="N1-1st Bullet"/>
    <w:basedOn w:val="Normal"/>
    <w:rsid w:val="00FE56CF"/>
    <w:pPr>
      <w:tabs>
        <w:tab w:val="left" w:pos="1152"/>
      </w:tabs>
      <w:spacing w:after="240"/>
      <w:ind w:left="1152" w:hanging="576"/>
    </w:pPr>
  </w:style>
  <w:style w:type="paragraph" w:customStyle="1" w:styleId="N2-2ndBullet">
    <w:name w:val="N2-2nd Bullet"/>
    <w:basedOn w:val="Normal"/>
    <w:rsid w:val="00FE56CF"/>
    <w:pPr>
      <w:numPr>
        <w:numId w:val="2"/>
      </w:numPr>
      <w:tabs>
        <w:tab w:val="clear" w:pos="0"/>
        <w:tab w:val="left" w:pos="1728"/>
      </w:tabs>
      <w:spacing w:after="240"/>
    </w:pPr>
  </w:style>
  <w:style w:type="paragraph" w:customStyle="1" w:styleId="N3-3rdBullet">
    <w:name w:val="N3-3rd Bullet"/>
    <w:basedOn w:val="Normal"/>
    <w:rsid w:val="00FE56CF"/>
    <w:pPr>
      <w:tabs>
        <w:tab w:val="left" w:pos="2304"/>
      </w:tabs>
      <w:spacing w:after="240"/>
      <w:ind w:left="2304" w:hanging="576"/>
    </w:pPr>
  </w:style>
  <w:style w:type="paragraph" w:customStyle="1" w:styleId="N4-4thBullet">
    <w:name w:val="N4-4th Bullet"/>
    <w:basedOn w:val="Normal"/>
    <w:rsid w:val="00FE56CF"/>
    <w:pPr>
      <w:tabs>
        <w:tab w:val="left" w:pos="2880"/>
      </w:tabs>
      <w:spacing w:after="240"/>
      <w:ind w:left="2880" w:hanging="576"/>
    </w:pPr>
  </w:style>
  <w:style w:type="paragraph" w:customStyle="1" w:styleId="N5-5thBullet">
    <w:name w:val="N5-5th Bullet"/>
    <w:basedOn w:val="Normal"/>
    <w:rsid w:val="00FE56CF"/>
    <w:pPr>
      <w:tabs>
        <w:tab w:val="left" w:pos="3456"/>
      </w:tabs>
      <w:spacing w:after="240"/>
      <w:ind w:left="3456" w:hanging="576"/>
    </w:pPr>
  </w:style>
  <w:style w:type="paragraph" w:customStyle="1" w:styleId="N6-DateInd">
    <w:name w:val="N6-Date Ind."/>
    <w:basedOn w:val="Normal"/>
    <w:rsid w:val="00FE56CF"/>
    <w:pPr>
      <w:tabs>
        <w:tab w:val="left" w:pos="5400"/>
      </w:tabs>
      <w:ind w:left="5400"/>
    </w:pPr>
  </w:style>
  <w:style w:type="paragraph" w:customStyle="1" w:styleId="N7-3Block">
    <w:name w:val="N7-3&quot; Block"/>
    <w:basedOn w:val="Normal"/>
    <w:rsid w:val="00FE56CF"/>
    <w:pPr>
      <w:tabs>
        <w:tab w:val="left" w:pos="1152"/>
      </w:tabs>
      <w:ind w:left="1152" w:right="1152"/>
    </w:pPr>
  </w:style>
  <w:style w:type="paragraph" w:customStyle="1" w:styleId="N8-QxQBlock">
    <w:name w:val="N8-QxQ Block"/>
    <w:rsid w:val="00FE56CF"/>
    <w:pPr>
      <w:tabs>
        <w:tab w:val="left" w:pos="1152"/>
      </w:tabs>
      <w:spacing w:after="360" w:line="360" w:lineRule="atLeast"/>
      <w:ind w:left="1152" w:hanging="1152"/>
      <w:jc w:val="both"/>
    </w:pPr>
    <w:rPr>
      <w:sz w:val="22"/>
    </w:rPr>
  </w:style>
  <w:style w:type="paragraph" w:customStyle="1" w:styleId="Q1-BestFinQ">
    <w:name w:val="Q1-Best/Fin Q"/>
    <w:rsid w:val="00FE56CF"/>
    <w:pPr>
      <w:tabs>
        <w:tab w:val="left" w:pos="1152"/>
      </w:tabs>
      <w:spacing w:after="360" w:line="240" w:lineRule="atLeast"/>
      <w:ind w:left="1152" w:hanging="1152"/>
      <w:jc w:val="both"/>
    </w:pPr>
    <w:rPr>
      <w:b/>
      <w:sz w:val="22"/>
    </w:rPr>
  </w:style>
  <w:style w:type="paragraph" w:customStyle="1" w:styleId="SH-SglSpHead">
    <w:name w:val="SH-Sgl Sp Head"/>
    <w:rsid w:val="00FE56CF"/>
    <w:pPr>
      <w:keepNext/>
      <w:tabs>
        <w:tab w:val="left" w:pos="576"/>
      </w:tabs>
      <w:spacing w:line="240" w:lineRule="atLeast"/>
      <w:ind w:left="576" w:hanging="576"/>
    </w:pPr>
    <w:rPr>
      <w:b/>
      <w:sz w:val="22"/>
    </w:rPr>
  </w:style>
  <w:style w:type="paragraph" w:customStyle="1" w:styleId="SL-FlLftSgl">
    <w:name w:val="SL-Fl Lft Sgl"/>
    <w:rsid w:val="00FE56CF"/>
    <w:pPr>
      <w:spacing w:line="240" w:lineRule="atLeast"/>
      <w:jc w:val="both"/>
    </w:pPr>
    <w:rPr>
      <w:sz w:val="22"/>
    </w:rPr>
  </w:style>
  <w:style w:type="paragraph" w:customStyle="1" w:styleId="SP-SglSpPara">
    <w:name w:val="SP-Sgl Sp Para"/>
    <w:rsid w:val="00FE56CF"/>
    <w:pPr>
      <w:tabs>
        <w:tab w:val="left" w:pos="576"/>
      </w:tabs>
      <w:spacing w:line="240" w:lineRule="atLeast"/>
      <w:ind w:firstLine="576"/>
      <w:jc w:val="both"/>
    </w:pPr>
    <w:rPr>
      <w:sz w:val="22"/>
    </w:rPr>
  </w:style>
  <w:style w:type="paragraph" w:customStyle="1" w:styleId="T0-ChapPgHd">
    <w:name w:val="T0-Chap/Pg Hd"/>
    <w:rsid w:val="00FE56CF"/>
    <w:pPr>
      <w:tabs>
        <w:tab w:val="left" w:pos="8640"/>
      </w:tabs>
      <w:spacing w:line="240" w:lineRule="atLeast"/>
      <w:jc w:val="both"/>
    </w:pPr>
    <w:rPr>
      <w:sz w:val="22"/>
      <w:u w:val="words"/>
    </w:rPr>
  </w:style>
  <w:style w:type="paragraph" w:styleId="TOC1">
    <w:name w:val="toc 1"/>
    <w:autoRedefine/>
    <w:uiPriority w:val="39"/>
    <w:rsid w:val="0082022F"/>
    <w:pPr>
      <w:tabs>
        <w:tab w:val="left" w:pos="440"/>
        <w:tab w:val="right" w:leader="dot" w:pos="9494"/>
      </w:tabs>
      <w:spacing w:before="120" w:after="120" w:line="360" w:lineRule="auto"/>
      <w:jc w:val="center"/>
    </w:pPr>
    <w:rPr>
      <w:caps/>
      <w:noProof/>
    </w:rPr>
  </w:style>
  <w:style w:type="paragraph" w:styleId="TOC2">
    <w:name w:val="toc 2"/>
    <w:autoRedefine/>
    <w:uiPriority w:val="39"/>
    <w:rsid w:val="0079465D"/>
    <w:pPr>
      <w:tabs>
        <w:tab w:val="left" w:pos="720"/>
        <w:tab w:val="right" w:leader="dot" w:pos="9494"/>
      </w:tabs>
      <w:spacing w:before="120" w:after="120" w:line="240" w:lineRule="atLeast"/>
      <w:ind w:left="720" w:hanging="720"/>
    </w:pPr>
    <w:rPr>
      <w:smallCaps/>
      <w:noProof/>
    </w:rPr>
  </w:style>
  <w:style w:type="paragraph" w:styleId="TOC3">
    <w:name w:val="toc 3"/>
    <w:autoRedefine/>
    <w:semiHidden/>
    <w:rsid w:val="00FE56CF"/>
    <w:pPr>
      <w:spacing w:line="240" w:lineRule="atLeast"/>
      <w:ind w:left="440"/>
    </w:pPr>
    <w:rPr>
      <w:i/>
    </w:rPr>
  </w:style>
  <w:style w:type="paragraph" w:styleId="TOC4">
    <w:name w:val="toc 4"/>
    <w:autoRedefine/>
    <w:semiHidden/>
    <w:rsid w:val="00FE56CF"/>
    <w:pPr>
      <w:spacing w:line="240" w:lineRule="atLeast"/>
      <w:ind w:left="660"/>
    </w:pPr>
    <w:rPr>
      <w:sz w:val="18"/>
    </w:rPr>
  </w:style>
  <w:style w:type="paragraph" w:styleId="TOC5">
    <w:name w:val="toc 5"/>
    <w:basedOn w:val="TOC1"/>
    <w:autoRedefine/>
    <w:semiHidden/>
    <w:rsid w:val="00FE56CF"/>
    <w:pPr>
      <w:spacing w:before="0" w:after="0"/>
      <w:ind w:left="880"/>
    </w:pPr>
    <w:rPr>
      <w:b/>
      <w:caps w:val="0"/>
      <w:sz w:val="18"/>
    </w:rPr>
  </w:style>
  <w:style w:type="paragraph" w:customStyle="1" w:styleId="TT-TableTitle">
    <w:name w:val="TT-Table Title"/>
    <w:rsid w:val="00FE56CF"/>
    <w:pPr>
      <w:tabs>
        <w:tab w:val="left" w:pos="1152"/>
      </w:tabs>
      <w:spacing w:line="240" w:lineRule="atLeast"/>
      <w:ind w:left="1152" w:hanging="1152"/>
    </w:pPr>
    <w:rPr>
      <w:sz w:val="22"/>
    </w:rPr>
  </w:style>
  <w:style w:type="paragraph" w:styleId="Header">
    <w:name w:val="header"/>
    <w:basedOn w:val="Normal"/>
    <w:rsid w:val="00FE56CF"/>
    <w:pPr>
      <w:tabs>
        <w:tab w:val="center" w:pos="4320"/>
        <w:tab w:val="right" w:pos="8640"/>
      </w:tabs>
    </w:pPr>
    <w:rPr>
      <w:sz w:val="16"/>
    </w:rPr>
  </w:style>
  <w:style w:type="paragraph" w:styleId="Footer">
    <w:name w:val="footer"/>
    <w:basedOn w:val="Normal"/>
    <w:rsid w:val="00FE56CF"/>
    <w:pPr>
      <w:tabs>
        <w:tab w:val="center" w:pos="4320"/>
        <w:tab w:val="right" w:pos="8640"/>
      </w:tabs>
    </w:pPr>
  </w:style>
  <w:style w:type="character" w:styleId="PageNumber">
    <w:name w:val="page number"/>
    <w:basedOn w:val="DefaultParagraphFont"/>
    <w:rsid w:val="00FE56CF"/>
  </w:style>
  <w:style w:type="character" w:styleId="CommentReference">
    <w:name w:val="annotation reference"/>
    <w:uiPriority w:val="99"/>
    <w:semiHidden/>
    <w:rsid w:val="00FE56CF"/>
    <w:rPr>
      <w:sz w:val="16"/>
    </w:rPr>
  </w:style>
  <w:style w:type="paragraph" w:styleId="CommentText">
    <w:name w:val="annotation text"/>
    <w:basedOn w:val="Normal"/>
    <w:link w:val="CommentTextChar"/>
    <w:semiHidden/>
    <w:rsid w:val="00FE56CF"/>
    <w:rPr>
      <w:sz w:val="20"/>
    </w:rPr>
  </w:style>
  <w:style w:type="character" w:styleId="FootnoteReference">
    <w:name w:val="footnote reference"/>
    <w:semiHidden/>
    <w:rsid w:val="00FE56CF"/>
    <w:rPr>
      <w:vertAlign w:val="superscript"/>
    </w:rPr>
  </w:style>
  <w:style w:type="paragraph" w:styleId="Title">
    <w:name w:val="Title"/>
    <w:basedOn w:val="Normal"/>
    <w:qFormat/>
    <w:rsid w:val="00FE56CF"/>
    <w:pPr>
      <w:spacing w:line="240" w:lineRule="auto"/>
      <w:jc w:val="center"/>
    </w:pPr>
    <w:rPr>
      <w:b/>
    </w:rPr>
  </w:style>
  <w:style w:type="paragraph" w:styleId="BodyText2">
    <w:name w:val="Body Text 2"/>
    <w:basedOn w:val="Normal"/>
    <w:rsid w:val="00FE56CF"/>
    <w:pPr>
      <w:spacing w:line="240" w:lineRule="auto"/>
      <w:ind w:left="360"/>
      <w:jc w:val="left"/>
    </w:pPr>
  </w:style>
  <w:style w:type="paragraph" w:styleId="BodyTextIndent2">
    <w:name w:val="Body Text Indent 2"/>
    <w:basedOn w:val="Normal"/>
    <w:rsid w:val="00FE56CF"/>
    <w:pPr>
      <w:spacing w:line="480" w:lineRule="auto"/>
      <w:ind w:left="360" w:firstLine="360"/>
      <w:jc w:val="left"/>
    </w:pPr>
  </w:style>
  <w:style w:type="paragraph" w:styleId="BodyTextIndent3">
    <w:name w:val="Body Text Indent 3"/>
    <w:basedOn w:val="Normal"/>
    <w:rsid w:val="00FE56CF"/>
    <w:pPr>
      <w:tabs>
        <w:tab w:val="left" w:pos="990"/>
      </w:tabs>
      <w:spacing w:line="240" w:lineRule="auto"/>
      <w:ind w:left="990" w:hanging="990"/>
      <w:jc w:val="left"/>
    </w:pPr>
  </w:style>
  <w:style w:type="paragraph" w:styleId="Subtitle">
    <w:name w:val="Subtitle"/>
    <w:basedOn w:val="Normal"/>
    <w:qFormat/>
    <w:rsid w:val="00FE56CF"/>
    <w:pPr>
      <w:tabs>
        <w:tab w:val="left" w:pos="360"/>
      </w:tabs>
      <w:spacing w:after="120" w:line="360" w:lineRule="atLeast"/>
    </w:pPr>
    <w:rPr>
      <w:b/>
    </w:rPr>
  </w:style>
  <w:style w:type="paragraph" w:styleId="BodyTextIndent">
    <w:name w:val="Body Text Indent"/>
    <w:basedOn w:val="Normal"/>
    <w:rsid w:val="00FE56CF"/>
    <w:pPr>
      <w:spacing w:before="240" w:after="120" w:line="360" w:lineRule="atLeast"/>
      <w:ind w:firstLine="720"/>
    </w:pPr>
  </w:style>
  <w:style w:type="paragraph" w:styleId="TOC6">
    <w:name w:val="toc 6"/>
    <w:basedOn w:val="Normal"/>
    <w:next w:val="Normal"/>
    <w:autoRedefine/>
    <w:semiHidden/>
    <w:rsid w:val="00FE56CF"/>
    <w:pPr>
      <w:ind w:left="1100"/>
      <w:jc w:val="left"/>
    </w:pPr>
    <w:rPr>
      <w:sz w:val="18"/>
    </w:rPr>
  </w:style>
  <w:style w:type="paragraph" w:styleId="TOC7">
    <w:name w:val="toc 7"/>
    <w:basedOn w:val="Normal"/>
    <w:next w:val="Normal"/>
    <w:autoRedefine/>
    <w:semiHidden/>
    <w:rsid w:val="00FE56CF"/>
    <w:pPr>
      <w:ind w:left="1320"/>
      <w:jc w:val="left"/>
    </w:pPr>
    <w:rPr>
      <w:sz w:val="18"/>
    </w:rPr>
  </w:style>
  <w:style w:type="paragraph" w:styleId="TOC8">
    <w:name w:val="toc 8"/>
    <w:basedOn w:val="Normal"/>
    <w:next w:val="Normal"/>
    <w:autoRedefine/>
    <w:semiHidden/>
    <w:rsid w:val="00FE56CF"/>
    <w:pPr>
      <w:ind w:left="1540"/>
      <w:jc w:val="left"/>
    </w:pPr>
    <w:rPr>
      <w:sz w:val="18"/>
    </w:rPr>
  </w:style>
  <w:style w:type="paragraph" w:styleId="TOC9">
    <w:name w:val="toc 9"/>
    <w:basedOn w:val="Normal"/>
    <w:next w:val="Normal"/>
    <w:autoRedefine/>
    <w:semiHidden/>
    <w:rsid w:val="00FE56CF"/>
    <w:pPr>
      <w:ind w:left="1760"/>
      <w:jc w:val="left"/>
    </w:pPr>
    <w:rPr>
      <w:sz w:val="18"/>
    </w:rPr>
  </w:style>
  <w:style w:type="paragraph" w:styleId="DocumentMap">
    <w:name w:val="Document Map"/>
    <w:basedOn w:val="Normal"/>
    <w:semiHidden/>
    <w:rsid w:val="00FE56CF"/>
    <w:pPr>
      <w:shd w:val="clear" w:color="auto" w:fill="000080"/>
    </w:pPr>
    <w:rPr>
      <w:rFonts w:ascii="Tahoma" w:hAnsi="Tahoma"/>
    </w:rPr>
  </w:style>
  <w:style w:type="character" w:styleId="Hyperlink">
    <w:name w:val="Hyperlink"/>
    <w:rsid w:val="00FE56CF"/>
    <w:rPr>
      <w:color w:val="0000FF"/>
      <w:u w:val="single"/>
    </w:rPr>
  </w:style>
  <w:style w:type="paragraph" w:styleId="BalloonText">
    <w:name w:val="Balloon Text"/>
    <w:basedOn w:val="Normal"/>
    <w:semiHidden/>
    <w:rsid w:val="00352AFD"/>
    <w:rPr>
      <w:rFonts w:ascii="Tahoma" w:hAnsi="Tahoma" w:cs="Tahoma"/>
      <w:sz w:val="16"/>
      <w:szCs w:val="16"/>
    </w:rPr>
  </w:style>
  <w:style w:type="paragraph" w:styleId="CommentSubject">
    <w:name w:val="annotation subject"/>
    <w:basedOn w:val="CommentText"/>
    <w:next w:val="CommentText"/>
    <w:semiHidden/>
    <w:rsid w:val="00D937DC"/>
    <w:rPr>
      <w:b/>
      <w:bCs/>
    </w:rPr>
  </w:style>
  <w:style w:type="paragraph" w:styleId="NormalWeb">
    <w:name w:val="Normal (Web)"/>
    <w:basedOn w:val="Normal"/>
    <w:rsid w:val="00932F73"/>
    <w:pPr>
      <w:spacing w:before="100" w:beforeAutospacing="1" w:after="100" w:afterAutospacing="1" w:line="240" w:lineRule="auto"/>
      <w:jc w:val="left"/>
    </w:pPr>
    <w:rPr>
      <w:sz w:val="24"/>
      <w:szCs w:val="24"/>
    </w:rPr>
  </w:style>
  <w:style w:type="paragraph" w:customStyle="1" w:styleId="a">
    <w:name w:val="_"/>
    <w:rsid w:val="00932F73"/>
    <w:pPr>
      <w:widowControl w:val="0"/>
      <w:ind w:left="720"/>
    </w:pPr>
    <w:rPr>
      <w:snapToGrid w:val="0"/>
      <w:sz w:val="24"/>
    </w:rPr>
  </w:style>
  <w:style w:type="table" w:styleId="TableGrid">
    <w:name w:val="Table Grid"/>
    <w:basedOn w:val="TableNormal"/>
    <w:rsid w:val="00D1507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link w:val="L1-FlLSp12"/>
    <w:rsid w:val="00782712"/>
    <w:rPr>
      <w:sz w:val="22"/>
      <w:lang w:val="en-US" w:eastAsia="en-US" w:bidi="ar-SA"/>
    </w:rPr>
  </w:style>
  <w:style w:type="character" w:styleId="FollowedHyperlink">
    <w:name w:val="FollowedHyperlink"/>
    <w:uiPriority w:val="99"/>
    <w:semiHidden/>
    <w:unhideWhenUsed/>
    <w:rsid w:val="00363469"/>
    <w:rPr>
      <w:color w:val="800080"/>
      <w:u w:val="single"/>
    </w:rPr>
  </w:style>
  <w:style w:type="paragraph" w:styleId="Revision">
    <w:name w:val="Revision"/>
    <w:hidden/>
    <w:uiPriority w:val="99"/>
    <w:semiHidden/>
    <w:rsid w:val="00A40ABF"/>
    <w:rPr>
      <w:sz w:val="22"/>
    </w:rPr>
  </w:style>
  <w:style w:type="character" w:customStyle="1" w:styleId="CommentTextChar">
    <w:name w:val="Comment Text Char"/>
    <w:link w:val="CommentText"/>
    <w:semiHidden/>
    <w:rsid w:val="005E2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C1"/>
    <w:pPr>
      <w:spacing w:line="240" w:lineRule="atLeast"/>
      <w:jc w:val="both"/>
    </w:pPr>
    <w:rPr>
      <w:sz w:val="22"/>
    </w:rPr>
  </w:style>
  <w:style w:type="paragraph" w:styleId="Heading1">
    <w:name w:val="heading 1"/>
    <w:aliases w:val="H1-Sec.Head"/>
    <w:basedOn w:val="Normal"/>
    <w:next w:val="P1-StandPara"/>
    <w:qFormat/>
    <w:rsid w:val="00FE56CF"/>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E56CF"/>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FE56CF"/>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E56CF"/>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E56CF"/>
    <w:pPr>
      <w:keepLines/>
      <w:spacing w:before="360" w:line="360" w:lineRule="atLeast"/>
      <w:jc w:val="center"/>
      <w:outlineLvl w:val="4"/>
    </w:pPr>
  </w:style>
  <w:style w:type="paragraph" w:styleId="Heading6">
    <w:name w:val="heading 6"/>
    <w:basedOn w:val="Normal"/>
    <w:next w:val="Normal"/>
    <w:qFormat/>
    <w:rsid w:val="00FE56CF"/>
    <w:pPr>
      <w:keepNext/>
      <w:spacing w:before="240"/>
      <w:jc w:val="center"/>
      <w:outlineLvl w:val="5"/>
    </w:pPr>
    <w:rPr>
      <w:b/>
      <w:caps/>
    </w:rPr>
  </w:style>
  <w:style w:type="paragraph" w:styleId="Heading7">
    <w:name w:val="heading 7"/>
    <w:basedOn w:val="Normal"/>
    <w:next w:val="Normal"/>
    <w:qFormat/>
    <w:rsid w:val="00FE56CF"/>
    <w:pPr>
      <w:spacing w:before="240" w:after="60"/>
      <w:outlineLvl w:val="6"/>
    </w:pPr>
  </w:style>
  <w:style w:type="paragraph" w:styleId="Heading8">
    <w:name w:val="heading 8"/>
    <w:basedOn w:val="Normal"/>
    <w:next w:val="Normal"/>
    <w:qFormat/>
    <w:rsid w:val="00FE56CF"/>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FE56CF"/>
    <w:pPr>
      <w:keepNext/>
      <w:spacing w:after="720" w:line="240" w:lineRule="atLeast"/>
      <w:jc w:val="center"/>
    </w:pPr>
    <w:rPr>
      <w:b/>
      <w:caps/>
      <w:sz w:val="22"/>
    </w:rPr>
  </w:style>
  <w:style w:type="paragraph" w:customStyle="1" w:styleId="C2-CtrSglSp">
    <w:name w:val="C2-Ctr Sgl Sp"/>
    <w:rsid w:val="00FE56CF"/>
    <w:pPr>
      <w:keepLines/>
      <w:spacing w:line="240" w:lineRule="atLeast"/>
      <w:jc w:val="center"/>
    </w:pPr>
    <w:rPr>
      <w:sz w:val="22"/>
    </w:rPr>
  </w:style>
  <w:style w:type="paragraph" w:customStyle="1" w:styleId="C3-CtrSp12">
    <w:name w:val="C3-Ctr Sp&amp;1/2"/>
    <w:rsid w:val="00FE56CF"/>
    <w:pPr>
      <w:keepLines/>
      <w:spacing w:line="360" w:lineRule="atLeast"/>
      <w:jc w:val="center"/>
    </w:pPr>
    <w:rPr>
      <w:sz w:val="22"/>
    </w:rPr>
  </w:style>
  <w:style w:type="paragraph" w:customStyle="1" w:styleId="E1-Equation">
    <w:name w:val="E1-Equation"/>
    <w:rsid w:val="00FE56CF"/>
    <w:pPr>
      <w:tabs>
        <w:tab w:val="center" w:pos="4680"/>
        <w:tab w:val="right" w:pos="9360"/>
      </w:tabs>
      <w:spacing w:line="240" w:lineRule="atLeast"/>
      <w:jc w:val="both"/>
    </w:pPr>
    <w:rPr>
      <w:sz w:val="22"/>
    </w:rPr>
  </w:style>
  <w:style w:type="paragraph" w:customStyle="1" w:styleId="E2-Equation">
    <w:name w:val="E2-Equation"/>
    <w:basedOn w:val="E1-Equation"/>
    <w:rsid w:val="00FE56CF"/>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FE56CF"/>
    <w:pPr>
      <w:tabs>
        <w:tab w:val="left" w:pos="120"/>
      </w:tabs>
      <w:spacing w:before="120" w:line="200" w:lineRule="atLeast"/>
      <w:ind w:left="115" w:hanging="115"/>
      <w:jc w:val="both"/>
    </w:pPr>
    <w:rPr>
      <w:sz w:val="16"/>
    </w:rPr>
  </w:style>
  <w:style w:type="paragraph" w:customStyle="1" w:styleId="L1-FlLSp12">
    <w:name w:val="L1-FlL Sp&amp;1/2"/>
    <w:link w:val="L1-FlLSp12Char"/>
    <w:rsid w:val="00FE56CF"/>
    <w:pPr>
      <w:tabs>
        <w:tab w:val="left" w:pos="1152"/>
      </w:tabs>
      <w:spacing w:line="360" w:lineRule="atLeast"/>
      <w:jc w:val="both"/>
    </w:pPr>
    <w:rPr>
      <w:sz w:val="22"/>
    </w:rPr>
  </w:style>
  <w:style w:type="paragraph" w:customStyle="1" w:styleId="N0-FlLftBullet">
    <w:name w:val="N0-Fl Lft Bullet"/>
    <w:basedOn w:val="Normal"/>
    <w:rsid w:val="00FE56CF"/>
    <w:pPr>
      <w:tabs>
        <w:tab w:val="left" w:pos="576"/>
      </w:tabs>
      <w:spacing w:after="240"/>
      <w:ind w:left="576" w:hanging="576"/>
    </w:pPr>
  </w:style>
  <w:style w:type="paragraph" w:customStyle="1" w:styleId="N1-1stBullet">
    <w:name w:val="N1-1st Bullet"/>
    <w:basedOn w:val="Normal"/>
    <w:rsid w:val="00FE56CF"/>
    <w:pPr>
      <w:tabs>
        <w:tab w:val="left" w:pos="1152"/>
      </w:tabs>
      <w:spacing w:after="240"/>
      <w:ind w:left="1152" w:hanging="576"/>
    </w:pPr>
  </w:style>
  <w:style w:type="paragraph" w:customStyle="1" w:styleId="N2-2ndBullet">
    <w:name w:val="N2-2nd Bullet"/>
    <w:basedOn w:val="Normal"/>
    <w:rsid w:val="00FE56CF"/>
    <w:pPr>
      <w:numPr>
        <w:numId w:val="2"/>
      </w:numPr>
      <w:tabs>
        <w:tab w:val="clear" w:pos="0"/>
        <w:tab w:val="left" w:pos="1728"/>
      </w:tabs>
      <w:spacing w:after="240"/>
    </w:pPr>
  </w:style>
  <w:style w:type="paragraph" w:customStyle="1" w:styleId="N3-3rdBullet">
    <w:name w:val="N3-3rd Bullet"/>
    <w:basedOn w:val="Normal"/>
    <w:rsid w:val="00FE56CF"/>
    <w:pPr>
      <w:tabs>
        <w:tab w:val="left" w:pos="2304"/>
      </w:tabs>
      <w:spacing w:after="240"/>
      <w:ind w:left="2304" w:hanging="576"/>
    </w:pPr>
  </w:style>
  <w:style w:type="paragraph" w:customStyle="1" w:styleId="N4-4thBullet">
    <w:name w:val="N4-4th Bullet"/>
    <w:basedOn w:val="Normal"/>
    <w:rsid w:val="00FE56CF"/>
    <w:pPr>
      <w:tabs>
        <w:tab w:val="left" w:pos="2880"/>
      </w:tabs>
      <w:spacing w:after="240"/>
      <w:ind w:left="2880" w:hanging="576"/>
    </w:pPr>
  </w:style>
  <w:style w:type="paragraph" w:customStyle="1" w:styleId="N5-5thBullet">
    <w:name w:val="N5-5th Bullet"/>
    <w:basedOn w:val="Normal"/>
    <w:rsid w:val="00FE56CF"/>
    <w:pPr>
      <w:tabs>
        <w:tab w:val="left" w:pos="3456"/>
      </w:tabs>
      <w:spacing w:after="240"/>
      <w:ind w:left="3456" w:hanging="576"/>
    </w:pPr>
  </w:style>
  <w:style w:type="paragraph" w:customStyle="1" w:styleId="N6-DateInd">
    <w:name w:val="N6-Date Ind."/>
    <w:basedOn w:val="Normal"/>
    <w:rsid w:val="00FE56CF"/>
    <w:pPr>
      <w:tabs>
        <w:tab w:val="left" w:pos="5400"/>
      </w:tabs>
      <w:ind w:left="5400"/>
    </w:pPr>
  </w:style>
  <w:style w:type="paragraph" w:customStyle="1" w:styleId="N7-3Block">
    <w:name w:val="N7-3&quot; Block"/>
    <w:basedOn w:val="Normal"/>
    <w:rsid w:val="00FE56CF"/>
    <w:pPr>
      <w:tabs>
        <w:tab w:val="left" w:pos="1152"/>
      </w:tabs>
      <w:ind w:left="1152" w:right="1152"/>
    </w:pPr>
  </w:style>
  <w:style w:type="paragraph" w:customStyle="1" w:styleId="N8-QxQBlock">
    <w:name w:val="N8-QxQ Block"/>
    <w:rsid w:val="00FE56CF"/>
    <w:pPr>
      <w:tabs>
        <w:tab w:val="left" w:pos="1152"/>
      </w:tabs>
      <w:spacing w:after="360" w:line="360" w:lineRule="atLeast"/>
      <w:ind w:left="1152" w:hanging="1152"/>
      <w:jc w:val="both"/>
    </w:pPr>
    <w:rPr>
      <w:sz w:val="22"/>
    </w:rPr>
  </w:style>
  <w:style w:type="paragraph" w:customStyle="1" w:styleId="Q1-BestFinQ">
    <w:name w:val="Q1-Best/Fin Q"/>
    <w:rsid w:val="00FE56CF"/>
    <w:pPr>
      <w:tabs>
        <w:tab w:val="left" w:pos="1152"/>
      </w:tabs>
      <w:spacing w:after="360" w:line="240" w:lineRule="atLeast"/>
      <w:ind w:left="1152" w:hanging="1152"/>
      <w:jc w:val="both"/>
    </w:pPr>
    <w:rPr>
      <w:b/>
      <w:sz w:val="22"/>
    </w:rPr>
  </w:style>
  <w:style w:type="paragraph" w:customStyle="1" w:styleId="SH-SglSpHead">
    <w:name w:val="SH-Sgl Sp Head"/>
    <w:rsid w:val="00FE56CF"/>
    <w:pPr>
      <w:keepNext/>
      <w:tabs>
        <w:tab w:val="left" w:pos="576"/>
      </w:tabs>
      <w:spacing w:line="240" w:lineRule="atLeast"/>
      <w:ind w:left="576" w:hanging="576"/>
    </w:pPr>
    <w:rPr>
      <w:b/>
      <w:sz w:val="22"/>
    </w:rPr>
  </w:style>
  <w:style w:type="paragraph" w:customStyle="1" w:styleId="SL-FlLftSgl">
    <w:name w:val="SL-Fl Lft Sgl"/>
    <w:rsid w:val="00FE56CF"/>
    <w:pPr>
      <w:spacing w:line="240" w:lineRule="atLeast"/>
      <w:jc w:val="both"/>
    </w:pPr>
    <w:rPr>
      <w:sz w:val="22"/>
    </w:rPr>
  </w:style>
  <w:style w:type="paragraph" w:customStyle="1" w:styleId="SP-SglSpPara">
    <w:name w:val="SP-Sgl Sp Para"/>
    <w:rsid w:val="00FE56CF"/>
    <w:pPr>
      <w:tabs>
        <w:tab w:val="left" w:pos="576"/>
      </w:tabs>
      <w:spacing w:line="240" w:lineRule="atLeast"/>
      <w:ind w:firstLine="576"/>
      <w:jc w:val="both"/>
    </w:pPr>
    <w:rPr>
      <w:sz w:val="22"/>
    </w:rPr>
  </w:style>
  <w:style w:type="paragraph" w:customStyle="1" w:styleId="T0-ChapPgHd">
    <w:name w:val="T0-Chap/Pg Hd"/>
    <w:rsid w:val="00FE56CF"/>
    <w:pPr>
      <w:tabs>
        <w:tab w:val="left" w:pos="8640"/>
      </w:tabs>
      <w:spacing w:line="240" w:lineRule="atLeast"/>
      <w:jc w:val="both"/>
    </w:pPr>
    <w:rPr>
      <w:sz w:val="22"/>
      <w:u w:val="words"/>
    </w:rPr>
  </w:style>
  <w:style w:type="paragraph" w:styleId="TOC1">
    <w:name w:val="toc 1"/>
    <w:autoRedefine/>
    <w:uiPriority w:val="39"/>
    <w:rsid w:val="0082022F"/>
    <w:pPr>
      <w:tabs>
        <w:tab w:val="left" w:pos="440"/>
        <w:tab w:val="right" w:leader="dot" w:pos="9494"/>
      </w:tabs>
      <w:spacing w:before="120" w:after="120" w:line="360" w:lineRule="auto"/>
      <w:jc w:val="center"/>
    </w:pPr>
    <w:rPr>
      <w:caps/>
      <w:noProof/>
    </w:rPr>
  </w:style>
  <w:style w:type="paragraph" w:styleId="TOC2">
    <w:name w:val="toc 2"/>
    <w:autoRedefine/>
    <w:uiPriority w:val="39"/>
    <w:rsid w:val="0079465D"/>
    <w:pPr>
      <w:tabs>
        <w:tab w:val="left" w:pos="720"/>
        <w:tab w:val="right" w:leader="dot" w:pos="9494"/>
      </w:tabs>
      <w:spacing w:before="120" w:after="120" w:line="240" w:lineRule="atLeast"/>
      <w:ind w:left="720" w:hanging="720"/>
    </w:pPr>
    <w:rPr>
      <w:smallCaps/>
      <w:noProof/>
    </w:rPr>
  </w:style>
  <w:style w:type="paragraph" w:styleId="TOC3">
    <w:name w:val="toc 3"/>
    <w:autoRedefine/>
    <w:semiHidden/>
    <w:rsid w:val="00FE56CF"/>
    <w:pPr>
      <w:spacing w:line="240" w:lineRule="atLeast"/>
      <w:ind w:left="440"/>
    </w:pPr>
    <w:rPr>
      <w:i/>
    </w:rPr>
  </w:style>
  <w:style w:type="paragraph" w:styleId="TOC4">
    <w:name w:val="toc 4"/>
    <w:autoRedefine/>
    <w:semiHidden/>
    <w:rsid w:val="00FE56CF"/>
    <w:pPr>
      <w:spacing w:line="240" w:lineRule="atLeast"/>
      <w:ind w:left="660"/>
    </w:pPr>
    <w:rPr>
      <w:sz w:val="18"/>
    </w:rPr>
  </w:style>
  <w:style w:type="paragraph" w:styleId="TOC5">
    <w:name w:val="toc 5"/>
    <w:basedOn w:val="TOC1"/>
    <w:autoRedefine/>
    <w:semiHidden/>
    <w:rsid w:val="00FE56CF"/>
    <w:pPr>
      <w:spacing w:before="0" w:after="0"/>
      <w:ind w:left="880"/>
    </w:pPr>
    <w:rPr>
      <w:b/>
      <w:caps w:val="0"/>
      <w:sz w:val="18"/>
    </w:rPr>
  </w:style>
  <w:style w:type="paragraph" w:customStyle="1" w:styleId="TT-TableTitle">
    <w:name w:val="TT-Table Title"/>
    <w:rsid w:val="00FE56CF"/>
    <w:pPr>
      <w:tabs>
        <w:tab w:val="left" w:pos="1152"/>
      </w:tabs>
      <w:spacing w:line="240" w:lineRule="atLeast"/>
      <w:ind w:left="1152" w:hanging="1152"/>
    </w:pPr>
    <w:rPr>
      <w:sz w:val="22"/>
    </w:rPr>
  </w:style>
  <w:style w:type="paragraph" w:styleId="Header">
    <w:name w:val="header"/>
    <w:basedOn w:val="Normal"/>
    <w:rsid w:val="00FE56CF"/>
    <w:pPr>
      <w:tabs>
        <w:tab w:val="center" w:pos="4320"/>
        <w:tab w:val="right" w:pos="8640"/>
      </w:tabs>
    </w:pPr>
    <w:rPr>
      <w:sz w:val="16"/>
    </w:rPr>
  </w:style>
  <w:style w:type="paragraph" w:styleId="Footer">
    <w:name w:val="footer"/>
    <w:basedOn w:val="Normal"/>
    <w:rsid w:val="00FE56CF"/>
    <w:pPr>
      <w:tabs>
        <w:tab w:val="center" w:pos="4320"/>
        <w:tab w:val="right" w:pos="8640"/>
      </w:tabs>
    </w:pPr>
  </w:style>
  <w:style w:type="character" w:styleId="PageNumber">
    <w:name w:val="page number"/>
    <w:basedOn w:val="DefaultParagraphFont"/>
    <w:rsid w:val="00FE56CF"/>
  </w:style>
  <w:style w:type="character" w:styleId="CommentReference">
    <w:name w:val="annotation reference"/>
    <w:uiPriority w:val="99"/>
    <w:semiHidden/>
    <w:rsid w:val="00FE56CF"/>
    <w:rPr>
      <w:sz w:val="16"/>
    </w:rPr>
  </w:style>
  <w:style w:type="paragraph" w:styleId="CommentText">
    <w:name w:val="annotation text"/>
    <w:basedOn w:val="Normal"/>
    <w:link w:val="CommentTextChar"/>
    <w:semiHidden/>
    <w:rsid w:val="00FE56CF"/>
    <w:rPr>
      <w:sz w:val="20"/>
    </w:rPr>
  </w:style>
  <w:style w:type="character" w:styleId="FootnoteReference">
    <w:name w:val="footnote reference"/>
    <w:semiHidden/>
    <w:rsid w:val="00FE56CF"/>
    <w:rPr>
      <w:vertAlign w:val="superscript"/>
    </w:rPr>
  </w:style>
  <w:style w:type="paragraph" w:styleId="Title">
    <w:name w:val="Title"/>
    <w:basedOn w:val="Normal"/>
    <w:qFormat/>
    <w:rsid w:val="00FE56CF"/>
    <w:pPr>
      <w:spacing w:line="240" w:lineRule="auto"/>
      <w:jc w:val="center"/>
    </w:pPr>
    <w:rPr>
      <w:b/>
    </w:rPr>
  </w:style>
  <w:style w:type="paragraph" w:styleId="BodyText2">
    <w:name w:val="Body Text 2"/>
    <w:basedOn w:val="Normal"/>
    <w:rsid w:val="00FE56CF"/>
    <w:pPr>
      <w:spacing w:line="240" w:lineRule="auto"/>
      <w:ind w:left="360"/>
      <w:jc w:val="left"/>
    </w:pPr>
  </w:style>
  <w:style w:type="paragraph" w:styleId="BodyTextIndent2">
    <w:name w:val="Body Text Indent 2"/>
    <w:basedOn w:val="Normal"/>
    <w:rsid w:val="00FE56CF"/>
    <w:pPr>
      <w:spacing w:line="480" w:lineRule="auto"/>
      <w:ind w:left="360" w:firstLine="360"/>
      <w:jc w:val="left"/>
    </w:pPr>
  </w:style>
  <w:style w:type="paragraph" w:styleId="BodyTextIndent3">
    <w:name w:val="Body Text Indent 3"/>
    <w:basedOn w:val="Normal"/>
    <w:rsid w:val="00FE56CF"/>
    <w:pPr>
      <w:tabs>
        <w:tab w:val="left" w:pos="990"/>
      </w:tabs>
      <w:spacing w:line="240" w:lineRule="auto"/>
      <w:ind w:left="990" w:hanging="990"/>
      <w:jc w:val="left"/>
    </w:pPr>
  </w:style>
  <w:style w:type="paragraph" w:styleId="Subtitle">
    <w:name w:val="Subtitle"/>
    <w:basedOn w:val="Normal"/>
    <w:qFormat/>
    <w:rsid w:val="00FE56CF"/>
    <w:pPr>
      <w:tabs>
        <w:tab w:val="left" w:pos="360"/>
      </w:tabs>
      <w:spacing w:after="120" w:line="360" w:lineRule="atLeast"/>
    </w:pPr>
    <w:rPr>
      <w:b/>
    </w:rPr>
  </w:style>
  <w:style w:type="paragraph" w:styleId="BodyTextIndent">
    <w:name w:val="Body Text Indent"/>
    <w:basedOn w:val="Normal"/>
    <w:rsid w:val="00FE56CF"/>
    <w:pPr>
      <w:spacing w:before="240" w:after="120" w:line="360" w:lineRule="atLeast"/>
      <w:ind w:firstLine="720"/>
    </w:pPr>
  </w:style>
  <w:style w:type="paragraph" w:styleId="TOC6">
    <w:name w:val="toc 6"/>
    <w:basedOn w:val="Normal"/>
    <w:next w:val="Normal"/>
    <w:autoRedefine/>
    <w:semiHidden/>
    <w:rsid w:val="00FE56CF"/>
    <w:pPr>
      <w:ind w:left="1100"/>
      <w:jc w:val="left"/>
    </w:pPr>
    <w:rPr>
      <w:sz w:val="18"/>
    </w:rPr>
  </w:style>
  <w:style w:type="paragraph" w:styleId="TOC7">
    <w:name w:val="toc 7"/>
    <w:basedOn w:val="Normal"/>
    <w:next w:val="Normal"/>
    <w:autoRedefine/>
    <w:semiHidden/>
    <w:rsid w:val="00FE56CF"/>
    <w:pPr>
      <w:ind w:left="1320"/>
      <w:jc w:val="left"/>
    </w:pPr>
    <w:rPr>
      <w:sz w:val="18"/>
    </w:rPr>
  </w:style>
  <w:style w:type="paragraph" w:styleId="TOC8">
    <w:name w:val="toc 8"/>
    <w:basedOn w:val="Normal"/>
    <w:next w:val="Normal"/>
    <w:autoRedefine/>
    <w:semiHidden/>
    <w:rsid w:val="00FE56CF"/>
    <w:pPr>
      <w:ind w:left="1540"/>
      <w:jc w:val="left"/>
    </w:pPr>
    <w:rPr>
      <w:sz w:val="18"/>
    </w:rPr>
  </w:style>
  <w:style w:type="paragraph" w:styleId="TOC9">
    <w:name w:val="toc 9"/>
    <w:basedOn w:val="Normal"/>
    <w:next w:val="Normal"/>
    <w:autoRedefine/>
    <w:semiHidden/>
    <w:rsid w:val="00FE56CF"/>
    <w:pPr>
      <w:ind w:left="1760"/>
      <w:jc w:val="left"/>
    </w:pPr>
    <w:rPr>
      <w:sz w:val="18"/>
    </w:rPr>
  </w:style>
  <w:style w:type="paragraph" w:styleId="DocumentMap">
    <w:name w:val="Document Map"/>
    <w:basedOn w:val="Normal"/>
    <w:semiHidden/>
    <w:rsid w:val="00FE56CF"/>
    <w:pPr>
      <w:shd w:val="clear" w:color="auto" w:fill="000080"/>
    </w:pPr>
    <w:rPr>
      <w:rFonts w:ascii="Tahoma" w:hAnsi="Tahoma"/>
    </w:rPr>
  </w:style>
  <w:style w:type="character" w:styleId="Hyperlink">
    <w:name w:val="Hyperlink"/>
    <w:rsid w:val="00FE56CF"/>
    <w:rPr>
      <w:color w:val="0000FF"/>
      <w:u w:val="single"/>
    </w:rPr>
  </w:style>
  <w:style w:type="paragraph" w:styleId="BalloonText">
    <w:name w:val="Balloon Text"/>
    <w:basedOn w:val="Normal"/>
    <w:semiHidden/>
    <w:rsid w:val="00352AFD"/>
    <w:rPr>
      <w:rFonts w:ascii="Tahoma" w:hAnsi="Tahoma" w:cs="Tahoma"/>
      <w:sz w:val="16"/>
      <w:szCs w:val="16"/>
    </w:rPr>
  </w:style>
  <w:style w:type="paragraph" w:styleId="CommentSubject">
    <w:name w:val="annotation subject"/>
    <w:basedOn w:val="CommentText"/>
    <w:next w:val="CommentText"/>
    <w:semiHidden/>
    <w:rsid w:val="00D937DC"/>
    <w:rPr>
      <w:b/>
      <w:bCs/>
    </w:rPr>
  </w:style>
  <w:style w:type="paragraph" w:styleId="NormalWeb">
    <w:name w:val="Normal (Web)"/>
    <w:basedOn w:val="Normal"/>
    <w:rsid w:val="00932F73"/>
    <w:pPr>
      <w:spacing w:before="100" w:beforeAutospacing="1" w:after="100" w:afterAutospacing="1" w:line="240" w:lineRule="auto"/>
      <w:jc w:val="left"/>
    </w:pPr>
    <w:rPr>
      <w:sz w:val="24"/>
      <w:szCs w:val="24"/>
    </w:rPr>
  </w:style>
  <w:style w:type="paragraph" w:customStyle="1" w:styleId="a">
    <w:name w:val="_"/>
    <w:rsid w:val="00932F73"/>
    <w:pPr>
      <w:widowControl w:val="0"/>
      <w:ind w:left="720"/>
    </w:pPr>
    <w:rPr>
      <w:snapToGrid w:val="0"/>
      <w:sz w:val="24"/>
    </w:rPr>
  </w:style>
  <w:style w:type="table" w:styleId="TableGrid">
    <w:name w:val="Table Grid"/>
    <w:basedOn w:val="TableNormal"/>
    <w:rsid w:val="00D1507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FlLSp12Char">
    <w:name w:val="L1-FlL Sp&amp;1/2 Char"/>
    <w:link w:val="L1-FlLSp12"/>
    <w:rsid w:val="00782712"/>
    <w:rPr>
      <w:sz w:val="22"/>
      <w:lang w:val="en-US" w:eastAsia="en-US" w:bidi="ar-SA"/>
    </w:rPr>
  </w:style>
  <w:style w:type="character" w:styleId="FollowedHyperlink">
    <w:name w:val="FollowedHyperlink"/>
    <w:uiPriority w:val="99"/>
    <w:semiHidden/>
    <w:unhideWhenUsed/>
    <w:rsid w:val="00363469"/>
    <w:rPr>
      <w:color w:val="800080"/>
      <w:u w:val="single"/>
    </w:rPr>
  </w:style>
  <w:style w:type="paragraph" w:styleId="Revision">
    <w:name w:val="Revision"/>
    <w:hidden/>
    <w:uiPriority w:val="99"/>
    <w:semiHidden/>
    <w:rsid w:val="00A40ABF"/>
    <w:rPr>
      <w:sz w:val="22"/>
    </w:rPr>
  </w:style>
  <w:style w:type="character" w:customStyle="1" w:styleId="CommentTextChar">
    <w:name w:val="Comment Text Char"/>
    <w:link w:val="CommentText"/>
    <w:semiHidden/>
    <w:rsid w:val="005E2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2048">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38196598">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65799008">
      <w:bodyDiv w:val="1"/>
      <w:marLeft w:val="0"/>
      <w:marRight w:val="0"/>
      <w:marTop w:val="0"/>
      <w:marBottom w:val="0"/>
      <w:divBdr>
        <w:top w:val="none" w:sz="0" w:space="0" w:color="auto"/>
        <w:left w:val="none" w:sz="0" w:space="0" w:color="auto"/>
        <w:bottom w:val="none" w:sz="0" w:space="0" w:color="auto"/>
        <w:right w:val="none" w:sz="0" w:space="0" w:color="auto"/>
      </w:divBdr>
    </w:div>
    <w:div w:id="567494498">
      <w:bodyDiv w:val="1"/>
      <w:marLeft w:val="0"/>
      <w:marRight w:val="0"/>
      <w:marTop w:val="0"/>
      <w:marBottom w:val="0"/>
      <w:divBdr>
        <w:top w:val="none" w:sz="0" w:space="0" w:color="auto"/>
        <w:left w:val="none" w:sz="0" w:space="0" w:color="auto"/>
        <w:bottom w:val="none" w:sz="0" w:space="0" w:color="auto"/>
        <w:right w:val="none" w:sz="0" w:space="0" w:color="auto"/>
      </w:divBdr>
    </w:div>
    <w:div w:id="608588777">
      <w:bodyDiv w:val="1"/>
      <w:marLeft w:val="0"/>
      <w:marRight w:val="0"/>
      <w:marTop w:val="0"/>
      <w:marBottom w:val="0"/>
      <w:divBdr>
        <w:top w:val="none" w:sz="0" w:space="0" w:color="auto"/>
        <w:left w:val="none" w:sz="0" w:space="0" w:color="auto"/>
        <w:bottom w:val="none" w:sz="0" w:space="0" w:color="auto"/>
        <w:right w:val="none" w:sz="0" w:space="0" w:color="auto"/>
      </w:divBdr>
    </w:div>
    <w:div w:id="710424366">
      <w:bodyDiv w:val="1"/>
      <w:marLeft w:val="0"/>
      <w:marRight w:val="0"/>
      <w:marTop w:val="0"/>
      <w:marBottom w:val="0"/>
      <w:divBdr>
        <w:top w:val="none" w:sz="0" w:space="0" w:color="auto"/>
        <w:left w:val="none" w:sz="0" w:space="0" w:color="auto"/>
        <w:bottom w:val="none" w:sz="0" w:space="0" w:color="auto"/>
        <w:right w:val="none" w:sz="0" w:space="0" w:color="auto"/>
      </w:divBdr>
    </w:div>
    <w:div w:id="758714982">
      <w:bodyDiv w:val="1"/>
      <w:marLeft w:val="0"/>
      <w:marRight w:val="0"/>
      <w:marTop w:val="0"/>
      <w:marBottom w:val="0"/>
      <w:divBdr>
        <w:top w:val="none" w:sz="0" w:space="0" w:color="auto"/>
        <w:left w:val="none" w:sz="0" w:space="0" w:color="auto"/>
        <w:bottom w:val="none" w:sz="0" w:space="0" w:color="auto"/>
        <w:right w:val="none" w:sz="0" w:space="0" w:color="auto"/>
      </w:divBdr>
    </w:div>
    <w:div w:id="1075473954">
      <w:bodyDiv w:val="1"/>
      <w:marLeft w:val="0"/>
      <w:marRight w:val="0"/>
      <w:marTop w:val="0"/>
      <w:marBottom w:val="0"/>
      <w:divBdr>
        <w:top w:val="none" w:sz="0" w:space="0" w:color="auto"/>
        <w:left w:val="none" w:sz="0" w:space="0" w:color="auto"/>
        <w:bottom w:val="none" w:sz="0" w:space="0" w:color="auto"/>
        <w:right w:val="none" w:sz="0" w:space="0" w:color="auto"/>
      </w:divBdr>
    </w:div>
    <w:div w:id="1083068723">
      <w:bodyDiv w:val="1"/>
      <w:marLeft w:val="0"/>
      <w:marRight w:val="0"/>
      <w:marTop w:val="0"/>
      <w:marBottom w:val="0"/>
      <w:divBdr>
        <w:top w:val="none" w:sz="0" w:space="0" w:color="auto"/>
        <w:left w:val="none" w:sz="0" w:space="0" w:color="auto"/>
        <w:bottom w:val="none" w:sz="0" w:space="0" w:color="auto"/>
        <w:right w:val="none" w:sz="0" w:space="0" w:color="auto"/>
      </w:divBdr>
    </w:div>
    <w:div w:id="1105229347">
      <w:bodyDiv w:val="1"/>
      <w:marLeft w:val="0"/>
      <w:marRight w:val="0"/>
      <w:marTop w:val="0"/>
      <w:marBottom w:val="0"/>
      <w:divBdr>
        <w:top w:val="none" w:sz="0" w:space="0" w:color="auto"/>
        <w:left w:val="none" w:sz="0" w:space="0" w:color="auto"/>
        <w:bottom w:val="none" w:sz="0" w:space="0" w:color="auto"/>
        <w:right w:val="none" w:sz="0" w:space="0" w:color="auto"/>
      </w:divBdr>
    </w:div>
    <w:div w:id="1111508623">
      <w:bodyDiv w:val="1"/>
      <w:marLeft w:val="0"/>
      <w:marRight w:val="0"/>
      <w:marTop w:val="0"/>
      <w:marBottom w:val="0"/>
      <w:divBdr>
        <w:top w:val="none" w:sz="0" w:space="0" w:color="auto"/>
        <w:left w:val="none" w:sz="0" w:space="0" w:color="auto"/>
        <w:bottom w:val="none" w:sz="0" w:space="0" w:color="auto"/>
        <w:right w:val="none" w:sz="0" w:space="0" w:color="auto"/>
      </w:divBdr>
    </w:div>
    <w:div w:id="1151680323">
      <w:bodyDiv w:val="1"/>
      <w:marLeft w:val="0"/>
      <w:marRight w:val="0"/>
      <w:marTop w:val="0"/>
      <w:marBottom w:val="0"/>
      <w:divBdr>
        <w:top w:val="none" w:sz="0" w:space="0" w:color="auto"/>
        <w:left w:val="none" w:sz="0" w:space="0" w:color="auto"/>
        <w:bottom w:val="none" w:sz="0" w:space="0" w:color="auto"/>
        <w:right w:val="none" w:sz="0" w:space="0" w:color="auto"/>
      </w:divBdr>
    </w:div>
    <w:div w:id="1370106588">
      <w:bodyDiv w:val="1"/>
      <w:marLeft w:val="0"/>
      <w:marRight w:val="0"/>
      <w:marTop w:val="0"/>
      <w:marBottom w:val="0"/>
      <w:divBdr>
        <w:top w:val="none" w:sz="0" w:space="0" w:color="auto"/>
        <w:left w:val="none" w:sz="0" w:space="0" w:color="auto"/>
        <w:bottom w:val="none" w:sz="0" w:space="0" w:color="auto"/>
        <w:right w:val="none" w:sz="0" w:space="0" w:color="auto"/>
      </w:divBdr>
    </w:div>
    <w:div w:id="1379932903">
      <w:bodyDiv w:val="1"/>
      <w:marLeft w:val="0"/>
      <w:marRight w:val="0"/>
      <w:marTop w:val="0"/>
      <w:marBottom w:val="0"/>
      <w:divBdr>
        <w:top w:val="none" w:sz="0" w:space="0" w:color="auto"/>
        <w:left w:val="none" w:sz="0" w:space="0" w:color="auto"/>
        <w:bottom w:val="none" w:sz="0" w:space="0" w:color="auto"/>
        <w:right w:val="none" w:sz="0" w:space="0" w:color="auto"/>
      </w:divBdr>
    </w:div>
    <w:div w:id="1638992798">
      <w:bodyDiv w:val="1"/>
      <w:marLeft w:val="0"/>
      <w:marRight w:val="0"/>
      <w:marTop w:val="0"/>
      <w:marBottom w:val="0"/>
      <w:divBdr>
        <w:top w:val="none" w:sz="0" w:space="0" w:color="auto"/>
        <w:left w:val="none" w:sz="0" w:space="0" w:color="auto"/>
        <w:bottom w:val="none" w:sz="0" w:space="0" w:color="auto"/>
        <w:right w:val="none" w:sz="0" w:space="0" w:color="auto"/>
      </w:divBdr>
    </w:div>
    <w:div w:id="1879973350">
      <w:bodyDiv w:val="1"/>
      <w:marLeft w:val="0"/>
      <w:marRight w:val="0"/>
      <w:marTop w:val="0"/>
      <w:marBottom w:val="0"/>
      <w:divBdr>
        <w:top w:val="none" w:sz="0" w:space="0" w:color="auto"/>
        <w:left w:val="none" w:sz="0" w:space="0" w:color="auto"/>
        <w:bottom w:val="none" w:sz="0" w:space="0" w:color="auto"/>
        <w:right w:val="none" w:sz="0" w:space="0" w:color="auto"/>
      </w:divBdr>
    </w:div>
    <w:div w:id="20045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15E6-B2BC-4AD7-AD9F-49FFF678003E}">
  <ds:schemaRefs>
    <ds:schemaRef ds:uri="http://schemas.openxmlformats.org/officeDocument/2006/bibliography"/>
  </ds:schemaRefs>
</ds:datastoreItem>
</file>

<file path=customXml/itemProps2.xml><?xml version="1.0" encoding="utf-8"?>
<ds:datastoreItem xmlns:ds="http://schemas.openxmlformats.org/officeDocument/2006/customXml" ds:itemID="{2E9F3B8E-27D1-4699-9B6B-1C423460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5187C14B.dotm</Template>
  <TotalTime>4</TotalTime>
  <Pages>19</Pages>
  <Words>5351</Words>
  <Characters>30759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36038</CharactersWithSpaces>
  <SharedDoc>false</SharedDoc>
  <HLinks>
    <vt:vector size="6" baseType="variant">
      <vt:variant>
        <vt:i4>3407967</vt:i4>
      </vt:variant>
      <vt:variant>
        <vt:i4>48</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Kristen Keating</cp:lastModifiedBy>
  <cp:revision>5</cp:revision>
  <cp:lastPrinted>2015-04-03T16:53:00Z</cp:lastPrinted>
  <dcterms:created xsi:type="dcterms:W3CDTF">2015-06-22T17:55:00Z</dcterms:created>
  <dcterms:modified xsi:type="dcterms:W3CDTF">2015-06-22T17:59:00Z</dcterms:modified>
</cp:coreProperties>
</file>