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AACA1" w14:textId="77777777" w:rsidR="005C3DC2" w:rsidRDefault="005C3DC2" w:rsidP="005C3DC2">
      <w:pPr>
        <w:ind w:left="1440" w:firstLine="720"/>
      </w:pPr>
      <w:bookmarkStart w:id="0" w:name="_GoBack"/>
      <w:bookmarkEnd w:id="0"/>
    </w:p>
    <w:p w14:paraId="3F8D4C98" w14:textId="77777777" w:rsidR="005C3DC2" w:rsidRDefault="005C3DC2" w:rsidP="005C3DC2">
      <w:pPr>
        <w:ind w:left="1440" w:firstLine="720"/>
      </w:pPr>
    </w:p>
    <w:p w14:paraId="2AC02E39" w14:textId="77777777" w:rsidR="005C3DC2" w:rsidRDefault="005C3DC2" w:rsidP="005C3DC2">
      <w:pPr>
        <w:ind w:left="1440" w:firstLine="720"/>
      </w:pPr>
    </w:p>
    <w:p w14:paraId="29BA13BB" w14:textId="77777777" w:rsidR="005C3DC2" w:rsidRPr="00CA02BF" w:rsidRDefault="00CA02BF" w:rsidP="005C3DC2">
      <w:pPr>
        <w:ind w:left="1440" w:firstLine="720"/>
        <w:rPr>
          <w:sz w:val="32"/>
          <w:szCs w:val="32"/>
        </w:rPr>
      </w:pPr>
      <w:r>
        <w:t xml:space="preserve">       </w:t>
      </w:r>
      <w:r w:rsidR="00D70D0F">
        <w:rPr>
          <w:sz w:val="32"/>
          <w:szCs w:val="32"/>
        </w:rPr>
        <w:t>Supporting Statement B</w:t>
      </w:r>
      <w:r w:rsidR="005C3DC2" w:rsidRPr="00CA02BF">
        <w:rPr>
          <w:sz w:val="32"/>
          <w:szCs w:val="32"/>
        </w:rPr>
        <w:t xml:space="preserve"> for</w:t>
      </w:r>
    </w:p>
    <w:p w14:paraId="6293AA4C" w14:textId="77777777" w:rsidR="00D53AB4" w:rsidRDefault="00D53AB4" w:rsidP="00D53AB4">
      <w:pPr>
        <w:ind w:left="1440" w:firstLine="720"/>
        <w:rPr>
          <w:sz w:val="28"/>
          <w:szCs w:val="28"/>
        </w:rPr>
      </w:pPr>
    </w:p>
    <w:p w14:paraId="55F91CBF" w14:textId="77777777" w:rsidR="00D53AB4" w:rsidRDefault="00D53AB4" w:rsidP="00D53AB4">
      <w:pPr>
        <w:ind w:left="1440" w:firstLine="720"/>
        <w:rPr>
          <w:sz w:val="28"/>
          <w:szCs w:val="28"/>
        </w:rPr>
      </w:pPr>
      <w:r>
        <w:rPr>
          <w:sz w:val="28"/>
          <w:szCs w:val="28"/>
        </w:rPr>
        <w:t xml:space="preserve">         </w:t>
      </w:r>
    </w:p>
    <w:p w14:paraId="50D09DE2" w14:textId="77777777" w:rsidR="00D53AB4" w:rsidRDefault="00D53AB4" w:rsidP="00D53AB4">
      <w:pPr>
        <w:ind w:left="1440" w:firstLine="720"/>
        <w:rPr>
          <w:sz w:val="28"/>
          <w:szCs w:val="28"/>
        </w:rPr>
      </w:pPr>
      <w:r>
        <w:rPr>
          <w:sz w:val="28"/>
          <w:szCs w:val="28"/>
        </w:rPr>
        <w:t xml:space="preserve">              </w:t>
      </w:r>
    </w:p>
    <w:p w14:paraId="6E45C06A" w14:textId="77777777" w:rsidR="00D53AB4" w:rsidRDefault="00D53AB4" w:rsidP="00D53AB4">
      <w:pPr>
        <w:ind w:left="1440" w:firstLine="720"/>
        <w:rPr>
          <w:sz w:val="28"/>
          <w:szCs w:val="28"/>
        </w:rPr>
      </w:pPr>
    </w:p>
    <w:p w14:paraId="04F39022" w14:textId="77777777" w:rsidR="00D53AB4" w:rsidRDefault="00D53AB4" w:rsidP="00D53AB4">
      <w:pPr>
        <w:ind w:left="1440" w:firstLine="720"/>
        <w:rPr>
          <w:sz w:val="28"/>
          <w:szCs w:val="28"/>
        </w:rPr>
      </w:pPr>
    </w:p>
    <w:p w14:paraId="0EED11F1" w14:textId="77777777" w:rsidR="00D53AB4" w:rsidRDefault="00D53AB4" w:rsidP="00D53AB4">
      <w:pPr>
        <w:rPr>
          <w:sz w:val="32"/>
          <w:szCs w:val="32"/>
        </w:rPr>
      </w:pPr>
    </w:p>
    <w:p w14:paraId="37D5F6C2" w14:textId="77777777" w:rsidR="00D53AB4" w:rsidRPr="00170507" w:rsidRDefault="00D53AB4" w:rsidP="00D53AB4">
      <w:pPr>
        <w:jc w:val="center"/>
        <w:rPr>
          <w:color w:val="000000"/>
          <w:sz w:val="32"/>
          <w:szCs w:val="32"/>
        </w:rPr>
      </w:pPr>
      <w:r w:rsidRPr="00170507">
        <w:rPr>
          <w:color w:val="000000"/>
          <w:sz w:val="32"/>
          <w:szCs w:val="32"/>
        </w:rPr>
        <w:t>Human Influenza Surveillance of Health Care Centers in the United States and Taiwan</w:t>
      </w:r>
    </w:p>
    <w:p w14:paraId="266850C3" w14:textId="77777777" w:rsidR="00D53AB4" w:rsidRDefault="00D53AB4" w:rsidP="00D53AB4">
      <w:pPr>
        <w:ind w:left="1440" w:firstLine="720"/>
        <w:rPr>
          <w:sz w:val="32"/>
          <w:szCs w:val="32"/>
        </w:rPr>
      </w:pPr>
    </w:p>
    <w:p w14:paraId="0AEF0BFB" w14:textId="77777777" w:rsidR="00D53AB4" w:rsidRDefault="00D53AB4" w:rsidP="00D53AB4">
      <w:pPr>
        <w:ind w:left="1440" w:firstLine="720"/>
        <w:rPr>
          <w:sz w:val="32"/>
          <w:szCs w:val="32"/>
        </w:rPr>
      </w:pPr>
    </w:p>
    <w:p w14:paraId="0FAB4612" w14:textId="62C76A4B" w:rsidR="00D53AB4" w:rsidRPr="00170507" w:rsidRDefault="00BD2A32" w:rsidP="00D53AB4">
      <w:pPr>
        <w:jc w:val="center"/>
        <w:rPr>
          <w:color w:val="000000"/>
          <w:sz w:val="32"/>
          <w:szCs w:val="32"/>
        </w:rPr>
      </w:pPr>
      <w:r>
        <w:rPr>
          <w:color w:val="000000"/>
          <w:sz w:val="32"/>
          <w:szCs w:val="32"/>
        </w:rPr>
        <w:t>4/17/2015</w:t>
      </w:r>
    </w:p>
    <w:p w14:paraId="38ABE89F" w14:textId="77777777" w:rsidR="00D53AB4" w:rsidRPr="00170507" w:rsidRDefault="00D53AB4" w:rsidP="00D53AB4">
      <w:pPr>
        <w:rPr>
          <w:color w:val="000000"/>
          <w:sz w:val="32"/>
          <w:szCs w:val="32"/>
        </w:rPr>
      </w:pPr>
      <w:r w:rsidRPr="00170507">
        <w:rPr>
          <w:color w:val="000000"/>
          <w:sz w:val="32"/>
          <w:szCs w:val="32"/>
        </w:rPr>
        <w:t xml:space="preserve">                        </w:t>
      </w:r>
    </w:p>
    <w:p w14:paraId="3607EB90" w14:textId="77777777" w:rsidR="00D53AB4" w:rsidRPr="00170507" w:rsidRDefault="00D53AB4" w:rsidP="00D53AB4">
      <w:pPr>
        <w:rPr>
          <w:color w:val="000000"/>
          <w:sz w:val="32"/>
          <w:szCs w:val="32"/>
        </w:rPr>
      </w:pPr>
    </w:p>
    <w:p w14:paraId="68E4B7F2" w14:textId="77777777" w:rsidR="00D53AB4" w:rsidRPr="00170507" w:rsidRDefault="00D53AB4" w:rsidP="00D53AB4">
      <w:pPr>
        <w:rPr>
          <w:color w:val="000000"/>
          <w:sz w:val="32"/>
          <w:szCs w:val="32"/>
        </w:rPr>
      </w:pPr>
    </w:p>
    <w:p w14:paraId="2971A771" w14:textId="77777777" w:rsidR="00D53AB4" w:rsidRPr="00170507" w:rsidRDefault="00D53AB4" w:rsidP="00D53AB4">
      <w:pPr>
        <w:rPr>
          <w:color w:val="000000"/>
          <w:sz w:val="32"/>
          <w:szCs w:val="32"/>
        </w:rPr>
      </w:pPr>
    </w:p>
    <w:p w14:paraId="08315C71" w14:textId="77777777" w:rsidR="00D53AB4" w:rsidRPr="00170507" w:rsidRDefault="00D53AB4" w:rsidP="00D53AB4">
      <w:pPr>
        <w:rPr>
          <w:color w:val="000000"/>
          <w:sz w:val="32"/>
          <w:szCs w:val="32"/>
        </w:rPr>
      </w:pPr>
    </w:p>
    <w:p w14:paraId="68B40BFA" w14:textId="77777777" w:rsidR="00D53AB4" w:rsidRPr="00170507" w:rsidRDefault="00D53AB4" w:rsidP="00D53AB4">
      <w:pPr>
        <w:rPr>
          <w:color w:val="000000"/>
          <w:sz w:val="32"/>
          <w:szCs w:val="32"/>
        </w:rPr>
      </w:pPr>
    </w:p>
    <w:p w14:paraId="5E3C671C" w14:textId="77777777" w:rsidR="00D53AB4" w:rsidRPr="00170507" w:rsidRDefault="00D53AB4" w:rsidP="00D53AB4">
      <w:pPr>
        <w:rPr>
          <w:color w:val="000000"/>
          <w:sz w:val="32"/>
          <w:szCs w:val="32"/>
        </w:rPr>
      </w:pPr>
    </w:p>
    <w:p w14:paraId="4E4C8F96" w14:textId="77777777" w:rsidR="00D53AB4" w:rsidRPr="00170507" w:rsidRDefault="00D53AB4" w:rsidP="00D53AB4">
      <w:pPr>
        <w:rPr>
          <w:color w:val="000000"/>
          <w:sz w:val="32"/>
          <w:szCs w:val="32"/>
        </w:rPr>
      </w:pPr>
    </w:p>
    <w:p w14:paraId="6A2D5557" w14:textId="77777777" w:rsidR="00140B2E" w:rsidRDefault="00140B2E" w:rsidP="00140B2E">
      <w:pPr>
        <w:rPr>
          <w:sz w:val="32"/>
          <w:szCs w:val="32"/>
        </w:rPr>
      </w:pPr>
      <w:r>
        <w:rPr>
          <w:sz w:val="32"/>
          <w:szCs w:val="32"/>
        </w:rPr>
        <w:t>Name:</w:t>
      </w:r>
      <w:r>
        <w:rPr>
          <w:sz w:val="32"/>
          <w:szCs w:val="32"/>
        </w:rPr>
        <w:tab/>
        <w:t>Rich Gorman, MD</w:t>
      </w:r>
    </w:p>
    <w:p w14:paraId="682FE15D" w14:textId="77777777" w:rsidR="00140B2E" w:rsidRDefault="00140B2E" w:rsidP="00140B2E">
      <w:pPr>
        <w:rPr>
          <w:sz w:val="32"/>
          <w:szCs w:val="32"/>
        </w:rPr>
      </w:pPr>
      <w:r>
        <w:rPr>
          <w:sz w:val="32"/>
          <w:szCs w:val="32"/>
        </w:rPr>
        <w:t xml:space="preserve">Address: </w:t>
      </w:r>
      <w:r>
        <w:rPr>
          <w:sz w:val="32"/>
          <w:szCs w:val="32"/>
        </w:rPr>
        <w:tab/>
        <w:t>5601 Fishers Lane, Bethesda MD</w:t>
      </w:r>
    </w:p>
    <w:p w14:paraId="0FE5A92B" w14:textId="77777777" w:rsidR="00140B2E" w:rsidRDefault="00140B2E" w:rsidP="00140B2E">
      <w:pPr>
        <w:rPr>
          <w:sz w:val="32"/>
          <w:szCs w:val="32"/>
        </w:rPr>
      </w:pPr>
      <w:r>
        <w:rPr>
          <w:sz w:val="32"/>
          <w:szCs w:val="32"/>
        </w:rPr>
        <w:t>Telephone:  240-627-3261</w:t>
      </w:r>
    </w:p>
    <w:p w14:paraId="78979E2D" w14:textId="77777777" w:rsidR="00140B2E" w:rsidRDefault="00140B2E" w:rsidP="00140B2E">
      <w:pPr>
        <w:rPr>
          <w:sz w:val="32"/>
          <w:szCs w:val="32"/>
        </w:rPr>
      </w:pPr>
      <w:r>
        <w:rPr>
          <w:sz w:val="32"/>
          <w:szCs w:val="32"/>
        </w:rPr>
        <w:t>Email:</w:t>
      </w:r>
      <w:r>
        <w:rPr>
          <w:sz w:val="32"/>
          <w:szCs w:val="32"/>
        </w:rPr>
        <w:tab/>
        <w:t>gormanr@niaid.nih.gov</w:t>
      </w:r>
    </w:p>
    <w:p w14:paraId="6B9C1018" w14:textId="77777777" w:rsidR="005C3DC2" w:rsidRDefault="005C3DC2" w:rsidP="005C3DC2">
      <w:pPr>
        <w:rPr>
          <w:sz w:val="32"/>
          <w:szCs w:val="32"/>
        </w:rPr>
      </w:pPr>
    </w:p>
    <w:p w14:paraId="5D224A59" w14:textId="60704BE8" w:rsidR="00D70D0F" w:rsidRPr="00E41609" w:rsidRDefault="00D53AB4" w:rsidP="00D70D0F">
      <w:pPr>
        <w:pStyle w:val="P1-StandPara"/>
        <w:tabs>
          <w:tab w:val="left" w:pos="720"/>
          <w:tab w:val="right" w:leader="dot" w:pos="9504"/>
        </w:tabs>
        <w:spacing w:before="120" w:after="120" w:line="240" w:lineRule="atLeast"/>
        <w:ind w:firstLine="0"/>
        <w:jc w:val="center"/>
        <w:rPr>
          <w:b/>
          <w:sz w:val="24"/>
          <w:szCs w:val="24"/>
        </w:rPr>
      </w:pPr>
      <w:r>
        <w:rPr>
          <w:b/>
          <w:sz w:val="24"/>
          <w:szCs w:val="24"/>
        </w:rPr>
        <w:br w:type="page"/>
      </w:r>
      <w:r w:rsidR="00D70D0F" w:rsidRPr="00E41609">
        <w:rPr>
          <w:b/>
          <w:sz w:val="24"/>
          <w:szCs w:val="24"/>
        </w:rPr>
        <w:lastRenderedPageBreak/>
        <w:t xml:space="preserve">Table of </w:t>
      </w:r>
      <w:r w:rsidR="00C6272F">
        <w:rPr>
          <w:b/>
          <w:sz w:val="24"/>
          <w:szCs w:val="24"/>
        </w:rPr>
        <w:t>C</w:t>
      </w:r>
      <w:r w:rsidR="00D70D0F" w:rsidRPr="00E41609">
        <w:rPr>
          <w:b/>
          <w:sz w:val="24"/>
          <w:szCs w:val="24"/>
        </w:rPr>
        <w:t>ontents</w:t>
      </w:r>
    </w:p>
    <w:p w14:paraId="078B2C40" w14:textId="77777777" w:rsidR="00D70D0F" w:rsidRPr="00E24A6A" w:rsidRDefault="00D70D0F" w:rsidP="00D70D0F">
      <w:pPr>
        <w:pStyle w:val="TOC1"/>
      </w:pPr>
    </w:p>
    <w:p w14:paraId="012D46A8" w14:textId="77777777" w:rsidR="00D70D0F" w:rsidRPr="00347BE5" w:rsidRDefault="00D70D0F" w:rsidP="00D70D0F">
      <w:pPr>
        <w:pStyle w:val="TOC1"/>
      </w:pPr>
      <w:r w:rsidRPr="00347BE5">
        <w:t>B.</w:t>
      </w:r>
      <w:r>
        <w:tab/>
      </w:r>
      <w:r w:rsidRPr="00347BE5">
        <w:t>COLLECTIONS OF INFORMATION EMPLOYING STATISTICAL METHODS</w:t>
      </w:r>
      <w:r w:rsidRPr="00347BE5">
        <w:tab/>
      </w:r>
      <w:r>
        <w:t>1</w:t>
      </w:r>
    </w:p>
    <w:p w14:paraId="40FC3F5F" w14:textId="77777777" w:rsidR="00D70D0F" w:rsidRPr="00E24A6A" w:rsidRDefault="00D70D0F" w:rsidP="00D70D0F">
      <w:pPr>
        <w:pStyle w:val="TOC2"/>
        <w:spacing w:line="480" w:lineRule="auto"/>
        <w:rPr>
          <w:noProof/>
          <w:sz w:val="24"/>
          <w:szCs w:val="24"/>
        </w:rPr>
      </w:pPr>
      <w:r>
        <w:rPr>
          <w:noProof/>
          <w:sz w:val="24"/>
          <w:szCs w:val="24"/>
        </w:rPr>
        <w:t>B.</w:t>
      </w:r>
      <w:r w:rsidRPr="00E24A6A">
        <w:rPr>
          <w:noProof/>
          <w:sz w:val="24"/>
          <w:szCs w:val="24"/>
        </w:rPr>
        <w:t>1</w:t>
      </w:r>
      <w:r w:rsidRPr="00E24A6A">
        <w:rPr>
          <w:noProof/>
          <w:sz w:val="24"/>
          <w:szCs w:val="24"/>
        </w:rPr>
        <w:tab/>
        <w:t>Respondent Universe and Sampling Methods</w:t>
      </w:r>
      <w:r w:rsidRPr="00E24A6A">
        <w:rPr>
          <w:noProof/>
          <w:sz w:val="24"/>
          <w:szCs w:val="24"/>
        </w:rPr>
        <w:tab/>
      </w:r>
      <w:r>
        <w:rPr>
          <w:noProof/>
          <w:sz w:val="24"/>
          <w:szCs w:val="24"/>
        </w:rPr>
        <w:t>1</w:t>
      </w:r>
    </w:p>
    <w:p w14:paraId="2817FD06" w14:textId="77777777" w:rsidR="00D70D0F" w:rsidRPr="00E24A6A" w:rsidRDefault="00D70D0F" w:rsidP="00D70D0F">
      <w:pPr>
        <w:pStyle w:val="TOC2"/>
        <w:spacing w:line="480" w:lineRule="auto"/>
        <w:rPr>
          <w:noProof/>
          <w:sz w:val="24"/>
          <w:szCs w:val="24"/>
        </w:rPr>
      </w:pPr>
      <w:r>
        <w:rPr>
          <w:noProof/>
          <w:sz w:val="24"/>
          <w:szCs w:val="24"/>
        </w:rPr>
        <w:t>B.2</w:t>
      </w:r>
      <w:r w:rsidRPr="00E24A6A">
        <w:rPr>
          <w:noProof/>
          <w:sz w:val="24"/>
          <w:szCs w:val="24"/>
        </w:rPr>
        <w:tab/>
        <w:t>Procedures for the Collection of Information</w:t>
      </w:r>
      <w:r w:rsidRPr="00E24A6A">
        <w:rPr>
          <w:noProof/>
          <w:sz w:val="24"/>
          <w:szCs w:val="24"/>
        </w:rPr>
        <w:tab/>
      </w:r>
    </w:p>
    <w:p w14:paraId="3B52A87F" w14:textId="77777777" w:rsidR="00D70D0F" w:rsidRPr="00E24A6A" w:rsidRDefault="00D70D0F" w:rsidP="00D70D0F">
      <w:pPr>
        <w:pStyle w:val="TOC2"/>
        <w:spacing w:line="480" w:lineRule="auto"/>
        <w:rPr>
          <w:noProof/>
          <w:sz w:val="24"/>
          <w:szCs w:val="24"/>
        </w:rPr>
      </w:pPr>
      <w:r>
        <w:rPr>
          <w:noProof/>
          <w:sz w:val="24"/>
          <w:szCs w:val="24"/>
        </w:rPr>
        <w:t>B.3</w:t>
      </w:r>
      <w:r w:rsidRPr="00E24A6A">
        <w:rPr>
          <w:noProof/>
          <w:sz w:val="24"/>
          <w:szCs w:val="24"/>
        </w:rPr>
        <w:tab/>
        <w:t>Methods to Maximize Response Rates and Deal with Non-response</w:t>
      </w:r>
      <w:r w:rsidRPr="00E24A6A">
        <w:rPr>
          <w:noProof/>
          <w:sz w:val="24"/>
          <w:szCs w:val="24"/>
        </w:rPr>
        <w:tab/>
      </w:r>
    </w:p>
    <w:p w14:paraId="6D16D764" w14:textId="77777777" w:rsidR="00D70D0F" w:rsidRPr="00E24A6A" w:rsidRDefault="00D70D0F" w:rsidP="00D70D0F">
      <w:pPr>
        <w:pStyle w:val="TOC2"/>
        <w:spacing w:line="480" w:lineRule="auto"/>
        <w:rPr>
          <w:noProof/>
          <w:sz w:val="24"/>
          <w:szCs w:val="24"/>
        </w:rPr>
      </w:pPr>
      <w:r>
        <w:rPr>
          <w:noProof/>
          <w:sz w:val="24"/>
          <w:szCs w:val="24"/>
        </w:rPr>
        <w:t>B.4</w:t>
      </w:r>
      <w:r w:rsidRPr="00E24A6A">
        <w:rPr>
          <w:noProof/>
          <w:sz w:val="24"/>
          <w:szCs w:val="24"/>
        </w:rPr>
        <w:tab/>
        <w:t>Test of Procedures or Methods to be Undertaken</w:t>
      </w:r>
      <w:r w:rsidRPr="00E24A6A">
        <w:rPr>
          <w:noProof/>
          <w:sz w:val="24"/>
          <w:szCs w:val="24"/>
        </w:rPr>
        <w:tab/>
      </w:r>
    </w:p>
    <w:p w14:paraId="20520D91" w14:textId="77777777" w:rsidR="00D70D0F" w:rsidRDefault="00D70D0F" w:rsidP="00D70D0F">
      <w:pPr>
        <w:pStyle w:val="P1-StandPara"/>
        <w:tabs>
          <w:tab w:val="left" w:pos="720"/>
        </w:tabs>
        <w:ind w:left="720" w:right="-216" w:hanging="720"/>
        <w:rPr>
          <w:smallCaps/>
          <w:noProof/>
          <w:sz w:val="24"/>
          <w:szCs w:val="24"/>
        </w:rPr>
      </w:pPr>
      <w:r>
        <w:rPr>
          <w:noProof/>
          <w:sz w:val="24"/>
          <w:szCs w:val="24"/>
        </w:rPr>
        <w:t>B.</w:t>
      </w:r>
      <w:r w:rsidRPr="00E24A6A">
        <w:rPr>
          <w:noProof/>
          <w:sz w:val="24"/>
          <w:szCs w:val="24"/>
        </w:rPr>
        <w:t>5</w:t>
      </w:r>
      <w:r w:rsidRPr="00E24A6A">
        <w:rPr>
          <w:noProof/>
          <w:sz w:val="24"/>
          <w:szCs w:val="24"/>
        </w:rPr>
        <w:tab/>
      </w:r>
      <w:r w:rsidRPr="00C92CC1">
        <w:rPr>
          <w:smallCaps/>
          <w:noProof/>
          <w:sz w:val="24"/>
          <w:szCs w:val="24"/>
        </w:rPr>
        <w:t xml:space="preserve">Individuals Consulted on Statistical Aspects and Individuals Collecting </w:t>
      </w:r>
    </w:p>
    <w:p w14:paraId="06DF3F6F" w14:textId="77777777" w:rsidR="00D70D0F" w:rsidRDefault="00D70D0F" w:rsidP="00D70D0F">
      <w:pPr>
        <w:pStyle w:val="P1-StandPara"/>
        <w:tabs>
          <w:tab w:val="left" w:pos="720"/>
        </w:tabs>
        <w:ind w:left="720" w:right="-216" w:hanging="720"/>
        <w:rPr>
          <w:smallCaps/>
          <w:noProof/>
          <w:sz w:val="24"/>
          <w:szCs w:val="24"/>
        </w:rPr>
      </w:pPr>
      <w:r>
        <w:rPr>
          <w:smallCaps/>
          <w:noProof/>
          <w:sz w:val="24"/>
          <w:szCs w:val="24"/>
        </w:rPr>
        <w:tab/>
      </w:r>
      <w:r w:rsidRPr="00C92CC1">
        <w:rPr>
          <w:smallCaps/>
          <w:noProof/>
          <w:sz w:val="24"/>
          <w:szCs w:val="24"/>
        </w:rPr>
        <w:t>and/or Analyzing Data</w:t>
      </w:r>
    </w:p>
    <w:p w14:paraId="3D912AF0" w14:textId="77777777" w:rsidR="00D70D0F" w:rsidRDefault="00D70D0F" w:rsidP="00A749C6">
      <w:pPr>
        <w:pStyle w:val="P1-StandPara"/>
        <w:ind w:right="-216" w:firstLine="0"/>
        <w:rPr>
          <w:sz w:val="32"/>
          <w:szCs w:val="32"/>
        </w:rPr>
      </w:pPr>
    </w:p>
    <w:p w14:paraId="05291A13" w14:textId="77777777" w:rsidR="004A70E1" w:rsidRDefault="005E2D4E" w:rsidP="00E966E3">
      <w:pPr>
        <w:pStyle w:val="P1-StandPara"/>
        <w:ind w:right="-216"/>
        <w:rPr>
          <w:b/>
          <w:color w:val="FF0000"/>
          <w:sz w:val="24"/>
          <w:szCs w:val="24"/>
        </w:rPr>
      </w:pPr>
      <w:r w:rsidRPr="00E966E3">
        <w:rPr>
          <w:b/>
          <w:color w:val="FF0000"/>
          <w:sz w:val="24"/>
          <w:szCs w:val="24"/>
        </w:rPr>
        <w:t>Introduction</w:t>
      </w:r>
    </w:p>
    <w:p w14:paraId="14D9F910" w14:textId="77777777" w:rsidR="005E2D4E" w:rsidRPr="005E2D4E" w:rsidRDefault="005E2D4E" w:rsidP="00E966E3">
      <w:pPr>
        <w:pStyle w:val="P1-StandPara"/>
        <w:ind w:right="-216" w:firstLine="0"/>
        <w:rPr>
          <w:color w:val="FF0000"/>
          <w:sz w:val="24"/>
          <w:szCs w:val="24"/>
        </w:rPr>
      </w:pPr>
      <w:r w:rsidRPr="00E966E3">
        <w:rPr>
          <w:color w:val="1F497D"/>
          <w:szCs w:val="22"/>
          <w:shd w:val="clear" w:color="auto" w:fill="FFFFFF"/>
        </w:rPr>
        <w:t>Only limited detail will be provided, but the IRB protocol is in the “supplemental documents” section of the ROCIS entry, called “Attachment 2</w:t>
      </w:r>
      <w:r w:rsidRPr="005E2D4E">
        <w:rPr>
          <w:sz w:val="24"/>
          <w:szCs w:val="24"/>
        </w:rPr>
        <w:t xml:space="preserve"> </w:t>
      </w:r>
      <w:r w:rsidRPr="00E966E3">
        <w:rPr>
          <w:color w:val="1F497D"/>
          <w:szCs w:val="22"/>
          <w:shd w:val="clear" w:color="auto" w:fill="FFFFFF"/>
        </w:rPr>
        <w:t>Clinical Protocol #14-0076 ”</w:t>
      </w:r>
    </w:p>
    <w:p w14:paraId="09348A19" w14:textId="77777777" w:rsidR="00D53AB4" w:rsidRDefault="00D53AB4" w:rsidP="004A70E1">
      <w:pPr>
        <w:pStyle w:val="P1-StandPara"/>
        <w:ind w:left="1800" w:right="-216" w:firstLine="0"/>
        <w:rPr>
          <w:color w:val="FF0000"/>
          <w:sz w:val="24"/>
          <w:szCs w:val="24"/>
        </w:rPr>
      </w:pPr>
    </w:p>
    <w:p w14:paraId="3FA285CC" w14:textId="77777777" w:rsidR="00754DCD" w:rsidRDefault="00754DCD" w:rsidP="00754DCD">
      <w:pPr>
        <w:pStyle w:val="Heading2"/>
        <w:tabs>
          <w:tab w:val="clear" w:pos="1152"/>
          <w:tab w:val="left" w:pos="720"/>
        </w:tabs>
        <w:spacing w:after="0" w:line="480" w:lineRule="auto"/>
        <w:ind w:left="0" w:firstLine="0"/>
        <w:rPr>
          <w:sz w:val="24"/>
          <w:szCs w:val="24"/>
        </w:rPr>
      </w:pPr>
      <w:bookmarkStart w:id="1" w:name="_Toc443881763"/>
      <w:bookmarkStart w:id="2" w:name="_Toc451592250"/>
      <w:bookmarkStart w:id="3" w:name="_Toc5610291"/>
      <w:bookmarkStart w:id="4" w:name="_Toc99178797"/>
      <w:r>
        <w:rPr>
          <w:sz w:val="24"/>
          <w:szCs w:val="24"/>
        </w:rPr>
        <w:t>B.</w:t>
      </w:r>
      <w:r w:rsidRPr="00E41609">
        <w:rPr>
          <w:sz w:val="24"/>
          <w:szCs w:val="24"/>
        </w:rPr>
        <w:t>1</w:t>
      </w:r>
      <w:r w:rsidRPr="00E41609">
        <w:rPr>
          <w:sz w:val="24"/>
          <w:szCs w:val="24"/>
        </w:rPr>
        <w:tab/>
        <w:t>Respondent Universe and Sampling Methods</w:t>
      </w:r>
      <w:bookmarkEnd w:id="1"/>
      <w:bookmarkEnd w:id="2"/>
      <w:bookmarkEnd w:id="3"/>
      <w:bookmarkEnd w:id="4"/>
    </w:p>
    <w:p w14:paraId="58F3BD19" w14:textId="77777777" w:rsidR="00187F22" w:rsidRPr="00187F22" w:rsidRDefault="00187F22" w:rsidP="00187F22">
      <w:pPr>
        <w:pStyle w:val="P1-StandPara"/>
      </w:pPr>
      <w:r w:rsidRPr="00187F22">
        <w:t>The specific objectives of the protocol (Attachment 2) are as follows:</w:t>
      </w:r>
    </w:p>
    <w:p w14:paraId="19AA47B1" w14:textId="77777777" w:rsidR="00187F22" w:rsidRPr="00187F22" w:rsidRDefault="00187F22" w:rsidP="00187F22">
      <w:pPr>
        <w:pStyle w:val="P1-StandPara"/>
      </w:pPr>
      <w:r w:rsidRPr="00187F22">
        <w:t>•To develop a robust domestic and international influenza surveillance network which will allow rapid identification of circulating influenza viruses, including those with pandemic potential in human populations.</w:t>
      </w:r>
    </w:p>
    <w:p w14:paraId="348D2273" w14:textId="77777777" w:rsidR="00187F22" w:rsidRPr="00187F22" w:rsidRDefault="00187F22" w:rsidP="00187F22">
      <w:pPr>
        <w:pStyle w:val="P1-StandPara"/>
      </w:pPr>
      <w:r w:rsidRPr="00187F22">
        <w:t>•To create a sample bank of nasopharyngeal and serum samples from patients with suspected and confirmed influenza.</w:t>
      </w:r>
    </w:p>
    <w:p w14:paraId="256F64C1" w14:textId="77777777" w:rsidR="00187F22" w:rsidRPr="00187F22" w:rsidRDefault="00187F22" w:rsidP="00187F22">
      <w:pPr>
        <w:pStyle w:val="P1-StandPara"/>
      </w:pPr>
      <w:r w:rsidRPr="00187F22">
        <w:lastRenderedPageBreak/>
        <w:t>•To identify the added benefit of serology when combined with PCR for identification of influenza infections.</w:t>
      </w:r>
    </w:p>
    <w:p w14:paraId="3D7904D3" w14:textId="77777777" w:rsidR="00187F22" w:rsidRPr="00187F22" w:rsidRDefault="00187F22" w:rsidP="00187F22">
      <w:pPr>
        <w:pStyle w:val="P1-StandPara"/>
      </w:pPr>
      <w:r w:rsidRPr="00187F22">
        <w:t>•To characterize the immunologic basis of severe illness due to influenza.</w:t>
      </w:r>
    </w:p>
    <w:p w14:paraId="66BADBC8" w14:textId="77777777" w:rsidR="00187F22" w:rsidRPr="00E966E3" w:rsidRDefault="00187F22" w:rsidP="00E966E3">
      <w:pPr>
        <w:pStyle w:val="P1-StandPara"/>
      </w:pPr>
    </w:p>
    <w:p w14:paraId="57DD042F" w14:textId="19FE43FF" w:rsidR="00850200" w:rsidRPr="00BF6E2C" w:rsidRDefault="009D618F" w:rsidP="00754DCD">
      <w:pPr>
        <w:rPr>
          <w:color w:val="000000"/>
        </w:rPr>
      </w:pPr>
      <w:r w:rsidRPr="009D618F">
        <w:rPr>
          <w:color w:val="000000"/>
        </w:rPr>
        <w:t>The estimated respondents </w:t>
      </w:r>
      <w:r w:rsidRPr="00E966E3">
        <w:rPr>
          <w:bCs/>
          <w:color w:val="000000"/>
        </w:rPr>
        <w:t>per year</w:t>
      </w:r>
      <w:r w:rsidRPr="009D618F">
        <w:rPr>
          <w:color w:val="000000"/>
        </w:rPr>
        <w:t> are </w:t>
      </w:r>
      <w:r w:rsidR="00BD2A32">
        <w:rPr>
          <w:color w:val="000000"/>
        </w:rPr>
        <w:t>300</w:t>
      </w:r>
      <w:r w:rsidRPr="009D618F">
        <w:rPr>
          <w:color w:val="000000"/>
        </w:rPr>
        <w:t xml:space="preserve"> subjects </w:t>
      </w:r>
      <w:r w:rsidRPr="00E966E3">
        <w:rPr>
          <w:bCs/>
          <w:color w:val="000000"/>
        </w:rPr>
        <w:t>per country</w:t>
      </w:r>
      <w:r w:rsidRPr="00B96972">
        <w:rPr>
          <w:b/>
          <w:color w:val="000000"/>
        </w:rPr>
        <w:t>.</w:t>
      </w:r>
      <w:r w:rsidR="00BD2A32" w:rsidRPr="00BD2A32">
        <w:rPr>
          <w:bCs/>
          <w:color w:val="000000"/>
        </w:rPr>
        <w:t xml:space="preserve"> </w:t>
      </w:r>
      <w:r w:rsidR="00E966E3">
        <w:rPr>
          <w:bCs/>
          <w:color w:val="000000"/>
        </w:rPr>
        <w:t>Additionally</w:t>
      </w:r>
      <w:r w:rsidR="00BD2A32">
        <w:rPr>
          <w:bCs/>
          <w:color w:val="000000"/>
        </w:rPr>
        <w:t xml:space="preserve"> per year, we will obtain 125 samples per country to enrich our study for a total of 425 subject per country.</w:t>
      </w:r>
      <w:r w:rsidR="00E966E3">
        <w:rPr>
          <w:bCs/>
          <w:color w:val="000000"/>
        </w:rPr>
        <w:t xml:space="preserve"> </w:t>
      </w:r>
      <w:r w:rsidR="00E26C0C" w:rsidRPr="00BF6E2C">
        <w:rPr>
          <w:color w:val="000000"/>
        </w:rPr>
        <w:t>The esti</w:t>
      </w:r>
      <w:r w:rsidR="00D53AB4" w:rsidRPr="00BF6E2C">
        <w:rPr>
          <w:color w:val="000000"/>
        </w:rPr>
        <w:t>mated respondents per year are 850</w:t>
      </w:r>
      <w:r w:rsidR="00E26C0C" w:rsidRPr="00BF6E2C">
        <w:rPr>
          <w:color w:val="000000"/>
        </w:rPr>
        <w:t xml:space="preserve"> subjects for all sites combined</w:t>
      </w:r>
      <w:r w:rsidR="00DE0069">
        <w:rPr>
          <w:color w:val="000000"/>
        </w:rPr>
        <w:t xml:space="preserve"> </w:t>
      </w:r>
      <w:r w:rsidR="00BD2A32">
        <w:rPr>
          <w:color w:val="000000"/>
        </w:rPr>
        <w:t xml:space="preserve">(Please see attached </w:t>
      </w:r>
      <w:r w:rsidR="00E966E3">
        <w:rPr>
          <w:color w:val="000000"/>
        </w:rPr>
        <w:t>Explanation</w:t>
      </w:r>
      <w:r w:rsidR="00BD2A32">
        <w:rPr>
          <w:color w:val="000000"/>
        </w:rPr>
        <w:t xml:space="preserve"> for Sample Size at the end of this document)</w:t>
      </w:r>
      <w:r w:rsidR="00BD2A32" w:rsidRPr="00BF6E2C">
        <w:rPr>
          <w:color w:val="000000"/>
        </w:rPr>
        <w:t>.</w:t>
      </w:r>
      <w:r w:rsidR="00E26C0C" w:rsidRPr="00BF6E2C">
        <w:rPr>
          <w:color w:val="000000"/>
        </w:rPr>
        <w:t xml:space="preserve"> Below </w:t>
      </w:r>
      <w:r w:rsidR="003E6DBD" w:rsidRPr="00BF6E2C">
        <w:rPr>
          <w:color w:val="000000"/>
        </w:rPr>
        <w:t>are</w:t>
      </w:r>
      <w:r w:rsidR="00E26C0C" w:rsidRPr="00BF6E2C">
        <w:rPr>
          <w:color w:val="000000"/>
        </w:rPr>
        <w:t xml:space="preserve"> estimated </w:t>
      </w:r>
      <w:r w:rsidR="003E6DBD" w:rsidRPr="00BF6E2C">
        <w:rPr>
          <w:color w:val="000000"/>
        </w:rPr>
        <w:t>demographic data on the subjects</w:t>
      </w:r>
      <w:r w:rsidR="00192881">
        <w:rPr>
          <w:color w:val="000000"/>
        </w:rPr>
        <w:t>.  Th</w:t>
      </w:r>
      <w:r w:rsidR="003E6DBD" w:rsidRPr="00BF6E2C">
        <w:rPr>
          <w:color w:val="000000"/>
        </w:rPr>
        <w:t xml:space="preserve">is protocol intends to enroll based on previous years demographic data. </w:t>
      </w:r>
      <w:r w:rsidR="00184F9A">
        <w:rPr>
          <w:color w:val="000000"/>
        </w:rPr>
        <w:t xml:space="preserve"> Enrollment will occur at acute care hospitals across national capital regions of the US (Baltimore Washington DC) and Taiwan (regional hospital</w:t>
      </w:r>
      <w:r w:rsidR="00E3182E">
        <w:rPr>
          <w:color w:val="000000"/>
        </w:rPr>
        <w:t>s</w:t>
      </w:r>
      <w:r w:rsidR="00184F9A">
        <w:rPr>
          <w:color w:val="000000"/>
        </w:rPr>
        <w:t xml:space="preserve"> around Taipei).</w:t>
      </w:r>
      <w:r w:rsidR="00E157FA">
        <w:rPr>
          <w:color w:val="000000"/>
        </w:rPr>
        <w:t xml:space="preserve"> </w:t>
      </w:r>
    </w:p>
    <w:tbl>
      <w:tblPr>
        <w:tblW w:w="6725" w:type="dxa"/>
        <w:jc w:val="center"/>
        <w:tblLook w:val="04A0" w:firstRow="1" w:lastRow="0" w:firstColumn="1" w:lastColumn="0" w:noHBand="0" w:noVBand="1"/>
      </w:tblPr>
      <w:tblGrid>
        <w:gridCol w:w="2034"/>
        <w:gridCol w:w="1710"/>
        <w:gridCol w:w="1800"/>
        <w:gridCol w:w="1181"/>
      </w:tblGrid>
      <w:tr w:rsidR="00E26C0C" w:rsidRPr="00BF6E2C" w14:paraId="0098D3E5" w14:textId="77777777" w:rsidTr="003823B6">
        <w:trPr>
          <w:trHeight w:val="300"/>
          <w:jc w:val="center"/>
        </w:trPr>
        <w:tc>
          <w:tcPr>
            <w:tcW w:w="2034" w:type="dxa"/>
            <w:tcBorders>
              <w:top w:val="single" w:sz="18" w:space="0" w:color="auto"/>
              <w:left w:val="nil"/>
              <w:bottom w:val="single" w:sz="4" w:space="0" w:color="auto"/>
              <w:right w:val="single" w:sz="4" w:space="0" w:color="auto"/>
            </w:tcBorders>
            <w:shd w:val="clear" w:color="auto" w:fill="auto"/>
            <w:noWrap/>
            <w:vAlign w:val="bottom"/>
            <w:hideMark/>
          </w:tcPr>
          <w:p w14:paraId="54F66CD8" w14:textId="77777777" w:rsidR="00E26C0C" w:rsidRPr="00BF6E2C" w:rsidRDefault="00E26C0C" w:rsidP="00E26C0C">
            <w:pPr>
              <w:rPr>
                <w:color w:val="000000"/>
              </w:rPr>
            </w:pPr>
          </w:p>
        </w:tc>
        <w:tc>
          <w:tcPr>
            <w:tcW w:w="171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0CBA7848" w14:textId="77777777" w:rsidR="00E26C0C" w:rsidRPr="00BF6E2C" w:rsidRDefault="00E26C0C" w:rsidP="00E26C0C">
            <w:pPr>
              <w:rPr>
                <w:color w:val="000000"/>
              </w:rPr>
            </w:pPr>
            <w:r w:rsidRPr="00BF6E2C">
              <w:rPr>
                <w:color w:val="000000"/>
              </w:rPr>
              <w:t>Johns Hopkins University</w:t>
            </w:r>
            <w:r w:rsidR="00184F9A">
              <w:rPr>
                <w:color w:val="000000"/>
              </w:rPr>
              <w:t xml:space="preserve"> and affiliates</w:t>
            </w:r>
          </w:p>
        </w:tc>
        <w:tc>
          <w:tcPr>
            <w:tcW w:w="1800" w:type="dxa"/>
            <w:tcBorders>
              <w:top w:val="single" w:sz="18" w:space="0" w:color="auto"/>
              <w:left w:val="single" w:sz="4" w:space="0" w:color="auto"/>
              <w:bottom w:val="single" w:sz="4" w:space="0" w:color="auto"/>
              <w:right w:val="single" w:sz="4" w:space="0" w:color="auto"/>
            </w:tcBorders>
            <w:shd w:val="clear" w:color="auto" w:fill="auto"/>
            <w:noWrap/>
            <w:vAlign w:val="bottom"/>
            <w:hideMark/>
          </w:tcPr>
          <w:p w14:paraId="68A52584" w14:textId="77777777" w:rsidR="00E26C0C" w:rsidRPr="00BF6E2C" w:rsidRDefault="00E26C0C" w:rsidP="00E26C0C">
            <w:pPr>
              <w:rPr>
                <w:color w:val="000000"/>
              </w:rPr>
            </w:pPr>
            <w:r w:rsidRPr="00BF6E2C">
              <w:rPr>
                <w:color w:val="000000"/>
              </w:rPr>
              <w:t>Chang Gung University</w:t>
            </w:r>
            <w:r w:rsidR="00184F9A">
              <w:rPr>
                <w:color w:val="000000"/>
              </w:rPr>
              <w:t xml:space="preserve"> and affiliates</w:t>
            </w:r>
          </w:p>
        </w:tc>
        <w:tc>
          <w:tcPr>
            <w:tcW w:w="1181" w:type="dxa"/>
            <w:tcBorders>
              <w:top w:val="single" w:sz="18" w:space="0" w:color="auto"/>
              <w:left w:val="single" w:sz="4" w:space="0" w:color="auto"/>
              <w:bottom w:val="single" w:sz="4" w:space="0" w:color="auto"/>
              <w:right w:val="nil"/>
            </w:tcBorders>
            <w:shd w:val="clear" w:color="auto" w:fill="auto"/>
            <w:noWrap/>
            <w:vAlign w:val="bottom"/>
            <w:hideMark/>
          </w:tcPr>
          <w:p w14:paraId="229D1E1C" w14:textId="77777777" w:rsidR="00E26C0C" w:rsidRPr="00BF6E2C" w:rsidRDefault="00E26C0C" w:rsidP="00E26C0C">
            <w:pPr>
              <w:rPr>
                <w:color w:val="000000"/>
              </w:rPr>
            </w:pPr>
            <w:r w:rsidRPr="00BF6E2C">
              <w:rPr>
                <w:color w:val="000000"/>
              </w:rPr>
              <w:t>Total</w:t>
            </w:r>
            <w:r w:rsidR="00BD2A32">
              <w:rPr>
                <w:color w:val="000000"/>
              </w:rPr>
              <w:t xml:space="preserve"> Per Year</w:t>
            </w:r>
          </w:p>
        </w:tc>
      </w:tr>
      <w:tr w:rsidR="00E26C0C" w:rsidRPr="00BF6E2C" w14:paraId="68E92B46" w14:textId="77777777" w:rsidTr="003823B6">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0205A2C1" w14:textId="77777777" w:rsidR="00E26C0C" w:rsidRPr="00BF6E2C" w:rsidRDefault="00E26C0C" w:rsidP="00E26C0C">
            <w:pPr>
              <w:rPr>
                <w:color w:val="000000"/>
              </w:rPr>
            </w:pPr>
            <w:r w:rsidRPr="00BF6E2C">
              <w:rPr>
                <w:color w:val="000000"/>
              </w:rPr>
              <w:t>Male</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2D41802F" w14:textId="77777777" w:rsidR="00E26C0C" w:rsidRPr="00BF6E2C" w:rsidRDefault="00D53AB4" w:rsidP="00E26C0C">
            <w:pPr>
              <w:rPr>
                <w:color w:val="000000"/>
              </w:rPr>
            </w:pPr>
            <w:r w:rsidRPr="00BF6E2C">
              <w:rPr>
                <w:color w:val="000000"/>
              </w:rPr>
              <w:t>212</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44DF67A5" w14:textId="77777777" w:rsidR="00E26C0C" w:rsidRPr="00BF6E2C" w:rsidRDefault="00D53AB4" w:rsidP="00E26C0C">
            <w:pPr>
              <w:rPr>
                <w:color w:val="000000"/>
              </w:rPr>
            </w:pPr>
            <w:r w:rsidRPr="00BF6E2C">
              <w:rPr>
                <w:color w:val="000000"/>
              </w:rPr>
              <w:t>213</w:t>
            </w:r>
          </w:p>
        </w:tc>
        <w:tc>
          <w:tcPr>
            <w:tcW w:w="1181" w:type="dxa"/>
            <w:tcBorders>
              <w:top w:val="single" w:sz="4" w:space="0" w:color="auto"/>
              <w:left w:val="single" w:sz="4" w:space="0" w:color="auto"/>
              <w:bottom w:val="nil"/>
              <w:right w:val="nil"/>
            </w:tcBorders>
            <w:shd w:val="clear" w:color="auto" w:fill="auto"/>
            <w:noWrap/>
            <w:vAlign w:val="bottom"/>
            <w:hideMark/>
          </w:tcPr>
          <w:p w14:paraId="49980AF5" w14:textId="77777777" w:rsidR="00E26C0C" w:rsidRPr="00BF6E2C" w:rsidRDefault="00D53AB4" w:rsidP="00E26C0C">
            <w:pPr>
              <w:rPr>
                <w:color w:val="000000"/>
              </w:rPr>
            </w:pPr>
            <w:r w:rsidRPr="00BF6E2C">
              <w:rPr>
                <w:color w:val="000000"/>
              </w:rPr>
              <w:t>425</w:t>
            </w:r>
          </w:p>
        </w:tc>
      </w:tr>
      <w:tr w:rsidR="00E26C0C" w:rsidRPr="00BF6E2C" w14:paraId="150E416D" w14:textId="77777777" w:rsidTr="003823B6">
        <w:trPr>
          <w:trHeight w:val="300"/>
          <w:jc w:val="center"/>
        </w:trPr>
        <w:tc>
          <w:tcPr>
            <w:tcW w:w="2034" w:type="dxa"/>
            <w:tcBorders>
              <w:top w:val="nil"/>
              <w:left w:val="nil"/>
              <w:bottom w:val="single" w:sz="4" w:space="0" w:color="auto"/>
              <w:right w:val="single" w:sz="4" w:space="0" w:color="auto"/>
            </w:tcBorders>
            <w:shd w:val="clear" w:color="auto" w:fill="auto"/>
            <w:noWrap/>
            <w:vAlign w:val="bottom"/>
            <w:hideMark/>
          </w:tcPr>
          <w:p w14:paraId="542E0734" w14:textId="77777777" w:rsidR="00E26C0C" w:rsidRPr="00BF6E2C" w:rsidRDefault="00E26C0C" w:rsidP="00E26C0C">
            <w:pPr>
              <w:rPr>
                <w:color w:val="000000"/>
              </w:rPr>
            </w:pPr>
            <w:r w:rsidRPr="00BF6E2C">
              <w:rPr>
                <w:color w:val="000000"/>
              </w:rPr>
              <w:t>Female</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04D72984" w14:textId="77777777" w:rsidR="00E26C0C" w:rsidRPr="00BF6E2C" w:rsidRDefault="00D53AB4" w:rsidP="00E26C0C">
            <w:pPr>
              <w:rPr>
                <w:color w:val="000000"/>
              </w:rPr>
            </w:pPr>
            <w:r w:rsidRPr="00BF6E2C">
              <w:rPr>
                <w:color w:val="000000"/>
              </w:rPr>
              <w:t>213</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D605557" w14:textId="77777777" w:rsidR="00E26C0C" w:rsidRPr="00BF6E2C" w:rsidRDefault="00D53AB4" w:rsidP="00E26C0C">
            <w:pPr>
              <w:rPr>
                <w:color w:val="000000"/>
              </w:rPr>
            </w:pPr>
            <w:r w:rsidRPr="00BF6E2C">
              <w:rPr>
                <w:color w:val="000000"/>
              </w:rPr>
              <w:t>212</w:t>
            </w:r>
          </w:p>
        </w:tc>
        <w:tc>
          <w:tcPr>
            <w:tcW w:w="1181" w:type="dxa"/>
            <w:tcBorders>
              <w:top w:val="nil"/>
              <w:left w:val="single" w:sz="4" w:space="0" w:color="auto"/>
              <w:bottom w:val="single" w:sz="4" w:space="0" w:color="auto"/>
              <w:right w:val="nil"/>
            </w:tcBorders>
            <w:shd w:val="clear" w:color="auto" w:fill="auto"/>
            <w:noWrap/>
            <w:vAlign w:val="bottom"/>
            <w:hideMark/>
          </w:tcPr>
          <w:p w14:paraId="03B6C0C7" w14:textId="77777777" w:rsidR="00E26C0C" w:rsidRPr="00BF6E2C" w:rsidRDefault="00D53AB4" w:rsidP="00E26C0C">
            <w:pPr>
              <w:rPr>
                <w:color w:val="000000"/>
              </w:rPr>
            </w:pPr>
            <w:r w:rsidRPr="00BF6E2C">
              <w:rPr>
                <w:color w:val="000000"/>
              </w:rPr>
              <w:t>426</w:t>
            </w:r>
          </w:p>
        </w:tc>
      </w:tr>
      <w:tr w:rsidR="00E26C0C" w:rsidRPr="00BF6E2C" w14:paraId="608A0FCF" w14:textId="77777777" w:rsidTr="003823B6">
        <w:trPr>
          <w:trHeight w:val="300"/>
          <w:jc w:val="center"/>
        </w:trPr>
        <w:tc>
          <w:tcPr>
            <w:tcW w:w="2034" w:type="dxa"/>
            <w:tcBorders>
              <w:top w:val="single" w:sz="4" w:space="0" w:color="auto"/>
              <w:left w:val="nil"/>
              <w:bottom w:val="nil"/>
              <w:right w:val="single" w:sz="4" w:space="0" w:color="auto"/>
            </w:tcBorders>
            <w:shd w:val="clear" w:color="auto" w:fill="auto"/>
            <w:noWrap/>
            <w:vAlign w:val="bottom"/>
            <w:hideMark/>
          </w:tcPr>
          <w:p w14:paraId="5EF0AFBD" w14:textId="77777777" w:rsidR="00E26C0C" w:rsidRPr="00BF6E2C" w:rsidRDefault="00E26C0C" w:rsidP="00E26C0C">
            <w:pPr>
              <w:rPr>
                <w:color w:val="000000"/>
              </w:rPr>
            </w:pPr>
            <w:r w:rsidRPr="00BF6E2C">
              <w:rPr>
                <w:color w:val="000000"/>
              </w:rPr>
              <w:t>African American</w:t>
            </w:r>
          </w:p>
        </w:tc>
        <w:tc>
          <w:tcPr>
            <w:tcW w:w="1710" w:type="dxa"/>
            <w:tcBorders>
              <w:top w:val="single" w:sz="4" w:space="0" w:color="auto"/>
              <w:left w:val="single" w:sz="4" w:space="0" w:color="auto"/>
              <w:bottom w:val="nil"/>
              <w:right w:val="single" w:sz="4" w:space="0" w:color="auto"/>
            </w:tcBorders>
            <w:shd w:val="clear" w:color="auto" w:fill="auto"/>
            <w:noWrap/>
            <w:vAlign w:val="bottom"/>
            <w:hideMark/>
          </w:tcPr>
          <w:p w14:paraId="5292C7E4" w14:textId="77777777" w:rsidR="00E26C0C" w:rsidRPr="00BF6E2C" w:rsidRDefault="00D53AB4" w:rsidP="00E26C0C">
            <w:pPr>
              <w:rPr>
                <w:color w:val="000000"/>
              </w:rPr>
            </w:pPr>
            <w:r w:rsidRPr="00BF6E2C">
              <w:rPr>
                <w:color w:val="000000"/>
              </w:rPr>
              <w:t>272</w:t>
            </w:r>
          </w:p>
        </w:tc>
        <w:tc>
          <w:tcPr>
            <w:tcW w:w="1800" w:type="dxa"/>
            <w:tcBorders>
              <w:top w:val="single" w:sz="4" w:space="0" w:color="auto"/>
              <w:left w:val="single" w:sz="4" w:space="0" w:color="auto"/>
              <w:bottom w:val="nil"/>
              <w:right w:val="single" w:sz="4" w:space="0" w:color="auto"/>
            </w:tcBorders>
            <w:shd w:val="clear" w:color="auto" w:fill="auto"/>
            <w:noWrap/>
            <w:vAlign w:val="bottom"/>
            <w:hideMark/>
          </w:tcPr>
          <w:p w14:paraId="640B54AF" w14:textId="77777777" w:rsidR="00E26C0C" w:rsidRPr="00BF6E2C" w:rsidRDefault="00E26C0C" w:rsidP="00E26C0C">
            <w:pPr>
              <w:rPr>
                <w:color w:val="000000"/>
              </w:rPr>
            </w:pPr>
            <w:r w:rsidRPr="00BF6E2C">
              <w:rPr>
                <w:color w:val="000000"/>
              </w:rPr>
              <w:t>0</w:t>
            </w:r>
          </w:p>
        </w:tc>
        <w:tc>
          <w:tcPr>
            <w:tcW w:w="1181" w:type="dxa"/>
            <w:tcBorders>
              <w:top w:val="single" w:sz="4" w:space="0" w:color="auto"/>
              <w:left w:val="single" w:sz="4" w:space="0" w:color="auto"/>
              <w:bottom w:val="nil"/>
              <w:right w:val="nil"/>
            </w:tcBorders>
            <w:shd w:val="clear" w:color="auto" w:fill="auto"/>
            <w:noWrap/>
            <w:vAlign w:val="bottom"/>
            <w:hideMark/>
          </w:tcPr>
          <w:p w14:paraId="21BCBC21" w14:textId="77777777" w:rsidR="00E26C0C" w:rsidRPr="00BF6E2C" w:rsidRDefault="00D53AB4" w:rsidP="00E26C0C">
            <w:pPr>
              <w:rPr>
                <w:color w:val="000000"/>
              </w:rPr>
            </w:pPr>
            <w:r w:rsidRPr="00BF6E2C">
              <w:rPr>
                <w:color w:val="000000"/>
              </w:rPr>
              <w:t>272</w:t>
            </w:r>
          </w:p>
        </w:tc>
      </w:tr>
      <w:tr w:rsidR="00E26C0C" w:rsidRPr="00BF6E2C" w14:paraId="6A0DBD47" w14:textId="77777777" w:rsidTr="003823B6">
        <w:trPr>
          <w:trHeight w:val="300"/>
          <w:jc w:val="center"/>
        </w:trPr>
        <w:tc>
          <w:tcPr>
            <w:tcW w:w="2034" w:type="dxa"/>
            <w:tcBorders>
              <w:top w:val="nil"/>
              <w:left w:val="nil"/>
              <w:bottom w:val="nil"/>
              <w:right w:val="single" w:sz="4" w:space="0" w:color="auto"/>
            </w:tcBorders>
            <w:shd w:val="clear" w:color="auto" w:fill="auto"/>
            <w:noWrap/>
            <w:vAlign w:val="bottom"/>
            <w:hideMark/>
          </w:tcPr>
          <w:p w14:paraId="2B8D5F87" w14:textId="77777777" w:rsidR="00E26C0C" w:rsidRPr="00BF6E2C" w:rsidRDefault="00E26C0C" w:rsidP="00E26C0C">
            <w:pPr>
              <w:rPr>
                <w:color w:val="000000"/>
              </w:rPr>
            </w:pPr>
            <w:r w:rsidRPr="00BF6E2C">
              <w:rPr>
                <w:color w:val="000000"/>
              </w:rPr>
              <w:t>Caucasian</w:t>
            </w:r>
          </w:p>
        </w:tc>
        <w:tc>
          <w:tcPr>
            <w:tcW w:w="1710" w:type="dxa"/>
            <w:tcBorders>
              <w:top w:val="nil"/>
              <w:left w:val="single" w:sz="4" w:space="0" w:color="auto"/>
              <w:bottom w:val="nil"/>
              <w:right w:val="single" w:sz="4" w:space="0" w:color="auto"/>
            </w:tcBorders>
            <w:shd w:val="clear" w:color="auto" w:fill="auto"/>
            <w:noWrap/>
            <w:vAlign w:val="bottom"/>
            <w:hideMark/>
          </w:tcPr>
          <w:p w14:paraId="69968406" w14:textId="77777777" w:rsidR="00E26C0C" w:rsidRPr="00BF6E2C" w:rsidRDefault="00D53AB4" w:rsidP="00E26C0C">
            <w:pPr>
              <w:rPr>
                <w:color w:val="000000"/>
              </w:rPr>
            </w:pPr>
            <w:r w:rsidRPr="00BF6E2C">
              <w:rPr>
                <w:color w:val="000000"/>
              </w:rPr>
              <w:t>128</w:t>
            </w:r>
          </w:p>
        </w:tc>
        <w:tc>
          <w:tcPr>
            <w:tcW w:w="1800" w:type="dxa"/>
            <w:tcBorders>
              <w:top w:val="nil"/>
              <w:left w:val="single" w:sz="4" w:space="0" w:color="auto"/>
              <w:bottom w:val="nil"/>
              <w:right w:val="single" w:sz="4" w:space="0" w:color="auto"/>
            </w:tcBorders>
            <w:shd w:val="clear" w:color="auto" w:fill="auto"/>
            <w:noWrap/>
            <w:vAlign w:val="bottom"/>
            <w:hideMark/>
          </w:tcPr>
          <w:p w14:paraId="4E53CD0B" w14:textId="77777777" w:rsidR="00E26C0C" w:rsidRPr="00BF6E2C" w:rsidRDefault="00E26C0C" w:rsidP="00E26C0C">
            <w:pPr>
              <w:rPr>
                <w:color w:val="000000"/>
              </w:rPr>
            </w:pPr>
            <w:r w:rsidRPr="00BF6E2C">
              <w:rPr>
                <w:color w:val="000000"/>
              </w:rPr>
              <w:t>0</w:t>
            </w:r>
          </w:p>
        </w:tc>
        <w:tc>
          <w:tcPr>
            <w:tcW w:w="1181" w:type="dxa"/>
            <w:tcBorders>
              <w:top w:val="nil"/>
              <w:left w:val="single" w:sz="4" w:space="0" w:color="auto"/>
              <w:bottom w:val="nil"/>
              <w:right w:val="nil"/>
            </w:tcBorders>
            <w:shd w:val="clear" w:color="auto" w:fill="auto"/>
            <w:noWrap/>
            <w:vAlign w:val="bottom"/>
            <w:hideMark/>
          </w:tcPr>
          <w:p w14:paraId="7FEE0A4A" w14:textId="77777777" w:rsidR="00E26C0C" w:rsidRPr="00BF6E2C" w:rsidRDefault="00D53AB4" w:rsidP="00E26C0C">
            <w:pPr>
              <w:rPr>
                <w:color w:val="000000"/>
              </w:rPr>
            </w:pPr>
            <w:r w:rsidRPr="00BF6E2C">
              <w:rPr>
                <w:color w:val="000000"/>
              </w:rPr>
              <w:t>128</w:t>
            </w:r>
          </w:p>
        </w:tc>
      </w:tr>
      <w:tr w:rsidR="00E26C0C" w:rsidRPr="00BF6E2C" w14:paraId="5FEFF080" w14:textId="77777777" w:rsidTr="003823B6">
        <w:trPr>
          <w:trHeight w:val="300"/>
          <w:jc w:val="center"/>
        </w:trPr>
        <w:tc>
          <w:tcPr>
            <w:tcW w:w="2034" w:type="dxa"/>
            <w:tcBorders>
              <w:top w:val="nil"/>
              <w:left w:val="nil"/>
              <w:bottom w:val="nil"/>
              <w:right w:val="single" w:sz="4" w:space="0" w:color="auto"/>
            </w:tcBorders>
            <w:shd w:val="clear" w:color="auto" w:fill="auto"/>
            <w:noWrap/>
            <w:vAlign w:val="bottom"/>
            <w:hideMark/>
          </w:tcPr>
          <w:p w14:paraId="2C234B80" w14:textId="77777777" w:rsidR="00E26C0C" w:rsidRPr="00BF6E2C" w:rsidRDefault="00E26C0C" w:rsidP="00E26C0C">
            <w:pPr>
              <w:rPr>
                <w:color w:val="000000"/>
              </w:rPr>
            </w:pPr>
            <w:r w:rsidRPr="00BF6E2C">
              <w:rPr>
                <w:color w:val="000000"/>
              </w:rPr>
              <w:t>Hispanic</w:t>
            </w:r>
          </w:p>
        </w:tc>
        <w:tc>
          <w:tcPr>
            <w:tcW w:w="1710" w:type="dxa"/>
            <w:tcBorders>
              <w:top w:val="nil"/>
              <w:left w:val="single" w:sz="4" w:space="0" w:color="auto"/>
              <w:bottom w:val="nil"/>
              <w:right w:val="single" w:sz="4" w:space="0" w:color="auto"/>
            </w:tcBorders>
            <w:shd w:val="clear" w:color="auto" w:fill="auto"/>
            <w:noWrap/>
            <w:vAlign w:val="bottom"/>
            <w:hideMark/>
          </w:tcPr>
          <w:p w14:paraId="611426E5" w14:textId="77777777" w:rsidR="00E26C0C" w:rsidRPr="00BF6E2C" w:rsidRDefault="00D53AB4" w:rsidP="00E26C0C">
            <w:pPr>
              <w:rPr>
                <w:color w:val="000000"/>
              </w:rPr>
            </w:pPr>
            <w:r w:rsidRPr="00BF6E2C">
              <w:rPr>
                <w:color w:val="000000"/>
              </w:rPr>
              <w:t>20</w:t>
            </w:r>
          </w:p>
        </w:tc>
        <w:tc>
          <w:tcPr>
            <w:tcW w:w="1800" w:type="dxa"/>
            <w:tcBorders>
              <w:top w:val="nil"/>
              <w:left w:val="single" w:sz="4" w:space="0" w:color="auto"/>
              <w:bottom w:val="nil"/>
              <w:right w:val="single" w:sz="4" w:space="0" w:color="auto"/>
            </w:tcBorders>
            <w:shd w:val="clear" w:color="auto" w:fill="auto"/>
            <w:noWrap/>
            <w:vAlign w:val="bottom"/>
            <w:hideMark/>
          </w:tcPr>
          <w:p w14:paraId="5D24FE46" w14:textId="77777777" w:rsidR="00E26C0C" w:rsidRPr="00BF6E2C" w:rsidRDefault="00E26C0C" w:rsidP="00E26C0C">
            <w:pPr>
              <w:rPr>
                <w:color w:val="000000"/>
              </w:rPr>
            </w:pPr>
            <w:r w:rsidRPr="00BF6E2C">
              <w:rPr>
                <w:color w:val="000000"/>
              </w:rPr>
              <w:t>0</w:t>
            </w:r>
          </w:p>
        </w:tc>
        <w:tc>
          <w:tcPr>
            <w:tcW w:w="1181" w:type="dxa"/>
            <w:tcBorders>
              <w:top w:val="nil"/>
              <w:left w:val="single" w:sz="4" w:space="0" w:color="auto"/>
              <w:bottom w:val="nil"/>
              <w:right w:val="nil"/>
            </w:tcBorders>
            <w:shd w:val="clear" w:color="auto" w:fill="auto"/>
            <w:noWrap/>
            <w:vAlign w:val="bottom"/>
            <w:hideMark/>
          </w:tcPr>
          <w:p w14:paraId="6F3BB086" w14:textId="77777777" w:rsidR="00E26C0C" w:rsidRPr="00BF6E2C" w:rsidRDefault="00D53AB4" w:rsidP="00E26C0C">
            <w:pPr>
              <w:rPr>
                <w:color w:val="000000"/>
              </w:rPr>
            </w:pPr>
            <w:r w:rsidRPr="00BF6E2C">
              <w:rPr>
                <w:color w:val="000000"/>
              </w:rPr>
              <w:t>20</w:t>
            </w:r>
          </w:p>
        </w:tc>
      </w:tr>
      <w:tr w:rsidR="00E26C0C" w:rsidRPr="00BF6E2C" w14:paraId="3FBC330C" w14:textId="77777777" w:rsidTr="00D94559">
        <w:trPr>
          <w:trHeight w:val="300"/>
          <w:jc w:val="center"/>
        </w:trPr>
        <w:tc>
          <w:tcPr>
            <w:tcW w:w="2034" w:type="dxa"/>
            <w:tcBorders>
              <w:top w:val="nil"/>
              <w:left w:val="nil"/>
              <w:bottom w:val="nil"/>
              <w:right w:val="single" w:sz="4" w:space="0" w:color="auto"/>
            </w:tcBorders>
            <w:shd w:val="clear" w:color="auto" w:fill="auto"/>
            <w:noWrap/>
            <w:vAlign w:val="bottom"/>
            <w:hideMark/>
          </w:tcPr>
          <w:p w14:paraId="12EA4707" w14:textId="77777777" w:rsidR="00E26C0C" w:rsidRPr="00BF6E2C" w:rsidRDefault="00E26C0C" w:rsidP="00E26C0C">
            <w:pPr>
              <w:rPr>
                <w:color w:val="000000"/>
              </w:rPr>
            </w:pPr>
            <w:r w:rsidRPr="00BF6E2C">
              <w:rPr>
                <w:color w:val="000000"/>
              </w:rPr>
              <w:t>Asian</w:t>
            </w:r>
          </w:p>
        </w:tc>
        <w:tc>
          <w:tcPr>
            <w:tcW w:w="1710" w:type="dxa"/>
            <w:tcBorders>
              <w:top w:val="nil"/>
              <w:left w:val="single" w:sz="4" w:space="0" w:color="auto"/>
              <w:bottom w:val="nil"/>
              <w:right w:val="single" w:sz="4" w:space="0" w:color="auto"/>
            </w:tcBorders>
            <w:shd w:val="clear" w:color="auto" w:fill="auto"/>
            <w:noWrap/>
            <w:vAlign w:val="bottom"/>
            <w:hideMark/>
          </w:tcPr>
          <w:p w14:paraId="40B399EE" w14:textId="77777777" w:rsidR="00E26C0C" w:rsidRPr="00BF6E2C" w:rsidRDefault="00E26C0C" w:rsidP="00E26C0C">
            <w:pPr>
              <w:rPr>
                <w:color w:val="000000"/>
              </w:rPr>
            </w:pPr>
            <w:r w:rsidRPr="00BF6E2C">
              <w:rPr>
                <w:color w:val="000000"/>
              </w:rPr>
              <w:t>5</w:t>
            </w:r>
          </w:p>
        </w:tc>
        <w:tc>
          <w:tcPr>
            <w:tcW w:w="1800" w:type="dxa"/>
            <w:tcBorders>
              <w:top w:val="nil"/>
              <w:left w:val="single" w:sz="4" w:space="0" w:color="auto"/>
              <w:bottom w:val="nil"/>
              <w:right w:val="single" w:sz="4" w:space="0" w:color="auto"/>
            </w:tcBorders>
            <w:shd w:val="clear" w:color="auto" w:fill="auto"/>
            <w:noWrap/>
            <w:vAlign w:val="bottom"/>
            <w:hideMark/>
          </w:tcPr>
          <w:p w14:paraId="452516C1" w14:textId="77777777" w:rsidR="00E26C0C" w:rsidRPr="00BF6E2C" w:rsidRDefault="00D53AB4" w:rsidP="00E26C0C">
            <w:pPr>
              <w:rPr>
                <w:color w:val="000000"/>
              </w:rPr>
            </w:pPr>
            <w:r w:rsidRPr="00BF6E2C">
              <w:rPr>
                <w:color w:val="000000"/>
              </w:rPr>
              <w:t>425</w:t>
            </w:r>
          </w:p>
        </w:tc>
        <w:tc>
          <w:tcPr>
            <w:tcW w:w="1181" w:type="dxa"/>
            <w:tcBorders>
              <w:top w:val="nil"/>
              <w:left w:val="single" w:sz="4" w:space="0" w:color="auto"/>
              <w:bottom w:val="nil"/>
              <w:right w:val="nil"/>
            </w:tcBorders>
            <w:shd w:val="clear" w:color="auto" w:fill="auto"/>
            <w:noWrap/>
            <w:vAlign w:val="bottom"/>
            <w:hideMark/>
          </w:tcPr>
          <w:p w14:paraId="3AE6B50B" w14:textId="77777777" w:rsidR="00E26C0C" w:rsidRPr="00BF6E2C" w:rsidRDefault="00D53AB4" w:rsidP="00E26C0C">
            <w:pPr>
              <w:rPr>
                <w:color w:val="000000"/>
              </w:rPr>
            </w:pPr>
            <w:r w:rsidRPr="00BF6E2C">
              <w:rPr>
                <w:color w:val="000000"/>
              </w:rPr>
              <w:t>430</w:t>
            </w:r>
          </w:p>
        </w:tc>
      </w:tr>
      <w:tr w:rsidR="00660B21" w:rsidRPr="00BF6E2C" w14:paraId="7C350C55" w14:textId="77777777" w:rsidTr="003823B6">
        <w:trPr>
          <w:trHeight w:val="300"/>
          <w:jc w:val="center"/>
        </w:trPr>
        <w:tc>
          <w:tcPr>
            <w:tcW w:w="2034" w:type="dxa"/>
            <w:tcBorders>
              <w:top w:val="nil"/>
              <w:left w:val="nil"/>
              <w:bottom w:val="single" w:sz="18" w:space="0" w:color="auto"/>
              <w:right w:val="single" w:sz="4" w:space="0" w:color="auto"/>
            </w:tcBorders>
            <w:shd w:val="clear" w:color="auto" w:fill="auto"/>
            <w:noWrap/>
            <w:vAlign w:val="bottom"/>
          </w:tcPr>
          <w:p w14:paraId="31FF3B36" w14:textId="77777777" w:rsidR="00660B21" w:rsidRPr="00BF6E2C" w:rsidRDefault="00660B21" w:rsidP="00E26C0C">
            <w:pPr>
              <w:rPr>
                <w:color w:val="000000"/>
              </w:rPr>
            </w:pPr>
            <w:r w:rsidRPr="00BF6E2C">
              <w:rPr>
                <w:color w:val="000000"/>
              </w:rPr>
              <w:t>Total</w:t>
            </w:r>
          </w:p>
        </w:tc>
        <w:tc>
          <w:tcPr>
            <w:tcW w:w="1710" w:type="dxa"/>
            <w:tcBorders>
              <w:top w:val="nil"/>
              <w:left w:val="single" w:sz="4" w:space="0" w:color="auto"/>
              <w:bottom w:val="single" w:sz="18" w:space="0" w:color="auto"/>
              <w:right w:val="single" w:sz="4" w:space="0" w:color="auto"/>
            </w:tcBorders>
            <w:shd w:val="clear" w:color="auto" w:fill="auto"/>
            <w:noWrap/>
            <w:vAlign w:val="bottom"/>
          </w:tcPr>
          <w:p w14:paraId="278F5704" w14:textId="77777777" w:rsidR="00660B21" w:rsidRPr="00BF6E2C" w:rsidRDefault="00660B21" w:rsidP="00E26C0C">
            <w:pPr>
              <w:rPr>
                <w:color w:val="000000"/>
              </w:rPr>
            </w:pPr>
            <w:r w:rsidRPr="00BF6E2C">
              <w:rPr>
                <w:color w:val="000000"/>
              </w:rPr>
              <w:t>425</w:t>
            </w:r>
            <w:r>
              <w:rPr>
                <w:color w:val="000000"/>
              </w:rPr>
              <w:t>*</w:t>
            </w:r>
          </w:p>
        </w:tc>
        <w:tc>
          <w:tcPr>
            <w:tcW w:w="1800" w:type="dxa"/>
            <w:tcBorders>
              <w:top w:val="nil"/>
              <w:left w:val="single" w:sz="4" w:space="0" w:color="auto"/>
              <w:bottom w:val="single" w:sz="18" w:space="0" w:color="auto"/>
              <w:right w:val="single" w:sz="4" w:space="0" w:color="auto"/>
            </w:tcBorders>
            <w:shd w:val="clear" w:color="auto" w:fill="auto"/>
            <w:noWrap/>
            <w:vAlign w:val="bottom"/>
          </w:tcPr>
          <w:p w14:paraId="410A0A79" w14:textId="77777777" w:rsidR="00660B21" w:rsidRPr="00BF6E2C" w:rsidRDefault="00660B21" w:rsidP="00E26C0C">
            <w:pPr>
              <w:rPr>
                <w:color w:val="000000"/>
              </w:rPr>
            </w:pPr>
            <w:r w:rsidRPr="00BF6E2C">
              <w:rPr>
                <w:color w:val="000000"/>
              </w:rPr>
              <w:t>425</w:t>
            </w:r>
            <w:r>
              <w:rPr>
                <w:color w:val="000000"/>
              </w:rPr>
              <w:t>*</w:t>
            </w:r>
          </w:p>
        </w:tc>
        <w:tc>
          <w:tcPr>
            <w:tcW w:w="1181" w:type="dxa"/>
            <w:tcBorders>
              <w:top w:val="nil"/>
              <w:left w:val="single" w:sz="4" w:space="0" w:color="auto"/>
              <w:bottom w:val="single" w:sz="18" w:space="0" w:color="auto"/>
              <w:right w:val="nil"/>
            </w:tcBorders>
            <w:shd w:val="clear" w:color="auto" w:fill="auto"/>
            <w:noWrap/>
            <w:vAlign w:val="bottom"/>
          </w:tcPr>
          <w:p w14:paraId="39408B84" w14:textId="77777777" w:rsidR="00660B21" w:rsidRPr="00BF6E2C" w:rsidRDefault="00660B21" w:rsidP="00E26C0C">
            <w:pPr>
              <w:rPr>
                <w:color w:val="000000"/>
              </w:rPr>
            </w:pPr>
            <w:r w:rsidRPr="00BF6E2C">
              <w:rPr>
                <w:color w:val="000000"/>
              </w:rPr>
              <w:t>850</w:t>
            </w:r>
          </w:p>
        </w:tc>
      </w:tr>
    </w:tbl>
    <w:p w14:paraId="1A2720BA" w14:textId="77777777" w:rsidR="00660B21" w:rsidRDefault="00660B21" w:rsidP="00D94559">
      <w:pPr>
        <w:ind w:left="720"/>
        <w:rPr>
          <w:b/>
          <w:color w:val="000000"/>
          <w:sz w:val="20"/>
        </w:rPr>
      </w:pPr>
    </w:p>
    <w:p w14:paraId="6A1F3F2F" w14:textId="77777777" w:rsidR="00850200" w:rsidRDefault="00B9249E" w:rsidP="00D94559">
      <w:pPr>
        <w:ind w:left="720"/>
        <w:rPr>
          <w:b/>
          <w:color w:val="000000"/>
          <w:sz w:val="20"/>
        </w:rPr>
      </w:pPr>
      <w:r>
        <w:rPr>
          <w:b/>
          <w:color w:val="000000"/>
          <w:sz w:val="20"/>
        </w:rPr>
        <w:t xml:space="preserve">*Of note, </w:t>
      </w:r>
      <w:r w:rsidR="00660B21">
        <w:rPr>
          <w:b/>
          <w:color w:val="000000"/>
          <w:sz w:val="20"/>
        </w:rPr>
        <w:t>the number of</w:t>
      </w:r>
      <w:r>
        <w:rPr>
          <w:b/>
          <w:color w:val="000000"/>
          <w:sz w:val="20"/>
        </w:rPr>
        <w:t xml:space="preserve"> subject per site</w:t>
      </w:r>
      <w:r w:rsidR="00660B21">
        <w:rPr>
          <w:b/>
          <w:color w:val="000000"/>
          <w:sz w:val="20"/>
        </w:rPr>
        <w:t xml:space="preserve"> (n=425</w:t>
      </w:r>
      <w:r w:rsidR="00D0401A">
        <w:rPr>
          <w:b/>
          <w:color w:val="000000"/>
          <w:sz w:val="20"/>
        </w:rPr>
        <w:t xml:space="preserve"> per year</w:t>
      </w:r>
      <w:r w:rsidR="00660B21">
        <w:rPr>
          <w:b/>
          <w:color w:val="000000"/>
          <w:sz w:val="20"/>
        </w:rPr>
        <w:t>)</w:t>
      </w:r>
      <w:r>
        <w:rPr>
          <w:b/>
          <w:color w:val="000000"/>
          <w:sz w:val="20"/>
        </w:rPr>
        <w:t xml:space="preserve"> </w:t>
      </w:r>
      <w:r w:rsidR="00D24CF6">
        <w:rPr>
          <w:b/>
          <w:color w:val="000000"/>
          <w:sz w:val="20"/>
        </w:rPr>
        <w:t xml:space="preserve">appears different in </w:t>
      </w:r>
      <w:r>
        <w:rPr>
          <w:b/>
          <w:color w:val="000000"/>
          <w:sz w:val="20"/>
        </w:rPr>
        <w:t>Statement B</w:t>
      </w:r>
      <w:r w:rsidR="00D24CF6">
        <w:rPr>
          <w:b/>
          <w:color w:val="000000"/>
          <w:sz w:val="20"/>
        </w:rPr>
        <w:t xml:space="preserve"> than in Statement A</w:t>
      </w:r>
      <w:r>
        <w:rPr>
          <w:b/>
          <w:color w:val="000000"/>
          <w:sz w:val="20"/>
        </w:rPr>
        <w:t xml:space="preserve">. </w:t>
      </w:r>
      <w:r w:rsidR="00660B21">
        <w:rPr>
          <w:b/>
          <w:color w:val="000000"/>
          <w:sz w:val="20"/>
        </w:rPr>
        <w:t>This is because S</w:t>
      </w:r>
      <w:r>
        <w:rPr>
          <w:b/>
          <w:color w:val="000000"/>
          <w:sz w:val="20"/>
        </w:rPr>
        <w:t xml:space="preserve">upporting Statement A provides details for active recruitment only </w:t>
      </w:r>
      <w:r w:rsidR="00660B21">
        <w:rPr>
          <w:b/>
          <w:color w:val="000000"/>
          <w:sz w:val="20"/>
        </w:rPr>
        <w:t>(</w:t>
      </w:r>
      <w:r>
        <w:rPr>
          <w:b/>
          <w:color w:val="000000"/>
          <w:sz w:val="20"/>
        </w:rPr>
        <w:t>n=300 subjects</w:t>
      </w:r>
      <w:r w:rsidR="00660B21">
        <w:rPr>
          <w:b/>
          <w:color w:val="000000"/>
          <w:sz w:val="20"/>
        </w:rPr>
        <w:t xml:space="preserve"> per site)</w:t>
      </w:r>
      <w:r>
        <w:rPr>
          <w:b/>
          <w:color w:val="000000"/>
          <w:sz w:val="20"/>
        </w:rPr>
        <w:t xml:space="preserve">. </w:t>
      </w:r>
      <w:r w:rsidR="00D24CF6">
        <w:rPr>
          <w:b/>
          <w:color w:val="000000"/>
          <w:sz w:val="20"/>
        </w:rPr>
        <w:t>Statement B includes active (n=300</w:t>
      </w:r>
      <w:r w:rsidR="00660B21">
        <w:rPr>
          <w:b/>
          <w:color w:val="000000"/>
          <w:sz w:val="20"/>
        </w:rPr>
        <w:t xml:space="preserve"> per site</w:t>
      </w:r>
      <w:r w:rsidR="00D24CF6">
        <w:rPr>
          <w:b/>
          <w:color w:val="000000"/>
          <w:sz w:val="20"/>
        </w:rPr>
        <w:t>) and passive subjects (n=125</w:t>
      </w:r>
      <w:r w:rsidR="00660B21">
        <w:rPr>
          <w:b/>
          <w:color w:val="000000"/>
          <w:sz w:val="20"/>
        </w:rPr>
        <w:t xml:space="preserve"> per site</w:t>
      </w:r>
      <w:r w:rsidR="00D24CF6">
        <w:rPr>
          <w:b/>
          <w:color w:val="000000"/>
          <w:sz w:val="20"/>
        </w:rPr>
        <w:t>).</w:t>
      </w:r>
      <w:r w:rsidR="00660B21">
        <w:rPr>
          <w:b/>
          <w:color w:val="000000"/>
          <w:sz w:val="20"/>
        </w:rPr>
        <w:t xml:space="preserve">  Passive sample collection requires no direct patient interaction or burden.  </w:t>
      </w:r>
      <w:r w:rsidR="00D24CF6">
        <w:rPr>
          <w:b/>
          <w:color w:val="000000"/>
          <w:sz w:val="20"/>
        </w:rPr>
        <w:t xml:space="preserve"> </w:t>
      </w:r>
      <w:r>
        <w:rPr>
          <w:b/>
          <w:color w:val="000000"/>
          <w:sz w:val="20"/>
        </w:rPr>
        <w:t xml:space="preserve"> </w:t>
      </w:r>
    </w:p>
    <w:p w14:paraId="4BC7D014" w14:textId="77777777" w:rsidR="00B9249E" w:rsidRPr="00D94559" w:rsidRDefault="00B9249E" w:rsidP="00D94559">
      <w:pPr>
        <w:ind w:left="720"/>
        <w:rPr>
          <w:b/>
          <w:color w:val="000000"/>
          <w:sz w:val="20"/>
        </w:rPr>
      </w:pPr>
    </w:p>
    <w:p w14:paraId="4B867F95" w14:textId="77777777" w:rsidR="00E157FA" w:rsidRPr="00E157FA" w:rsidRDefault="00905748" w:rsidP="00E157FA">
      <w:pPr>
        <w:rPr>
          <w:color w:val="000000"/>
        </w:rPr>
      </w:pPr>
      <w:r w:rsidRPr="00BF6E2C">
        <w:rPr>
          <w:color w:val="000000"/>
        </w:rPr>
        <w:t xml:space="preserve">This study will be inclusive of all individuals who meet the Subject Inclusion/Exclusion Criteria, regardless of religion, sex, or ethnic background. </w:t>
      </w:r>
      <w:r w:rsidR="00457465" w:rsidRPr="00BF6E2C">
        <w:rPr>
          <w:color w:val="000000"/>
        </w:rPr>
        <w:t xml:space="preserve">Please see table above for </w:t>
      </w:r>
      <w:r w:rsidRPr="00BF6E2C">
        <w:rPr>
          <w:color w:val="000000"/>
        </w:rPr>
        <w:t xml:space="preserve">estimated </w:t>
      </w:r>
      <w:r w:rsidR="00457465" w:rsidRPr="00BF6E2C">
        <w:rPr>
          <w:color w:val="000000"/>
        </w:rPr>
        <w:t>gender and racial demographic break down</w:t>
      </w:r>
      <w:r w:rsidRPr="00BF6E2C">
        <w:rPr>
          <w:color w:val="000000"/>
        </w:rPr>
        <w:t xml:space="preserve"> across sites</w:t>
      </w:r>
      <w:r w:rsidR="00457465" w:rsidRPr="00BF6E2C">
        <w:rPr>
          <w:color w:val="000000"/>
        </w:rPr>
        <w:t xml:space="preserve">. </w:t>
      </w:r>
      <w:r w:rsidR="00E157FA">
        <w:rPr>
          <w:color w:val="000000"/>
        </w:rPr>
        <w:t>This study does not aim to generalize a population.</w:t>
      </w:r>
      <w:r w:rsidR="00D0401A">
        <w:rPr>
          <w:color w:val="000000"/>
        </w:rPr>
        <w:t xml:space="preserve"> </w:t>
      </w:r>
      <w:r w:rsidR="00D0401A">
        <w:t>Hence, there is not a specific sample size calculation for this surveillance population, but smaller sample size calculations have been performed for the laboratory analysis associated with serologic and immunologic studies.</w:t>
      </w:r>
      <w:r w:rsidR="00E157FA">
        <w:rPr>
          <w:color w:val="000000"/>
        </w:rPr>
        <w:t xml:space="preserve"> There is no </w:t>
      </w:r>
      <w:r w:rsidR="00E157FA" w:rsidRPr="00E966E3">
        <w:rPr>
          <w:color w:val="1F497D"/>
          <w:sz w:val="22"/>
          <w:szCs w:val="22"/>
          <w:shd w:val="clear" w:color="auto" w:fill="FFFFFF"/>
        </w:rPr>
        <w:t>stratification variable,</w:t>
      </w:r>
      <w:r w:rsidR="00E157FA">
        <w:rPr>
          <w:rFonts w:ascii="Calibri" w:hAnsi="Calibri"/>
          <w:color w:val="1F497D"/>
          <w:sz w:val="22"/>
          <w:szCs w:val="22"/>
          <w:shd w:val="clear" w:color="auto" w:fill="FFFFFF"/>
        </w:rPr>
        <w:t xml:space="preserve"> </w:t>
      </w:r>
      <w:r w:rsidR="00E157FA">
        <w:rPr>
          <w:color w:val="1F497D"/>
          <w:sz w:val="22"/>
          <w:szCs w:val="22"/>
          <w:shd w:val="clear" w:color="auto" w:fill="FFFFFF"/>
        </w:rPr>
        <w:t xml:space="preserve">the first 850 (425 per site) eligible subjects per year will be enrolled. </w:t>
      </w:r>
    </w:p>
    <w:p w14:paraId="01D95BB0" w14:textId="77777777" w:rsidR="00457465" w:rsidRPr="00BF6E2C" w:rsidRDefault="00457465" w:rsidP="00754DCD">
      <w:pPr>
        <w:rPr>
          <w:color w:val="000000"/>
        </w:rPr>
      </w:pPr>
    </w:p>
    <w:p w14:paraId="0A9F1947" w14:textId="77777777" w:rsidR="00457465" w:rsidRDefault="00457465" w:rsidP="00754DCD">
      <w:pPr>
        <w:rPr>
          <w:color w:val="000000"/>
        </w:rPr>
      </w:pPr>
    </w:p>
    <w:p w14:paraId="14995DF6" w14:textId="4A83410A" w:rsidR="007A43A4" w:rsidRPr="00BF6E2C" w:rsidRDefault="007A43A4" w:rsidP="00754DCD">
      <w:pPr>
        <w:rPr>
          <w:color w:val="000000"/>
        </w:rPr>
      </w:pPr>
      <w:r>
        <w:rPr>
          <w:color w:val="000000"/>
        </w:rPr>
        <w:t>Based on historical experience with similar studies at these sites we expect equal enrollment and response rates across all subgroups. We anticipate a retention and completion rate for the follow-up visit of at least 85% based on our historical experience</w:t>
      </w:r>
      <w:r w:rsidR="005E2D4E">
        <w:rPr>
          <w:color w:val="000000"/>
        </w:rPr>
        <w:t xml:space="preserve"> which supports the needs for our sample size</w:t>
      </w:r>
      <w:r>
        <w:rPr>
          <w:color w:val="000000"/>
        </w:rPr>
        <w:t>.</w:t>
      </w:r>
      <w:r w:rsidR="005E2D4E">
        <w:rPr>
          <w:color w:val="000000"/>
        </w:rPr>
        <w:t xml:space="preserve"> </w:t>
      </w:r>
    </w:p>
    <w:p w14:paraId="5AB6746F" w14:textId="77777777" w:rsidR="00457465" w:rsidRPr="00BF6E2C" w:rsidRDefault="00457465" w:rsidP="00754DCD">
      <w:pPr>
        <w:rPr>
          <w:color w:val="000000"/>
        </w:rPr>
      </w:pPr>
    </w:p>
    <w:p w14:paraId="249D9B42" w14:textId="77777777" w:rsidR="00187F22" w:rsidRDefault="00957F14" w:rsidP="00187F22">
      <w:pPr>
        <w:pStyle w:val="Heading2"/>
        <w:tabs>
          <w:tab w:val="left" w:pos="720"/>
        </w:tabs>
        <w:spacing w:after="0" w:line="480" w:lineRule="auto"/>
        <w:ind w:left="0" w:firstLine="0"/>
        <w:rPr>
          <w:sz w:val="24"/>
          <w:szCs w:val="24"/>
        </w:rPr>
      </w:pPr>
      <w:r w:rsidRPr="00E41609">
        <w:rPr>
          <w:sz w:val="24"/>
          <w:szCs w:val="24"/>
        </w:rPr>
        <w:lastRenderedPageBreak/>
        <w:t>B.2</w:t>
      </w:r>
      <w:r w:rsidRPr="00E41609">
        <w:rPr>
          <w:sz w:val="24"/>
          <w:szCs w:val="24"/>
        </w:rPr>
        <w:tab/>
        <w:t>Procedures for the Collection of Information</w:t>
      </w:r>
    </w:p>
    <w:p w14:paraId="4D59F55D" w14:textId="77777777" w:rsidR="00187F22" w:rsidRPr="00187F22" w:rsidRDefault="00187F22" w:rsidP="00187F22">
      <w:pPr>
        <w:pStyle w:val="P1-StandPara"/>
      </w:pPr>
      <w:r w:rsidRPr="00187F22">
        <w:t>The surveillance population will intentionally include those with varying levels of illness severity from influenza, including those with local cluster outbreaks managed in the community outpatient setting, to those with acute respiratory symptoms requiring intensive care from each of the regional hospital networks. EDs are widely recognized as the clinical venue where patients most frequently seek care during the surge associated with severe pandemics. They serve as the primary site for initial evaluation and treatment for patients who are ultimately hospitalized with influenza each year and are responsible for the care of patients with influenza related illnesses who are treated and discharged.</w:t>
      </w:r>
    </w:p>
    <w:p w14:paraId="0F26C814" w14:textId="77777777" w:rsidR="00187F22" w:rsidRPr="00187F22" w:rsidRDefault="00187F22" w:rsidP="00187F22">
      <w:pPr>
        <w:pStyle w:val="P1-StandPara"/>
      </w:pPr>
      <w:r w:rsidRPr="00187F22">
        <w:t>Investigators are faculty members and providers to patients in these clinics, and thus have an existing clinician-patient relationship.  Accordingly, they are readily available to determine eligibility for study participation. Eligible subjects for the active surveillance group will be recruited by dedicated trained research coordinators at the participating EDs.  They identify potential participants using the medical record.  When a potential subject is identified, he/she will be asked to consent for screening to determine eligibility.  If the subject consents and is eligible and willing to participate, then study staff shall proceed with the written informed consent process (Attachments 3-6). </w:t>
      </w:r>
    </w:p>
    <w:p w14:paraId="5DD67231" w14:textId="77777777" w:rsidR="00187F22" w:rsidRPr="00E966E3" w:rsidRDefault="00187F22" w:rsidP="00E966E3">
      <w:pPr>
        <w:pStyle w:val="P1-StandPara"/>
      </w:pPr>
      <w:r w:rsidRPr="00187F22">
        <w:t xml:space="preserve"> (Attachments 3-6) Written informed consent will be obtained in a private patient room in compliance with HIPAA regulations.  Subjects will be provided with a description of the study (purpose and study procedures) and asked to read and sign the informed consent form.   For each enrollee, research coordinators will complete a set of brief structured clinical data forms to include basic demographic data, vaccination history, co-morbid illness, initial vital signs and history of present illness.  To complete this set of forms, study coordinators will verbally ask each subject to respond to the listed questions in a step-by-step manner.  After completion of the clinical data forms, research coordinators will immediately review the subject’s past medical history with what is reported in the medical record.</w:t>
      </w:r>
    </w:p>
    <w:p w14:paraId="01F989D6" w14:textId="77777777" w:rsidR="002334E1" w:rsidRDefault="002334E1" w:rsidP="00957F14"/>
    <w:p w14:paraId="5D2980C7" w14:textId="77777777" w:rsidR="007B6E31" w:rsidRDefault="007B6E31" w:rsidP="00957F14"/>
    <w:p w14:paraId="1C3E2851" w14:textId="77777777" w:rsidR="00386D13" w:rsidRPr="00E3182E" w:rsidRDefault="00386D13" w:rsidP="00386D13">
      <w:pPr>
        <w:rPr>
          <w:rFonts w:ascii="Tahoma" w:hAnsi="Tahoma" w:cs="Tahoma"/>
          <w:sz w:val="20"/>
          <w:szCs w:val="20"/>
        </w:rPr>
      </w:pPr>
      <w:r w:rsidRPr="00E3182E">
        <w:t>Immunologic analysis will be performed on all patients with positive PCR influenza tests. We will enro</w:t>
      </w:r>
      <w:r w:rsidR="00E3182E" w:rsidRPr="00E3182E">
        <w:t>l</w:t>
      </w:r>
      <w:r w:rsidRPr="00E3182E">
        <w:t xml:space="preserve">l 180 PCR influenza positives subjects each year. Immunologic outcomes will be </w:t>
      </w:r>
      <w:r w:rsidR="001D1C86" w:rsidRPr="00E3182E">
        <w:t>assess</w:t>
      </w:r>
      <w:r w:rsidRPr="00E3182E">
        <w:t xml:space="preserve">ed based on disease severity, with an estimated breakdown of 5% severe disease, 40% moderate disease, and 45% mild disease each season. With these distributions we will accrue 54 patients (in the smallest or severe group) over the course of 6 influenza seasons a sample size sufficient to permit analysis and characterization of differences between the groups. Changes in multiple factors that correlate with disease will be the primary analysis. </w:t>
      </w:r>
    </w:p>
    <w:p w14:paraId="179D63A0" w14:textId="77777777" w:rsidR="00386D13" w:rsidRDefault="00386D13" w:rsidP="00386D13">
      <w:pPr>
        <w:rPr>
          <w:rFonts w:ascii="Tahoma" w:hAnsi="Tahoma" w:cs="Tahoma"/>
          <w:color w:val="000000"/>
          <w:sz w:val="20"/>
          <w:szCs w:val="20"/>
        </w:rPr>
      </w:pPr>
      <w:r>
        <w:rPr>
          <w:rFonts w:ascii="Tahoma" w:hAnsi="Tahoma" w:cs="Tahoma"/>
          <w:color w:val="000000"/>
          <w:sz w:val="20"/>
          <w:szCs w:val="20"/>
        </w:rPr>
        <w:t> </w:t>
      </w:r>
    </w:p>
    <w:p w14:paraId="0C03AD72" w14:textId="77777777" w:rsidR="00386D13" w:rsidRDefault="00386D13" w:rsidP="00386D13">
      <w:pPr>
        <w:rPr>
          <w:color w:val="000000"/>
        </w:rPr>
      </w:pPr>
      <w:r>
        <w:rPr>
          <w:color w:val="000000"/>
        </w:rPr>
        <w:t xml:space="preserve">Serologic analysis will be performed on 200 patients including: 1) Those with no clinical symptoms (N=100); 2) those with ILI and evidence of lower airway disease defined as diagnosis of pneumonia (N=40); 3) those who ILI and severe disease resulting in ICU admission, mechanical ventilation or death (N=10) and; 4) randomly selected ILI samples from the remaining subjects (N=50). Serologic analysis will be performed on groups 1-4. Based on our estimated </w:t>
      </w:r>
      <w:r w:rsidR="00CE24AF">
        <w:rPr>
          <w:color w:val="000000"/>
        </w:rPr>
        <w:t>prevalence</w:t>
      </w:r>
      <w:r>
        <w:rPr>
          <w:color w:val="000000"/>
        </w:rPr>
        <w:t xml:space="preserve"> data from our </w:t>
      </w:r>
      <w:r w:rsidR="00CE24AF">
        <w:rPr>
          <w:color w:val="000000"/>
        </w:rPr>
        <w:t>population</w:t>
      </w:r>
      <w:r>
        <w:rPr>
          <w:color w:val="000000"/>
        </w:rPr>
        <w:t>, we anticipate that 20 of these (i.e. 20% of those from groups 2-4) will have positive PCR influenza tests. With these numbers, we anticipate that serologic analysis of each of the 4 groups will permit us to detect the added value of serologic testing when combined with PCR for identification of influenza infections. By definition, changes of four fold or greater in antibody titer at 28 days post infection compared to the titer at time of presentation is considered to be a positive response to influenza infection and will be used as the criteria for judging a positive result.</w:t>
      </w:r>
    </w:p>
    <w:p w14:paraId="0421AA5C" w14:textId="77777777" w:rsidR="00E3182E" w:rsidRDefault="00E3182E" w:rsidP="00386D13">
      <w:pPr>
        <w:rPr>
          <w:color w:val="000000"/>
        </w:rPr>
      </w:pPr>
    </w:p>
    <w:p w14:paraId="1A914AE4" w14:textId="77777777" w:rsidR="00E3182E" w:rsidRDefault="00E3182E" w:rsidP="00E3182E">
      <w:pPr>
        <w:rPr>
          <w:color w:val="000000"/>
        </w:rPr>
      </w:pPr>
      <w:r>
        <w:rPr>
          <w:color w:val="000000"/>
        </w:rPr>
        <w:t xml:space="preserve">Influenza virus genome sequencing will be performed on all influenza positive samples collected from both the immunological and serological study groups. Specific genotypes will be correlated with the clinical disease descriptions described above. </w:t>
      </w:r>
    </w:p>
    <w:p w14:paraId="52F2BA89" w14:textId="77777777" w:rsidR="00E3182E" w:rsidRDefault="00E3182E" w:rsidP="00386D13">
      <w:pPr>
        <w:rPr>
          <w:color w:val="000000"/>
        </w:rPr>
      </w:pPr>
    </w:p>
    <w:p w14:paraId="44EAEBF7" w14:textId="77777777" w:rsidR="00386D13" w:rsidRDefault="00386D13" w:rsidP="00957F14"/>
    <w:p w14:paraId="036B468A" w14:textId="77777777" w:rsidR="00850200" w:rsidRPr="00BF6E2C" w:rsidRDefault="00850200" w:rsidP="00850200">
      <w:pPr>
        <w:rPr>
          <w:iCs/>
          <w:color w:val="000000"/>
        </w:rPr>
      </w:pPr>
      <w:r w:rsidRPr="00BF6E2C">
        <w:rPr>
          <w:iCs/>
          <w:color w:val="000000"/>
        </w:rPr>
        <w:t xml:space="preserve">The following bullet points explain what information/data will be collected from subjects by a fully trained staff member known as a research coordinator (RC). All subjects will be enrolled for up to 3 weeks after their eligible study start date. </w:t>
      </w:r>
    </w:p>
    <w:p w14:paraId="457DCD83" w14:textId="1DE0213C" w:rsidR="00850200" w:rsidRPr="00BF6E2C" w:rsidRDefault="00850200" w:rsidP="00850200">
      <w:pPr>
        <w:numPr>
          <w:ilvl w:val="0"/>
          <w:numId w:val="5"/>
        </w:numPr>
        <w:rPr>
          <w:iCs/>
          <w:color w:val="000000"/>
        </w:rPr>
      </w:pPr>
      <w:r w:rsidRPr="00BF6E2C">
        <w:rPr>
          <w:iCs/>
          <w:color w:val="000000"/>
        </w:rPr>
        <w:t>ILI active surveillance participants will need to be in the emergency department for a minimum estimated time of 2 hours to complete their initial enrollment forms (</w:t>
      </w:r>
      <w:r w:rsidR="00D0401A">
        <w:rPr>
          <w:iCs/>
          <w:color w:val="000000"/>
        </w:rPr>
        <w:t>90</w:t>
      </w:r>
      <w:r w:rsidR="00D0401A" w:rsidRPr="00BF6E2C">
        <w:rPr>
          <w:iCs/>
          <w:color w:val="000000"/>
        </w:rPr>
        <w:t xml:space="preserve"> </w:t>
      </w:r>
      <w:r w:rsidRPr="00BF6E2C">
        <w:rPr>
          <w:iCs/>
          <w:color w:val="000000"/>
        </w:rPr>
        <w:t xml:space="preserve">minutes of this time is waiting for the rapid flu test result). The follow up visit for these same subjects should take an estimated time of </w:t>
      </w:r>
      <w:r w:rsidR="009D618F">
        <w:rPr>
          <w:iCs/>
          <w:color w:val="000000"/>
        </w:rPr>
        <w:t>30</w:t>
      </w:r>
      <w:r w:rsidR="009D618F" w:rsidRPr="00BF6E2C">
        <w:rPr>
          <w:iCs/>
          <w:color w:val="000000"/>
        </w:rPr>
        <w:t xml:space="preserve"> </w:t>
      </w:r>
      <w:r w:rsidRPr="00BF6E2C">
        <w:rPr>
          <w:iCs/>
          <w:color w:val="000000"/>
        </w:rPr>
        <w:t xml:space="preserve">minutes. </w:t>
      </w:r>
    </w:p>
    <w:p w14:paraId="0641E8F8" w14:textId="3A67CE45" w:rsidR="00850200" w:rsidRPr="00BF6E2C" w:rsidRDefault="00850200" w:rsidP="00850200">
      <w:pPr>
        <w:numPr>
          <w:ilvl w:val="0"/>
          <w:numId w:val="5"/>
        </w:numPr>
        <w:rPr>
          <w:iCs/>
          <w:color w:val="000000"/>
        </w:rPr>
      </w:pPr>
      <w:r w:rsidRPr="00BF6E2C">
        <w:rPr>
          <w:iCs/>
          <w:color w:val="000000"/>
        </w:rPr>
        <w:t xml:space="preserve">Influenza positive active surveillance participants will need to be in the emergency department for a minimum estimated time of 30 minutes. The follow up visit for these same subjects should take an estimated time of </w:t>
      </w:r>
      <w:r w:rsidR="009D618F">
        <w:rPr>
          <w:iCs/>
          <w:color w:val="000000"/>
        </w:rPr>
        <w:t>30</w:t>
      </w:r>
      <w:r w:rsidR="009D618F" w:rsidRPr="00BF6E2C">
        <w:rPr>
          <w:iCs/>
          <w:color w:val="000000"/>
        </w:rPr>
        <w:t xml:space="preserve"> </w:t>
      </w:r>
      <w:r w:rsidRPr="00BF6E2C">
        <w:rPr>
          <w:iCs/>
          <w:color w:val="000000"/>
        </w:rPr>
        <w:t>minutes.</w:t>
      </w:r>
    </w:p>
    <w:p w14:paraId="2993256C" w14:textId="77777777" w:rsidR="00850200" w:rsidRPr="00BF6E2C" w:rsidRDefault="00850200" w:rsidP="00850200">
      <w:pPr>
        <w:numPr>
          <w:ilvl w:val="0"/>
          <w:numId w:val="5"/>
        </w:numPr>
        <w:rPr>
          <w:iCs/>
          <w:color w:val="000000"/>
        </w:rPr>
      </w:pPr>
      <w:r w:rsidRPr="00BF6E2C">
        <w:rPr>
          <w:iCs/>
          <w:color w:val="000000"/>
        </w:rPr>
        <w:t xml:space="preserve">Passive surveillance subjects are recruited via a retrospective waste sample collection process under a waiver of consent. </w:t>
      </w:r>
      <w:r w:rsidRPr="00D94559">
        <w:rPr>
          <w:b/>
          <w:iCs/>
          <w:color w:val="000000"/>
        </w:rPr>
        <w:t>These subjects require no time with a research coordinator, and require no follow up visit.</w:t>
      </w:r>
      <w:r w:rsidRPr="00BF6E2C">
        <w:rPr>
          <w:iCs/>
          <w:color w:val="000000"/>
        </w:rPr>
        <w:t xml:space="preserve"> </w:t>
      </w:r>
    </w:p>
    <w:p w14:paraId="0D0F63F9" w14:textId="77777777" w:rsidR="00CE24AF" w:rsidRDefault="00CE24AF" w:rsidP="00850200">
      <w:pPr>
        <w:rPr>
          <w:i/>
          <w:iCs/>
          <w:color w:val="000000"/>
          <w:u w:val="single"/>
        </w:rPr>
      </w:pPr>
    </w:p>
    <w:p w14:paraId="227B02BA" w14:textId="77777777" w:rsidR="00850200" w:rsidRPr="00BF6E2C" w:rsidRDefault="00850200" w:rsidP="00850200">
      <w:pPr>
        <w:rPr>
          <w:i/>
          <w:iCs/>
          <w:color w:val="000000"/>
        </w:rPr>
      </w:pPr>
      <w:r w:rsidRPr="00BF6E2C">
        <w:rPr>
          <w:i/>
          <w:iCs/>
          <w:color w:val="000000"/>
          <w:u w:val="single"/>
        </w:rPr>
        <w:lastRenderedPageBreak/>
        <w:t>Active Surveillance</w:t>
      </w:r>
      <w:r w:rsidRPr="00BF6E2C">
        <w:rPr>
          <w:i/>
          <w:iCs/>
          <w:color w:val="000000"/>
        </w:rPr>
        <w:t>:</w:t>
      </w:r>
    </w:p>
    <w:p w14:paraId="6424670B" w14:textId="77777777" w:rsidR="00850200" w:rsidRPr="00BF6E2C" w:rsidRDefault="00850200" w:rsidP="00850200">
      <w:pPr>
        <w:numPr>
          <w:ilvl w:val="0"/>
          <w:numId w:val="3"/>
        </w:numPr>
        <w:rPr>
          <w:iCs/>
          <w:color w:val="000000"/>
        </w:rPr>
      </w:pPr>
      <w:r w:rsidRPr="00BF6E2C">
        <w:rPr>
          <w:iCs/>
          <w:color w:val="000000"/>
        </w:rPr>
        <w:t>Enrollment</w:t>
      </w:r>
    </w:p>
    <w:p w14:paraId="63920A27" w14:textId="77777777" w:rsidR="00850200" w:rsidRPr="00BF6E2C" w:rsidRDefault="00850200" w:rsidP="00850200">
      <w:pPr>
        <w:numPr>
          <w:ilvl w:val="1"/>
          <w:numId w:val="3"/>
        </w:numPr>
        <w:rPr>
          <w:iCs/>
          <w:color w:val="000000"/>
        </w:rPr>
      </w:pPr>
      <w:r w:rsidRPr="00BF6E2C">
        <w:rPr>
          <w:iCs/>
          <w:color w:val="000000"/>
        </w:rPr>
        <w:t>Screening to determine eligibility</w:t>
      </w:r>
    </w:p>
    <w:p w14:paraId="749C6F5A" w14:textId="77777777" w:rsidR="00850200" w:rsidRPr="00BF6E2C" w:rsidRDefault="00850200" w:rsidP="00850200">
      <w:pPr>
        <w:numPr>
          <w:ilvl w:val="1"/>
          <w:numId w:val="3"/>
        </w:numPr>
        <w:rPr>
          <w:iCs/>
          <w:color w:val="000000"/>
        </w:rPr>
      </w:pPr>
      <w:r w:rsidRPr="00BF6E2C">
        <w:rPr>
          <w:iCs/>
          <w:color w:val="000000"/>
        </w:rPr>
        <w:t>Written consent</w:t>
      </w:r>
    </w:p>
    <w:p w14:paraId="3068D332" w14:textId="77777777" w:rsidR="00850200" w:rsidRPr="00BF6E2C" w:rsidRDefault="00850200" w:rsidP="00850200">
      <w:pPr>
        <w:numPr>
          <w:ilvl w:val="1"/>
          <w:numId w:val="3"/>
        </w:numPr>
        <w:rPr>
          <w:iCs/>
          <w:color w:val="000000"/>
        </w:rPr>
      </w:pPr>
      <w:r w:rsidRPr="00BF6E2C">
        <w:rPr>
          <w:color w:val="000000"/>
        </w:rPr>
        <w:t>Enrollment questionnaire including basic demographic data, vaccination history, co-morbid illness, initial vital signs and history of present illness</w:t>
      </w:r>
      <w:r w:rsidRPr="00BF6E2C">
        <w:rPr>
          <w:iCs/>
          <w:color w:val="000000"/>
        </w:rPr>
        <w:t>.</w:t>
      </w:r>
    </w:p>
    <w:p w14:paraId="407AF69D" w14:textId="77777777" w:rsidR="00850200" w:rsidRPr="00BF6E2C" w:rsidRDefault="00850200" w:rsidP="00850200">
      <w:pPr>
        <w:numPr>
          <w:ilvl w:val="1"/>
          <w:numId w:val="3"/>
        </w:numPr>
        <w:rPr>
          <w:iCs/>
          <w:color w:val="000000"/>
        </w:rPr>
      </w:pPr>
      <w:r w:rsidRPr="00BF6E2C">
        <w:rPr>
          <w:iCs/>
          <w:color w:val="000000"/>
        </w:rPr>
        <w:t>Collection of serum sample</w:t>
      </w:r>
    </w:p>
    <w:p w14:paraId="4853A985" w14:textId="77777777" w:rsidR="00850200" w:rsidRPr="00BF6E2C" w:rsidRDefault="00850200" w:rsidP="00850200">
      <w:pPr>
        <w:numPr>
          <w:ilvl w:val="1"/>
          <w:numId w:val="3"/>
        </w:numPr>
        <w:rPr>
          <w:iCs/>
          <w:color w:val="000000"/>
        </w:rPr>
      </w:pPr>
      <w:r w:rsidRPr="00BF6E2C">
        <w:rPr>
          <w:iCs/>
          <w:color w:val="000000"/>
        </w:rPr>
        <w:t>Collection of nasopharyngeal swab sample</w:t>
      </w:r>
    </w:p>
    <w:p w14:paraId="4C9B2DE7" w14:textId="77777777" w:rsidR="00850200" w:rsidRPr="00BF6E2C" w:rsidRDefault="00850200" w:rsidP="00850200">
      <w:pPr>
        <w:numPr>
          <w:ilvl w:val="1"/>
          <w:numId w:val="3"/>
        </w:numPr>
        <w:rPr>
          <w:iCs/>
          <w:color w:val="000000"/>
        </w:rPr>
      </w:pPr>
      <w:r w:rsidRPr="00BF6E2C">
        <w:rPr>
          <w:iCs/>
          <w:color w:val="000000"/>
        </w:rPr>
        <w:t>Collection of nasopharyngeal wash sample (Taiwan only)</w:t>
      </w:r>
    </w:p>
    <w:p w14:paraId="783CE7E8" w14:textId="77777777" w:rsidR="00850200" w:rsidRPr="00BF6E2C" w:rsidRDefault="00850200" w:rsidP="00850200">
      <w:pPr>
        <w:numPr>
          <w:ilvl w:val="1"/>
          <w:numId w:val="3"/>
        </w:numPr>
        <w:rPr>
          <w:iCs/>
          <w:color w:val="000000"/>
        </w:rPr>
      </w:pPr>
      <w:r w:rsidRPr="00BF6E2C">
        <w:rPr>
          <w:iCs/>
          <w:color w:val="000000"/>
        </w:rPr>
        <w:t>Test for influenza</w:t>
      </w:r>
    </w:p>
    <w:p w14:paraId="5399AC30" w14:textId="77777777" w:rsidR="00850200" w:rsidRPr="00BF6E2C" w:rsidRDefault="00850200" w:rsidP="00850200">
      <w:pPr>
        <w:numPr>
          <w:ilvl w:val="1"/>
          <w:numId w:val="3"/>
        </w:numPr>
        <w:rPr>
          <w:iCs/>
          <w:color w:val="000000"/>
        </w:rPr>
      </w:pPr>
      <w:r w:rsidRPr="00BF6E2C">
        <w:rPr>
          <w:iCs/>
          <w:color w:val="000000"/>
        </w:rPr>
        <w:t>If influenza positive, then collect nasopharyngeal wash sample</w:t>
      </w:r>
    </w:p>
    <w:p w14:paraId="496F7F7C" w14:textId="77777777" w:rsidR="00850200" w:rsidRPr="00BF6E2C" w:rsidRDefault="00850200" w:rsidP="00850200">
      <w:pPr>
        <w:numPr>
          <w:ilvl w:val="0"/>
          <w:numId w:val="4"/>
        </w:numPr>
        <w:rPr>
          <w:color w:val="000000"/>
        </w:rPr>
      </w:pPr>
      <w:r w:rsidRPr="00BF6E2C">
        <w:rPr>
          <w:iCs/>
          <w:color w:val="000000"/>
        </w:rPr>
        <w:t>Follow up visit</w:t>
      </w:r>
    </w:p>
    <w:p w14:paraId="557A8DEA" w14:textId="77777777" w:rsidR="00850200" w:rsidRPr="00BF6E2C" w:rsidRDefault="00850200" w:rsidP="00850200">
      <w:pPr>
        <w:numPr>
          <w:ilvl w:val="1"/>
          <w:numId w:val="4"/>
        </w:numPr>
        <w:rPr>
          <w:color w:val="000000"/>
        </w:rPr>
      </w:pPr>
      <w:r w:rsidRPr="00BF6E2C">
        <w:rPr>
          <w:iCs/>
          <w:color w:val="000000"/>
        </w:rPr>
        <w:t>Follow up questionnaire to assess clinical course</w:t>
      </w:r>
    </w:p>
    <w:p w14:paraId="59A329FD" w14:textId="77777777" w:rsidR="00850200" w:rsidRPr="00BF6E2C" w:rsidRDefault="00850200" w:rsidP="00850200">
      <w:pPr>
        <w:numPr>
          <w:ilvl w:val="1"/>
          <w:numId w:val="4"/>
        </w:numPr>
        <w:rPr>
          <w:color w:val="000000"/>
        </w:rPr>
      </w:pPr>
      <w:r w:rsidRPr="00BF6E2C">
        <w:rPr>
          <w:iCs/>
          <w:color w:val="000000"/>
        </w:rPr>
        <w:t>Collection of serum sample</w:t>
      </w:r>
    </w:p>
    <w:p w14:paraId="638EC2E6" w14:textId="77777777" w:rsidR="00850200" w:rsidRPr="00BF6E2C" w:rsidRDefault="00850200" w:rsidP="00850200">
      <w:pPr>
        <w:numPr>
          <w:ilvl w:val="1"/>
          <w:numId w:val="4"/>
        </w:numPr>
        <w:rPr>
          <w:color w:val="000000"/>
        </w:rPr>
      </w:pPr>
      <w:r w:rsidRPr="00BF6E2C">
        <w:rPr>
          <w:iCs/>
          <w:color w:val="000000"/>
        </w:rPr>
        <w:t>Medical record review to assess clinical course</w:t>
      </w:r>
    </w:p>
    <w:p w14:paraId="76D7D249" w14:textId="77777777" w:rsidR="00850200" w:rsidRPr="00BF6E2C" w:rsidRDefault="00850200" w:rsidP="00850200">
      <w:pPr>
        <w:rPr>
          <w:color w:val="000000"/>
        </w:rPr>
      </w:pPr>
    </w:p>
    <w:p w14:paraId="50AB2777" w14:textId="77777777" w:rsidR="00850200" w:rsidRPr="00BF6E2C" w:rsidRDefault="00850200" w:rsidP="00850200">
      <w:pPr>
        <w:rPr>
          <w:i/>
          <w:iCs/>
          <w:color w:val="000000"/>
        </w:rPr>
      </w:pPr>
      <w:r w:rsidRPr="00BF6E2C">
        <w:rPr>
          <w:i/>
          <w:iCs/>
          <w:color w:val="000000"/>
        </w:rPr>
        <w:t>Additional influenza positive subjects:</w:t>
      </w:r>
    </w:p>
    <w:p w14:paraId="5115DE44" w14:textId="77777777" w:rsidR="00850200" w:rsidRPr="00BF6E2C" w:rsidRDefault="00850200" w:rsidP="00850200">
      <w:pPr>
        <w:numPr>
          <w:ilvl w:val="0"/>
          <w:numId w:val="3"/>
        </w:numPr>
        <w:rPr>
          <w:iCs/>
          <w:color w:val="000000"/>
        </w:rPr>
      </w:pPr>
      <w:r w:rsidRPr="00BF6E2C">
        <w:rPr>
          <w:iCs/>
          <w:color w:val="000000"/>
        </w:rPr>
        <w:t>Enrollment</w:t>
      </w:r>
    </w:p>
    <w:p w14:paraId="4EFCAEF8" w14:textId="77777777" w:rsidR="00850200" w:rsidRPr="00BF6E2C" w:rsidRDefault="00850200" w:rsidP="00850200">
      <w:pPr>
        <w:numPr>
          <w:ilvl w:val="1"/>
          <w:numId w:val="3"/>
        </w:numPr>
        <w:rPr>
          <w:iCs/>
          <w:color w:val="000000"/>
        </w:rPr>
      </w:pPr>
      <w:r w:rsidRPr="00BF6E2C">
        <w:rPr>
          <w:iCs/>
          <w:color w:val="000000"/>
        </w:rPr>
        <w:t xml:space="preserve">Screening to determine eligibility </w:t>
      </w:r>
    </w:p>
    <w:p w14:paraId="4ED138E2" w14:textId="77777777" w:rsidR="00850200" w:rsidRPr="00BF6E2C" w:rsidRDefault="00850200" w:rsidP="00850200">
      <w:pPr>
        <w:numPr>
          <w:ilvl w:val="1"/>
          <w:numId w:val="3"/>
        </w:numPr>
        <w:rPr>
          <w:iCs/>
          <w:color w:val="000000"/>
        </w:rPr>
      </w:pPr>
      <w:r w:rsidRPr="00BF6E2C">
        <w:rPr>
          <w:iCs/>
          <w:color w:val="000000"/>
        </w:rPr>
        <w:t>Written consent</w:t>
      </w:r>
    </w:p>
    <w:p w14:paraId="4B80194E" w14:textId="77777777" w:rsidR="00850200" w:rsidRPr="00BF6E2C" w:rsidRDefault="00850200" w:rsidP="00850200">
      <w:pPr>
        <w:numPr>
          <w:ilvl w:val="1"/>
          <w:numId w:val="3"/>
        </w:numPr>
        <w:rPr>
          <w:iCs/>
          <w:color w:val="000000"/>
        </w:rPr>
      </w:pPr>
      <w:r w:rsidRPr="00BF6E2C">
        <w:rPr>
          <w:color w:val="000000"/>
        </w:rPr>
        <w:t>Enrollment questionnaire including basic demographic data, vaccination history, co-morbid illness, initial vital signs and history of present illness</w:t>
      </w:r>
      <w:r w:rsidRPr="00BF6E2C">
        <w:rPr>
          <w:iCs/>
          <w:color w:val="000000"/>
        </w:rPr>
        <w:t>.</w:t>
      </w:r>
    </w:p>
    <w:p w14:paraId="0C57B20F" w14:textId="77777777" w:rsidR="00850200" w:rsidRPr="00BF6E2C" w:rsidRDefault="00850200" w:rsidP="00850200">
      <w:pPr>
        <w:numPr>
          <w:ilvl w:val="1"/>
          <w:numId w:val="3"/>
        </w:numPr>
        <w:rPr>
          <w:iCs/>
          <w:color w:val="000000"/>
        </w:rPr>
      </w:pPr>
      <w:r w:rsidRPr="00BF6E2C">
        <w:rPr>
          <w:iCs/>
          <w:color w:val="000000"/>
        </w:rPr>
        <w:t>Collection of serum sample</w:t>
      </w:r>
    </w:p>
    <w:p w14:paraId="1B56B26F" w14:textId="77777777" w:rsidR="00850200" w:rsidRPr="00BF6E2C" w:rsidRDefault="00850200" w:rsidP="00850200">
      <w:pPr>
        <w:numPr>
          <w:ilvl w:val="1"/>
          <w:numId w:val="3"/>
        </w:numPr>
        <w:rPr>
          <w:iCs/>
          <w:color w:val="000000"/>
        </w:rPr>
      </w:pPr>
      <w:r w:rsidRPr="00BF6E2C">
        <w:rPr>
          <w:iCs/>
          <w:color w:val="000000"/>
        </w:rPr>
        <w:t>Collection of nasopharyngeal wash sample</w:t>
      </w:r>
    </w:p>
    <w:p w14:paraId="6807FCA7" w14:textId="77777777" w:rsidR="00850200" w:rsidRPr="00BF6E2C" w:rsidRDefault="00850200" w:rsidP="00850200">
      <w:pPr>
        <w:numPr>
          <w:ilvl w:val="0"/>
          <w:numId w:val="4"/>
        </w:numPr>
        <w:rPr>
          <w:color w:val="000000"/>
        </w:rPr>
      </w:pPr>
      <w:r w:rsidRPr="00BF6E2C">
        <w:rPr>
          <w:iCs/>
          <w:color w:val="000000"/>
        </w:rPr>
        <w:t>Follow up visit</w:t>
      </w:r>
    </w:p>
    <w:p w14:paraId="15747294" w14:textId="77777777" w:rsidR="00850200" w:rsidRPr="00BF6E2C" w:rsidRDefault="00850200" w:rsidP="00850200">
      <w:pPr>
        <w:numPr>
          <w:ilvl w:val="1"/>
          <w:numId w:val="4"/>
        </w:numPr>
        <w:rPr>
          <w:color w:val="000000"/>
        </w:rPr>
      </w:pPr>
      <w:r w:rsidRPr="00BF6E2C">
        <w:rPr>
          <w:iCs/>
          <w:color w:val="000000"/>
        </w:rPr>
        <w:t>Follow up questionnaire to assess clinical course</w:t>
      </w:r>
    </w:p>
    <w:p w14:paraId="2F5C5E6D" w14:textId="77777777" w:rsidR="00850200" w:rsidRPr="00BF6E2C" w:rsidRDefault="00850200" w:rsidP="00850200">
      <w:pPr>
        <w:numPr>
          <w:ilvl w:val="1"/>
          <w:numId w:val="4"/>
        </w:numPr>
        <w:rPr>
          <w:color w:val="000000"/>
        </w:rPr>
      </w:pPr>
      <w:r w:rsidRPr="00BF6E2C">
        <w:rPr>
          <w:iCs/>
          <w:color w:val="000000"/>
        </w:rPr>
        <w:t>Collection of serum sample</w:t>
      </w:r>
    </w:p>
    <w:p w14:paraId="059F3A17" w14:textId="77777777" w:rsidR="00850200" w:rsidRPr="00BF6E2C" w:rsidRDefault="00850200" w:rsidP="00850200">
      <w:pPr>
        <w:numPr>
          <w:ilvl w:val="1"/>
          <w:numId w:val="4"/>
        </w:numPr>
        <w:rPr>
          <w:color w:val="000000"/>
        </w:rPr>
      </w:pPr>
      <w:r w:rsidRPr="00BF6E2C">
        <w:rPr>
          <w:iCs/>
          <w:color w:val="000000"/>
        </w:rPr>
        <w:t>Medical record review to assess clinical course</w:t>
      </w:r>
    </w:p>
    <w:p w14:paraId="48844A90" w14:textId="77777777" w:rsidR="00850200" w:rsidRPr="00BF6E2C" w:rsidRDefault="00850200" w:rsidP="00850200">
      <w:pPr>
        <w:rPr>
          <w:color w:val="000000"/>
        </w:rPr>
      </w:pPr>
    </w:p>
    <w:p w14:paraId="162D57B9" w14:textId="77777777" w:rsidR="00850200" w:rsidRPr="00BF6E2C" w:rsidRDefault="00850200" w:rsidP="00850200">
      <w:pPr>
        <w:rPr>
          <w:iCs/>
          <w:color w:val="000000"/>
        </w:rPr>
      </w:pPr>
    </w:p>
    <w:p w14:paraId="648B0CC7" w14:textId="77777777" w:rsidR="00850200" w:rsidRPr="00BF6E2C" w:rsidRDefault="00850200" w:rsidP="00850200">
      <w:pPr>
        <w:rPr>
          <w:iCs/>
          <w:color w:val="000000"/>
        </w:rPr>
      </w:pPr>
      <w:r w:rsidRPr="00BF6E2C">
        <w:rPr>
          <w:iCs/>
          <w:color w:val="000000"/>
        </w:rPr>
        <w:t xml:space="preserve">Subject recruitment will occur 7 days a week, 15 hours a day so long as the university is not closed due to, but not limited to, weather. </w:t>
      </w:r>
    </w:p>
    <w:p w14:paraId="4F60BE9B" w14:textId="77777777" w:rsidR="00850200" w:rsidRPr="00BF6E2C" w:rsidRDefault="00850200" w:rsidP="00850200">
      <w:pPr>
        <w:rPr>
          <w:iCs/>
          <w:color w:val="000000"/>
        </w:rPr>
      </w:pPr>
    </w:p>
    <w:p w14:paraId="4D7D2B9B" w14:textId="3CE60EB7" w:rsidR="00D0401A" w:rsidRDefault="00D0401A" w:rsidP="00187F22">
      <w:pPr>
        <w:rPr>
          <w:iCs/>
          <w:color w:val="000000"/>
        </w:rPr>
      </w:pPr>
    </w:p>
    <w:p w14:paraId="55FEB758" w14:textId="77777777" w:rsidR="00187F22" w:rsidRPr="00187F22" w:rsidRDefault="00187F22" w:rsidP="00187F22">
      <w:pPr>
        <w:rPr>
          <w:iCs/>
          <w:color w:val="000000"/>
        </w:rPr>
      </w:pPr>
      <w:r w:rsidRPr="00187F22">
        <w:rPr>
          <w:iCs/>
          <w:color w:val="000000"/>
        </w:rPr>
        <w:t>The information that will be collected from eligible subjects includes:</w:t>
      </w:r>
    </w:p>
    <w:p w14:paraId="27CC833C" w14:textId="79EA3FA0" w:rsidR="00187F22" w:rsidRPr="00187F22" w:rsidRDefault="00187F22" w:rsidP="00187F22">
      <w:pPr>
        <w:rPr>
          <w:iCs/>
          <w:color w:val="000000"/>
        </w:rPr>
      </w:pPr>
      <w:r w:rsidRPr="00187F22">
        <w:rPr>
          <w:iCs/>
          <w:color w:val="000000"/>
        </w:rPr>
        <w:t>Patient consent for study inclusion (See Attachment</w:t>
      </w:r>
      <w:r w:rsidR="00B72057">
        <w:rPr>
          <w:iCs/>
          <w:color w:val="000000"/>
        </w:rPr>
        <w:t>s</w:t>
      </w:r>
      <w:r w:rsidRPr="00187F22">
        <w:rPr>
          <w:iCs/>
          <w:color w:val="000000"/>
        </w:rPr>
        <w:t xml:space="preserve"> 3</w:t>
      </w:r>
      <w:r w:rsidR="00B72057">
        <w:rPr>
          <w:iCs/>
          <w:color w:val="000000"/>
        </w:rPr>
        <w:t>, 4</w:t>
      </w:r>
      <w:r w:rsidRPr="00187F22">
        <w:rPr>
          <w:iCs/>
          <w:color w:val="000000"/>
        </w:rPr>
        <w:t xml:space="preserve"> – Consent Form)</w:t>
      </w:r>
    </w:p>
    <w:p w14:paraId="6BD36D96" w14:textId="077F66A8" w:rsidR="00187F22" w:rsidRPr="00187F22" w:rsidRDefault="00187F22" w:rsidP="00187F22">
      <w:pPr>
        <w:rPr>
          <w:iCs/>
          <w:color w:val="000000"/>
        </w:rPr>
      </w:pPr>
      <w:r w:rsidRPr="00187F22">
        <w:rPr>
          <w:iCs/>
          <w:color w:val="000000"/>
        </w:rPr>
        <w:t>Patient Clinical Data Form (See Attachment</w:t>
      </w:r>
      <w:r w:rsidR="00B72057">
        <w:rPr>
          <w:iCs/>
          <w:color w:val="000000"/>
        </w:rPr>
        <w:t>s</w:t>
      </w:r>
      <w:r w:rsidRPr="00187F22">
        <w:rPr>
          <w:iCs/>
          <w:color w:val="000000"/>
        </w:rPr>
        <w:t xml:space="preserve"> 7</w:t>
      </w:r>
      <w:r w:rsidR="00B72057">
        <w:rPr>
          <w:iCs/>
          <w:color w:val="000000"/>
        </w:rPr>
        <w:t>-21</w:t>
      </w:r>
      <w:r w:rsidRPr="00187F22">
        <w:rPr>
          <w:iCs/>
          <w:color w:val="000000"/>
        </w:rPr>
        <w:t xml:space="preserve"> – Clinical Data Form)</w:t>
      </w:r>
    </w:p>
    <w:p w14:paraId="291FF6B3" w14:textId="77777777" w:rsidR="00187F22" w:rsidRPr="00187F22" w:rsidRDefault="00187F22" w:rsidP="00187F22">
      <w:pPr>
        <w:rPr>
          <w:iCs/>
          <w:color w:val="000000"/>
        </w:rPr>
      </w:pPr>
      <w:r w:rsidRPr="00187F22">
        <w:rPr>
          <w:iCs/>
          <w:color w:val="000000"/>
        </w:rPr>
        <w:t>Active Surveillance Forms</w:t>
      </w:r>
    </w:p>
    <w:p w14:paraId="4A47F762" w14:textId="77777777" w:rsidR="00187F22" w:rsidRPr="00187F22" w:rsidRDefault="00187F22" w:rsidP="00187F22">
      <w:pPr>
        <w:rPr>
          <w:iCs/>
          <w:color w:val="000000"/>
        </w:rPr>
      </w:pPr>
      <w:r w:rsidRPr="00187F22">
        <w:rPr>
          <w:iCs/>
          <w:color w:val="000000"/>
        </w:rPr>
        <w:t>    1A:  Screening and Enrollment Log Active Surveillance</w:t>
      </w:r>
    </w:p>
    <w:p w14:paraId="45EA59F2" w14:textId="77777777" w:rsidR="00187F22" w:rsidRPr="00187F22" w:rsidRDefault="00187F22" w:rsidP="00187F22">
      <w:pPr>
        <w:rPr>
          <w:iCs/>
          <w:color w:val="000000"/>
        </w:rPr>
      </w:pPr>
      <w:r w:rsidRPr="00187F22">
        <w:rPr>
          <w:iCs/>
          <w:color w:val="000000"/>
        </w:rPr>
        <w:t>    2A:  Eligibility Checklist</w:t>
      </w:r>
    </w:p>
    <w:p w14:paraId="4A896F9B" w14:textId="77777777" w:rsidR="00187F22" w:rsidRPr="00187F22" w:rsidRDefault="00187F22" w:rsidP="00187F22">
      <w:pPr>
        <w:rPr>
          <w:iCs/>
          <w:color w:val="000000"/>
        </w:rPr>
      </w:pPr>
      <w:r w:rsidRPr="00187F22">
        <w:rPr>
          <w:iCs/>
          <w:color w:val="000000"/>
        </w:rPr>
        <w:t>    3A:  Subject Identification and Contact Information</w:t>
      </w:r>
    </w:p>
    <w:p w14:paraId="158B6D38" w14:textId="77777777" w:rsidR="00187F22" w:rsidRPr="00187F22" w:rsidRDefault="00187F22" w:rsidP="00187F22">
      <w:pPr>
        <w:rPr>
          <w:iCs/>
          <w:color w:val="000000"/>
        </w:rPr>
      </w:pPr>
      <w:r w:rsidRPr="00187F22">
        <w:rPr>
          <w:iCs/>
          <w:color w:val="000000"/>
        </w:rPr>
        <w:t>    4A:  Demographic and Exposure Information</w:t>
      </w:r>
    </w:p>
    <w:p w14:paraId="20E9C401" w14:textId="77777777" w:rsidR="00187F22" w:rsidRPr="00187F22" w:rsidRDefault="00187F22" w:rsidP="00187F22">
      <w:pPr>
        <w:rPr>
          <w:iCs/>
          <w:color w:val="000000"/>
        </w:rPr>
      </w:pPr>
      <w:r w:rsidRPr="00187F22">
        <w:rPr>
          <w:iCs/>
          <w:color w:val="000000"/>
        </w:rPr>
        <w:t>    5A: Current Symptoms</w:t>
      </w:r>
    </w:p>
    <w:p w14:paraId="431118DB" w14:textId="77777777" w:rsidR="00187F22" w:rsidRPr="00187F22" w:rsidRDefault="00187F22" w:rsidP="00187F22">
      <w:pPr>
        <w:rPr>
          <w:iCs/>
          <w:color w:val="000000"/>
        </w:rPr>
      </w:pPr>
      <w:r w:rsidRPr="00187F22">
        <w:rPr>
          <w:iCs/>
          <w:color w:val="000000"/>
        </w:rPr>
        <w:t>    6A:  Medical History</w:t>
      </w:r>
    </w:p>
    <w:p w14:paraId="01F34FC5" w14:textId="77777777" w:rsidR="00187F22" w:rsidRPr="00187F22" w:rsidRDefault="00187F22" w:rsidP="00187F22">
      <w:pPr>
        <w:rPr>
          <w:iCs/>
          <w:color w:val="000000"/>
        </w:rPr>
      </w:pPr>
      <w:r w:rsidRPr="00187F22">
        <w:rPr>
          <w:iCs/>
          <w:color w:val="000000"/>
        </w:rPr>
        <w:t>    7A: Enrollment Specimen Collection</w:t>
      </w:r>
    </w:p>
    <w:p w14:paraId="6E47F39B" w14:textId="77777777" w:rsidR="00187F22" w:rsidRPr="00187F22" w:rsidRDefault="00187F22" w:rsidP="00187F22">
      <w:pPr>
        <w:rPr>
          <w:iCs/>
          <w:color w:val="000000"/>
        </w:rPr>
      </w:pPr>
      <w:r w:rsidRPr="00187F22">
        <w:rPr>
          <w:iCs/>
          <w:color w:val="000000"/>
        </w:rPr>
        <w:t>    8A:  Follow-up Assessment</w:t>
      </w:r>
    </w:p>
    <w:p w14:paraId="5959869B" w14:textId="77777777" w:rsidR="00187F22" w:rsidRPr="00187F22" w:rsidRDefault="00187F22" w:rsidP="00187F22">
      <w:pPr>
        <w:rPr>
          <w:iCs/>
          <w:color w:val="000000"/>
        </w:rPr>
      </w:pPr>
      <w:r w:rsidRPr="00187F22">
        <w:rPr>
          <w:iCs/>
          <w:color w:val="000000"/>
        </w:rPr>
        <w:lastRenderedPageBreak/>
        <w:t>    9A: ED Chart Review - ED Visit</w:t>
      </w:r>
    </w:p>
    <w:p w14:paraId="5A8DDE78" w14:textId="77777777" w:rsidR="00187F22" w:rsidRPr="00187F22" w:rsidRDefault="00187F22" w:rsidP="00187F22">
      <w:pPr>
        <w:rPr>
          <w:iCs/>
          <w:color w:val="000000"/>
        </w:rPr>
      </w:pPr>
      <w:r w:rsidRPr="00187F22">
        <w:rPr>
          <w:iCs/>
          <w:color w:val="000000"/>
        </w:rPr>
        <w:t>    10A: Chart Review – Inpatient Hospitalization</w:t>
      </w:r>
    </w:p>
    <w:p w14:paraId="0F9C8C98" w14:textId="77777777" w:rsidR="00187F22" w:rsidRPr="00187F22" w:rsidRDefault="00187F22" w:rsidP="00187F22">
      <w:pPr>
        <w:rPr>
          <w:iCs/>
          <w:color w:val="000000"/>
        </w:rPr>
      </w:pPr>
      <w:r w:rsidRPr="00187F22">
        <w:rPr>
          <w:iCs/>
          <w:color w:val="000000"/>
        </w:rPr>
        <w:t>    11A: Subject Withdrawal form</w:t>
      </w:r>
    </w:p>
    <w:p w14:paraId="03CA6562" w14:textId="77777777" w:rsidR="00187F22" w:rsidRPr="00187F22" w:rsidRDefault="00187F22" w:rsidP="00187F22">
      <w:pPr>
        <w:rPr>
          <w:iCs/>
          <w:color w:val="000000"/>
        </w:rPr>
      </w:pPr>
      <w:r w:rsidRPr="00187F22">
        <w:rPr>
          <w:iCs/>
          <w:color w:val="000000"/>
        </w:rPr>
        <w:t>    12A: Subject Checklist</w:t>
      </w:r>
    </w:p>
    <w:p w14:paraId="06A022FE" w14:textId="77777777" w:rsidR="00187F22" w:rsidRPr="00187F22" w:rsidRDefault="00187F22" w:rsidP="00187F22">
      <w:pPr>
        <w:rPr>
          <w:iCs/>
          <w:color w:val="000000"/>
        </w:rPr>
      </w:pPr>
      <w:r w:rsidRPr="00187F22">
        <w:rPr>
          <w:iCs/>
          <w:color w:val="000000"/>
        </w:rPr>
        <w:t>    13A: Enrollment Report</w:t>
      </w:r>
    </w:p>
    <w:p w14:paraId="486B1B34" w14:textId="77777777" w:rsidR="00187F22" w:rsidRPr="00187F22" w:rsidRDefault="00187F22" w:rsidP="00187F22">
      <w:pPr>
        <w:rPr>
          <w:iCs/>
          <w:color w:val="000000"/>
        </w:rPr>
      </w:pPr>
      <w:r w:rsidRPr="00187F22">
        <w:rPr>
          <w:iCs/>
          <w:color w:val="000000"/>
        </w:rPr>
        <w:t>    14A: 10% Data Accuracy Report</w:t>
      </w:r>
    </w:p>
    <w:p w14:paraId="4FFF64D1" w14:textId="77777777" w:rsidR="00187F22" w:rsidRPr="00187F22" w:rsidRDefault="00187F22" w:rsidP="00187F22">
      <w:pPr>
        <w:rPr>
          <w:iCs/>
          <w:color w:val="000000"/>
        </w:rPr>
      </w:pPr>
      <w:r w:rsidRPr="00187F22">
        <w:rPr>
          <w:iCs/>
          <w:color w:val="000000"/>
        </w:rPr>
        <w:t>    15A:  QC Checklist</w:t>
      </w:r>
    </w:p>
    <w:p w14:paraId="13CB9858" w14:textId="3B60EDE1" w:rsidR="00187F22" w:rsidRPr="00187F22" w:rsidRDefault="00187F22" w:rsidP="00187F22">
      <w:pPr>
        <w:rPr>
          <w:iCs/>
          <w:color w:val="000000"/>
        </w:rPr>
      </w:pPr>
      <w:r w:rsidRPr="00187F22">
        <w:rPr>
          <w:iCs/>
          <w:color w:val="000000"/>
        </w:rPr>
        <w:t>    16:  Specimen Quality Control Checklist</w:t>
      </w:r>
    </w:p>
    <w:p w14:paraId="04A02976" w14:textId="7ED9ED1F" w:rsidR="00187F22" w:rsidRPr="00187F22" w:rsidRDefault="00187F22" w:rsidP="00187F22">
      <w:pPr>
        <w:rPr>
          <w:iCs/>
          <w:color w:val="000000"/>
        </w:rPr>
      </w:pPr>
    </w:p>
    <w:p w14:paraId="0F633DE8" w14:textId="77777777" w:rsidR="00187F22" w:rsidRPr="00BF6E2C" w:rsidRDefault="00187F22" w:rsidP="00850200">
      <w:pPr>
        <w:rPr>
          <w:iCs/>
          <w:color w:val="000000"/>
        </w:rPr>
      </w:pPr>
    </w:p>
    <w:p w14:paraId="6D4A9CEF" w14:textId="77777777" w:rsidR="00850200" w:rsidRPr="00BF6E2C" w:rsidRDefault="00850200" w:rsidP="00850200">
      <w:pPr>
        <w:rPr>
          <w:iCs/>
          <w:color w:val="000000"/>
        </w:rPr>
      </w:pPr>
      <w:r w:rsidRPr="00BF6E2C">
        <w:rPr>
          <w:iCs/>
          <w:color w:val="000000"/>
        </w:rPr>
        <w:tab/>
        <w:t xml:space="preserve">This protocol has a DMID-approved quality management plan and a DMID-approved site specific quality management plan. These approved plans outline in detail the plan for quality control and quality assurance of all data entered in our 21CFR11 compliant database, REDCap. </w:t>
      </w:r>
    </w:p>
    <w:p w14:paraId="62736ABE" w14:textId="77777777" w:rsidR="00850200" w:rsidRPr="00BF6E2C" w:rsidRDefault="00850200" w:rsidP="00850200">
      <w:pPr>
        <w:rPr>
          <w:iCs/>
          <w:color w:val="000000"/>
        </w:rPr>
      </w:pPr>
      <w:r w:rsidRPr="00BF6E2C">
        <w:rPr>
          <w:iCs/>
          <w:color w:val="000000"/>
        </w:rPr>
        <w:tab/>
        <w:t>All data collection is the responsibility of the research coordinator and must be captured correctly, and consistent between all research coordinators across sites. The data manager, Stephen Peterson, is responsible for ensuring data integrity of his staff by the methods outlines in the quality management plan which include, but are not limited to the following:</w:t>
      </w:r>
    </w:p>
    <w:p w14:paraId="00D2E6D9" w14:textId="1092AF27" w:rsidR="00850200" w:rsidRPr="00BF6E2C" w:rsidRDefault="00850200" w:rsidP="00850200">
      <w:pPr>
        <w:numPr>
          <w:ilvl w:val="0"/>
          <w:numId w:val="6"/>
        </w:numPr>
        <w:rPr>
          <w:iCs/>
          <w:color w:val="000000"/>
        </w:rPr>
      </w:pPr>
      <w:r w:rsidRPr="00BF6E2C">
        <w:rPr>
          <w:iCs/>
          <w:color w:val="000000"/>
        </w:rPr>
        <w:t>Quality control is the 100% real-time review of day-to-day</w:t>
      </w:r>
      <w:r w:rsidR="00EC1E62">
        <w:rPr>
          <w:iCs/>
          <w:color w:val="000000"/>
        </w:rPr>
        <w:t xml:space="preserve"> </w:t>
      </w:r>
      <w:r w:rsidRPr="00BF6E2C">
        <w:rPr>
          <w:iCs/>
          <w:color w:val="000000"/>
        </w:rPr>
        <w:t xml:space="preserve">operations, including all study-related documentation and measurement of the conduct of the protocol in real-time by delegated personnel in the field and associated centers. By front-loading quality management into the daily operations of protocol implementation with real time controls for assuring errors are detected and corrected early, unnecessary or duplicate efforts and resources are minimized, data and protocol timelines are efficiently managed. All source documents must be reviewed by the clinical team and data entry staff, for assuring accuracy and completion. QC Tools include: Form 12 (active), Form 13 (active), </w:t>
      </w:r>
      <w:r w:rsidR="002C617B">
        <w:rPr>
          <w:iCs/>
          <w:color w:val="000000"/>
        </w:rPr>
        <w:t xml:space="preserve">and </w:t>
      </w:r>
      <w:r w:rsidRPr="00BF6E2C">
        <w:rPr>
          <w:iCs/>
          <w:color w:val="000000"/>
        </w:rPr>
        <w:t>Form 15 (active)</w:t>
      </w:r>
      <w:r w:rsidR="002C617B">
        <w:rPr>
          <w:iCs/>
          <w:color w:val="000000"/>
        </w:rPr>
        <w:t>.</w:t>
      </w:r>
    </w:p>
    <w:p w14:paraId="35EED4EB" w14:textId="77777777" w:rsidR="00850200" w:rsidRPr="00BF6E2C" w:rsidRDefault="00850200" w:rsidP="00850200">
      <w:pPr>
        <w:rPr>
          <w:iCs/>
          <w:color w:val="000000"/>
        </w:rPr>
      </w:pPr>
    </w:p>
    <w:p w14:paraId="266B1D28" w14:textId="77777777" w:rsidR="00850200" w:rsidRPr="00BF6E2C" w:rsidRDefault="00850200" w:rsidP="00850200">
      <w:pPr>
        <w:numPr>
          <w:ilvl w:val="0"/>
          <w:numId w:val="6"/>
        </w:numPr>
        <w:rPr>
          <w:iCs/>
          <w:color w:val="000000"/>
        </w:rPr>
      </w:pPr>
      <w:r w:rsidRPr="00BF6E2C">
        <w:rPr>
          <w:iCs/>
          <w:color w:val="000000"/>
        </w:rPr>
        <w:t xml:space="preserve">Quality Assurance is the periodic, </w:t>
      </w:r>
      <w:r w:rsidRPr="00BF6E2C">
        <w:rPr>
          <w:b/>
          <w:iCs/>
          <w:color w:val="000000"/>
        </w:rPr>
        <w:t>retrospective</w:t>
      </w:r>
      <w:r w:rsidRPr="00BF6E2C">
        <w:rPr>
          <w:iCs/>
          <w:color w:val="000000"/>
        </w:rPr>
        <w:t xml:space="preserve">, and systematic examination of the study processes by selecting a </w:t>
      </w:r>
      <w:r w:rsidRPr="00BF6E2C">
        <w:rPr>
          <w:b/>
          <w:iCs/>
          <w:color w:val="000000"/>
        </w:rPr>
        <w:t>review frequency</w:t>
      </w:r>
      <w:r w:rsidRPr="00BF6E2C">
        <w:rPr>
          <w:iCs/>
          <w:color w:val="000000"/>
        </w:rPr>
        <w:t xml:space="preserve"> and </w:t>
      </w:r>
      <w:r w:rsidRPr="00BF6E2C">
        <w:rPr>
          <w:b/>
          <w:iCs/>
          <w:color w:val="000000"/>
        </w:rPr>
        <w:t>specified sample size</w:t>
      </w:r>
      <w:r w:rsidRPr="00BF6E2C">
        <w:rPr>
          <w:iCs/>
          <w:color w:val="000000"/>
        </w:rPr>
        <w:t xml:space="preserve"> (10 %), of records and key areas representing the total work effort. Research processes and systems reviewed for assurance include, </w:t>
      </w:r>
      <w:r w:rsidRPr="00BF6E2C">
        <w:rPr>
          <w:i/>
          <w:iCs/>
          <w:color w:val="000000"/>
        </w:rPr>
        <w:t>but are not limited to</w:t>
      </w:r>
      <w:r w:rsidRPr="00BF6E2C">
        <w:rPr>
          <w:iCs/>
          <w:color w:val="000000"/>
        </w:rPr>
        <w:t xml:space="preserve"> determining eligibility, informed consent form and process, source data verification, study database quality control efforts, clinical laboratory processes (including processing, documenting, and shipping clinical specimens), and timely reporting of protocol deviations. Site visits conducted by a CEIRS contractor and/or DMID may occur for the purposes of oversight of Administrative and Clinical Site performance.  Issues identified from these sources should be considered toward process improvements.  QA Tools include: Forms 12, 14, 15, and 16.</w:t>
      </w:r>
    </w:p>
    <w:p w14:paraId="1ABAB6E6"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lastRenderedPageBreak/>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p>
    <w:p w14:paraId="0807546C" w14:textId="77777777" w:rsidR="0093431F" w:rsidRPr="00BF6E2C" w:rsidRDefault="00CA274D" w:rsidP="00850200">
      <w:pPr>
        <w:pStyle w:val="P1-StandPara"/>
        <w:tabs>
          <w:tab w:val="left" w:pos="720"/>
          <w:tab w:val="right" w:leader="dot" w:pos="9504"/>
        </w:tabs>
        <w:spacing w:before="120" w:after="120" w:line="240" w:lineRule="auto"/>
        <w:ind w:firstLine="0"/>
        <w:rPr>
          <w:color w:val="000000"/>
          <w:sz w:val="24"/>
          <w:szCs w:val="24"/>
        </w:rPr>
      </w:pPr>
      <w:r w:rsidRPr="00BF6E2C">
        <w:rPr>
          <w:color w:val="000000"/>
          <w:sz w:val="24"/>
          <w:szCs w:val="24"/>
        </w:rPr>
        <w:t xml:space="preserve">Subjects are informed in detail what the study requests of them prior to enrolling the subject so the subject is made aware of all effort and benefits to them. Subjects are reminded they are in no way required to participate, and may withdraw at any moment. We do not expect a significant nonresponse rate since this is a voluntary study and subjects are compensated for their participation at enrollment and the follow up visit. </w:t>
      </w:r>
    </w:p>
    <w:p w14:paraId="1C3E75EC" w14:textId="0C4D4432" w:rsidR="009A45BF" w:rsidRPr="00BF6E2C" w:rsidRDefault="00CA274D" w:rsidP="00850200">
      <w:pPr>
        <w:pStyle w:val="P1-StandPara"/>
        <w:tabs>
          <w:tab w:val="left" w:pos="720"/>
          <w:tab w:val="right" w:leader="dot" w:pos="9504"/>
        </w:tabs>
        <w:spacing w:before="120" w:line="240" w:lineRule="auto"/>
        <w:ind w:firstLine="0"/>
        <w:rPr>
          <w:color w:val="000000"/>
          <w:sz w:val="24"/>
          <w:szCs w:val="24"/>
        </w:rPr>
      </w:pPr>
      <w:r w:rsidRPr="00BF6E2C">
        <w:rPr>
          <w:color w:val="000000"/>
          <w:sz w:val="24"/>
          <w:szCs w:val="24"/>
        </w:rPr>
        <w:t xml:space="preserve">In order to maximize the collection of all data points, fully trained staff </w:t>
      </w:r>
      <w:r w:rsidR="006C5A80">
        <w:rPr>
          <w:color w:val="000000"/>
          <w:sz w:val="24"/>
          <w:szCs w:val="24"/>
        </w:rPr>
        <w:t>(</w:t>
      </w:r>
      <w:r w:rsidRPr="00BF6E2C">
        <w:rPr>
          <w:color w:val="000000"/>
          <w:sz w:val="24"/>
          <w:szCs w:val="24"/>
        </w:rPr>
        <w:t>research coordinators</w:t>
      </w:r>
      <w:r w:rsidR="006C5A80">
        <w:rPr>
          <w:color w:val="000000"/>
          <w:sz w:val="24"/>
          <w:szCs w:val="24"/>
        </w:rPr>
        <w:t>) who are familiar with the acute care environment</w:t>
      </w:r>
      <w:r w:rsidR="006C5A80" w:rsidRPr="00BF6E2C">
        <w:rPr>
          <w:color w:val="000000"/>
          <w:sz w:val="24"/>
          <w:szCs w:val="24"/>
        </w:rPr>
        <w:t xml:space="preserve"> will</w:t>
      </w:r>
      <w:r w:rsidRPr="00BF6E2C">
        <w:rPr>
          <w:color w:val="000000"/>
          <w:sz w:val="24"/>
          <w:szCs w:val="24"/>
        </w:rPr>
        <w:t xml:space="preserve"> </w:t>
      </w:r>
      <w:r w:rsidR="00755FEB" w:rsidRPr="00BF6E2C">
        <w:rPr>
          <w:color w:val="000000"/>
          <w:sz w:val="24"/>
          <w:szCs w:val="24"/>
        </w:rPr>
        <w:t>v</w:t>
      </w:r>
      <w:r w:rsidR="009A45BF" w:rsidRPr="00BF6E2C">
        <w:rPr>
          <w:color w:val="000000"/>
          <w:sz w:val="24"/>
          <w:szCs w:val="24"/>
        </w:rPr>
        <w:t>erbally ask each subject to respond to</w:t>
      </w:r>
      <w:r w:rsidR="00755FEB" w:rsidRPr="00BF6E2C">
        <w:rPr>
          <w:color w:val="000000"/>
          <w:sz w:val="24"/>
          <w:szCs w:val="24"/>
        </w:rPr>
        <w:t xml:space="preserve"> the listed </w:t>
      </w:r>
      <w:r w:rsidR="0032339D">
        <w:rPr>
          <w:color w:val="000000"/>
          <w:sz w:val="24"/>
          <w:szCs w:val="24"/>
        </w:rPr>
        <w:t xml:space="preserve">structured </w:t>
      </w:r>
      <w:r w:rsidR="00755FEB" w:rsidRPr="00BF6E2C">
        <w:rPr>
          <w:color w:val="000000"/>
          <w:sz w:val="24"/>
          <w:szCs w:val="24"/>
        </w:rPr>
        <w:t xml:space="preserve">questions in a step </w:t>
      </w:r>
      <w:r w:rsidR="009A45BF" w:rsidRPr="00BF6E2C">
        <w:rPr>
          <w:color w:val="000000"/>
          <w:sz w:val="24"/>
          <w:szCs w:val="24"/>
        </w:rPr>
        <w:t xml:space="preserve">by-step manner.  After completion of the </w:t>
      </w:r>
      <w:r w:rsidR="0032339D">
        <w:rPr>
          <w:color w:val="000000"/>
          <w:sz w:val="24"/>
          <w:szCs w:val="24"/>
        </w:rPr>
        <w:t xml:space="preserve">structured </w:t>
      </w:r>
      <w:r w:rsidR="009A45BF" w:rsidRPr="00BF6E2C">
        <w:rPr>
          <w:color w:val="000000"/>
          <w:sz w:val="24"/>
          <w:szCs w:val="24"/>
        </w:rPr>
        <w:t>clinical data form, research coordinators will immediately review the subject’s past medical history with what is reported in the medical record.  Any discrepancy between subjects report and the medical record will be brought to the subject’s attention and corrected on the enrollment form as appropriate based upon the subject’s report.</w:t>
      </w:r>
      <w:r w:rsidR="00755FEB" w:rsidRPr="00BF6E2C">
        <w:rPr>
          <w:color w:val="000000"/>
          <w:sz w:val="24"/>
          <w:szCs w:val="24"/>
        </w:rPr>
        <w:t xml:space="preserve"> No data points </w:t>
      </w:r>
      <w:r w:rsidR="006C5A80">
        <w:rPr>
          <w:color w:val="000000"/>
          <w:sz w:val="24"/>
          <w:szCs w:val="24"/>
        </w:rPr>
        <w:t xml:space="preserve">will be </w:t>
      </w:r>
      <w:r w:rsidR="00755FEB" w:rsidRPr="00BF6E2C">
        <w:rPr>
          <w:color w:val="000000"/>
          <w:sz w:val="24"/>
          <w:szCs w:val="24"/>
        </w:rPr>
        <w:t xml:space="preserve">left blank on a data collection form. If unknown or not applicable values exist, they should be marked as “999” to indicate a value does not exist. </w:t>
      </w:r>
      <w:r w:rsidR="0032339D">
        <w:rPr>
          <w:color w:val="000000"/>
          <w:sz w:val="24"/>
          <w:szCs w:val="24"/>
        </w:rPr>
        <w:t xml:space="preserve">Quality assurance checks on data entry will be carried out according to our QA/QC plan which was reviewed and approved by experts from DMID. </w:t>
      </w:r>
      <w:r w:rsidR="00025BC5">
        <w:rPr>
          <w:color w:val="000000"/>
          <w:sz w:val="24"/>
          <w:szCs w:val="24"/>
        </w:rPr>
        <w:t xml:space="preserve">Our quality control plan allows us to estimate an 85% successful response rate. </w:t>
      </w:r>
      <w:r w:rsidR="00EC1E62">
        <w:rPr>
          <w:color w:val="000000"/>
          <w:sz w:val="24"/>
          <w:szCs w:val="24"/>
        </w:rPr>
        <w:t>Methods to ass</w:t>
      </w:r>
      <w:r w:rsidR="00CE1D1C">
        <w:rPr>
          <w:color w:val="000000"/>
          <w:sz w:val="24"/>
          <w:szCs w:val="24"/>
        </w:rPr>
        <w:t xml:space="preserve">ure reliable follow-up include </w:t>
      </w:r>
      <w:r w:rsidR="00EC1E62">
        <w:rPr>
          <w:color w:val="000000"/>
          <w:sz w:val="24"/>
          <w:szCs w:val="24"/>
        </w:rPr>
        <w:t>collection of multiple contact numbers</w:t>
      </w:r>
      <w:r w:rsidR="00CE1D1C">
        <w:rPr>
          <w:color w:val="000000"/>
          <w:sz w:val="24"/>
          <w:szCs w:val="24"/>
        </w:rPr>
        <w:t xml:space="preserve"> for subjects</w:t>
      </w:r>
      <w:r w:rsidR="00EC1E62">
        <w:rPr>
          <w:color w:val="000000"/>
          <w:sz w:val="24"/>
          <w:szCs w:val="24"/>
        </w:rPr>
        <w:t xml:space="preserve">, </w:t>
      </w:r>
      <w:r w:rsidR="00CE1D1C">
        <w:rPr>
          <w:color w:val="000000"/>
          <w:sz w:val="24"/>
          <w:szCs w:val="24"/>
        </w:rPr>
        <w:t xml:space="preserve">return phone call reminders, </w:t>
      </w:r>
      <w:r w:rsidR="00EC1E62">
        <w:rPr>
          <w:color w:val="000000"/>
          <w:sz w:val="24"/>
          <w:szCs w:val="24"/>
        </w:rPr>
        <w:t xml:space="preserve">and flexible scheduling of return visits </w:t>
      </w:r>
      <w:r w:rsidR="00CE1D1C">
        <w:rPr>
          <w:color w:val="000000"/>
          <w:sz w:val="24"/>
          <w:szCs w:val="24"/>
        </w:rPr>
        <w:t>and/or phone follow-up</w:t>
      </w:r>
      <w:r w:rsidR="00A74177">
        <w:rPr>
          <w:color w:val="000000"/>
          <w:sz w:val="24"/>
          <w:szCs w:val="24"/>
        </w:rPr>
        <w:t xml:space="preserve"> </w:t>
      </w:r>
      <w:r w:rsidR="00CE24AF">
        <w:rPr>
          <w:color w:val="000000"/>
          <w:sz w:val="24"/>
          <w:szCs w:val="24"/>
        </w:rPr>
        <w:t>calls to</w:t>
      </w:r>
      <w:r w:rsidR="00EC1E62">
        <w:rPr>
          <w:color w:val="000000"/>
          <w:sz w:val="24"/>
          <w:szCs w:val="24"/>
        </w:rPr>
        <w:t xml:space="preserve"> fit the patients</w:t>
      </w:r>
      <w:r w:rsidR="00CE24AF">
        <w:rPr>
          <w:color w:val="000000"/>
          <w:sz w:val="24"/>
          <w:szCs w:val="24"/>
        </w:rPr>
        <w:t>’</w:t>
      </w:r>
      <w:r w:rsidR="00EC1E62">
        <w:rPr>
          <w:color w:val="000000"/>
          <w:sz w:val="24"/>
          <w:szCs w:val="24"/>
        </w:rPr>
        <w:t xml:space="preserve"> schedules</w:t>
      </w:r>
      <w:r w:rsidR="00A74177">
        <w:rPr>
          <w:color w:val="000000"/>
          <w:sz w:val="24"/>
          <w:szCs w:val="24"/>
        </w:rPr>
        <w:t xml:space="preserve"> within a 3 week period</w:t>
      </w:r>
      <w:r w:rsidR="00EC1E62">
        <w:rPr>
          <w:color w:val="000000"/>
          <w:sz w:val="24"/>
          <w:szCs w:val="24"/>
        </w:rPr>
        <w:t xml:space="preserve">, </w:t>
      </w:r>
      <w:r w:rsidR="00025BC5">
        <w:rPr>
          <w:color w:val="000000"/>
          <w:sz w:val="24"/>
          <w:szCs w:val="24"/>
        </w:rPr>
        <w:t xml:space="preserve">A recent study for influenza shows a 92% successful response rate at the same study location. </w:t>
      </w:r>
    </w:p>
    <w:p w14:paraId="233EAB8A" w14:textId="77777777" w:rsidR="00850200" w:rsidRDefault="00850200" w:rsidP="00850200">
      <w:pPr>
        <w:pStyle w:val="P1-StandPara"/>
        <w:tabs>
          <w:tab w:val="left" w:pos="720"/>
          <w:tab w:val="right" w:leader="dot" w:pos="9504"/>
        </w:tabs>
        <w:spacing w:before="120" w:line="240" w:lineRule="auto"/>
        <w:ind w:firstLine="0"/>
        <w:rPr>
          <w:color w:val="000000"/>
          <w:sz w:val="24"/>
          <w:szCs w:val="24"/>
        </w:rPr>
      </w:pPr>
    </w:p>
    <w:p w14:paraId="36478794" w14:textId="77777777" w:rsidR="00957F14" w:rsidRPr="00E41609" w:rsidRDefault="00957F14" w:rsidP="00957F14">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14:paraId="71290650" w14:textId="77777777" w:rsidR="00957F14" w:rsidRPr="00CE24AF" w:rsidRDefault="00CE24AF" w:rsidP="00957F14">
      <w:r w:rsidRPr="00CE24AF">
        <w:t>We designed the content and format for collection of samples and key data elements based on prior successful influenza studies. Those methods have been found to permit accurate and reliable collection of samples and reporting of data. The study coordinators have been directly trained by the PI and regular oversight will be provided by a Senior Coordinator (trained by the PI) to ensure consistency with procedures associated with the study.</w:t>
      </w:r>
    </w:p>
    <w:p w14:paraId="4DE42B30" w14:textId="77777777" w:rsidR="00957F14" w:rsidRDefault="00957F14" w:rsidP="00957F14">
      <w:pPr>
        <w:rPr>
          <w:b/>
        </w:rPr>
      </w:pPr>
    </w:p>
    <w:p w14:paraId="4559C1A7" w14:textId="77777777"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3"/>
      <w:bookmarkEnd w:id="14"/>
      <w:bookmarkEnd w:id="15"/>
      <w:bookmarkEnd w:id="16"/>
    </w:p>
    <w:p w14:paraId="1F670F1E" w14:textId="77777777" w:rsidR="00957F14" w:rsidRPr="00E41609" w:rsidRDefault="00957F14" w:rsidP="00957F14">
      <w:pPr>
        <w:pStyle w:val="P1-StandPara"/>
      </w:pPr>
    </w:p>
    <w:p w14:paraId="4FBBB782" w14:textId="77777777" w:rsidR="00E3182E" w:rsidRDefault="00E3182E" w:rsidP="00E3182E">
      <w:pPr>
        <w:pStyle w:val="P1-StandPara"/>
        <w:tabs>
          <w:tab w:val="left" w:pos="720"/>
          <w:tab w:val="right" w:leader="dot" w:pos="9504"/>
        </w:tabs>
        <w:spacing w:before="120" w:after="120" w:line="240" w:lineRule="auto"/>
        <w:ind w:firstLine="0"/>
        <w:contextualSpacing/>
        <w:rPr>
          <w:color w:val="000000"/>
        </w:rPr>
      </w:pPr>
      <w:r>
        <w:rPr>
          <w:color w:val="000000"/>
        </w:rPr>
        <w:t>Andrea Dugas, MD</w:t>
      </w:r>
    </w:p>
    <w:p w14:paraId="6F7BC63F" w14:textId="77777777" w:rsidR="00E3182E" w:rsidRDefault="00E3182E" w:rsidP="00E3182E">
      <w:pPr>
        <w:pStyle w:val="P1-StandPara"/>
        <w:tabs>
          <w:tab w:val="left" w:pos="720"/>
          <w:tab w:val="right" w:leader="dot" w:pos="9504"/>
        </w:tabs>
        <w:spacing w:before="120" w:after="120" w:line="240" w:lineRule="auto"/>
        <w:ind w:firstLine="0"/>
        <w:contextualSpacing/>
      </w:pPr>
      <w:r>
        <w:t xml:space="preserve">Department of Emergency Medicine, </w:t>
      </w:r>
    </w:p>
    <w:p w14:paraId="7A715EC9" w14:textId="77777777" w:rsidR="00E3182E" w:rsidRDefault="00E3182E" w:rsidP="00E3182E">
      <w:pPr>
        <w:pStyle w:val="P1-StandPara"/>
        <w:tabs>
          <w:tab w:val="left" w:pos="720"/>
          <w:tab w:val="right" w:leader="dot" w:pos="9504"/>
        </w:tabs>
        <w:spacing w:before="120" w:after="120" w:line="240" w:lineRule="auto"/>
        <w:ind w:firstLine="0"/>
        <w:contextualSpacing/>
      </w:pPr>
      <w:r>
        <w:t xml:space="preserve">Johns </w:t>
      </w:r>
      <w:r>
        <w:rPr>
          <w:rStyle w:val="highlight"/>
        </w:rPr>
        <w:t>Hopkins</w:t>
      </w:r>
      <w:r>
        <w:t xml:space="preserve"> University</w:t>
      </w:r>
    </w:p>
    <w:p w14:paraId="6A4E479E" w14:textId="77777777" w:rsidR="00E3182E" w:rsidRDefault="00E3182E" w:rsidP="00E3182E">
      <w:pPr>
        <w:pStyle w:val="P1-StandPara"/>
        <w:tabs>
          <w:tab w:val="left" w:pos="720"/>
          <w:tab w:val="right" w:leader="dot" w:pos="9504"/>
        </w:tabs>
        <w:spacing w:before="120" w:after="120" w:line="240" w:lineRule="auto"/>
        <w:ind w:firstLine="0"/>
        <w:contextualSpacing/>
      </w:pPr>
      <w:r>
        <w:t>Baltimore, MD</w:t>
      </w:r>
    </w:p>
    <w:p w14:paraId="581E6950" w14:textId="77777777" w:rsidR="00E3182E" w:rsidRDefault="00E3182E" w:rsidP="00E3182E">
      <w:pPr>
        <w:pStyle w:val="P1-StandPara"/>
        <w:tabs>
          <w:tab w:val="left" w:pos="720"/>
          <w:tab w:val="right" w:leader="dot" w:pos="9504"/>
        </w:tabs>
        <w:spacing w:before="120" w:after="120" w:line="240" w:lineRule="auto"/>
        <w:ind w:firstLine="0"/>
        <w:contextualSpacing/>
      </w:pPr>
      <w:r>
        <w:t>Phone:</w:t>
      </w:r>
      <w:r w:rsidRPr="006859D1">
        <w:t xml:space="preserve"> (410) 735-6400</w:t>
      </w:r>
    </w:p>
    <w:p w14:paraId="21BB1800" w14:textId="77777777" w:rsidR="00E3182E" w:rsidRDefault="00E3182E" w:rsidP="00E3182E">
      <w:pPr>
        <w:pStyle w:val="P1-StandPara"/>
        <w:tabs>
          <w:tab w:val="left" w:pos="720"/>
          <w:tab w:val="right" w:leader="dot" w:pos="9504"/>
        </w:tabs>
        <w:spacing w:before="120" w:after="120" w:line="240" w:lineRule="auto"/>
        <w:ind w:firstLine="0"/>
        <w:contextualSpacing/>
      </w:pPr>
      <w:r>
        <w:t xml:space="preserve">Email: </w:t>
      </w:r>
      <w:hyperlink r:id="rId8" w:history="1">
        <w:r w:rsidRPr="00CF5239">
          <w:rPr>
            <w:rStyle w:val="Hyperlink"/>
          </w:rPr>
          <w:t>adugas1@jhmi.edu</w:t>
        </w:r>
      </w:hyperlink>
      <w:r>
        <w:t>.</w:t>
      </w:r>
    </w:p>
    <w:p w14:paraId="21948E18" w14:textId="77777777" w:rsidR="00E3182E" w:rsidRDefault="00E3182E" w:rsidP="00850200">
      <w:pPr>
        <w:pStyle w:val="P1-StandPara"/>
        <w:tabs>
          <w:tab w:val="left" w:pos="720"/>
          <w:tab w:val="right" w:leader="dot" w:pos="9504"/>
        </w:tabs>
        <w:spacing w:before="120" w:after="120" w:line="240" w:lineRule="auto"/>
        <w:ind w:firstLine="0"/>
        <w:rPr>
          <w:color w:val="000000"/>
        </w:rPr>
      </w:pPr>
    </w:p>
    <w:p w14:paraId="5B1BFD3E" w14:textId="77777777" w:rsidR="00E3182E" w:rsidRPr="00C964D1" w:rsidRDefault="00E3182E" w:rsidP="00E3182E">
      <w:pPr>
        <w:rPr>
          <w:color w:val="000000"/>
          <w:sz w:val="22"/>
          <w:szCs w:val="22"/>
        </w:rPr>
      </w:pPr>
      <w:r w:rsidRPr="00C964D1">
        <w:rPr>
          <w:color w:val="000000"/>
          <w:sz w:val="22"/>
          <w:szCs w:val="22"/>
        </w:rPr>
        <w:t>Sabra L. Klein, PhD</w:t>
      </w:r>
    </w:p>
    <w:p w14:paraId="5BCF1B26" w14:textId="77777777" w:rsidR="00E3182E" w:rsidRPr="00C964D1" w:rsidRDefault="00E3182E" w:rsidP="00E3182E">
      <w:pPr>
        <w:rPr>
          <w:color w:val="000000"/>
          <w:sz w:val="22"/>
          <w:szCs w:val="22"/>
        </w:rPr>
      </w:pPr>
      <w:r w:rsidRPr="00C964D1">
        <w:rPr>
          <w:color w:val="000000"/>
          <w:sz w:val="22"/>
          <w:szCs w:val="22"/>
        </w:rPr>
        <w:t>Associate Professor</w:t>
      </w:r>
    </w:p>
    <w:p w14:paraId="335162AA" w14:textId="77777777" w:rsidR="00E3182E" w:rsidRPr="00C964D1" w:rsidRDefault="00E3182E" w:rsidP="00E3182E">
      <w:pPr>
        <w:rPr>
          <w:color w:val="000000"/>
          <w:sz w:val="22"/>
          <w:szCs w:val="22"/>
        </w:rPr>
      </w:pPr>
      <w:r w:rsidRPr="00C964D1">
        <w:rPr>
          <w:color w:val="000000"/>
          <w:sz w:val="22"/>
          <w:szCs w:val="22"/>
        </w:rPr>
        <w:lastRenderedPageBreak/>
        <w:t>Department of Molecular Microbiology and Immunology</w:t>
      </w:r>
    </w:p>
    <w:p w14:paraId="5442CFC6" w14:textId="77777777" w:rsidR="00E3182E" w:rsidRPr="00C964D1" w:rsidRDefault="00E3182E" w:rsidP="00E3182E">
      <w:pPr>
        <w:rPr>
          <w:color w:val="000000"/>
          <w:sz w:val="22"/>
          <w:szCs w:val="22"/>
        </w:rPr>
      </w:pPr>
      <w:r w:rsidRPr="00C964D1">
        <w:rPr>
          <w:color w:val="000000"/>
          <w:sz w:val="22"/>
          <w:szCs w:val="22"/>
        </w:rPr>
        <w:t>Johns Hopkins Bloomberg School of Public Health</w:t>
      </w:r>
    </w:p>
    <w:p w14:paraId="2229CBBA" w14:textId="77777777" w:rsidR="00E3182E" w:rsidRPr="00C964D1" w:rsidRDefault="00E3182E" w:rsidP="00E3182E">
      <w:pPr>
        <w:rPr>
          <w:color w:val="000000"/>
          <w:sz w:val="22"/>
          <w:szCs w:val="22"/>
        </w:rPr>
      </w:pPr>
      <w:r w:rsidRPr="00C964D1">
        <w:rPr>
          <w:color w:val="000000"/>
          <w:sz w:val="22"/>
          <w:szCs w:val="22"/>
        </w:rPr>
        <w:t>615 N. Wolfe Street</w:t>
      </w:r>
    </w:p>
    <w:p w14:paraId="38796E85" w14:textId="77777777" w:rsidR="00E3182E" w:rsidRPr="00C964D1" w:rsidRDefault="00E3182E" w:rsidP="00E3182E">
      <w:pPr>
        <w:rPr>
          <w:color w:val="000000"/>
          <w:sz w:val="22"/>
          <w:szCs w:val="22"/>
        </w:rPr>
      </w:pPr>
      <w:r w:rsidRPr="00C964D1">
        <w:rPr>
          <w:color w:val="000000"/>
          <w:sz w:val="22"/>
          <w:szCs w:val="22"/>
        </w:rPr>
        <w:t>Baltimore, Maryland 21205</w:t>
      </w:r>
    </w:p>
    <w:p w14:paraId="2591B6E4" w14:textId="77777777" w:rsidR="00E3182E" w:rsidRPr="00C964D1" w:rsidRDefault="00E3182E" w:rsidP="00E3182E">
      <w:pPr>
        <w:rPr>
          <w:color w:val="000000"/>
          <w:sz w:val="22"/>
          <w:szCs w:val="22"/>
        </w:rPr>
      </w:pPr>
      <w:r w:rsidRPr="00C964D1">
        <w:rPr>
          <w:color w:val="000000"/>
          <w:sz w:val="22"/>
          <w:szCs w:val="22"/>
        </w:rPr>
        <w:t>Phone: (410) 955-8898</w:t>
      </w:r>
    </w:p>
    <w:p w14:paraId="622202BF" w14:textId="77777777" w:rsidR="00E3182E" w:rsidRPr="00C964D1" w:rsidRDefault="00E3182E" w:rsidP="00E3182E">
      <w:pPr>
        <w:rPr>
          <w:color w:val="000000"/>
          <w:sz w:val="22"/>
          <w:szCs w:val="22"/>
        </w:rPr>
      </w:pPr>
      <w:r w:rsidRPr="00C964D1">
        <w:rPr>
          <w:color w:val="000000"/>
          <w:sz w:val="22"/>
          <w:szCs w:val="22"/>
        </w:rPr>
        <w:t>Fax: (410) 955-0105</w:t>
      </w:r>
    </w:p>
    <w:p w14:paraId="4DD042E3" w14:textId="77777777" w:rsidR="00E3182E" w:rsidRPr="00C964D1" w:rsidRDefault="00E3182E" w:rsidP="00E3182E">
      <w:pPr>
        <w:rPr>
          <w:color w:val="000000"/>
          <w:sz w:val="22"/>
          <w:szCs w:val="22"/>
        </w:rPr>
      </w:pPr>
      <w:r w:rsidRPr="00C964D1">
        <w:rPr>
          <w:color w:val="000000"/>
          <w:sz w:val="22"/>
          <w:szCs w:val="22"/>
        </w:rPr>
        <w:t xml:space="preserve">Email: </w:t>
      </w:r>
      <w:hyperlink r:id="rId9" w:history="1">
        <w:r w:rsidRPr="00C964D1">
          <w:rPr>
            <w:rStyle w:val="Hyperlink"/>
            <w:sz w:val="22"/>
            <w:szCs w:val="22"/>
          </w:rPr>
          <w:t>sklein2@jhu.edu</w:t>
        </w:r>
      </w:hyperlink>
    </w:p>
    <w:p w14:paraId="49A2CEB6" w14:textId="77777777" w:rsidR="00E3182E" w:rsidRDefault="00E3182E" w:rsidP="00E3182E">
      <w:pPr>
        <w:rPr>
          <w:color w:val="000000"/>
          <w:sz w:val="22"/>
          <w:szCs w:val="22"/>
        </w:rPr>
      </w:pPr>
      <w:r w:rsidRPr="00C964D1">
        <w:rPr>
          <w:color w:val="000000"/>
          <w:sz w:val="22"/>
          <w:szCs w:val="22"/>
        </w:rPr>
        <w:t xml:space="preserve">Web: </w:t>
      </w:r>
      <w:hyperlink r:id="rId10" w:history="1">
        <w:r w:rsidRPr="00C964D1">
          <w:rPr>
            <w:rStyle w:val="Hyperlink"/>
            <w:sz w:val="22"/>
            <w:szCs w:val="22"/>
          </w:rPr>
          <w:t>http://faculty.jhsph.edu/default.cfm?faculty_id=1038</w:t>
        </w:r>
      </w:hyperlink>
    </w:p>
    <w:p w14:paraId="05E10A91" w14:textId="77777777" w:rsidR="00E3182E" w:rsidRDefault="00E3182E" w:rsidP="00E3182E">
      <w:pPr>
        <w:rPr>
          <w:color w:val="000000"/>
          <w:sz w:val="22"/>
          <w:szCs w:val="22"/>
        </w:rPr>
      </w:pPr>
    </w:p>
    <w:p w14:paraId="255F061D" w14:textId="77777777" w:rsidR="00E3182E" w:rsidRPr="00C964D1" w:rsidRDefault="00E3182E" w:rsidP="00E3182E">
      <w:pPr>
        <w:rPr>
          <w:color w:val="000000"/>
          <w:sz w:val="22"/>
          <w:szCs w:val="22"/>
        </w:rPr>
      </w:pPr>
    </w:p>
    <w:p w14:paraId="497A4B2B"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Paul G. Thomas, PhD</w:t>
      </w:r>
    </w:p>
    <w:p w14:paraId="73A29925"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Associate Member, Department of Immunology St. Jude Children's Research Hospital</w:t>
      </w:r>
    </w:p>
    <w:p w14:paraId="3FDA0931"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262 Danny Thomas Place/MS 351</w:t>
      </w:r>
    </w:p>
    <w:p w14:paraId="2A9F743E"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Memphis, TN 38105-3678</w:t>
      </w:r>
    </w:p>
    <w:p w14:paraId="423B4763"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(901)595-6507 (phone)</w:t>
      </w:r>
    </w:p>
    <w:p w14:paraId="772E8B23" w14:textId="77777777" w:rsidR="00E3182E" w:rsidRPr="00C964D1" w:rsidRDefault="00E3182E" w:rsidP="00E3182E">
      <w:pPr>
        <w:pStyle w:val="PlainText"/>
        <w:rPr>
          <w:rFonts w:ascii="Times New Roman" w:hAnsi="Times New Roman"/>
          <w:sz w:val="22"/>
          <w:szCs w:val="22"/>
        </w:rPr>
      </w:pPr>
      <w:r w:rsidRPr="00C964D1">
        <w:rPr>
          <w:rFonts w:ascii="Times New Roman" w:hAnsi="Times New Roman"/>
          <w:sz w:val="22"/>
          <w:szCs w:val="22"/>
        </w:rPr>
        <w:t>(901)595-3107 (fax)</w:t>
      </w:r>
    </w:p>
    <w:p w14:paraId="4F9CA650" w14:textId="77777777" w:rsidR="00E3182E" w:rsidRDefault="00E3182E" w:rsidP="00850200">
      <w:pPr>
        <w:pStyle w:val="P1-StandPara"/>
        <w:tabs>
          <w:tab w:val="left" w:pos="720"/>
          <w:tab w:val="right" w:leader="dot" w:pos="9504"/>
        </w:tabs>
        <w:spacing w:before="120" w:after="120" w:line="240" w:lineRule="auto"/>
        <w:ind w:firstLine="0"/>
        <w:rPr>
          <w:color w:val="000000"/>
        </w:rPr>
      </w:pPr>
    </w:p>
    <w:p w14:paraId="47A53AC8" w14:textId="77777777" w:rsidR="00551917" w:rsidRDefault="00551917" w:rsidP="00850200">
      <w:pPr>
        <w:pStyle w:val="P1-StandPara"/>
        <w:tabs>
          <w:tab w:val="left" w:pos="720"/>
          <w:tab w:val="right" w:leader="dot" w:pos="9504"/>
        </w:tabs>
        <w:spacing w:before="120" w:after="120" w:line="240" w:lineRule="auto"/>
        <w:ind w:firstLine="0"/>
        <w:rPr>
          <w:color w:val="000000"/>
        </w:rPr>
      </w:pPr>
      <w:r w:rsidRPr="00BF6E2C">
        <w:rPr>
          <w:color w:val="000000"/>
        </w:rPr>
        <w:t>Andrew Pekosz, Ph.D.</w:t>
      </w:r>
      <w:r w:rsidRPr="00BF6E2C">
        <w:rPr>
          <w:color w:val="000000"/>
        </w:rPr>
        <w:br/>
        <w:t>Associate Professor</w:t>
      </w:r>
      <w:r w:rsidRPr="00BF6E2C">
        <w:rPr>
          <w:color w:val="000000"/>
        </w:rPr>
        <w:br/>
        <w:t>Johns Hopkins University</w:t>
      </w:r>
      <w:r w:rsidRPr="00BF6E2C">
        <w:rPr>
          <w:color w:val="000000"/>
        </w:rPr>
        <w:br/>
        <w:t>Bloomberg School of Public Health</w:t>
      </w:r>
      <w:r w:rsidRPr="00BF6E2C">
        <w:rPr>
          <w:color w:val="000000"/>
        </w:rPr>
        <w:br/>
        <w:t>615 North Wolfe Street, rm W2116</w:t>
      </w:r>
      <w:r w:rsidRPr="00BF6E2C">
        <w:rPr>
          <w:color w:val="000000"/>
        </w:rPr>
        <w:br/>
        <w:t>Baltimore, MD 21205-2103</w:t>
      </w:r>
      <w:r w:rsidRPr="00BF6E2C">
        <w:rPr>
          <w:color w:val="000000"/>
        </w:rPr>
        <w:br/>
        <w:t>Email:  </w:t>
      </w:r>
      <w:hyperlink r:id="rId11" w:tgtFrame="_blank" w:history="1">
        <w:r w:rsidRPr="00BF6E2C">
          <w:rPr>
            <w:rStyle w:val="Hyperlink"/>
            <w:color w:val="000000"/>
          </w:rPr>
          <w:t>apekosz1@jhu.edu</w:t>
        </w:r>
      </w:hyperlink>
      <w:r w:rsidRPr="00BF6E2C">
        <w:rPr>
          <w:color w:val="000000"/>
        </w:rPr>
        <w:t> </w:t>
      </w:r>
      <w:r w:rsidRPr="00BF6E2C">
        <w:rPr>
          <w:color w:val="000000"/>
        </w:rPr>
        <w:br/>
        <w:t>Tel: </w:t>
      </w:r>
      <w:hyperlink r:id="rId12" w:tgtFrame="_blank" w:history="1">
        <w:r w:rsidRPr="00BF6E2C">
          <w:rPr>
            <w:rStyle w:val="Hyperlink"/>
            <w:color w:val="000000"/>
          </w:rPr>
          <w:t>(410)502-9306</w:t>
        </w:r>
      </w:hyperlink>
      <w:r w:rsidRPr="00BF6E2C">
        <w:rPr>
          <w:color w:val="000000"/>
        </w:rPr>
        <w:br/>
        <w:t>Lab: </w:t>
      </w:r>
      <w:hyperlink r:id="rId13" w:tgtFrame="_blank" w:history="1">
        <w:r w:rsidRPr="00BF6E2C">
          <w:rPr>
            <w:rStyle w:val="Hyperlink"/>
            <w:color w:val="000000"/>
          </w:rPr>
          <w:t>(443)287-8750</w:t>
        </w:r>
      </w:hyperlink>
      <w:r w:rsidRPr="00BF6E2C">
        <w:rPr>
          <w:color w:val="000000"/>
        </w:rPr>
        <w:br/>
        <w:t>Fax: </w:t>
      </w:r>
      <w:hyperlink r:id="rId14" w:tgtFrame="_blank" w:history="1">
        <w:r w:rsidRPr="00BF6E2C">
          <w:rPr>
            <w:rStyle w:val="Hyperlink"/>
            <w:color w:val="000000"/>
          </w:rPr>
          <w:t>(410)955-0105</w:t>
        </w:r>
      </w:hyperlink>
    </w:p>
    <w:p w14:paraId="28CCDDD4" w14:textId="0C3B3CCE" w:rsidR="00DD2E3B" w:rsidRPr="00E966E3" w:rsidRDefault="00DD2E3B" w:rsidP="00DD2E3B">
      <w:pPr>
        <w:jc w:val="center"/>
        <w:rPr>
          <w:rFonts w:eastAsia="Calibri"/>
          <w:sz w:val="22"/>
          <w:szCs w:val="22"/>
        </w:rPr>
      </w:pPr>
      <w:r>
        <w:rPr>
          <w:color w:val="000000"/>
        </w:rPr>
        <w:br w:type="page"/>
      </w:r>
      <w:r w:rsidR="004153A0">
        <w:rPr>
          <w:rFonts w:eastAsia="Calibri"/>
          <w:sz w:val="22"/>
          <w:szCs w:val="22"/>
        </w:rPr>
        <w:lastRenderedPageBreak/>
        <w:t xml:space="preserve">Appendix </w:t>
      </w:r>
      <w:r w:rsidRPr="00E966E3">
        <w:rPr>
          <w:rFonts w:eastAsia="Calibri"/>
          <w:sz w:val="22"/>
          <w:szCs w:val="22"/>
        </w:rPr>
        <w:t xml:space="preserve"> </w:t>
      </w:r>
    </w:p>
    <w:p w14:paraId="5666D951" w14:textId="77777777" w:rsidR="00DD2E3B" w:rsidRPr="00E966E3" w:rsidRDefault="00DD2E3B" w:rsidP="00DD2E3B">
      <w:pPr>
        <w:spacing w:after="200" w:line="276" w:lineRule="auto"/>
        <w:jc w:val="center"/>
        <w:rPr>
          <w:rFonts w:eastAsia="Calibri"/>
          <w:sz w:val="22"/>
          <w:szCs w:val="22"/>
        </w:rPr>
      </w:pPr>
      <w:r w:rsidRPr="00E966E3">
        <w:rPr>
          <w:rFonts w:eastAsia="Calibri"/>
          <w:sz w:val="22"/>
          <w:szCs w:val="22"/>
        </w:rPr>
        <w:t>Explanation of Sample Size – Year 1</w:t>
      </w:r>
    </w:p>
    <w:p w14:paraId="42ABE752" w14:textId="77777777" w:rsidR="00DD2E3B" w:rsidRPr="00E966E3" w:rsidRDefault="00DD2E3B" w:rsidP="00DD2E3B">
      <w:pPr>
        <w:spacing w:after="200" w:line="276" w:lineRule="auto"/>
        <w:jc w:val="center"/>
        <w:rPr>
          <w:rFonts w:eastAsia="Calibri"/>
          <w:sz w:val="22"/>
          <w:szCs w:val="22"/>
        </w:rPr>
      </w:pPr>
      <w:r w:rsidRPr="00E966E3">
        <w:rPr>
          <w:rFonts w:eastAsia="Calibri"/>
          <w:sz w:val="22"/>
          <w:szCs w:val="22"/>
        </w:rPr>
        <w:t>4/16/2015</w:t>
      </w:r>
    </w:p>
    <w:p w14:paraId="57D60809"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The study design has 2 components: </w:t>
      </w:r>
    </w:p>
    <w:p w14:paraId="48FF138A"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Active surveillance and Passive surveillance. </w:t>
      </w:r>
    </w:p>
    <w:p w14:paraId="7C9D7FE7"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Active surveillance requires patient recruitment and has a burden on subjects. Passive surveillance requires no patient interaction and has no time burden on patients. </w:t>
      </w:r>
    </w:p>
    <w:p w14:paraId="4140BAE7"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Since Statement A asks for respondent time and burden we refer to our sample size as 300 per site, or 600 across sites. </w:t>
      </w:r>
      <w:r w:rsidR="006101CA">
        <w:rPr>
          <w:rFonts w:eastAsia="Calibri"/>
          <w:sz w:val="22"/>
          <w:szCs w:val="22"/>
        </w:rPr>
        <w:t>This includes active surveillance only.</w:t>
      </w:r>
    </w:p>
    <w:p w14:paraId="6B4EFEAA"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Since Statement B asks for Sampling Methods, we refer to our sample size as 425 per site, or 850 across sites. </w:t>
      </w:r>
      <w:r w:rsidR="006101CA">
        <w:rPr>
          <w:rFonts w:eastAsia="Calibri"/>
          <w:sz w:val="22"/>
          <w:szCs w:val="22"/>
        </w:rPr>
        <w:t>This includes both active and passive surveillance.</w:t>
      </w:r>
    </w:p>
    <w:p w14:paraId="508CBC4A" w14:textId="77777777" w:rsidR="00DD2E3B" w:rsidRPr="00E966E3" w:rsidRDefault="00DD2E3B" w:rsidP="00DD2E3B">
      <w:pPr>
        <w:spacing w:after="200" w:line="276" w:lineRule="auto"/>
        <w:rPr>
          <w:rFonts w:eastAsia="Calibri"/>
          <w:sz w:val="22"/>
          <w:szCs w:val="22"/>
        </w:rPr>
      </w:pPr>
      <w:r w:rsidRPr="00E966E3">
        <w:rPr>
          <w:rFonts w:eastAsia="Calibri"/>
          <w:sz w:val="22"/>
          <w:szCs w:val="22"/>
        </w:rPr>
        <w:t xml:space="preserve">Site 1 Year 1 – Johns Hopkins University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DD2E3B" w:rsidRPr="00E966E3" w14:paraId="5998A540" w14:textId="77777777" w:rsidTr="0010025C">
        <w:tc>
          <w:tcPr>
            <w:tcW w:w="2394" w:type="dxa"/>
            <w:shd w:val="clear" w:color="auto" w:fill="auto"/>
          </w:tcPr>
          <w:p w14:paraId="42203887" w14:textId="77777777" w:rsidR="00DD2E3B" w:rsidRPr="004153A0" w:rsidRDefault="00DD2E3B" w:rsidP="00DD2E3B">
            <w:pPr>
              <w:rPr>
                <w:rFonts w:eastAsia="Calibri"/>
                <w:sz w:val="22"/>
                <w:szCs w:val="22"/>
              </w:rPr>
            </w:pPr>
            <w:r w:rsidRPr="00D0401A">
              <w:rPr>
                <w:rFonts w:eastAsia="Calibri"/>
                <w:sz w:val="22"/>
                <w:szCs w:val="22"/>
              </w:rPr>
              <w:t xml:space="preserve">Active Surveillance Enrollment of Influenza </w:t>
            </w:r>
            <w:r w:rsidRPr="004153A0">
              <w:rPr>
                <w:rFonts w:eastAsia="Calibri"/>
                <w:i/>
                <w:sz w:val="22"/>
                <w:szCs w:val="22"/>
              </w:rPr>
              <w:t>Indeterminate</w:t>
            </w:r>
            <w:r w:rsidRPr="004153A0">
              <w:rPr>
                <w:rFonts w:eastAsia="Calibri"/>
                <w:sz w:val="22"/>
                <w:szCs w:val="22"/>
              </w:rPr>
              <w:t xml:space="preserve"> Subjects </w:t>
            </w:r>
          </w:p>
        </w:tc>
        <w:tc>
          <w:tcPr>
            <w:tcW w:w="2394" w:type="dxa"/>
            <w:shd w:val="clear" w:color="auto" w:fill="auto"/>
          </w:tcPr>
          <w:p w14:paraId="69255E1E" w14:textId="77777777" w:rsidR="00DD2E3B" w:rsidRPr="006101CA" w:rsidRDefault="00DD2E3B" w:rsidP="00DD2E3B">
            <w:pPr>
              <w:rPr>
                <w:rFonts w:eastAsia="Calibri"/>
                <w:sz w:val="22"/>
                <w:szCs w:val="22"/>
              </w:rPr>
            </w:pPr>
            <w:r w:rsidRPr="006101CA">
              <w:rPr>
                <w:rFonts w:eastAsia="Calibri"/>
                <w:sz w:val="22"/>
                <w:szCs w:val="22"/>
              </w:rPr>
              <w:t>250</w:t>
            </w:r>
          </w:p>
        </w:tc>
      </w:tr>
      <w:tr w:rsidR="00DD2E3B" w:rsidRPr="00E966E3" w14:paraId="2A2B6584" w14:textId="77777777" w:rsidTr="0010025C">
        <w:tc>
          <w:tcPr>
            <w:tcW w:w="2394" w:type="dxa"/>
            <w:shd w:val="clear" w:color="auto" w:fill="auto"/>
          </w:tcPr>
          <w:p w14:paraId="500867DC" w14:textId="77777777" w:rsidR="00DD2E3B" w:rsidRPr="00E966E3" w:rsidRDefault="00DD2E3B" w:rsidP="00DD2E3B">
            <w:pPr>
              <w:rPr>
                <w:rFonts w:eastAsia="Calibri"/>
                <w:sz w:val="22"/>
                <w:szCs w:val="22"/>
              </w:rPr>
            </w:pPr>
            <w:r w:rsidRPr="008408EF">
              <w:rPr>
                <w:rFonts w:eastAsia="Calibri"/>
                <w:sz w:val="22"/>
                <w:szCs w:val="22"/>
              </w:rPr>
              <w:t xml:space="preserve">Active Surveillance Enrollment of Influenza </w:t>
            </w:r>
            <w:r w:rsidRPr="00E966E3">
              <w:rPr>
                <w:rFonts w:eastAsia="Calibri"/>
                <w:i/>
                <w:sz w:val="22"/>
                <w:szCs w:val="22"/>
              </w:rPr>
              <w:t>Determined</w:t>
            </w:r>
            <w:r w:rsidRPr="00E966E3">
              <w:rPr>
                <w:rFonts w:eastAsia="Calibri"/>
                <w:sz w:val="22"/>
                <w:szCs w:val="22"/>
              </w:rPr>
              <w:t xml:space="preserve"> Subjects</w:t>
            </w:r>
          </w:p>
        </w:tc>
        <w:tc>
          <w:tcPr>
            <w:tcW w:w="2394" w:type="dxa"/>
            <w:shd w:val="clear" w:color="auto" w:fill="auto"/>
          </w:tcPr>
          <w:p w14:paraId="6D853411" w14:textId="77777777" w:rsidR="00DD2E3B" w:rsidRPr="00E966E3" w:rsidRDefault="00DD2E3B" w:rsidP="00DD2E3B">
            <w:pPr>
              <w:rPr>
                <w:rFonts w:eastAsia="Calibri"/>
                <w:sz w:val="22"/>
                <w:szCs w:val="22"/>
              </w:rPr>
            </w:pPr>
            <w:r w:rsidRPr="00E966E3">
              <w:rPr>
                <w:rFonts w:eastAsia="Calibri"/>
                <w:sz w:val="22"/>
                <w:szCs w:val="22"/>
              </w:rPr>
              <w:t>50</w:t>
            </w:r>
          </w:p>
        </w:tc>
      </w:tr>
      <w:tr w:rsidR="00DD2E3B" w:rsidRPr="00E966E3" w14:paraId="43189BE0" w14:textId="77777777" w:rsidTr="0010025C">
        <w:tc>
          <w:tcPr>
            <w:tcW w:w="2394" w:type="dxa"/>
            <w:tcBorders>
              <w:bottom w:val="single" w:sz="4" w:space="0" w:color="auto"/>
            </w:tcBorders>
            <w:shd w:val="clear" w:color="auto" w:fill="auto"/>
          </w:tcPr>
          <w:p w14:paraId="5DE23DD0" w14:textId="77777777" w:rsidR="00DD2E3B" w:rsidRPr="00E966E3" w:rsidRDefault="00DD2E3B" w:rsidP="00DD2E3B">
            <w:pPr>
              <w:rPr>
                <w:rFonts w:eastAsia="Calibri"/>
                <w:sz w:val="22"/>
                <w:szCs w:val="22"/>
              </w:rPr>
            </w:pPr>
            <w:r w:rsidRPr="00E966E3">
              <w:rPr>
                <w:rFonts w:eastAsia="Calibri"/>
                <w:sz w:val="22"/>
                <w:szCs w:val="22"/>
              </w:rPr>
              <w:t xml:space="preserve">Total Active Enrolled Subjects Per Year (Flu Season)  </w:t>
            </w:r>
          </w:p>
        </w:tc>
        <w:tc>
          <w:tcPr>
            <w:tcW w:w="2394" w:type="dxa"/>
            <w:tcBorders>
              <w:bottom w:val="single" w:sz="4" w:space="0" w:color="auto"/>
            </w:tcBorders>
            <w:shd w:val="clear" w:color="auto" w:fill="auto"/>
          </w:tcPr>
          <w:p w14:paraId="4B6A2BA1" w14:textId="77777777" w:rsidR="00DD2E3B" w:rsidRPr="00E966E3" w:rsidRDefault="00DD2E3B" w:rsidP="00DD2E3B">
            <w:pPr>
              <w:rPr>
                <w:rFonts w:eastAsia="Calibri"/>
                <w:sz w:val="22"/>
                <w:szCs w:val="22"/>
              </w:rPr>
            </w:pPr>
            <w:r w:rsidRPr="00E966E3">
              <w:rPr>
                <w:rFonts w:eastAsia="Calibri"/>
                <w:sz w:val="22"/>
                <w:szCs w:val="22"/>
              </w:rPr>
              <w:t>300</w:t>
            </w:r>
          </w:p>
        </w:tc>
      </w:tr>
      <w:tr w:rsidR="00DD2E3B" w:rsidRPr="00E966E3" w14:paraId="1DD08123" w14:textId="77777777" w:rsidTr="0010025C">
        <w:tc>
          <w:tcPr>
            <w:tcW w:w="2394" w:type="dxa"/>
            <w:tcBorders>
              <w:bottom w:val="single" w:sz="18" w:space="0" w:color="auto"/>
            </w:tcBorders>
            <w:shd w:val="clear" w:color="auto" w:fill="auto"/>
          </w:tcPr>
          <w:p w14:paraId="2220B8CB" w14:textId="77777777" w:rsidR="00DD2E3B" w:rsidRPr="00E966E3" w:rsidRDefault="00DD2E3B" w:rsidP="00DD2E3B">
            <w:pPr>
              <w:rPr>
                <w:rFonts w:eastAsia="Calibri"/>
                <w:sz w:val="22"/>
                <w:szCs w:val="22"/>
              </w:rPr>
            </w:pPr>
            <w:r w:rsidRPr="00E966E3">
              <w:rPr>
                <w:rFonts w:eastAsia="Calibri"/>
                <w:sz w:val="22"/>
                <w:szCs w:val="22"/>
              </w:rPr>
              <w:t>Passive Surveillance Enrollment of Subjects</w:t>
            </w:r>
          </w:p>
        </w:tc>
        <w:tc>
          <w:tcPr>
            <w:tcW w:w="2394" w:type="dxa"/>
            <w:tcBorders>
              <w:bottom w:val="single" w:sz="18" w:space="0" w:color="auto"/>
            </w:tcBorders>
            <w:shd w:val="clear" w:color="auto" w:fill="auto"/>
          </w:tcPr>
          <w:p w14:paraId="5C5E041C" w14:textId="77777777" w:rsidR="00DD2E3B" w:rsidRPr="00E966E3" w:rsidRDefault="00DD2E3B" w:rsidP="00DD2E3B">
            <w:pPr>
              <w:rPr>
                <w:rFonts w:eastAsia="Calibri"/>
                <w:sz w:val="22"/>
                <w:szCs w:val="22"/>
              </w:rPr>
            </w:pPr>
            <w:r w:rsidRPr="00E966E3">
              <w:rPr>
                <w:rFonts w:eastAsia="Calibri"/>
                <w:sz w:val="22"/>
                <w:szCs w:val="22"/>
              </w:rPr>
              <w:t>125</w:t>
            </w:r>
          </w:p>
        </w:tc>
      </w:tr>
      <w:tr w:rsidR="00DD2E3B" w:rsidRPr="00E966E3" w14:paraId="2733C6B4" w14:textId="77777777" w:rsidTr="0010025C">
        <w:tc>
          <w:tcPr>
            <w:tcW w:w="2394" w:type="dxa"/>
            <w:tcBorders>
              <w:top w:val="single" w:sz="18" w:space="0" w:color="auto"/>
              <w:left w:val="single" w:sz="18" w:space="0" w:color="auto"/>
              <w:bottom w:val="single" w:sz="18" w:space="0" w:color="auto"/>
            </w:tcBorders>
            <w:shd w:val="clear" w:color="auto" w:fill="auto"/>
          </w:tcPr>
          <w:p w14:paraId="62F6E2D2" w14:textId="77777777" w:rsidR="00DD2E3B" w:rsidRPr="00E966E3" w:rsidRDefault="00DD2E3B" w:rsidP="00DD2E3B">
            <w:pPr>
              <w:rPr>
                <w:rFonts w:eastAsia="Calibri"/>
                <w:sz w:val="22"/>
                <w:szCs w:val="22"/>
              </w:rPr>
            </w:pPr>
            <w:r w:rsidRPr="00E966E3">
              <w:rPr>
                <w:rFonts w:eastAsia="Calibri"/>
                <w:sz w:val="22"/>
                <w:szCs w:val="22"/>
              </w:rPr>
              <w:t>Total Combined Active and Passive Enrolled Subjects Per Year</w:t>
            </w:r>
          </w:p>
        </w:tc>
        <w:tc>
          <w:tcPr>
            <w:tcW w:w="2394" w:type="dxa"/>
            <w:tcBorders>
              <w:top w:val="single" w:sz="18" w:space="0" w:color="auto"/>
              <w:bottom w:val="single" w:sz="18" w:space="0" w:color="auto"/>
              <w:right w:val="single" w:sz="18" w:space="0" w:color="auto"/>
            </w:tcBorders>
            <w:shd w:val="clear" w:color="auto" w:fill="auto"/>
          </w:tcPr>
          <w:p w14:paraId="34687A97" w14:textId="77777777" w:rsidR="00DD2E3B" w:rsidRPr="00E966E3" w:rsidRDefault="00DD2E3B" w:rsidP="00DD2E3B">
            <w:pPr>
              <w:rPr>
                <w:rFonts w:eastAsia="Calibri"/>
                <w:sz w:val="22"/>
                <w:szCs w:val="22"/>
              </w:rPr>
            </w:pPr>
            <w:r w:rsidRPr="00E966E3">
              <w:rPr>
                <w:rFonts w:eastAsia="Calibri"/>
                <w:sz w:val="22"/>
                <w:szCs w:val="22"/>
              </w:rPr>
              <w:t>425</w:t>
            </w:r>
          </w:p>
        </w:tc>
      </w:tr>
    </w:tbl>
    <w:p w14:paraId="085AA4B0" w14:textId="77777777" w:rsidR="0010025C" w:rsidRPr="0010025C" w:rsidRDefault="0010025C" w:rsidP="0010025C">
      <w:pPr>
        <w:rPr>
          <w:vanish/>
        </w:rPr>
      </w:pPr>
    </w:p>
    <w:tbl>
      <w:tblPr>
        <w:tblpPr w:leftFromText="180" w:rightFromText="180" w:vertAnchor="text" w:horzAnchor="page" w:tblpX="6775"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2676"/>
      </w:tblGrid>
      <w:tr w:rsidR="00E966E3" w:rsidRPr="0010025C" w14:paraId="5ECF5F36" w14:textId="77777777" w:rsidTr="00E966E3">
        <w:trPr>
          <w:trHeight w:val="552"/>
        </w:trPr>
        <w:tc>
          <w:tcPr>
            <w:tcW w:w="5352" w:type="dxa"/>
            <w:gridSpan w:val="2"/>
            <w:shd w:val="clear" w:color="auto" w:fill="auto"/>
          </w:tcPr>
          <w:p w14:paraId="0AB50D64" w14:textId="77777777" w:rsidR="00E966E3" w:rsidRPr="0010025C" w:rsidRDefault="00E966E3" w:rsidP="00E966E3">
            <w:pPr>
              <w:jc w:val="center"/>
              <w:rPr>
                <w:rFonts w:ascii="Calibri" w:eastAsia="Calibri" w:hAnsi="Calibri"/>
                <w:sz w:val="22"/>
                <w:szCs w:val="22"/>
              </w:rPr>
            </w:pPr>
            <w:r w:rsidRPr="0010025C">
              <w:rPr>
                <w:rFonts w:ascii="Calibri" w:eastAsia="Calibri" w:hAnsi="Calibri"/>
                <w:sz w:val="22"/>
                <w:szCs w:val="22"/>
              </w:rPr>
              <w:lastRenderedPageBreak/>
              <w:t>Per Year (Influenza Season), Total Numbers Across Sites</w:t>
            </w:r>
          </w:p>
        </w:tc>
      </w:tr>
      <w:tr w:rsidR="00E966E3" w:rsidRPr="0010025C" w14:paraId="1DBD1DAC" w14:textId="77777777" w:rsidTr="00E966E3">
        <w:trPr>
          <w:trHeight w:val="552"/>
        </w:trPr>
        <w:tc>
          <w:tcPr>
            <w:tcW w:w="2676" w:type="dxa"/>
            <w:shd w:val="clear" w:color="auto" w:fill="auto"/>
          </w:tcPr>
          <w:p w14:paraId="54848910" w14:textId="77777777" w:rsidR="00E966E3" w:rsidRPr="0010025C" w:rsidRDefault="00E966E3" w:rsidP="00E966E3">
            <w:pPr>
              <w:jc w:val="center"/>
              <w:rPr>
                <w:rFonts w:ascii="Calibri" w:eastAsia="Calibri" w:hAnsi="Calibri"/>
                <w:sz w:val="22"/>
                <w:szCs w:val="22"/>
              </w:rPr>
            </w:pPr>
            <w:r w:rsidRPr="0010025C">
              <w:rPr>
                <w:rFonts w:ascii="Calibri" w:eastAsia="Calibri" w:hAnsi="Calibri"/>
                <w:sz w:val="22"/>
                <w:szCs w:val="22"/>
              </w:rPr>
              <w:t>Total Active Subjects Enrolled Across Sites</w:t>
            </w:r>
            <w:r w:rsidRPr="0010025C">
              <w:rPr>
                <w:rFonts w:ascii="Calibri" w:eastAsia="Calibri" w:hAnsi="Calibri"/>
                <w:sz w:val="22"/>
                <w:szCs w:val="22"/>
              </w:rPr>
              <w:br/>
              <w:t>(Statement A)</w:t>
            </w:r>
          </w:p>
        </w:tc>
        <w:tc>
          <w:tcPr>
            <w:tcW w:w="2676" w:type="dxa"/>
            <w:shd w:val="clear" w:color="auto" w:fill="auto"/>
          </w:tcPr>
          <w:p w14:paraId="7B8AFA9C" w14:textId="77777777" w:rsidR="00E966E3" w:rsidRPr="0010025C" w:rsidRDefault="00E966E3" w:rsidP="00E966E3">
            <w:pPr>
              <w:jc w:val="center"/>
              <w:rPr>
                <w:rFonts w:ascii="Calibri" w:eastAsia="Calibri" w:hAnsi="Calibri"/>
                <w:sz w:val="22"/>
                <w:szCs w:val="22"/>
              </w:rPr>
            </w:pPr>
            <w:r w:rsidRPr="0010025C">
              <w:rPr>
                <w:rFonts w:ascii="Calibri" w:eastAsia="Calibri" w:hAnsi="Calibri"/>
                <w:sz w:val="22"/>
                <w:szCs w:val="22"/>
              </w:rPr>
              <w:t>600</w:t>
            </w:r>
          </w:p>
        </w:tc>
      </w:tr>
      <w:tr w:rsidR="00E966E3" w:rsidRPr="0010025C" w14:paraId="03E190BF" w14:textId="77777777" w:rsidTr="00B96972">
        <w:trPr>
          <w:trHeight w:val="1228"/>
        </w:trPr>
        <w:tc>
          <w:tcPr>
            <w:tcW w:w="2676" w:type="dxa"/>
            <w:tcBorders>
              <w:bottom w:val="nil"/>
            </w:tcBorders>
            <w:shd w:val="clear" w:color="auto" w:fill="auto"/>
          </w:tcPr>
          <w:p w14:paraId="7B2811A5" w14:textId="77777777" w:rsidR="00E966E3" w:rsidRPr="0010025C" w:rsidRDefault="00E966E3" w:rsidP="00E966E3">
            <w:pPr>
              <w:jc w:val="center"/>
              <w:rPr>
                <w:rFonts w:ascii="Calibri" w:eastAsia="Calibri" w:hAnsi="Calibri"/>
                <w:sz w:val="22"/>
                <w:szCs w:val="22"/>
              </w:rPr>
            </w:pPr>
            <w:r w:rsidRPr="0010025C">
              <w:rPr>
                <w:rFonts w:ascii="Calibri" w:eastAsia="Calibri" w:hAnsi="Calibri"/>
                <w:sz w:val="22"/>
                <w:szCs w:val="22"/>
              </w:rPr>
              <w:t>Total Active and Passive Subjects Enrolled Across Sites</w:t>
            </w:r>
            <w:r w:rsidRPr="0010025C">
              <w:rPr>
                <w:rFonts w:ascii="Calibri" w:eastAsia="Calibri" w:hAnsi="Calibri"/>
                <w:sz w:val="22"/>
                <w:szCs w:val="22"/>
              </w:rPr>
              <w:br/>
              <w:t>(Statement B)</w:t>
            </w:r>
          </w:p>
        </w:tc>
        <w:tc>
          <w:tcPr>
            <w:tcW w:w="2676" w:type="dxa"/>
            <w:tcBorders>
              <w:bottom w:val="nil"/>
            </w:tcBorders>
            <w:shd w:val="clear" w:color="auto" w:fill="auto"/>
          </w:tcPr>
          <w:p w14:paraId="4B39CFB1" w14:textId="77777777" w:rsidR="00E966E3" w:rsidRPr="0010025C" w:rsidRDefault="00E966E3" w:rsidP="00E966E3">
            <w:pPr>
              <w:jc w:val="center"/>
              <w:rPr>
                <w:rFonts w:ascii="Calibri" w:eastAsia="Calibri" w:hAnsi="Calibri"/>
                <w:sz w:val="22"/>
                <w:szCs w:val="22"/>
              </w:rPr>
            </w:pPr>
            <w:r w:rsidRPr="0010025C">
              <w:rPr>
                <w:rFonts w:ascii="Calibri" w:eastAsia="Calibri" w:hAnsi="Calibri"/>
                <w:sz w:val="22"/>
                <w:szCs w:val="22"/>
              </w:rPr>
              <w:t>850</w:t>
            </w:r>
          </w:p>
        </w:tc>
      </w:tr>
    </w:tbl>
    <w:p w14:paraId="6F6D7C33" w14:textId="3A08685D" w:rsidR="00844DD4" w:rsidRPr="004153A0" w:rsidRDefault="00DD2E3B" w:rsidP="00844DD4">
      <w:r w:rsidRPr="00DD2E3B">
        <w:t xml:space="preserve">Site 2 Year 1- </w:t>
      </w:r>
      <w:r w:rsidRPr="00DD2E3B">
        <w:rPr>
          <w:color w:val="000000"/>
        </w:rPr>
        <w:t>Chang Gung University</w:t>
      </w:r>
      <w:r w:rsidR="00E966E3">
        <w:rPr>
          <w:color w:val="000000"/>
        </w:rPr>
        <w:t xml:space="preserve"> </w:t>
      </w:r>
      <w:r w:rsidR="00AF034C" w:rsidRPr="00D0401A">
        <w:t>Updated: 03/21/2011</w:t>
      </w:r>
      <w:r w:rsidR="00844DD4" w:rsidRPr="004153A0">
        <w:t xml:space="preserve"> by: MPC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tblGrid>
      <w:tr w:rsidR="00DD2E3B" w:rsidRPr="00E966E3" w14:paraId="35FD3550" w14:textId="77777777" w:rsidTr="0010025C">
        <w:tc>
          <w:tcPr>
            <w:tcW w:w="2394" w:type="dxa"/>
            <w:shd w:val="clear" w:color="auto" w:fill="auto"/>
          </w:tcPr>
          <w:p w14:paraId="5642A125" w14:textId="77777777" w:rsidR="00DD2E3B" w:rsidRPr="008408EF" w:rsidRDefault="00DD2E3B" w:rsidP="00DD2E3B">
            <w:pPr>
              <w:rPr>
                <w:rFonts w:eastAsia="Calibri"/>
                <w:sz w:val="22"/>
                <w:szCs w:val="22"/>
              </w:rPr>
            </w:pPr>
            <w:r w:rsidRPr="006101CA">
              <w:rPr>
                <w:rFonts w:eastAsia="Calibri"/>
                <w:sz w:val="22"/>
                <w:szCs w:val="22"/>
              </w:rPr>
              <w:t xml:space="preserve">Active Surveillance Enrollment of Influenza </w:t>
            </w:r>
            <w:r w:rsidRPr="008408EF">
              <w:rPr>
                <w:rFonts w:eastAsia="Calibri"/>
                <w:i/>
                <w:sz w:val="22"/>
                <w:szCs w:val="22"/>
              </w:rPr>
              <w:t>Indeterminate</w:t>
            </w:r>
            <w:r w:rsidRPr="008408EF">
              <w:rPr>
                <w:rFonts w:eastAsia="Calibri"/>
                <w:sz w:val="22"/>
                <w:szCs w:val="22"/>
              </w:rPr>
              <w:t xml:space="preserve"> Subjects </w:t>
            </w:r>
          </w:p>
        </w:tc>
        <w:tc>
          <w:tcPr>
            <w:tcW w:w="2394" w:type="dxa"/>
            <w:shd w:val="clear" w:color="auto" w:fill="auto"/>
          </w:tcPr>
          <w:p w14:paraId="552CE294" w14:textId="77777777" w:rsidR="00DD2E3B" w:rsidRPr="00E966E3" w:rsidRDefault="00DD2E3B" w:rsidP="00DD2E3B">
            <w:pPr>
              <w:rPr>
                <w:rFonts w:eastAsia="Calibri"/>
                <w:sz w:val="22"/>
                <w:szCs w:val="22"/>
              </w:rPr>
            </w:pPr>
            <w:r w:rsidRPr="00E966E3">
              <w:rPr>
                <w:rFonts w:eastAsia="Calibri"/>
                <w:sz w:val="22"/>
                <w:szCs w:val="22"/>
              </w:rPr>
              <w:t>250</w:t>
            </w:r>
          </w:p>
        </w:tc>
      </w:tr>
      <w:tr w:rsidR="00DD2E3B" w:rsidRPr="00E966E3" w14:paraId="008760F6" w14:textId="77777777" w:rsidTr="0010025C">
        <w:tc>
          <w:tcPr>
            <w:tcW w:w="2394" w:type="dxa"/>
            <w:shd w:val="clear" w:color="auto" w:fill="auto"/>
          </w:tcPr>
          <w:p w14:paraId="4DF306F8" w14:textId="77777777" w:rsidR="00DD2E3B" w:rsidRPr="00E966E3" w:rsidRDefault="00DD2E3B" w:rsidP="00DD2E3B">
            <w:pPr>
              <w:rPr>
                <w:rFonts w:eastAsia="Calibri"/>
                <w:sz w:val="22"/>
                <w:szCs w:val="22"/>
              </w:rPr>
            </w:pPr>
            <w:r w:rsidRPr="00E966E3">
              <w:rPr>
                <w:rFonts w:eastAsia="Calibri"/>
                <w:sz w:val="22"/>
                <w:szCs w:val="22"/>
              </w:rPr>
              <w:t xml:space="preserve">Active Surveillance Enrollment of Influenza </w:t>
            </w:r>
            <w:r w:rsidRPr="00E966E3">
              <w:rPr>
                <w:rFonts w:eastAsia="Calibri"/>
                <w:i/>
                <w:sz w:val="22"/>
                <w:szCs w:val="22"/>
              </w:rPr>
              <w:t>Determined</w:t>
            </w:r>
            <w:r w:rsidRPr="00E966E3">
              <w:rPr>
                <w:rFonts w:eastAsia="Calibri"/>
                <w:sz w:val="22"/>
                <w:szCs w:val="22"/>
              </w:rPr>
              <w:t xml:space="preserve"> Subjects</w:t>
            </w:r>
          </w:p>
        </w:tc>
        <w:tc>
          <w:tcPr>
            <w:tcW w:w="2394" w:type="dxa"/>
            <w:shd w:val="clear" w:color="auto" w:fill="auto"/>
          </w:tcPr>
          <w:p w14:paraId="7F5F27D0" w14:textId="77777777" w:rsidR="00DD2E3B" w:rsidRPr="00E966E3" w:rsidRDefault="00DD2E3B" w:rsidP="00DD2E3B">
            <w:pPr>
              <w:rPr>
                <w:rFonts w:eastAsia="Calibri"/>
                <w:sz w:val="22"/>
                <w:szCs w:val="22"/>
              </w:rPr>
            </w:pPr>
            <w:r w:rsidRPr="00E966E3">
              <w:rPr>
                <w:rFonts w:eastAsia="Calibri"/>
                <w:sz w:val="22"/>
                <w:szCs w:val="22"/>
              </w:rPr>
              <w:t>50</w:t>
            </w:r>
          </w:p>
        </w:tc>
      </w:tr>
      <w:tr w:rsidR="00DD2E3B" w:rsidRPr="00E966E3" w14:paraId="76F81E5B" w14:textId="77777777" w:rsidTr="0010025C">
        <w:tc>
          <w:tcPr>
            <w:tcW w:w="2394" w:type="dxa"/>
            <w:tcBorders>
              <w:bottom w:val="single" w:sz="4" w:space="0" w:color="auto"/>
            </w:tcBorders>
            <w:shd w:val="clear" w:color="auto" w:fill="auto"/>
          </w:tcPr>
          <w:p w14:paraId="649F5D5C" w14:textId="77777777" w:rsidR="00DD2E3B" w:rsidRPr="00E966E3" w:rsidRDefault="00DD2E3B" w:rsidP="00DD2E3B">
            <w:pPr>
              <w:rPr>
                <w:rFonts w:eastAsia="Calibri"/>
                <w:sz w:val="22"/>
                <w:szCs w:val="22"/>
              </w:rPr>
            </w:pPr>
            <w:r w:rsidRPr="00E966E3">
              <w:rPr>
                <w:rFonts w:eastAsia="Calibri"/>
                <w:sz w:val="22"/>
                <w:szCs w:val="22"/>
              </w:rPr>
              <w:t xml:space="preserve">Total Active Enrolled Subjects Per Year (Flu Season)  </w:t>
            </w:r>
          </w:p>
        </w:tc>
        <w:tc>
          <w:tcPr>
            <w:tcW w:w="2394" w:type="dxa"/>
            <w:tcBorders>
              <w:bottom w:val="single" w:sz="4" w:space="0" w:color="auto"/>
            </w:tcBorders>
            <w:shd w:val="clear" w:color="auto" w:fill="auto"/>
          </w:tcPr>
          <w:p w14:paraId="50CD81C4" w14:textId="77777777" w:rsidR="00DD2E3B" w:rsidRPr="00E966E3" w:rsidRDefault="00DD2E3B" w:rsidP="00DD2E3B">
            <w:pPr>
              <w:rPr>
                <w:rFonts w:eastAsia="Calibri"/>
                <w:sz w:val="22"/>
                <w:szCs w:val="22"/>
              </w:rPr>
            </w:pPr>
            <w:r w:rsidRPr="00E966E3">
              <w:rPr>
                <w:rFonts w:eastAsia="Calibri"/>
                <w:sz w:val="22"/>
                <w:szCs w:val="22"/>
              </w:rPr>
              <w:t>300</w:t>
            </w:r>
          </w:p>
        </w:tc>
      </w:tr>
      <w:tr w:rsidR="00DD2E3B" w:rsidRPr="00E966E3" w14:paraId="1768E832" w14:textId="77777777" w:rsidTr="0010025C">
        <w:tc>
          <w:tcPr>
            <w:tcW w:w="2394" w:type="dxa"/>
            <w:tcBorders>
              <w:bottom w:val="single" w:sz="18" w:space="0" w:color="auto"/>
            </w:tcBorders>
            <w:shd w:val="clear" w:color="auto" w:fill="auto"/>
          </w:tcPr>
          <w:p w14:paraId="27B18751" w14:textId="77777777" w:rsidR="00DD2E3B" w:rsidRPr="00E966E3" w:rsidRDefault="00DD2E3B" w:rsidP="00DD2E3B">
            <w:pPr>
              <w:rPr>
                <w:rFonts w:eastAsia="Calibri"/>
                <w:sz w:val="22"/>
                <w:szCs w:val="22"/>
              </w:rPr>
            </w:pPr>
            <w:r w:rsidRPr="00E966E3">
              <w:rPr>
                <w:rFonts w:eastAsia="Calibri"/>
                <w:sz w:val="22"/>
                <w:szCs w:val="22"/>
              </w:rPr>
              <w:t>Passive Surveillance Enrollment of Subjects</w:t>
            </w:r>
          </w:p>
        </w:tc>
        <w:tc>
          <w:tcPr>
            <w:tcW w:w="2394" w:type="dxa"/>
            <w:tcBorders>
              <w:bottom w:val="single" w:sz="18" w:space="0" w:color="auto"/>
            </w:tcBorders>
            <w:shd w:val="clear" w:color="auto" w:fill="auto"/>
          </w:tcPr>
          <w:p w14:paraId="60A0E473" w14:textId="77777777" w:rsidR="00DD2E3B" w:rsidRPr="00E966E3" w:rsidRDefault="00DD2E3B" w:rsidP="00DD2E3B">
            <w:pPr>
              <w:rPr>
                <w:rFonts w:eastAsia="Calibri"/>
                <w:sz w:val="22"/>
                <w:szCs w:val="22"/>
              </w:rPr>
            </w:pPr>
            <w:r w:rsidRPr="00E966E3">
              <w:rPr>
                <w:rFonts w:eastAsia="Calibri"/>
                <w:sz w:val="22"/>
                <w:szCs w:val="22"/>
              </w:rPr>
              <w:t>125</w:t>
            </w:r>
          </w:p>
        </w:tc>
      </w:tr>
      <w:tr w:rsidR="00DD2E3B" w:rsidRPr="00E966E3" w14:paraId="784D47D5" w14:textId="77777777" w:rsidTr="0010025C">
        <w:tc>
          <w:tcPr>
            <w:tcW w:w="2394" w:type="dxa"/>
            <w:tcBorders>
              <w:top w:val="single" w:sz="18" w:space="0" w:color="auto"/>
              <w:left w:val="single" w:sz="18" w:space="0" w:color="auto"/>
              <w:bottom w:val="single" w:sz="18" w:space="0" w:color="auto"/>
            </w:tcBorders>
            <w:shd w:val="clear" w:color="auto" w:fill="auto"/>
          </w:tcPr>
          <w:p w14:paraId="2EA08687" w14:textId="77777777" w:rsidR="00DD2E3B" w:rsidRPr="00E966E3" w:rsidRDefault="00DD2E3B" w:rsidP="00DD2E3B">
            <w:pPr>
              <w:rPr>
                <w:rFonts w:eastAsia="Calibri"/>
                <w:sz w:val="22"/>
                <w:szCs w:val="22"/>
              </w:rPr>
            </w:pPr>
            <w:r w:rsidRPr="00E966E3">
              <w:rPr>
                <w:rFonts w:eastAsia="Calibri"/>
                <w:sz w:val="22"/>
                <w:szCs w:val="22"/>
              </w:rPr>
              <w:t>Total Combined Active and Passive Enrolled Subjects Per Year</w:t>
            </w:r>
          </w:p>
        </w:tc>
        <w:tc>
          <w:tcPr>
            <w:tcW w:w="2394" w:type="dxa"/>
            <w:tcBorders>
              <w:top w:val="single" w:sz="18" w:space="0" w:color="auto"/>
              <w:bottom w:val="single" w:sz="18" w:space="0" w:color="auto"/>
              <w:right w:val="single" w:sz="18" w:space="0" w:color="auto"/>
            </w:tcBorders>
            <w:shd w:val="clear" w:color="auto" w:fill="auto"/>
          </w:tcPr>
          <w:p w14:paraId="5F55C401" w14:textId="77777777" w:rsidR="00DD2E3B" w:rsidRPr="00E966E3" w:rsidRDefault="00DD2E3B" w:rsidP="00DD2E3B">
            <w:pPr>
              <w:rPr>
                <w:rFonts w:eastAsia="Calibri"/>
                <w:sz w:val="22"/>
                <w:szCs w:val="22"/>
              </w:rPr>
            </w:pPr>
            <w:r w:rsidRPr="00E966E3">
              <w:rPr>
                <w:rFonts w:eastAsia="Calibri"/>
                <w:sz w:val="22"/>
                <w:szCs w:val="22"/>
              </w:rPr>
              <w:t>425</w:t>
            </w:r>
          </w:p>
        </w:tc>
      </w:tr>
    </w:tbl>
    <w:p w14:paraId="47C99EAE" w14:textId="77777777" w:rsidR="00957F14" w:rsidRPr="00DD2E3B" w:rsidRDefault="00957F14" w:rsidP="00D70D0F">
      <w:pPr>
        <w:pStyle w:val="P1-StandPara"/>
        <w:tabs>
          <w:tab w:val="left" w:pos="720"/>
          <w:tab w:val="right" w:leader="dot" w:pos="9504"/>
        </w:tabs>
        <w:spacing w:before="120" w:after="120"/>
        <w:ind w:firstLine="0"/>
        <w:rPr>
          <w:color w:val="FF0000"/>
          <w:sz w:val="24"/>
          <w:szCs w:val="24"/>
        </w:rPr>
      </w:pPr>
    </w:p>
    <w:sectPr w:rsidR="00957F14" w:rsidRPr="00DD2E3B">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67845" w14:textId="77777777" w:rsidR="00E966E3" w:rsidRDefault="00E966E3">
      <w:r>
        <w:separator/>
      </w:r>
    </w:p>
  </w:endnote>
  <w:endnote w:type="continuationSeparator" w:id="0">
    <w:p w14:paraId="31077B1C" w14:textId="77777777" w:rsidR="00E966E3" w:rsidRDefault="00E966E3">
      <w:r>
        <w:continuationSeparator/>
      </w:r>
    </w:p>
  </w:endnote>
  <w:endnote w:type="continuationNotice" w:id="1">
    <w:p w14:paraId="33B3C988" w14:textId="77777777" w:rsidR="00E966E3" w:rsidRDefault="00E96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94D0F" w14:textId="77777777" w:rsidR="00A749C6" w:rsidRDefault="00A749C6"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DF5BD" w14:textId="77777777" w:rsidR="00A749C6" w:rsidRDefault="00A749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BF2A2" w14:textId="77777777" w:rsidR="00A749C6" w:rsidRDefault="00A749C6"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6972">
      <w:rPr>
        <w:rStyle w:val="PageNumber"/>
        <w:noProof/>
      </w:rPr>
      <w:t>11</w:t>
    </w:r>
    <w:r>
      <w:rPr>
        <w:rStyle w:val="PageNumber"/>
      </w:rPr>
      <w:fldChar w:fldCharType="end"/>
    </w:r>
  </w:p>
  <w:p w14:paraId="2C0809CB" w14:textId="77777777" w:rsidR="00A749C6" w:rsidRDefault="00A749C6"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3FF6D" w14:textId="77777777" w:rsidR="00E966E3" w:rsidRDefault="00E966E3">
      <w:r>
        <w:separator/>
      </w:r>
    </w:p>
  </w:footnote>
  <w:footnote w:type="continuationSeparator" w:id="0">
    <w:p w14:paraId="0249FB3D" w14:textId="77777777" w:rsidR="00E966E3" w:rsidRDefault="00E966E3">
      <w:r>
        <w:continuationSeparator/>
      </w:r>
    </w:p>
  </w:footnote>
  <w:footnote w:type="continuationNotice" w:id="1">
    <w:p w14:paraId="6C7E2B99" w14:textId="77777777" w:rsidR="00E966E3" w:rsidRDefault="00E966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5264F" w14:textId="77777777" w:rsidR="00E966E3" w:rsidRDefault="00E96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B1A08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602129"/>
    <w:multiLevelType w:val="hybridMultilevel"/>
    <w:tmpl w:val="900C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BA3C30"/>
    <w:multiLevelType w:val="hybridMultilevel"/>
    <w:tmpl w:val="C3648FD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2ED1516F"/>
    <w:multiLevelType w:val="hybridMultilevel"/>
    <w:tmpl w:val="90B289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E9434EC"/>
    <w:multiLevelType w:val="hybridMultilevel"/>
    <w:tmpl w:val="BE229C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25BC5"/>
    <w:rsid w:val="000311E5"/>
    <w:rsid w:val="0005035B"/>
    <w:rsid w:val="00071799"/>
    <w:rsid w:val="000717F5"/>
    <w:rsid w:val="00072E74"/>
    <w:rsid w:val="000859A3"/>
    <w:rsid w:val="0010025C"/>
    <w:rsid w:val="00117EB3"/>
    <w:rsid w:val="00140B2E"/>
    <w:rsid w:val="00161548"/>
    <w:rsid w:val="00183E36"/>
    <w:rsid w:val="00184F9A"/>
    <w:rsid w:val="00187F22"/>
    <w:rsid w:val="00192881"/>
    <w:rsid w:val="00197085"/>
    <w:rsid w:val="001B2FB3"/>
    <w:rsid w:val="001D1C86"/>
    <w:rsid w:val="001E2C04"/>
    <w:rsid w:val="002334E1"/>
    <w:rsid w:val="0024029C"/>
    <w:rsid w:val="00253C78"/>
    <w:rsid w:val="00282C7C"/>
    <w:rsid w:val="00283DEF"/>
    <w:rsid w:val="002878D7"/>
    <w:rsid w:val="00292260"/>
    <w:rsid w:val="002C250C"/>
    <w:rsid w:val="002C617B"/>
    <w:rsid w:val="002D24A9"/>
    <w:rsid w:val="002D2CA0"/>
    <w:rsid w:val="0032339D"/>
    <w:rsid w:val="003416F9"/>
    <w:rsid w:val="00356041"/>
    <w:rsid w:val="0036413D"/>
    <w:rsid w:val="00365532"/>
    <w:rsid w:val="0037556F"/>
    <w:rsid w:val="003823B6"/>
    <w:rsid w:val="00386D13"/>
    <w:rsid w:val="00390DCC"/>
    <w:rsid w:val="003A36C3"/>
    <w:rsid w:val="003B2CEF"/>
    <w:rsid w:val="003C7F21"/>
    <w:rsid w:val="003D0338"/>
    <w:rsid w:val="003D3E66"/>
    <w:rsid w:val="003E5D3E"/>
    <w:rsid w:val="003E6DBD"/>
    <w:rsid w:val="004153A0"/>
    <w:rsid w:val="00425D0A"/>
    <w:rsid w:val="00457465"/>
    <w:rsid w:val="00491677"/>
    <w:rsid w:val="004A0CEF"/>
    <w:rsid w:val="004A70E1"/>
    <w:rsid w:val="004F362B"/>
    <w:rsid w:val="00521295"/>
    <w:rsid w:val="00521681"/>
    <w:rsid w:val="005279DE"/>
    <w:rsid w:val="00534915"/>
    <w:rsid w:val="00537D31"/>
    <w:rsid w:val="00551917"/>
    <w:rsid w:val="005974BD"/>
    <w:rsid w:val="005B4B50"/>
    <w:rsid w:val="005C3DC2"/>
    <w:rsid w:val="005C7622"/>
    <w:rsid w:val="005D3103"/>
    <w:rsid w:val="005E2B62"/>
    <w:rsid w:val="005E2D4E"/>
    <w:rsid w:val="005E3002"/>
    <w:rsid w:val="005E6321"/>
    <w:rsid w:val="006101CA"/>
    <w:rsid w:val="00654981"/>
    <w:rsid w:val="0065651E"/>
    <w:rsid w:val="00660B21"/>
    <w:rsid w:val="0066441F"/>
    <w:rsid w:val="00680E77"/>
    <w:rsid w:val="0069728F"/>
    <w:rsid w:val="006C5A80"/>
    <w:rsid w:val="006E557B"/>
    <w:rsid w:val="00702CBE"/>
    <w:rsid w:val="00706B92"/>
    <w:rsid w:val="00717B7D"/>
    <w:rsid w:val="00741EE3"/>
    <w:rsid w:val="00754DCD"/>
    <w:rsid w:val="00755FEB"/>
    <w:rsid w:val="007614BA"/>
    <w:rsid w:val="00771A2A"/>
    <w:rsid w:val="0077506C"/>
    <w:rsid w:val="007818F1"/>
    <w:rsid w:val="007A43A4"/>
    <w:rsid w:val="007B6E31"/>
    <w:rsid w:val="007C0A89"/>
    <w:rsid w:val="007C16BD"/>
    <w:rsid w:val="00807E31"/>
    <w:rsid w:val="008408EF"/>
    <w:rsid w:val="00843D83"/>
    <w:rsid w:val="00844DD4"/>
    <w:rsid w:val="00850200"/>
    <w:rsid w:val="00854ACB"/>
    <w:rsid w:val="0085671F"/>
    <w:rsid w:val="008B4D2C"/>
    <w:rsid w:val="008C310E"/>
    <w:rsid w:val="008F048F"/>
    <w:rsid w:val="008F3F83"/>
    <w:rsid w:val="00905748"/>
    <w:rsid w:val="0093431F"/>
    <w:rsid w:val="00957F14"/>
    <w:rsid w:val="0096389C"/>
    <w:rsid w:val="009965F7"/>
    <w:rsid w:val="009A45BF"/>
    <w:rsid w:val="009C2A06"/>
    <w:rsid w:val="009D1BAD"/>
    <w:rsid w:val="009D618F"/>
    <w:rsid w:val="00A10AC6"/>
    <w:rsid w:val="00A1679A"/>
    <w:rsid w:val="00A357BC"/>
    <w:rsid w:val="00A374D1"/>
    <w:rsid w:val="00A71760"/>
    <w:rsid w:val="00A74177"/>
    <w:rsid w:val="00A749C6"/>
    <w:rsid w:val="00A757F8"/>
    <w:rsid w:val="00A92AF1"/>
    <w:rsid w:val="00AA0A3B"/>
    <w:rsid w:val="00AE2DDB"/>
    <w:rsid w:val="00AF034C"/>
    <w:rsid w:val="00B03624"/>
    <w:rsid w:val="00B17E05"/>
    <w:rsid w:val="00B238B2"/>
    <w:rsid w:val="00B328B1"/>
    <w:rsid w:val="00B41EC6"/>
    <w:rsid w:val="00B72057"/>
    <w:rsid w:val="00B9249E"/>
    <w:rsid w:val="00B96972"/>
    <w:rsid w:val="00BA5C80"/>
    <w:rsid w:val="00BB4209"/>
    <w:rsid w:val="00BC4E67"/>
    <w:rsid w:val="00BD186A"/>
    <w:rsid w:val="00BD2A32"/>
    <w:rsid w:val="00BD3566"/>
    <w:rsid w:val="00BF6E2C"/>
    <w:rsid w:val="00C37816"/>
    <w:rsid w:val="00C557F1"/>
    <w:rsid w:val="00C6272F"/>
    <w:rsid w:val="00C77297"/>
    <w:rsid w:val="00C82909"/>
    <w:rsid w:val="00C94EE3"/>
    <w:rsid w:val="00C964D1"/>
    <w:rsid w:val="00CA02BF"/>
    <w:rsid w:val="00CA274D"/>
    <w:rsid w:val="00CD679B"/>
    <w:rsid w:val="00CE1D1C"/>
    <w:rsid w:val="00CE24AF"/>
    <w:rsid w:val="00D03837"/>
    <w:rsid w:val="00D0401A"/>
    <w:rsid w:val="00D24CF6"/>
    <w:rsid w:val="00D410C2"/>
    <w:rsid w:val="00D528A8"/>
    <w:rsid w:val="00D53AB4"/>
    <w:rsid w:val="00D6178B"/>
    <w:rsid w:val="00D70D0F"/>
    <w:rsid w:val="00D90D57"/>
    <w:rsid w:val="00D91930"/>
    <w:rsid w:val="00D94559"/>
    <w:rsid w:val="00DB6AF1"/>
    <w:rsid w:val="00DD2E3B"/>
    <w:rsid w:val="00DE0069"/>
    <w:rsid w:val="00DE3D45"/>
    <w:rsid w:val="00E157FA"/>
    <w:rsid w:val="00E26A9F"/>
    <w:rsid w:val="00E26C0C"/>
    <w:rsid w:val="00E3182E"/>
    <w:rsid w:val="00E36A07"/>
    <w:rsid w:val="00E43CF6"/>
    <w:rsid w:val="00E65A61"/>
    <w:rsid w:val="00E966E3"/>
    <w:rsid w:val="00EA6E4F"/>
    <w:rsid w:val="00EC1E62"/>
    <w:rsid w:val="00EC40D6"/>
    <w:rsid w:val="00EE3023"/>
    <w:rsid w:val="00F4506A"/>
    <w:rsid w:val="00F460A8"/>
    <w:rsid w:val="00F57043"/>
    <w:rsid w:val="00F775C6"/>
    <w:rsid w:val="00F82654"/>
    <w:rsid w:val="00FF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28DFC-12F8-48A3-8FE0-35210742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BodyTextIndent">
    <w:name w:val="Body Text Indent"/>
    <w:basedOn w:val="Normal"/>
    <w:link w:val="BodyTextIndentChar"/>
    <w:rsid w:val="009A45BF"/>
    <w:pPr>
      <w:spacing w:after="120"/>
      <w:ind w:left="360"/>
    </w:pPr>
    <w:rPr>
      <w:lang w:val="x-none" w:eastAsia="x-none"/>
    </w:rPr>
  </w:style>
  <w:style w:type="character" w:customStyle="1" w:styleId="BodyTextIndentChar">
    <w:name w:val="Body Text Indent Char"/>
    <w:link w:val="BodyTextIndent"/>
    <w:rsid w:val="009A45BF"/>
    <w:rPr>
      <w:sz w:val="24"/>
      <w:szCs w:val="24"/>
    </w:rPr>
  </w:style>
  <w:style w:type="character" w:styleId="Hyperlink">
    <w:name w:val="Hyperlink"/>
    <w:rsid w:val="00551917"/>
    <w:rPr>
      <w:color w:val="0000FF"/>
      <w:u w:val="single"/>
    </w:rPr>
  </w:style>
  <w:style w:type="character" w:styleId="CommentReference">
    <w:name w:val="annotation reference"/>
    <w:uiPriority w:val="99"/>
    <w:rsid w:val="00D53AB4"/>
    <w:rPr>
      <w:sz w:val="16"/>
      <w:szCs w:val="16"/>
    </w:rPr>
  </w:style>
  <w:style w:type="paragraph" w:styleId="CommentText">
    <w:name w:val="annotation text"/>
    <w:basedOn w:val="Normal"/>
    <w:link w:val="CommentTextChar"/>
    <w:uiPriority w:val="99"/>
    <w:rsid w:val="00D53AB4"/>
    <w:rPr>
      <w:sz w:val="20"/>
      <w:szCs w:val="20"/>
    </w:rPr>
  </w:style>
  <w:style w:type="character" w:customStyle="1" w:styleId="CommentTextChar">
    <w:name w:val="Comment Text Char"/>
    <w:basedOn w:val="DefaultParagraphFont"/>
    <w:link w:val="CommentText"/>
    <w:uiPriority w:val="99"/>
    <w:rsid w:val="00D53AB4"/>
  </w:style>
  <w:style w:type="paragraph" w:styleId="BalloonText">
    <w:name w:val="Balloon Text"/>
    <w:basedOn w:val="Normal"/>
    <w:link w:val="BalloonTextChar"/>
    <w:rsid w:val="00D53AB4"/>
    <w:rPr>
      <w:rFonts w:ascii="Tahoma" w:hAnsi="Tahoma"/>
      <w:sz w:val="16"/>
      <w:szCs w:val="16"/>
      <w:lang w:val="x-none" w:eastAsia="x-none"/>
    </w:rPr>
  </w:style>
  <w:style w:type="character" w:customStyle="1" w:styleId="BalloonTextChar">
    <w:name w:val="Balloon Text Char"/>
    <w:link w:val="BalloonText"/>
    <w:rsid w:val="00D53AB4"/>
    <w:rPr>
      <w:rFonts w:ascii="Tahoma" w:hAnsi="Tahoma" w:cs="Tahoma"/>
      <w:sz w:val="16"/>
      <w:szCs w:val="16"/>
    </w:rPr>
  </w:style>
  <w:style w:type="paragraph" w:styleId="CommentSubject">
    <w:name w:val="annotation subject"/>
    <w:basedOn w:val="CommentText"/>
    <w:next w:val="CommentText"/>
    <w:link w:val="CommentSubjectChar"/>
    <w:rsid w:val="006C5A80"/>
    <w:rPr>
      <w:b/>
      <w:bCs/>
      <w:lang w:val="x-none" w:eastAsia="x-none"/>
    </w:rPr>
  </w:style>
  <w:style w:type="character" w:customStyle="1" w:styleId="CommentSubjectChar">
    <w:name w:val="Comment Subject Char"/>
    <w:link w:val="CommentSubject"/>
    <w:rsid w:val="006C5A80"/>
    <w:rPr>
      <w:b/>
      <w:bCs/>
    </w:rPr>
  </w:style>
  <w:style w:type="paragraph" w:styleId="PlainText">
    <w:name w:val="Plain Text"/>
    <w:basedOn w:val="Normal"/>
    <w:link w:val="PlainTextChar"/>
    <w:uiPriority w:val="99"/>
    <w:unhideWhenUsed/>
    <w:rsid w:val="00C964D1"/>
    <w:rPr>
      <w:rFonts w:ascii="Consolas" w:eastAsia="Calibri" w:hAnsi="Consolas"/>
      <w:sz w:val="21"/>
      <w:szCs w:val="21"/>
      <w:lang w:val="x-none" w:eastAsia="x-none"/>
    </w:rPr>
  </w:style>
  <w:style w:type="character" w:customStyle="1" w:styleId="PlainTextChar">
    <w:name w:val="Plain Text Char"/>
    <w:link w:val="PlainText"/>
    <w:uiPriority w:val="99"/>
    <w:rsid w:val="00C964D1"/>
    <w:rPr>
      <w:rFonts w:ascii="Consolas" w:eastAsia="Calibri" w:hAnsi="Consolas" w:cs="Consolas"/>
      <w:sz w:val="21"/>
      <w:szCs w:val="21"/>
    </w:rPr>
  </w:style>
  <w:style w:type="character" w:customStyle="1" w:styleId="highlight">
    <w:name w:val="highlight"/>
    <w:rsid w:val="00E3182E"/>
  </w:style>
  <w:style w:type="table" w:styleId="TableGrid">
    <w:name w:val="Table Grid"/>
    <w:basedOn w:val="TableNormal"/>
    <w:uiPriority w:val="59"/>
    <w:rsid w:val="00DD2E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2E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D2E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966E3"/>
    <w:pPr>
      <w:tabs>
        <w:tab w:val="center" w:pos="4680"/>
        <w:tab w:val="right" w:pos="9360"/>
      </w:tabs>
    </w:pPr>
  </w:style>
  <w:style w:type="character" w:customStyle="1" w:styleId="HeaderChar">
    <w:name w:val="Header Char"/>
    <w:basedOn w:val="DefaultParagraphFont"/>
    <w:link w:val="Header"/>
    <w:rsid w:val="00E966E3"/>
    <w:rPr>
      <w:sz w:val="24"/>
      <w:szCs w:val="24"/>
    </w:rPr>
  </w:style>
  <w:style w:type="paragraph" w:styleId="Revision">
    <w:name w:val="Revision"/>
    <w:hidden/>
    <w:uiPriority w:val="99"/>
    <w:semiHidden/>
    <w:rsid w:val="00E966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5258">
      <w:bodyDiv w:val="1"/>
      <w:marLeft w:val="0"/>
      <w:marRight w:val="0"/>
      <w:marTop w:val="0"/>
      <w:marBottom w:val="0"/>
      <w:divBdr>
        <w:top w:val="none" w:sz="0" w:space="0" w:color="auto"/>
        <w:left w:val="none" w:sz="0" w:space="0" w:color="auto"/>
        <w:bottom w:val="none" w:sz="0" w:space="0" w:color="auto"/>
        <w:right w:val="none" w:sz="0" w:space="0" w:color="auto"/>
      </w:divBdr>
      <w:divsChild>
        <w:div w:id="60373579">
          <w:marLeft w:val="1440"/>
          <w:marRight w:val="0"/>
          <w:marTop w:val="0"/>
          <w:marBottom w:val="0"/>
          <w:divBdr>
            <w:top w:val="none" w:sz="0" w:space="0" w:color="auto"/>
            <w:left w:val="none" w:sz="0" w:space="0" w:color="auto"/>
            <w:bottom w:val="none" w:sz="0" w:space="0" w:color="auto"/>
            <w:right w:val="none" w:sz="0" w:space="0" w:color="auto"/>
          </w:divBdr>
        </w:div>
        <w:div w:id="95292132">
          <w:marLeft w:val="1440"/>
          <w:marRight w:val="0"/>
          <w:marTop w:val="0"/>
          <w:marBottom w:val="0"/>
          <w:divBdr>
            <w:top w:val="none" w:sz="0" w:space="0" w:color="auto"/>
            <w:left w:val="none" w:sz="0" w:space="0" w:color="auto"/>
            <w:bottom w:val="none" w:sz="0" w:space="0" w:color="auto"/>
            <w:right w:val="none" w:sz="0" w:space="0" w:color="auto"/>
          </w:divBdr>
        </w:div>
        <w:div w:id="110902795">
          <w:marLeft w:val="720"/>
          <w:marRight w:val="0"/>
          <w:marTop w:val="0"/>
          <w:marBottom w:val="0"/>
          <w:divBdr>
            <w:top w:val="none" w:sz="0" w:space="0" w:color="auto"/>
            <w:left w:val="none" w:sz="0" w:space="0" w:color="auto"/>
            <w:bottom w:val="none" w:sz="0" w:space="0" w:color="auto"/>
            <w:right w:val="none" w:sz="0" w:space="0" w:color="auto"/>
          </w:divBdr>
        </w:div>
        <w:div w:id="166135152">
          <w:marLeft w:val="1440"/>
          <w:marRight w:val="0"/>
          <w:marTop w:val="0"/>
          <w:marBottom w:val="0"/>
          <w:divBdr>
            <w:top w:val="none" w:sz="0" w:space="0" w:color="auto"/>
            <w:left w:val="none" w:sz="0" w:space="0" w:color="auto"/>
            <w:bottom w:val="none" w:sz="0" w:space="0" w:color="auto"/>
            <w:right w:val="none" w:sz="0" w:space="0" w:color="auto"/>
          </w:divBdr>
        </w:div>
        <w:div w:id="267474209">
          <w:marLeft w:val="1440"/>
          <w:marRight w:val="0"/>
          <w:marTop w:val="0"/>
          <w:marBottom w:val="0"/>
          <w:divBdr>
            <w:top w:val="none" w:sz="0" w:space="0" w:color="auto"/>
            <w:left w:val="none" w:sz="0" w:space="0" w:color="auto"/>
            <w:bottom w:val="none" w:sz="0" w:space="0" w:color="auto"/>
            <w:right w:val="none" w:sz="0" w:space="0" w:color="auto"/>
          </w:divBdr>
        </w:div>
        <w:div w:id="432554416">
          <w:marLeft w:val="720"/>
          <w:marRight w:val="0"/>
          <w:marTop w:val="0"/>
          <w:marBottom w:val="0"/>
          <w:divBdr>
            <w:top w:val="none" w:sz="0" w:space="0" w:color="auto"/>
            <w:left w:val="none" w:sz="0" w:space="0" w:color="auto"/>
            <w:bottom w:val="none" w:sz="0" w:space="0" w:color="auto"/>
            <w:right w:val="none" w:sz="0" w:space="0" w:color="auto"/>
          </w:divBdr>
        </w:div>
        <w:div w:id="466513791">
          <w:marLeft w:val="1440"/>
          <w:marRight w:val="0"/>
          <w:marTop w:val="0"/>
          <w:marBottom w:val="0"/>
          <w:divBdr>
            <w:top w:val="none" w:sz="0" w:space="0" w:color="auto"/>
            <w:left w:val="none" w:sz="0" w:space="0" w:color="auto"/>
            <w:bottom w:val="none" w:sz="0" w:space="0" w:color="auto"/>
            <w:right w:val="none" w:sz="0" w:space="0" w:color="auto"/>
          </w:divBdr>
        </w:div>
        <w:div w:id="666639486">
          <w:marLeft w:val="0"/>
          <w:marRight w:val="0"/>
          <w:marTop w:val="0"/>
          <w:marBottom w:val="0"/>
          <w:divBdr>
            <w:top w:val="none" w:sz="0" w:space="0" w:color="auto"/>
            <w:left w:val="none" w:sz="0" w:space="0" w:color="auto"/>
            <w:bottom w:val="none" w:sz="0" w:space="0" w:color="auto"/>
            <w:right w:val="none" w:sz="0" w:space="0" w:color="auto"/>
          </w:divBdr>
        </w:div>
        <w:div w:id="733967451">
          <w:marLeft w:val="1440"/>
          <w:marRight w:val="0"/>
          <w:marTop w:val="0"/>
          <w:marBottom w:val="0"/>
          <w:divBdr>
            <w:top w:val="none" w:sz="0" w:space="0" w:color="auto"/>
            <w:left w:val="none" w:sz="0" w:space="0" w:color="auto"/>
            <w:bottom w:val="none" w:sz="0" w:space="0" w:color="auto"/>
            <w:right w:val="none" w:sz="0" w:space="0" w:color="auto"/>
          </w:divBdr>
        </w:div>
        <w:div w:id="967859827">
          <w:marLeft w:val="1440"/>
          <w:marRight w:val="0"/>
          <w:marTop w:val="0"/>
          <w:marBottom w:val="0"/>
          <w:divBdr>
            <w:top w:val="none" w:sz="0" w:space="0" w:color="auto"/>
            <w:left w:val="none" w:sz="0" w:space="0" w:color="auto"/>
            <w:bottom w:val="none" w:sz="0" w:space="0" w:color="auto"/>
            <w:right w:val="none" w:sz="0" w:space="0" w:color="auto"/>
          </w:divBdr>
        </w:div>
        <w:div w:id="1019696779">
          <w:marLeft w:val="1440"/>
          <w:marRight w:val="0"/>
          <w:marTop w:val="0"/>
          <w:marBottom w:val="0"/>
          <w:divBdr>
            <w:top w:val="none" w:sz="0" w:space="0" w:color="auto"/>
            <w:left w:val="none" w:sz="0" w:space="0" w:color="auto"/>
            <w:bottom w:val="none" w:sz="0" w:space="0" w:color="auto"/>
            <w:right w:val="none" w:sz="0" w:space="0" w:color="auto"/>
          </w:divBdr>
        </w:div>
        <w:div w:id="1139153709">
          <w:marLeft w:val="1440"/>
          <w:marRight w:val="0"/>
          <w:marTop w:val="0"/>
          <w:marBottom w:val="0"/>
          <w:divBdr>
            <w:top w:val="none" w:sz="0" w:space="0" w:color="auto"/>
            <w:left w:val="none" w:sz="0" w:space="0" w:color="auto"/>
            <w:bottom w:val="none" w:sz="0" w:space="0" w:color="auto"/>
            <w:right w:val="none" w:sz="0" w:space="0" w:color="auto"/>
          </w:divBdr>
        </w:div>
        <w:div w:id="1466894677">
          <w:marLeft w:val="1440"/>
          <w:marRight w:val="0"/>
          <w:marTop w:val="0"/>
          <w:marBottom w:val="0"/>
          <w:divBdr>
            <w:top w:val="none" w:sz="0" w:space="0" w:color="auto"/>
            <w:left w:val="none" w:sz="0" w:space="0" w:color="auto"/>
            <w:bottom w:val="none" w:sz="0" w:space="0" w:color="auto"/>
            <w:right w:val="none" w:sz="0" w:space="0" w:color="auto"/>
          </w:divBdr>
        </w:div>
        <w:div w:id="1605379289">
          <w:marLeft w:val="1440"/>
          <w:marRight w:val="0"/>
          <w:marTop w:val="0"/>
          <w:marBottom w:val="0"/>
          <w:divBdr>
            <w:top w:val="none" w:sz="0" w:space="0" w:color="auto"/>
            <w:left w:val="none" w:sz="0" w:space="0" w:color="auto"/>
            <w:bottom w:val="none" w:sz="0" w:space="0" w:color="auto"/>
            <w:right w:val="none" w:sz="0" w:space="0" w:color="auto"/>
          </w:divBdr>
        </w:div>
        <w:div w:id="1631130078">
          <w:marLeft w:val="1440"/>
          <w:marRight w:val="0"/>
          <w:marTop w:val="0"/>
          <w:marBottom w:val="0"/>
          <w:divBdr>
            <w:top w:val="none" w:sz="0" w:space="0" w:color="auto"/>
            <w:left w:val="none" w:sz="0" w:space="0" w:color="auto"/>
            <w:bottom w:val="none" w:sz="0" w:space="0" w:color="auto"/>
            <w:right w:val="none" w:sz="0" w:space="0" w:color="auto"/>
          </w:divBdr>
        </w:div>
        <w:div w:id="1681857280">
          <w:marLeft w:val="1440"/>
          <w:marRight w:val="0"/>
          <w:marTop w:val="0"/>
          <w:marBottom w:val="0"/>
          <w:divBdr>
            <w:top w:val="none" w:sz="0" w:space="0" w:color="auto"/>
            <w:left w:val="none" w:sz="0" w:space="0" w:color="auto"/>
            <w:bottom w:val="none" w:sz="0" w:space="0" w:color="auto"/>
            <w:right w:val="none" w:sz="0" w:space="0" w:color="auto"/>
          </w:divBdr>
        </w:div>
        <w:div w:id="1770152369">
          <w:marLeft w:val="1440"/>
          <w:marRight w:val="0"/>
          <w:marTop w:val="0"/>
          <w:marBottom w:val="0"/>
          <w:divBdr>
            <w:top w:val="none" w:sz="0" w:space="0" w:color="auto"/>
            <w:left w:val="none" w:sz="0" w:space="0" w:color="auto"/>
            <w:bottom w:val="none" w:sz="0" w:space="0" w:color="auto"/>
            <w:right w:val="none" w:sz="0" w:space="0" w:color="auto"/>
          </w:divBdr>
        </w:div>
        <w:div w:id="1814249831">
          <w:marLeft w:val="1440"/>
          <w:marRight w:val="0"/>
          <w:marTop w:val="0"/>
          <w:marBottom w:val="0"/>
          <w:divBdr>
            <w:top w:val="none" w:sz="0" w:space="0" w:color="auto"/>
            <w:left w:val="none" w:sz="0" w:space="0" w:color="auto"/>
            <w:bottom w:val="none" w:sz="0" w:space="0" w:color="auto"/>
            <w:right w:val="none" w:sz="0" w:space="0" w:color="auto"/>
          </w:divBdr>
        </w:div>
        <w:div w:id="1865286939">
          <w:marLeft w:val="1440"/>
          <w:marRight w:val="0"/>
          <w:marTop w:val="0"/>
          <w:marBottom w:val="0"/>
          <w:divBdr>
            <w:top w:val="none" w:sz="0" w:space="0" w:color="auto"/>
            <w:left w:val="none" w:sz="0" w:space="0" w:color="auto"/>
            <w:bottom w:val="none" w:sz="0" w:space="0" w:color="auto"/>
            <w:right w:val="none" w:sz="0" w:space="0" w:color="auto"/>
          </w:divBdr>
        </w:div>
        <w:div w:id="1895119035">
          <w:marLeft w:val="1440"/>
          <w:marRight w:val="0"/>
          <w:marTop w:val="0"/>
          <w:marBottom w:val="0"/>
          <w:divBdr>
            <w:top w:val="none" w:sz="0" w:space="0" w:color="auto"/>
            <w:left w:val="none" w:sz="0" w:space="0" w:color="auto"/>
            <w:bottom w:val="none" w:sz="0" w:space="0" w:color="auto"/>
            <w:right w:val="none" w:sz="0" w:space="0" w:color="auto"/>
          </w:divBdr>
        </w:div>
        <w:div w:id="1917208244">
          <w:marLeft w:val="1440"/>
          <w:marRight w:val="0"/>
          <w:marTop w:val="0"/>
          <w:marBottom w:val="0"/>
          <w:divBdr>
            <w:top w:val="none" w:sz="0" w:space="0" w:color="auto"/>
            <w:left w:val="none" w:sz="0" w:space="0" w:color="auto"/>
            <w:bottom w:val="none" w:sz="0" w:space="0" w:color="auto"/>
            <w:right w:val="none" w:sz="0" w:space="0" w:color="auto"/>
          </w:divBdr>
        </w:div>
      </w:divsChild>
    </w:div>
    <w:div w:id="380174685">
      <w:bodyDiv w:val="1"/>
      <w:marLeft w:val="0"/>
      <w:marRight w:val="0"/>
      <w:marTop w:val="0"/>
      <w:marBottom w:val="0"/>
      <w:divBdr>
        <w:top w:val="none" w:sz="0" w:space="0" w:color="auto"/>
        <w:left w:val="none" w:sz="0" w:space="0" w:color="auto"/>
        <w:bottom w:val="none" w:sz="0" w:space="0" w:color="auto"/>
        <w:right w:val="none" w:sz="0" w:space="0" w:color="auto"/>
      </w:divBdr>
    </w:div>
    <w:div w:id="472017678">
      <w:bodyDiv w:val="1"/>
      <w:marLeft w:val="0"/>
      <w:marRight w:val="0"/>
      <w:marTop w:val="0"/>
      <w:marBottom w:val="0"/>
      <w:divBdr>
        <w:top w:val="none" w:sz="0" w:space="0" w:color="auto"/>
        <w:left w:val="none" w:sz="0" w:space="0" w:color="auto"/>
        <w:bottom w:val="none" w:sz="0" w:space="0" w:color="auto"/>
        <w:right w:val="none" w:sz="0" w:space="0" w:color="auto"/>
      </w:divBdr>
    </w:div>
    <w:div w:id="671571056">
      <w:bodyDiv w:val="1"/>
      <w:marLeft w:val="0"/>
      <w:marRight w:val="0"/>
      <w:marTop w:val="0"/>
      <w:marBottom w:val="0"/>
      <w:divBdr>
        <w:top w:val="none" w:sz="0" w:space="0" w:color="auto"/>
        <w:left w:val="none" w:sz="0" w:space="0" w:color="auto"/>
        <w:bottom w:val="none" w:sz="0" w:space="0" w:color="auto"/>
        <w:right w:val="none" w:sz="0" w:space="0" w:color="auto"/>
      </w:divBdr>
      <w:divsChild>
        <w:div w:id="767385724">
          <w:marLeft w:val="0"/>
          <w:marRight w:val="0"/>
          <w:marTop w:val="0"/>
          <w:marBottom w:val="0"/>
          <w:divBdr>
            <w:top w:val="none" w:sz="0" w:space="0" w:color="auto"/>
            <w:left w:val="none" w:sz="0" w:space="0" w:color="auto"/>
            <w:bottom w:val="none" w:sz="0" w:space="0" w:color="auto"/>
            <w:right w:val="none" w:sz="0" w:space="0" w:color="auto"/>
          </w:divBdr>
        </w:div>
        <w:div w:id="852914709">
          <w:marLeft w:val="0"/>
          <w:marRight w:val="0"/>
          <w:marTop w:val="0"/>
          <w:marBottom w:val="0"/>
          <w:divBdr>
            <w:top w:val="none" w:sz="0" w:space="0" w:color="auto"/>
            <w:left w:val="none" w:sz="0" w:space="0" w:color="auto"/>
            <w:bottom w:val="none" w:sz="0" w:space="0" w:color="auto"/>
            <w:right w:val="none" w:sz="0" w:space="0" w:color="auto"/>
          </w:divBdr>
        </w:div>
      </w:divsChild>
    </w:div>
    <w:div w:id="777257759">
      <w:bodyDiv w:val="1"/>
      <w:marLeft w:val="0"/>
      <w:marRight w:val="0"/>
      <w:marTop w:val="0"/>
      <w:marBottom w:val="0"/>
      <w:divBdr>
        <w:top w:val="none" w:sz="0" w:space="0" w:color="auto"/>
        <w:left w:val="none" w:sz="0" w:space="0" w:color="auto"/>
        <w:bottom w:val="none" w:sz="0" w:space="0" w:color="auto"/>
        <w:right w:val="none" w:sz="0" w:space="0" w:color="auto"/>
      </w:divBdr>
      <w:divsChild>
        <w:div w:id="782531627">
          <w:marLeft w:val="0"/>
          <w:marRight w:val="0"/>
          <w:marTop w:val="0"/>
          <w:marBottom w:val="0"/>
          <w:divBdr>
            <w:top w:val="none" w:sz="0" w:space="0" w:color="auto"/>
            <w:left w:val="none" w:sz="0" w:space="0" w:color="auto"/>
            <w:bottom w:val="none" w:sz="0" w:space="0" w:color="auto"/>
            <w:right w:val="none" w:sz="0" w:space="0" w:color="auto"/>
          </w:divBdr>
        </w:div>
        <w:div w:id="942492959">
          <w:marLeft w:val="0"/>
          <w:marRight w:val="0"/>
          <w:marTop w:val="0"/>
          <w:marBottom w:val="0"/>
          <w:divBdr>
            <w:top w:val="none" w:sz="0" w:space="0" w:color="auto"/>
            <w:left w:val="none" w:sz="0" w:space="0" w:color="auto"/>
            <w:bottom w:val="none" w:sz="0" w:space="0" w:color="auto"/>
            <w:right w:val="none" w:sz="0" w:space="0" w:color="auto"/>
          </w:divBdr>
        </w:div>
        <w:div w:id="1073964886">
          <w:marLeft w:val="0"/>
          <w:marRight w:val="0"/>
          <w:marTop w:val="0"/>
          <w:marBottom w:val="0"/>
          <w:divBdr>
            <w:top w:val="none" w:sz="0" w:space="0" w:color="auto"/>
            <w:left w:val="none" w:sz="0" w:space="0" w:color="auto"/>
            <w:bottom w:val="none" w:sz="0" w:space="0" w:color="auto"/>
            <w:right w:val="none" w:sz="0" w:space="0" w:color="auto"/>
          </w:divBdr>
        </w:div>
        <w:div w:id="1183201112">
          <w:marLeft w:val="0"/>
          <w:marRight w:val="0"/>
          <w:marTop w:val="0"/>
          <w:marBottom w:val="0"/>
          <w:divBdr>
            <w:top w:val="none" w:sz="0" w:space="0" w:color="auto"/>
            <w:left w:val="none" w:sz="0" w:space="0" w:color="auto"/>
            <w:bottom w:val="none" w:sz="0" w:space="0" w:color="auto"/>
            <w:right w:val="none" w:sz="0" w:space="0" w:color="auto"/>
          </w:divBdr>
        </w:div>
        <w:div w:id="1966037079">
          <w:marLeft w:val="0"/>
          <w:marRight w:val="0"/>
          <w:marTop w:val="0"/>
          <w:marBottom w:val="0"/>
          <w:divBdr>
            <w:top w:val="none" w:sz="0" w:space="0" w:color="auto"/>
            <w:left w:val="none" w:sz="0" w:space="0" w:color="auto"/>
            <w:bottom w:val="none" w:sz="0" w:space="0" w:color="auto"/>
            <w:right w:val="none" w:sz="0" w:space="0" w:color="auto"/>
          </w:divBdr>
        </w:div>
      </w:divsChild>
    </w:div>
    <w:div w:id="952983887">
      <w:bodyDiv w:val="1"/>
      <w:marLeft w:val="0"/>
      <w:marRight w:val="0"/>
      <w:marTop w:val="0"/>
      <w:marBottom w:val="0"/>
      <w:divBdr>
        <w:top w:val="none" w:sz="0" w:space="0" w:color="auto"/>
        <w:left w:val="none" w:sz="0" w:space="0" w:color="auto"/>
        <w:bottom w:val="none" w:sz="0" w:space="0" w:color="auto"/>
        <w:right w:val="none" w:sz="0" w:space="0" w:color="auto"/>
      </w:divBdr>
      <w:divsChild>
        <w:div w:id="490872632">
          <w:marLeft w:val="720"/>
          <w:marRight w:val="0"/>
          <w:marTop w:val="0"/>
          <w:marBottom w:val="0"/>
          <w:divBdr>
            <w:top w:val="none" w:sz="0" w:space="0" w:color="auto"/>
            <w:left w:val="none" w:sz="0" w:space="0" w:color="auto"/>
            <w:bottom w:val="none" w:sz="0" w:space="0" w:color="auto"/>
            <w:right w:val="none" w:sz="0" w:space="0" w:color="auto"/>
          </w:divBdr>
        </w:div>
        <w:div w:id="678969840">
          <w:marLeft w:val="720"/>
          <w:marRight w:val="0"/>
          <w:marTop w:val="0"/>
          <w:marBottom w:val="0"/>
          <w:divBdr>
            <w:top w:val="none" w:sz="0" w:space="0" w:color="auto"/>
            <w:left w:val="none" w:sz="0" w:space="0" w:color="auto"/>
            <w:bottom w:val="none" w:sz="0" w:space="0" w:color="auto"/>
            <w:right w:val="none" w:sz="0" w:space="0" w:color="auto"/>
          </w:divBdr>
        </w:div>
        <w:div w:id="764149768">
          <w:marLeft w:val="720"/>
          <w:marRight w:val="0"/>
          <w:marTop w:val="0"/>
          <w:marBottom w:val="0"/>
          <w:divBdr>
            <w:top w:val="none" w:sz="0" w:space="0" w:color="auto"/>
            <w:left w:val="none" w:sz="0" w:space="0" w:color="auto"/>
            <w:bottom w:val="none" w:sz="0" w:space="0" w:color="auto"/>
            <w:right w:val="none" w:sz="0" w:space="0" w:color="auto"/>
          </w:divBdr>
        </w:div>
        <w:div w:id="1116296391">
          <w:marLeft w:val="0"/>
          <w:marRight w:val="0"/>
          <w:marTop w:val="0"/>
          <w:marBottom w:val="0"/>
          <w:divBdr>
            <w:top w:val="none" w:sz="0" w:space="0" w:color="auto"/>
            <w:left w:val="none" w:sz="0" w:space="0" w:color="auto"/>
            <w:bottom w:val="none" w:sz="0" w:space="0" w:color="auto"/>
            <w:right w:val="none" w:sz="0" w:space="0" w:color="auto"/>
          </w:divBdr>
        </w:div>
        <w:div w:id="2015257554">
          <w:marLeft w:val="720"/>
          <w:marRight w:val="0"/>
          <w:marTop w:val="0"/>
          <w:marBottom w:val="0"/>
          <w:divBdr>
            <w:top w:val="none" w:sz="0" w:space="0" w:color="auto"/>
            <w:left w:val="none" w:sz="0" w:space="0" w:color="auto"/>
            <w:bottom w:val="none" w:sz="0" w:space="0" w:color="auto"/>
            <w:right w:val="none" w:sz="0" w:space="0" w:color="auto"/>
          </w:divBdr>
        </w:div>
      </w:divsChild>
    </w:div>
    <w:div w:id="1291400384">
      <w:bodyDiv w:val="1"/>
      <w:marLeft w:val="0"/>
      <w:marRight w:val="0"/>
      <w:marTop w:val="0"/>
      <w:marBottom w:val="0"/>
      <w:divBdr>
        <w:top w:val="none" w:sz="0" w:space="0" w:color="auto"/>
        <w:left w:val="none" w:sz="0" w:space="0" w:color="auto"/>
        <w:bottom w:val="none" w:sz="0" w:space="0" w:color="auto"/>
        <w:right w:val="none" w:sz="0" w:space="0" w:color="auto"/>
      </w:divBdr>
      <w:divsChild>
        <w:div w:id="41907908">
          <w:marLeft w:val="0"/>
          <w:marRight w:val="0"/>
          <w:marTop w:val="0"/>
          <w:marBottom w:val="0"/>
          <w:divBdr>
            <w:top w:val="none" w:sz="0" w:space="0" w:color="auto"/>
            <w:left w:val="none" w:sz="0" w:space="0" w:color="auto"/>
            <w:bottom w:val="none" w:sz="0" w:space="0" w:color="auto"/>
            <w:right w:val="none" w:sz="0" w:space="0" w:color="auto"/>
          </w:divBdr>
        </w:div>
        <w:div w:id="289476013">
          <w:marLeft w:val="0"/>
          <w:marRight w:val="0"/>
          <w:marTop w:val="0"/>
          <w:marBottom w:val="0"/>
          <w:divBdr>
            <w:top w:val="none" w:sz="0" w:space="0" w:color="auto"/>
            <w:left w:val="none" w:sz="0" w:space="0" w:color="auto"/>
            <w:bottom w:val="none" w:sz="0" w:space="0" w:color="auto"/>
            <w:right w:val="none" w:sz="0" w:space="0" w:color="auto"/>
          </w:divBdr>
        </w:div>
        <w:div w:id="396633121">
          <w:marLeft w:val="720"/>
          <w:marRight w:val="0"/>
          <w:marTop w:val="0"/>
          <w:marBottom w:val="0"/>
          <w:divBdr>
            <w:top w:val="none" w:sz="0" w:space="0" w:color="auto"/>
            <w:left w:val="none" w:sz="0" w:space="0" w:color="auto"/>
            <w:bottom w:val="none" w:sz="0" w:space="0" w:color="auto"/>
            <w:right w:val="none" w:sz="0" w:space="0" w:color="auto"/>
          </w:divBdr>
        </w:div>
        <w:div w:id="436490925">
          <w:marLeft w:val="720"/>
          <w:marRight w:val="0"/>
          <w:marTop w:val="0"/>
          <w:marBottom w:val="0"/>
          <w:divBdr>
            <w:top w:val="none" w:sz="0" w:space="0" w:color="auto"/>
            <w:left w:val="none" w:sz="0" w:space="0" w:color="auto"/>
            <w:bottom w:val="none" w:sz="0" w:space="0" w:color="auto"/>
            <w:right w:val="none" w:sz="0" w:space="0" w:color="auto"/>
          </w:divBdr>
        </w:div>
        <w:div w:id="732200899">
          <w:marLeft w:val="0"/>
          <w:marRight w:val="0"/>
          <w:marTop w:val="0"/>
          <w:marBottom w:val="0"/>
          <w:divBdr>
            <w:top w:val="none" w:sz="0" w:space="0" w:color="auto"/>
            <w:left w:val="none" w:sz="0" w:space="0" w:color="auto"/>
            <w:bottom w:val="none" w:sz="0" w:space="0" w:color="auto"/>
            <w:right w:val="none" w:sz="0" w:space="0" w:color="auto"/>
          </w:divBdr>
        </w:div>
        <w:div w:id="769159513">
          <w:marLeft w:val="0"/>
          <w:marRight w:val="0"/>
          <w:marTop w:val="0"/>
          <w:marBottom w:val="0"/>
          <w:divBdr>
            <w:top w:val="none" w:sz="0" w:space="0" w:color="auto"/>
            <w:left w:val="none" w:sz="0" w:space="0" w:color="auto"/>
            <w:bottom w:val="none" w:sz="0" w:space="0" w:color="auto"/>
            <w:right w:val="none" w:sz="0" w:space="0" w:color="auto"/>
          </w:divBdr>
        </w:div>
        <w:div w:id="827523167">
          <w:marLeft w:val="0"/>
          <w:marRight w:val="0"/>
          <w:marTop w:val="0"/>
          <w:marBottom w:val="0"/>
          <w:divBdr>
            <w:top w:val="none" w:sz="0" w:space="0" w:color="auto"/>
            <w:left w:val="none" w:sz="0" w:space="0" w:color="auto"/>
            <w:bottom w:val="none" w:sz="0" w:space="0" w:color="auto"/>
            <w:right w:val="none" w:sz="0" w:space="0" w:color="auto"/>
          </w:divBdr>
        </w:div>
        <w:div w:id="902259094">
          <w:marLeft w:val="720"/>
          <w:marRight w:val="0"/>
          <w:marTop w:val="0"/>
          <w:marBottom w:val="0"/>
          <w:divBdr>
            <w:top w:val="none" w:sz="0" w:space="0" w:color="auto"/>
            <w:left w:val="none" w:sz="0" w:space="0" w:color="auto"/>
            <w:bottom w:val="none" w:sz="0" w:space="0" w:color="auto"/>
            <w:right w:val="none" w:sz="0" w:space="0" w:color="auto"/>
          </w:divBdr>
        </w:div>
        <w:div w:id="1516533149">
          <w:marLeft w:val="0"/>
          <w:marRight w:val="0"/>
          <w:marTop w:val="0"/>
          <w:marBottom w:val="0"/>
          <w:divBdr>
            <w:top w:val="none" w:sz="0" w:space="0" w:color="auto"/>
            <w:left w:val="none" w:sz="0" w:space="0" w:color="auto"/>
            <w:bottom w:val="none" w:sz="0" w:space="0" w:color="auto"/>
            <w:right w:val="none" w:sz="0" w:space="0" w:color="auto"/>
          </w:divBdr>
        </w:div>
        <w:div w:id="1580363838">
          <w:marLeft w:val="0"/>
          <w:marRight w:val="0"/>
          <w:marTop w:val="0"/>
          <w:marBottom w:val="0"/>
          <w:divBdr>
            <w:top w:val="none" w:sz="0" w:space="0" w:color="auto"/>
            <w:left w:val="none" w:sz="0" w:space="0" w:color="auto"/>
            <w:bottom w:val="none" w:sz="0" w:space="0" w:color="auto"/>
            <w:right w:val="none" w:sz="0" w:space="0" w:color="auto"/>
          </w:divBdr>
        </w:div>
        <w:div w:id="1673221663">
          <w:marLeft w:val="0"/>
          <w:marRight w:val="0"/>
          <w:marTop w:val="0"/>
          <w:marBottom w:val="0"/>
          <w:divBdr>
            <w:top w:val="none" w:sz="0" w:space="0" w:color="auto"/>
            <w:left w:val="none" w:sz="0" w:space="0" w:color="auto"/>
            <w:bottom w:val="none" w:sz="0" w:space="0" w:color="auto"/>
            <w:right w:val="none" w:sz="0" w:space="0" w:color="auto"/>
          </w:divBdr>
        </w:div>
        <w:div w:id="1673294667">
          <w:marLeft w:val="720"/>
          <w:marRight w:val="0"/>
          <w:marTop w:val="0"/>
          <w:marBottom w:val="0"/>
          <w:divBdr>
            <w:top w:val="none" w:sz="0" w:space="0" w:color="auto"/>
            <w:left w:val="none" w:sz="0" w:space="0" w:color="auto"/>
            <w:bottom w:val="none" w:sz="0" w:space="0" w:color="auto"/>
            <w:right w:val="none" w:sz="0" w:space="0" w:color="auto"/>
          </w:divBdr>
        </w:div>
      </w:divsChild>
    </w:div>
    <w:div w:id="1894582192">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 w:id="197613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ugas1@jhmi.edu" TargetMode="External"/><Relationship Id="rId13" Type="http://schemas.openxmlformats.org/officeDocument/2006/relationships/hyperlink" Target="tel:%28443%29287-87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28410%29502-93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ekosz1@jhu.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faculty.jhsph.edu/default.cfm?faculty_id=103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lein2@jhu.edu" TargetMode="External"/><Relationship Id="rId14" Type="http://schemas.openxmlformats.org/officeDocument/2006/relationships/hyperlink" Target="tel:%28410%29955-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AC79-D703-495F-A333-0FC00BC6A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2674</Words>
  <Characters>15797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'B' Preparation - 03/21/2011</vt:lpstr>
    </vt:vector>
  </TitlesOfParts>
  <Company>Johns Hopkins</Company>
  <LinksUpToDate>false</LinksUpToDate>
  <CharactersWithSpaces>18435</CharactersWithSpaces>
  <SharedDoc>false</SharedDoc>
  <HLinks>
    <vt:vector size="42" baseType="variant">
      <vt:variant>
        <vt:i4>5701633</vt:i4>
      </vt:variant>
      <vt:variant>
        <vt:i4>18</vt:i4>
      </vt:variant>
      <vt:variant>
        <vt:i4>0</vt:i4>
      </vt:variant>
      <vt:variant>
        <vt:i4>5</vt:i4>
      </vt:variant>
      <vt:variant>
        <vt:lpwstr>tel:%28410%29955-0105</vt:lpwstr>
      </vt:variant>
      <vt:variant>
        <vt:lpwstr/>
      </vt:variant>
      <vt:variant>
        <vt:i4>5242895</vt:i4>
      </vt:variant>
      <vt:variant>
        <vt:i4>15</vt:i4>
      </vt:variant>
      <vt:variant>
        <vt:i4>0</vt:i4>
      </vt:variant>
      <vt:variant>
        <vt:i4>5</vt:i4>
      </vt:variant>
      <vt:variant>
        <vt:lpwstr>tel:%28443%29287-8750</vt:lpwstr>
      </vt:variant>
      <vt:variant>
        <vt:lpwstr/>
      </vt:variant>
      <vt:variant>
        <vt:i4>5570566</vt:i4>
      </vt:variant>
      <vt:variant>
        <vt:i4>12</vt:i4>
      </vt:variant>
      <vt:variant>
        <vt:i4>0</vt:i4>
      </vt:variant>
      <vt:variant>
        <vt:i4>5</vt:i4>
      </vt:variant>
      <vt:variant>
        <vt:lpwstr>tel:%28410%29502-9306</vt:lpwstr>
      </vt:variant>
      <vt:variant>
        <vt:lpwstr/>
      </vt:variant>
      <vt:variant>
        <vt:i4>1114217</vt:i4>
      </vt:variant>
      <vt:variant>
        <vt:i4>9</vt:i4>
      </vt:variant>
      <vt:variant>
        <vt:i4>0</vt:i4>
      </vt:variant>
      <vt:variant>
        <vt:i4>5</vt:i4>
      </vt:variant>
      <vt:variant>
        <vt:lpwstr>mailto:apekosz1@jhu.edu</vt:lpwstr>
      </vt:variant>
      <vt:variant>
        <vt:lpwstr/>
      </vt:variant>
      <vt:variant>
        <vt:i4>1769596</vt:i4>
      </vt:variant>
      <vt:variant>
        <vt:i4>6</vt:i4>
      </vt:variant>
      <vt:variant>
        <vt:i4>0</vt:i4>
      </vt:variant>
      <vt:variant>
        <vt:i4>5</vt:i4>
      </vt:variant>
      <vt:variant>
        <vt:lpwstr>http://faculty.jhsph.edu/default.cfm?faculty_id=1038</vt:lpwstr>
      </vt:variant>
      <vt:variant>
        <vt:lpwstr/>
      </vt:variant>
      <vt:variant>
        <vt:i4>2687048</vt:i4>
      </vt:variant>
      <vt:variant>
        <vt:i4>3</vt:i4>
      </vt:variant>
      <vt:variant>
        <vt:i4>0</vt:i4>
      </vt:variant>
      <vt:variant>
        <vt:i4>5</vt:i4>
      </vt:variant>
      <vt:variant>
        <vt:lpwstr>mailto:sklein2@jhu.edu</vt:lpwstr>
      </vt:variant>
      <vt:variant>
        <vt:lpwstr/>
      </vt:variant>
      <vt:variant>
        <vt:i4>7012382</vt:i4>
      </vt:variant>
      <vt:variant>
        <vt:i4>0</vt:i4>
      </vt:variant>
      <vt:variant>
        <vt:i4>0</vt:i4>
      </vt:variant>
      <vt:variant>
        <vt:i4>5</vt:i4>
      </vt:variant>
      <vt:variant>
        <vt:lpwstr>mailto:adugas1@jhmi.edu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- 03/21/2011</dc:title>
  <dc:subject>Supporting Statement 'B' Preparation - 03/21/2011</dc:subject>
  <dc:creator>OD/USER</dc:creator>
  <cp:keywords>Supporting Statement 'B' Preparation - 03/21/2011</cp:keywords>
  <cp:lastModifiedBy>Editor</cp:lastModifiedBy>
  <cp:revision>3</cp:revision>
  <dcterms:created xsi:type="dcterms:W3CDTF">2015-04-21T15:36:00Z</dcterms:created>
  <dcterms:modified xsi:type="dcterms:W3CDTF">2015-04-21T15:36:00Z</dcterms:modified>
</cp:coreProperties>
</file>