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34" w:rsidRDefault="00E03B34"/>
    <w:p w:rsidR="00FA1CEC" w:rsidRDefault="00FA1CEC"/>
    <w:p w:rsidR="00FA1CEC" w:rsidRDefault="00FA1CEC"/>
    <w:p w:rsidR="008472F9" w:rsidRPr="00F814D8" w:rsidRDefault="005E1433" w:rsidP="00FA1CEC">
      <w:pPr>
        <w:jc w:val="center"/>
        <w:rPr>
          <w:rFonts w:ascii="Times New Roman" w:hAnsi="Times New Roman" w:cs="Times New Roman"/>
        </w:rPr>
      </w:pPr>
      <w:r w:rsidRPr="005E1433">
        <w:rPr>
          <w:rFonts w:ascii="Times New Roman" w:hAnsi="Times New Roman" w:cs="Times New Roman"/>
        </w:rPr>
        <w:t>Supporting Statement A</w:t>
      </w:r>
    </w:p>
    <w:p w:rsidR="00FA1CEC" w:rsidRDefault="00FA1CEC" w:rsidP="00FA1CEC">
      <w:pPr>
        <w:jc w:val="center"/>
        <w:rPr>
          <w:rFonts w:ascii="Times New Roman" w:hAnsi="Times New Roman" w:cs="Times New Roman"/>
        </w:rPr>
      </w:pPr>
      <w:r w:rsidRPr="00F814D8">
        <w:rPr>
          <w:rFonts w:ascii="Times New Roman" w:hAnsi="Times New Roman" w:cs="Times New Roman"/>
        </w:rPr>
        <w:t>Evaluation of the NHLBI Proteomics Centers Program</w:t>
      </w:r>
      <w:r w:rsidR="00700334">
        <w:rPr>
          <w:rFonts w:ascii="Times New Roman" w:hAnsi="Times New Roman" w:cs="Times New Roman"/>
        </w:rPr>
        <w:t xml:space="preserve">: </w:t>
      </w:r>
      <w:r w:rsidR="00732946">
        <w:rPr>
          <w:rFonts w:ascii="Times New Roman" w:hAnsi="Times New Roman" w:cs="Times New Roman"/>
        </w:rPr>
        <w:t>Qualitative</w:t>
      </w:r>
      <w:r w:rsidR="00700334">
        <w:rPr>
          <w:rFonts w:ascii="Times New Roman" w:hAnsi="Times New Roman" w:cs="Times New Roman"/>
        </w:rPr>
        <w:t xml:space="preserve"> Interviews</w:t>
      </w:r>
    </w:p>
    <w:p w:rsidR="008472F9" w:rsidRPr="00F814D8" w:rsidRDefault="008472F9" w:rsidP="00FA1CEC">
      <w:pPr>
        <w:jc w:val="center"/>
        <w:rPr>
          <w:rFonts w:ascii="Times New Roman" w:hAnsi="Times New Roman" w:cs="Times New Roman"/>
        </w:rPr>
      </w:pPr>
      <w:r>
        <w:rPr>
          <w:rFonts w:ascii="Times New Roman" w:hAnsi="Times New Roman" w:cs="Times New Roman"/>
        </w:rPr>
        <w:t xml:space="preserve">Date: </w:t>
      </w:r>
      <w:r w:rsidR="00167782">
        <w:rPr>
          <w:rFonts w:ascii="Times New Roman" w:hAnsi="Times New Roman" w:cs="Times New Roman"/>
        </w:rPr>
        <w:t>March 25</w:t>
      </w:r>
      <w:r>
        <w:rPr>
          <w:rFonts w:ascii="Times New Roman" w:hAnsi="Times New Roman" w:cs="Times New Roman"/>
        </w:rPr>
        <w:t>, 2015</w:t>
      </w:r>
    </w:p>
    <w:p w:rsidR="00FA1CEC" w:rsidRPr="00F814D8" w:rsidRDefault="00FA1CEC" w:rsidP="008472F9">
      <w:pPr>
        <w:jc w:val="center"/>
        <w:rPr>
          <w:rFonts w:ascii="Times New Roman" w:hAnsi="Times New Roman" w:cs="Times New Roman"/>
        </w:rPr>
      </w:pPr>
      <w:r w:rsidRPr="00F814D8">
        <w:rPr>
          <w:rFonts w:ascii="Times New Roman" w:hAnsi="Times New Roman" w:cs="Times New Roman"/>
        </w:rPr>
        <w:t>Program Officer:</w:t>
      </w:r>
    </w:p>
    <w:p w:rsidR="00FA1CEC" w:rsidRPr="00F814D8" w:rsidRDefault="00F814D8" w:rsidP="00FA1CEC">
      <w:pPr>
        <w:jc w:val="center"/>
        <w:rPr>
          <w:rFonts w:ascii="Times New Roman" w:hAnsi="Times New Roman" w:cs="Times New Roman"/>
        </w:rPr>
      </w:pPr>
      <w:r w:rsidRPr="00F814D8">
        <w:rPr>
          <w:rFonts w:ascii="Times New Roman" w:hAnsi="Times New Roman" w:cs="Times New Roman"/>
        </w:rPr>
        <w:t>Dr. Pothur Srinivas, PhD, MPH</w:t>
      </w:r>
    </w:p>
    <w:p w:rsidR="00F814D8" w:rsidRDefault="00F814D8" w:rsidP="00FA1CEC">
      <w:pPr>
        <w:jc w:val="center"/>
        <w:rPr>
          <w:rFonts w:ascii="Times New Roman" w:hAnsi="Times New Roman" w:cs="Times New Roman"/>
        </w:rPr>
      </w:pPr>
      <w:r w:rsidRPr="00F814D8">
        <w:rPr>
          <w:rFonts w:ascii="Times New Roman" w:hAnsi="Times New Roman" w:cs="Times New Roman"/>
        </w:rPr>
        <w:t>National Heart, Lung and Blood Division of Cardiovascular Sciences</w:t>
      </w:r>
    </w:p>
    <w:p w:rsidR="00F814D8" w:rsidRDefault="00F814D8" w:rsidP="008472F9">
      <w:pPr>
        <w:spacing w:after="0" w:line="240" w:lineRule="auto"/>
        <w:jc w:val="center"/>
        <w:rPr>
          <w:rFonts w:ascii="Times New Roman" w:hAnsi="Times New Roman" w:cs="Times New Roman"/>
        </w:rPr>
      </w:pPr>
      <w:r>
        <w:rPr>
          <w:rFonts w:ascii="Times New Roman" w:hAnsi="Times New Roman" w:cs="Times New Roman"/>
        </w:rPr>
        <w:t>6701 Rockledge Drive</w:t>
      </w:r>
    </w:p>
    <w:p w:rsidR="008472F9" w:rsidRDefault="008472F9" w:rsidP="008472F9">
      <w:pPr>
        <w:spacing w:after="0" w:line="240" w:lineRule="auto"/>
        <w:jc w:val="center"/>
        <w:rPr>
          <w:rFonts w:ascii="Times New Roman" w:hAnsi="Times New Roman" w:cs="Times New Roman"/>
        </w:rPr>
      </w:pPr>
      <w:r>
        <w:rPr>
          <w:rFonts w:ascii="Times New Roman" w:hAnsi="Times New Roman" w:cs="Times New Roman"/>
        </w:rPr>
        <w:t>Room 10188, MSC 10193</w:t>
      </w:r>
    </w:p>
    <w:p w:rsidR="00F814D8" w:rsidRDefault="00F814D8" w:rsidP="008472F9">
      <w:pPr>
        <w:spacing w:after="0" w:line="240" w:lineRule="auto"/>
        <w:jc w:val="center"/>
        <w:rPr>
          <w:rFonts w:ascii="Times New Roman" w:hAnsi="Times New Roman" w:cs="Times New Roman"/>
        </w:rPr>
      </w:pPr>
      <w:r>
        <w:rPr>
          <w:rFonts w:ascii="Times New Roman" w:hAnsi="Times New Roman" w:cs="Times New Roman"/>
        </w:rPr>
        <w:t>Bethesda, Maryland 20892</w:t>
      </w:r>
    </w:p>
    <w:p w:rsidR="00F814D8" w:rsidRDefault="00F814D8" w:rsidP="008472F9">
      <w:pPr>
        <w:spacing w:after="0" w:line="240" w:lineRule="auto"/>
        <w:jc w:val="center"/>
        <w:rPr>
          <w:rFonts w:ascii="Times New Roman" w:hAnsi="Times New Roman" w:cs="Times New Roman"/>
        </w:rPr>
      </w:pPr>
      <w:r>
        <w:rPr>
          <w:rFonts w:ascii="Times New Roman" w:hAnsi="Times New Roman" w:cs="Times New Roman"/>
        </w:rPr>
        <w:t xml:space="preserve">Phone: </w:t>
      </w:r>
      <w:r w:rsidR="008472F9">
        <w:rPr>
          <w:rFonts w:ascii="Times New Roman" w:hAnsi="Times New Roman" w:cs="Times New Roman"/>
        </w:rPr>
        <w:t>(301)435-0550</w:t>
      </w:r>
    </w:p>
    <w:p w:rsidR="008472F9" w:rsidRDefault="008472F9" w:rsidP="008472F9">
      <w:pPr>
        <w:spacing w:after="0" w:line="240" w:lineRule="auto"/>
        <w:jc w:val="center"/>
        <w:rPr>
          <w:rFonts w:ascii="Times New Roman" w:hAnsi="Times New Roman" w:cs="Times New Roman"/>
        </w:rPr>
      </w:pPr>
      <w:r>
        <w:rPr>
          <w:rFonts w:ascii="Times New Roman" w:hAnsi="Times New Roman" w:cs="Times New Roman"/>
        </w:rPr>
        <w:t>Fax: (301)480-2858</w:t>
      </w:r>
    </w:p>
    <w:p w:rsidR="00F814D8" w:rsidRDefault="008472F9" w:rsidP="008472F9">
      <w:pPr>
        <w:spacing w:after="0" w:line="240" w:lineRule="auto"/>
        <w:jc w:val="center"/>
        <w:rPr>
          <w:rFonts w:ascii="Times New Roman" w:hAnsi="Times New Roman" w:cs="Times New Roman"/>
        </w:rPr>
      </w:pPr>
      <w:r>
        <w:rPr>
          <w:rFonts w:ascii="Times New Roman" w:hAnsi="Times New Roman" w:cs="Times New Roman"/>
        </w:rPr>
        <w:t xml:space="preserve">Email: </w:t>
      </w:r>
      <w:hyperlink r:id="rId9" w:history="1">
        <w:r w:rsidRPr="00674343">
          <w:rPr>
            <w:rStyle w:val="Hyperlink"/>
            <w:rFonts w:ascii="Times New Roman" w:hAnsi="Times New Roman" w:cs="Times New Roman"/>
          </w:rPr>
          <w:t>srinivap@nhlbi.nih.gov</w:t>
        </w:r>
      </w:hyperlink>
      <w:r>
        <w:rPr>
          <w:rFonts w:ascii="Times New Roman" w:hAnsi="Times New Roman" w:cs="Times New Roman"/>
        </w:rPr>
        <w:t xml:space="preserve"> </w:t>
      </w:r>
    </w:p>
    <w:p w:rsidR="00F814D8" w:rsidRDefault="00F814D8"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Default="008472F9" w:rsidP="008472F9">
      <w:pPr>
        <w:spacing w:after="0"/>
        <w:jc w:val="center"/>
        <w:rPr>
          <w:rFonts w:ascii="Times New Roman" w:hAnsi="Times New Roman" w:cs="Times New Roman"/>
        </w:rPr>
      </w:pPr>
    </w:p>
    <w:p w:rsidR="008472F9" w:rsidRPr="00C726D9" w:rsidRDefault="008472F9" w:rsidP="008472F9">
      <w:pPr>
        <w:tabs>
          <w:tab w:val="left" w:pos="3510"/>
        </w:tabs>
        <w:jc w:val="center"/>
        <w:rPr>
          <w:b/>
        </w:rPr>
      </w:pPr>
    </w:p>
    <w:p w:rsidR="008472F9" w:rsidRPr="00C726D9" w:rsidRDefault="008472F9" w:rsidP="008472F9">
      <w:pPr>
        <w:tabs>
          <w:tab w:val="left" w:pos="3510"/>
        </w:tabs>
        <w:jc w:val="center"/>
        <w:rPr>
          <w:rFonts w:ascii="Times New Roman" w:hAnsi="Times New Roman" w:cs="Times New Roman"/>
          <w:b/>
        </w:rPr>
      </w:pPr>
      <w:r w:rsidRPr="00C726D9">
        <w:rPr>
          <w:rFonts w:ascii="Times New Roman" w:hAnsi="Times New Roman" w:cs="Times New Roman"/>
          <w:b/>
        </w:rPr>
        <w:lastRenderedPageBreak/>
        <w:t>Table of contents</w:t>
      </w:r>
    </w:p>
    <w:p w:rsidR="008472F9" w:rsidRPr="005B07A6" w:rsidRDefault="0040426B" w:rsidP="00543E45">
      <w:pPr>
        <w:pStyle w:val="TOC1"/>
      </w:pPr>
      <w:r>
        <w:t xml:space="preserve">Section </w:t>
      </w:r>
      <w:r w:rsidR="000D145B" w:rsidRPr="005B07A6">
        <w:fldChar w:fldCharType="begin"/>
      </w:r>
      <w:r w:rsidR="008472F9" w:rsidRPr="005B07A6">
        <w:instrText xml:space="preserve"> TOC \o "1-2" \u </w:instrText>
      </w:r>
      <w:r w:rsidR="000D145B" w:rsidRPr="005B07A6">
        <w:fldChar w:fldCharType="separate"/>
      </w:r>
      <w:r w:rsidR="008472F9" w:rsidRPr="005B07A6">
        <w:t>A.</w:t>
      </w:r>
      <w:r w:rsidR="00543E45">
        <w:t xml:space="preserve"> </w:t>
      </w:r>
      <w:r>
        <w:t>JUSTIFICATION</w:t>
      </w:r>
    </w:p>
    <w:p w:rsidR="008472F9" w:rsidRPr="005B07A6" w:rsidRDefault="00630743" w:rsidP="0046375B">
      <w:pPr>
        <w:pStyle w:val="TOC2"/>
      </w:pPr>
      <w:hyperlink w:anchor="A1" w:history="1">
        <w:r w:rsidR="00543E45" w:rsidRPr="0040426B">
          <w:rPr>
            <w:rStyle w:val="Hyperlink"/>
          </w:rPr>
          <w:t xml:space="preserve">A.1 </w:t>
        </w:r>
        <w:r w:rsidR="008472F9" w:rsidRPr="0040426B">
          <w:rPr>
            <w:rStyle w:val="Hyperlink"/>
          </w:rPr>
          <w:t>Circumstances Making the Collection of Information Necessary</w:t>
        </w:r>
        <w:r w:rsidR="008472F9" w:rsidRPr="0040426B">
          <w:rPr>
            <w:rStyle w:val="Hyperlink"/>
          </w:rPr>
          <w:tab/>
        </w:r>
        <w:r w:rsidR="00ED3387">
          <w:rPr>
            <w:rStyle w:val="Hyperlink"/>
          </w:rPr>
          <w:t>4</w:t>
        </w:r>
      </w:hyperlink>
    </w:p>
    <w:p w:rsidR="008472F9" w:rsidRPr="005B07A6" w:rsidRDefault="00630743" w:rsidP="0046375B">
      <w:pPr>
        <w:pStyle w:val="TOC2"/>
      </w:pPr>
      <w:hyperlink w:anchor="A2" w:history="1">
        <w:r w:rsidR="00543E45" w:rsidRPr="0040426B">
          <w:rPr>
            <w:rStyle w:val="Hyperlink"/>
          </w:rPr>
          <w:t xml:space="preserve">A.2. </w:t>
        </w:r>
        <w:r w:rsidR="008472F9" w:rsidRPr="0040426B">
          <w:rPr>
            <w:rStyle w:val="Hyperlink"/>
          </w:rPr>
          <w:t>Purpose and Use of the Information COLLECTION</w:t>
        </w:r>
        <w:r w:rsidR="008472F9" w:rsidRPr="0040426B">
          <w:rPr>
            <w:rStyle w:val="Hyperlink"/>
          </w:rPr>
          <w:tab/>
        </w:r>
        <w:r w:rsidR="00ED3387">
          <w:rPr>
            <w:rStyle w:val="Hyperlink"/>
          </w:rPr>
          <w:t>6</w:t>
        </w:r>
      </w:hyperlink>
    </w:p>
    <w:p w:rsidR="008472F9" w:rsidRPr="005B07A6" w:rsidRDefault="00630743" w:rsidP="0046375B">
      <w:pPr>
        <w:pStyle w:val="TOC2"/>
      </w:pPr>
      <w:hyperlink w:anchor="A3" w:history="1">
        <w:r w:rsidR="00543E45" w:rsidRPr="00ED3387">
          <w:rPr>
            <w:rStyle w:val="Hyperlink"/>
          </w:rPr>
          <w:t xml:space="preserve">A.3 </w:t>
        </w:r>
        <w:r w:rsidR="008472F9" w:rsidRPr="00ED3387">
          <w:rPr>
            <w:rStyle w:val="Hyperlink"/>
          </w:rPr>
          <w:t>Use of Information Technology and Burden Reduction</w:t>
        </w:r>
        <w:r w:rsidR="008472F9" w:rsidRPr="00ED3387">
          <w:rPr>
            <w:rStyle w:val="Hyperlink"/>
          </w:rPr>
          <w:tab/>
        </w:r>
        <w:r w:rsidR="00EE0F32" w:rsidRPr="00ED3387">
          <w:rPr>
            <w:rStyle w:val="Hyperlink"/>
          </w:rPr>
          <w:t>1</w:t>
        </w:r>
        <w:r w:rsidR="00ED3387">
          <w:rPr>
            <w:rStyle w:val="Hyperlink"/>
          </w:rPr>
          <w:t>4</w:t>
        </w:r>
      </w:hyperlink>
    </w:p>
    <w:p w:rsidR="008472F9" w:rsidRPr="005B07A6" w:rsidRDefault="00630743" w:rsidP="0046375B">
      <w:pPr>
        <w:pStyle w:val="TOC2"/>
      </w:pPr>
      <w:hyperlink w:anchor="A4" w:history="1">
        <w:r w:rsidR="00543E45" w:rsidRPr="00ED3387">
          <w:rPr>
            <w:rStyle w:val="Hyperlink"/>
          </w:rPr>
          <w:t xml:space="preserve">A.4 </w:t>
        </w:r>
        <w:r w:rsidR="008472F9" w:rsidRPr="00ED3387">
          <w:rPr>
            <w:rStyle w:val="Hyperlink"/>
          </w:rPr>
          <w:t>Efforts to Identify Duplication and Use of Similar Information</w:t>
        </w:r>
        <w:r w:rsidR="008472F9" w:rsidRPr="00ED3387">
          <w:rPr>
            <w:rStyle w:val="Hyperlink"/>
          </w:rPr>
          <w:tab/>
        </w:r>
        <w:r w:rsidR="00EE0F32" w:rsidRPr="00ED3387">
          <w:rPr>
            <w:rStyle w:val="Hyperlink"/>
          </w:rPr>
          <w:t>1</w:t>
        </w:r>
        <w:r w:rsidR="00ED3387" w:rsidRPr="00ED3387">
          <w:rPr>
            <w:rStyle w:val="Hyperlink"/>
          </w:rPr>
          <w:t>4</w:t>
        </w:r>
      </w:hyperlink>
    </w:p>
    <w:p w:rsidR="008472F9" w:rsidRPr="005B07A6" w:rsidRDefault="00630743" w:rsidP="0046375B">
      <w:pPr>
        <w:pStyle w:val="TOC2"/>
      </w:pPr>
      <w:hyperlink w:anchor="A5" w:history="1">
        <w:r w:rsidR="00543E45" w:rsidRPr="00ED3387">
          <w:rPr>
            <w:rStyle w:val="Hyperlink"/>
          </w:rPr>
          <w:t xml:space="preserve">A.5 </w:t>
        </w:r>
        <w:r w:rsidR="008472F9" w:rsidRPr="00ED3387">
          <w:rPr>
            <w:rStyle w:val="Hyperlink"/>
          </w:rPr>
          <w:t>Impact on Small Businesses or Other Small Entities</w:t>
        </w:r>
        <w:r w:rsidR="008472F9" w:rsidRPr="00ED3387">
          <w:rPr>
            <w:rStyle w:val="Hyperlink"/>
          </w:rPr>
          <w:tab/>
        </w:r>
        <w:r w:rsidR="00ED3387" w:rsidRPr="00ED3387">
          <w:rPr>
            <w:rStyle w:val="Hyperlink"/>
          </w:rPr>
          <w:t>14</w:t>
        </w:r>
      </w:hyperlink>
    </w:p>
    <w:p w:rsidR="008472F9" w:rsidRPr="005B07A6" w:rsidRDefault="00630743" w:rsidP="0046375B">
      <w:pPr>
        <w:pStyle w:val="TOC2"/>
      </w:pPr>
      <w:hyperlink w:anchor="A6" w:history="1">
        <w:r w:rsidR="00543E45" w:rsidRPr="00ED3387">
          <w:rPr>
            <w:rStyle w:val="Hyperlink"/>
          </w:rPr>
          <w:t xml:space="preserve">A.6 </w:t>
        </w:r>
        <w:r w:rsidR="008472F9" w:rsidRPr="00ED3387">
          <w:rPr>
            <w:rStyle w:val="Hyperlink"/>
          </w:rPr>
          <w:t>Consequences of Collecting the Information Less Frequently</w:t>
        </w:r>
        <w:r w:rsidR="008472F9" w:rsidRPr="00ED3387">
          <w:rPr>
            <w:rStyle w:val="Hyperlink"/>
          </w:rPr>
          <w:tab/>
        </w:r>
        <w:r w:rsidR="00EE0F32" w:rsidRPr="00ED3387">
          <w:rPr>
            <w:rStyle w:val="Hyperlink"/>
          </w:rPr>
          <w:t>1</w:t>
        </w:r>
        <w:r w:rsidR="00ED3387">
          <w:rPr>
            <w:rStyle w:val="Hyperlink"/>
          </w:rPr>
          <w:t>5</w:t>
        </w:r>
      </w:hyperlink>
    </w:p>
    <w:p w:rsidR="008472F9" w:rsidRPr="005B07A6" w:rsidRDefault="00630743" w:rsidP="0046375B">
      <w:pPr>
        <w:pStyle w:val="TOC2"/>
      </w:pPr>
      <w:hyperlink w:anchor="A7" w:history="1">
        <w:r w:rsidR="00543E45" w:rsidRPr="00ED3387">
          <w:rPr>
            <w:rStyle w:val="Hyperlink"/>
          </w:rPr>
          <w:t xml:space="preserve">A.7 </w:t>
        </w:r>
        <w:r w:rsidR="008472F9" w:rsidRPr="00ED3387">
          <w:rPr>
            <w:rStyle w:val="Hyperlink"/>
          </w:rPr>
          <w:t>Special Circumstances Relating to the Guidelines of 5 CFR 1320.5</w:t>
        </w:r>
        <w:r w:rsidR="008472F9" w:rsidRPr="00ED3387">
          <w:rPr>
            <w:rStyle w:val="Hyperlink"/>
          </w:rPr>
          <w:tab/>
        </w:r>
        <w:r w:rsidR="00EE0F32" w:rsidRPr="00ED3387">
          <w:rPr>
            <w:rStyle w:val="Hyperlink"/>
          </w:rPr>
          <w:t>1</w:t>
        </w:r>
        <w:r w:rsidR="00ED3387">
          <w:rPr>
            <w:rStyle w:val="Hyperlink"/>
          </w:rPr>
          <w:t>5</w:t>
        </w:r>
      </w:hyperlink>
    </w:p>
    <w:p w:rsidR="008472F9" w:rsidRPr="005B07A6" w:rsidRDefault="00630743" w:rsidP="0046375B">
      <w:pPr>
        <w:pStyle w:val="TOC2"/>
      </w:pPr>
      <w:hyperlink w:anchor="A8" w:history="1">
        <w:r w:rsidR="00543E45" w:rsidRPr="00ED3387">
          <w:rPr>
            <w:rStyle w:val="Hyperlink"/>
          </w:rPr>
          <w:t xml:space="preserve">A.8 </w:t>
        </w:r>
        <w:r w:rsidR="008472F9" w:rsidRPr="00ED3387">
          <w:rPr>
            <w:rStyle w:val="Hyperlink"/>
          </w:rPr>
          <w:t>Comments in Response to the Federal Register Notice and Efforts to Consult Outside Agency</w:t>
        </w:r>
        <w:r w:rsidR="008472F9" w:rsidRPr="00ED3387">
          <w:rPr>
            <w:rStyle w:val="Hyperlink"/>
          </w:rPr>
          <w:tab/>
        </w:r>
        <w:r w:rsidR="00EE0F32" w:rsidRPr="00ED3387">
          <w:rPr>
            <w:rStyle w:val="Hyperlink"/>
          </w:rPr>
          <w:t>1</w:t>
        </w:r>
        <w:r w:rsidR="00ED3387">
          <w:rPr>
            <w:rStyle w:val="Hyperlink"/>
          </w:rPr>
          <w:t>5</w:t>
        </w:r>
      </w:hyperlink>
    </w:p>
    <w:p w:rsidR="008472F9" w:rsidRPr="005B07A6" w:rsidRDefault="00630743" w:rsidP="0046375B">
      <w:pPr>
        <w:pStyle w:val="TOC2"/>
      </w:pPr>
      <w:hyperlink w:anchor="A9" w:history="1">
        <w:r w:rsidR="00543E45" w:rsidRPr="00ED3387">
          <w:rPr>
            <w:rStyle w:val="Hyperlink"/>
          </w:rPr>
          <w:t xml:space="preserve">A.9 </w:t>
        </w:r>
        <w:r w:rsidR="008472F9" w:rsidRPr="00ED3387">
          <w:rPr>
            <w:rStyle w:val="Hyperlink"/>
          </w:rPr>
          <w:t>Explanation of Any Payment of Gift to Respondents</w:t>
        </w:r>
        <w:r w:rsidR="008472F9" w:rsidRPr="00ED3387">
          <w:rPr>
            <w:rStyle w:val="Hyperlink"/>
          </w:rPr>
          <w:tab/>
        </w:r>
        <w:r w:rsidR="00EE0F32" w:rsidRPr="00ED3387">
          <w:rPr>
            <w:rStyle w:val="Hyperlink"/>
          </w:rPr>
          <w:t>1</w:t>
        </w:r>
        <w:r w:rsidR="00ED3387">
          <w:rPr>
            <w:rStyle w:val="Hyperlink"/>
          </w:rPr>
          <w:t>5</w:t>
        </w:r>
      </w:hyperlink>
    </w:p>
    <w:p w:rsidR="008472F9" w:rsidRPr="005B07A6" w:rsidRDefault="00630743" w:rsidP="0046375B">
      <w:pPr>
        <w:pStyle w:val="TOC2"/>
      </w:pPr>
      <w:hyperlink w:anchor="A10" w:history="1">
        <w:r w:rsidR="00543E45" w:rsidRPr="00ED3387">
          <w:rPr>
            <w:rStyle w:val="Hyperlink"/>
          </w:rPr>
          <w:t xml:space="preserve">A.10 </w:t>
        </w:r>
        <w:r w:rsidR="008472F9" w:rsidRPr="00ED3387">
          <w:rPr>
            <w:rStyle w:val="Hyperlink"/>
          </w:rPr>
          <w:t xml:space="preserve">Assurance of </w:t>
        </w:r>
        <w:r w:rsidR="005069DC">
          <w:rPr>
            <w:rStyle w:val="Hyperlink"/>
          </w:rPr>
          <w:t>Privacy</w:t>
        </w:r>
        <w:r w:rsidR="008472F9" w:rsidRPr="00ED3387">
          <w:rPr>
            <w:rStyle w:val="Hyperlink"/>
          </w:rPr>
          <w:t xml:space="preserve"> Provided to Respondents</w:t>
        </w:r>
        <w:r w:rsidR="008472F9" w:rsidRPr="00ED3387">
          <w:rPr>
            <w:rStyle w:val="Hyperlink"/>
          </w:rPr>
          <w:tab/>
        </w:r>
        <w:r w:rsidR="00EE0F32" w:rsidRPr="00ED3387">
          <w:rPr>
            <w:rStyle w:val="Hyperlink"/>
          </w:rPr>
          <w:t>1</w:t>
        </w:r>
        <w:r w:rsidR="00ED3387">
          <w:rPr>
            <w:rStyle w:val="Hyperlink"/>
          </w:rPr>
          <w:t>5</w:t>
        </w:r>
      </w:hyperlink>
    </w:p>
    <w:p w:rsidR="008472F9" w:rsidRPr="005B07A6" w:rsidRDefault="00630743" w:rsidP="0046375B">
      <w:pPr>
        <w:pStyle w:val="TOC2"/>
      </w:pPr>
      <w:hyperlink w:anchor="A11" w:history="1">
        <w:r w:rsidR="00543E45" w:rsidRPr="00ED3387">
          <w:rPr>
            <w:rStyle w:val="Hyperlink"/>
          </w:rPr>
          <w:t xml:space="preserve">A.11 </w:t>
        </w:r>
        <w:r w:rsidR="008472F9" w:rsidRPr="00ED3387">
          <w:rPr>
            <w:rStyle w:val="Hyperlink"/>
          </w:rPr>
          <w:t>Justification for Sensitive Questions</w:t>
        </w:r>
        <w:r w:rsidR="008472F9" w:rsidRPr="00ED3387">
          <w:rPr>
            <w:rStyle w:val="Hyperlink"/>
          </w:rPr>
          <w:tab/>
        </w:r>
        <w:r w:rsidR="00ED3387">
          <w:rPr>
            <w:rStyle w:val="Hyperlink"/>
          </w:rPr>
          <w:t>16</w:t>
        </w:r>
      </w:hyperlink>
    </w:p>
    <w:p w:rsidR="008472F9" w:rsidRPr="005B07A6" w:rsidRDefault="00630743" w:rsidP="0046375B">
      <w:pPr>
        <w:pStyle w:val="TOC2"/>
      </w:pPr>
      <w:hyperlink w:anchor="A12" w:history="1">
        <w:r w:rsidR="00543E45" w:rsidRPr="00ED3387">
          <w:rPr>
            <w:rStyle w:val="Hyperlink"/>
          </w:rPr>
          <w:t xml:space="preserve">A.12 </w:t>
        </w:r>
        <w:r w:rsidR="008472F9" w:rsidRPr="00ED3387">
          <w:rPr>
            <w:rStyle w:val="Hyperlink"/>
          </w:rPr>
          <w:t>Estimates of Hour Burden Including Annualized Hourly Costs</w:t>
        </w:r>
        <w:r w:rsidR="008472F9" w:rsidRPr="00ED3387">
          <w:rPr>
            <w:rStyle w:val="Hyperlink"/>
          </w:rPr>
          <w:tab/>
        </w:r>
        <w:r w:rsidR="00ED3387">
          <w:rPr>
            <w:rStyle w:val="Hyperlink"/>
          </w:rPr>
          <w:t>16</w:t>
        </w:r>
      </w:hyperlink>
    </w:p>
    <w:p w:rsidR="008472F9" w:rsidRPr="005B07A6" w:rsidRDefault="00630743" w:rsidP="0046375B">
      <w:pPr>
        <w:pStyle w:val="TOC2"/>
      </w:pPr>
      <w:hyperlink w:anchor="A13" w:history="1">
        <w:r w:rsidR="00543E45" w:rsidRPr="00ED3387">
          <w:rPr>
            <w:rStyle w:val="Hyperlink"/>
          </w:rPr>
          <w:t xml:space="preserve">A.13 </w:t>
        </w:r>
        <w:r w:rsidR="008472F9" w:rsidRPr="00ED3387">
          <w:rPr>
            <w:rStyle w:val="Hyperlink"/>
          </w:rPr>
          <w:t>Estimate of Other Total Annual Cost Burden to Respondents or Record</w:t>
        </w:r>
        <w:r w:rsidR="00543E45" w:rsidRPr="00ED3387">
          <w:rPr>
            <w:rStyle w:val="Hyperlink"/>
          </w:rPr>
          <w:t xml:space="preserve"> </w:t>
        </w:r>
        <w:r w:rsidR="008472F9" w:rsidRPr="00ED3387">
          <w:rPr>
            <w:rStyle w:val="Hyperlink"/>
          </w:rPr>
          <w:t>keepers</w:t>
        </w:r>
        <w:r w:rsidR="008472F9" w:rsidRPr="00ED3387">
          <w:rPr>
            <w:rStyle w:val="Hyperlink"/>
          </w:rPr>
          <w:tab/>
        </w:r>
        <w:r w:rsidR="00ED3387">
          <w:rPr>
            <w:rStyle w:val="Hyperlink"/>
          </w:rPr>
          <w:t>17</w:t>
        </w:r>
      </w:hyperlink>
    </w:p>
    <w:p w:rsidR="008472F9" w:rsidRPr="005B07A6" w:rsidRDefault="00630743" w:rsidP="0046375B">
      <w:pPr>
        <w:pStyle w:val="TOC2"/>
      </w:pPr>
      <w:hyperlink w:anchor="A14" w:history="1">
        <w:r w:rsidR="00543E45" w:rsidRPr="00ED3387">
          <w:rPr>
            <w:rStyle w:val="Hyperlink"/>
          </w:rPr>
          <w:t xml:space="preserve">A.14 </w:t>
        </w:r>
        <w:r w:rsidR="008472F9" w:rsidRPr="00ED3387">
          <w:rPr>
            <w:rStyle w:val="Hyperlink"/>
          </w:rPr>
          <w:t>Annualized Cost to the Federal Government</w:t>
        </w:r>
        <w:r w:rsidR="008472F9" w:rsidRPr="00ED3387">
          <w:rPr>
            <w:rStyle w:val="Hyperlink"/>
          </w:rPr>
          <w:tab/>
        </w:r>
        <w:r w:rsidR="00ED3387">
          <w:rPr>
            <w:rStyle w:val="Hyperlink"/>
          </w:rPr>
          <w:t>18</w:t>
        </w:r>
      </w:hyperlink>
    </w:p>
    <w:p w:rsidR="008472F9" w:rsidRPr="005B07A6" w:rsidRDefault="00630743" w:rsidP="0046375B">
      <w:pPr>
        <w:pStyle w:val="TOC2"/>
      </w:pPr>
      <w:hyperlink w:anchor="A15" w:history="1">
        <w:r w:rsidR="00543E45" w:rsidRPr="00607924">
          <w:rPr>
            <w:rStyle w:val="Hyperlink"/>
          </w:rPr>
          <w:t xml:space="preserve">A.15 </w:t>
        </w:r>
        <w:r w:rsidR="008472F9" w:rsidRPr="00607924">
          <w:rPr>
            <w:rStyle w:val="Hyperlink"/>
          </w:rPr>
          <w:t>Explanation for Program Changes or Adjustments</w:t>
        </w:r>
        <w:r w:rsidR="008472F9" w:rsidRPr="00607924">
          <w:rPr>
            <w:rStyle w:val="Hyperlink"/>
          </w:rPr>
          <w:tab/>
        </w:r>
        <w:r w:rsidR="00ED3387" w:rsidRPr="00607924">
          <w:rPr>
            <w:rStyle w:val="Hyperlink"/>
          </w:rPr>
          <w:t>18</w:t>
        </w:r>
      </w:hyperlink>
    </w:p>
    <w:p w:rsidR="008472F9" w:rsidRPr="005B07A6" w:rsidRDefault="00630743" w:rsidP="0046375B">
      <w:pPr>
        <w:pStyle w:val="TOC2"/>
      </w:pPr>
      <w:hyperlink w:anchor="A16" w:history="1">
        <w:r w:rsidR="00543E45" w:rsidRPr="00ED3387">
          <w:rPr>
            <w:rStyle w:val="Hyperlink"/>
          </w:rPr>
          <w:t xml:space="preserve">A.16 </w:t>
        </w:r>
        <w:r w:rsidR="008472F9" w:rsidRPr="00ED3387">
          <w:rPr>
            <w:rStyle w:val="Hyperlink"/>
          </w:rPr>
          <w:t>Plans for Tabulation and Publication and Project Time Schedule</w:t>
        </w:r>
        <w:r w:rsidR="008472F9" w:rsidRPr="00ED3387">
          <w:rPr>
            <w:rStyle w:val="Hyperlink"/>
          </w:rPr>
          <w:tab/>
        </w:r>
        <w:r w:rsidR="00ED3387">
          <w:rPr>
            <w:rStyle w:val="Hyperlink"/>
          </w:rPr>
          <w:t>18</w:t>
        </w:r>
      </w:hyperlink>
    </w:p>
    <w:p w:rsidR="008472F9" w:rsidRPr="005B07A6" w:rsidRDefault="00630743" w:rsidP="0046375B">
      <w:pPr>
        <w:pStyle w:val="TOC2"/>
      </w:pPr>
      <w:hyperlink w:anchor="A17" w:history="1">
        <w:r w:rsidR="00543E45" w:rsidRPr="00ED3387">
          <w:rPr>
            <w:rStyle w:val="Hyperlink"/>
          </w:rPr>
          <w:t xml:space="preserve">A.17 </w:t>
        </w:r>
        <w:r w:rsidR="008472F9" w:rsidRPr="00ED3387">
          <w:rPr>
            <w:rStyle w:val="Hyperlink"/>
          </w:rPr>
          <w:t>Reason(s) Display of OMB Expiration Date is Inappropriate</w:t>
        </w:r>
        <w:r w:rsidR="008472F9" w:rsidRPr="00ED3387">
          <w:rPr>
            <w:rStyle w:val="Hyperlink"/>
          </w:rPr>
          <w:tab/>
        </w:r>
        <w:r w:rsidR="00ED3387">
          <w:rPr>
            <w:rStyle w:val="Hyperlink"/>
          </w:rPr>
          <w:t>19</w:t>
        </w:r>
      </w:hyperlink>
    </w:p>
    <w:p w:rsidR="008472F9" w:rsidRDefault="00630743" w:rsidP="0046375B">
      <w:pPr>
        <w:pStyle w:val="TOC2"/>
      </w:pPr>
      <w:hyperlink w:anchor="A18" w:history="1">
        <w:r w:rsidR="00543E45" w:rsidRPr="00ED3387">
          <w:rPr>
            <w:rStyle w:val="Hyperlink"/>
          </w:rPr>
          <w:t xml:space="preserve">A.18 </w:t>
        </w:r>
        <w:r w:rsidR="008472F9" w:rsidRPr="00ED3387">
          <w:rPr>
            <w:rStyle w:val="Hyperlink"/>
          </w:rPr>
          <w:t>Exceptions to Certification for Paperwork Reduction Act Submissions</w:t>
        </w:r>
        <w:r w:rsidR="008472F9" w:rsidRPr="00ED3387">
          <w:rPr>
            <w:rStyle w:val="Hyperlink"/>
          </w:rPr>
          <w:tab/>
        </w:r>
        <w:r w:rsidR="00ED3387">
          <w:rPr>
            <w:rStyle w:val="Hyperlink"/>
          </w:rPr>
          <w:t>19</w:t>
        </w:r>
      </w:hyperlink>
    </w:p>
    <w:p w:rsidR="0040426B" w:rsidRPr="00ED3387" w:rsidRDefault="00B2666E" w:rsidP="00ED3387">
      <w:pPr>
        <w:spacing w:line="240" w:lineRule="auto"/>
        <w:contextualSpacing/>
        <w:rPr>
          <w:rFonts w:ascii="Times New Roman" w:hAnsi="Times New Roman" w:cs="Times New Roman"/>
          <w:b/>
        </w:rPr>
      </w:pPr>
      <w:r w:rsidRPr="00ED3387">
        <w:rPr>
          <w:rFonts w:ascii="Times New Roman" w:hAnsi="Times New Roman" w:cs="Times New Roman"/>
          <w:b/>
        </w:rPr>
        <w:t xml:space="preserve">SECTION A. </w:t>
      </w:r>
      <w:r w:rsidR="00ED3387" w:rsidRPr="00ED3387">
        <w:rPr>
          <w:rFonts w:ascii="Times New Roman" w:hAnsi="Times New Roman" w:cs="Times New Roman"/>
          <w:b/>
        </w:rPr>
        <w:t>TABLES:</w:t>
      </w:r>
    </w:p>
    <w:p w:rsidR="00B2666E" w:rsidRDefault="00630743" w:rsidP="00B2666E">
      <w:pPr>
        <w:pStyle w:val="TOC2"/>
      </w:pPr>
      <w:hyperlink w:anchor="Table1" w:history="1">
        <w:r w:rsidR="00B2666E" w:rsidRPr="00ED3387">
          <w:rPr>
            <w:rStyle w:val="Hyperlink"/>
          </w:rPr>
          <w:t>Table 1</w:t>
        </w:r>
        <w:r w:rsidR="00ED3387" w:rsidRPr="00ED3387">
          <w:rPr>
            <w:rStyle w:val="Hyperlink"/>
          </w:rPr>
          <w:t>. Key Informant Interview: Sampling Frame</w:t>
        </w:r>
        <w:r w:rsidR="00B2666E" w:rsidRPr="00ED3387">
          <w:rPr>
            <w:rStyle w:val="Hyperlink"/>
          </w:rPr>
          <w:tab/>
        </w:r>
        <w:r w:rsidR="00ED3387">
          <w:rPr>
            <w:rStyle w:val="Hyperlink"/>
          </w:rPr>
          <w:t>9</w:t>
        </w:r>
      </w:hyperlink>
    </w:p>
    <w:p w:rsidR="00B2666E" w:rsidRPr="00E82C2E" w:rsidRDefault="00630743" w:rsidP="00B2666E">
      <w:pPr>
        <w:pStyle w:val="TOC2"/>
      </w:pPr>
      <w:hyperlink w:anchor="Table2" w:history="1">
        <w:r w:rsidR="00B2666E" w:rsidRPr="00ED3387">
          <w:rPr>
            <w:rStyle w:val="Hyperlink"/>
          </w:rPr>
          <w:t>Table 2</w:t>
        </w:r>
        <w:r w:rsidR="00ED3387" w:rsidRPr="00ED3387">
          <w:rPr>
            <w:rStyle w:val="Hyperlink"/>
          </w:rPr>
          <w:t>. Areas of Inquiry for Key Informant Interviews</w:t>
        </w:r>
        <w:r w:rsidR="00B2666E" w:rsidRPr="00ED3387">
          <w:rPr>
            <w:rStyle w:val="Hyperlink"/>
          </w:rPr>
          <w:tab/>
        </w:r>
      </w:hyperlink>
      <w:r w:rsidR="00E82C2E" w:rsidRPr="00E82C2E">
        <w:rPr>
          <w:rStyle w:val="Hyperlink"/>
          <w:color w:val="auto"/>
          <w:u w:val="none"/>
        </w:rPr>
        <w:t>10</w:t>
      </w:r>
    </w:p>
    <w:p w:rsidR="00B2666E" w:rsidRDefault="00B2666E" w:rsidP="00B2666E">
      <w:pPr>
        <w:pStyle w:val="TOC2"/>
      </w:pPr>
      <w:r>
        <w:t xml:space="preserve">Table </w:t>
      </w:r>
      <w:r w:rsidR="00E82C2E">
        <w:t>12-1</w:t>
      </w:r>
      <w:r w:rsidR="00607924">
        <w:t>.</w:t>
      </w:r>
      <w:r w:rsidR="00ED3387">
        <w:t xml:space="preserve"> Estimates of Hour Burden</w:t>
      </w:r>
      <w:r w:rsidRPr="005B07A6">
        <w:tab/>
      </w:r>
      <w:r>
        <w:t>1</w:t>
      </w:r>
      <w:r w:rsidR="00E82C2E">
        <w:t>7</w:t>
      </w:r>
    </w:p>
    <w:p w:rsidR="00B2666E" w:rsidRDefault="00630743" w:rsidP="00B2666E">
      <w:pPr>
        <w:pStyle w:val="TOC2"/>
      </w:pPr>
      <w:hyperlink w:anchor="Table4" w:history="1">
        <w:r w:rsidR="00B2666E" w:rsidRPr="00ED3387">
          <w:rPr>
            <w:rStyle w:val="Hyperlink"/>
          </w:rPr>
          <w:t xml:space="preserve">Table </w:t>
        </w:r>
        <w:r w:rsidR="00E82C2E">
          <w:rPr>
            <w:rStyle w:val="Hyperlink"/>
          </w:rPr>
          <w:t>12-2</w:t>
        </w:r>
        <w:r w:rsidR="00ED3387" w:rsidRPr="00ED3387">
          <w:rPr>
            <w:rStyle w:val="Hyperlink"/>
          </w:rPr>
          <w:t>. Annualized Cost to Respondents</w:t>
        </w:r>
        <w:r w:rsidR="00B2666E" w:rsidRPr="00ED3387">
          <w:rPr>
            <w:rStyle w:val="Hyperlink"/>
          </w:rPr>
          <w:tab/>
          <w:t>1</w:t>
        </w:r>
        <w:r w:rsidR="00ED3387" w:rsidRPr="00ED3387">
          <w:rPr>
            <w:rStyle w:val="Hyperlink"/>
          </w:rPr>
          <w:t>7</w:t>
        </w:r>
      </w:hyperlink>
    </w:p>
    <w:p w:rsidR="00B2666E" w:rsidRDefault="00630743" w:rsidP="00B2666E">
      <w:pPr>
        <w:pStyle w:val="TOC2"/>
      </w:pPr>
      <w:hyperlink w:anchor="Table5" w:history="1">
        <w:r w:rsidR="00B2666E" w:rsidRPr="00ED3387">
          <w:rPr>
            <w:rStyle w:val="Hyperlink"/>
          </w:rPr>
          <w:t xml:space="preserve">Table </w:t>
        </w:r>
        <w:r w:rsidR="00E82C2E">
          <w:rPr>
            <w:rStyle w:val="Hyperlink"/>
          </w:rPr>
          <w:t>13</w:t>
        </w:r>
        <w:r w:rsidR="00ED3387" w:rsidRPr="00ED3387">
          <w:rPr>
            <w:rStyle w:val="Hyperlink"/>
          </w:rPr>
          <w:t>. Estimate of other Total Annual Cost Burden to Respondents or Recordkeepers</w:t>
        </w:r>
        <w:r w:rsidR="00B2666E" w:rsidRPr="00ED3387">
          <w:rPr>
            <w:rStyle w:val="Hyperlink"/>
          </w:rPr>
          <w:tab/>
          <w:t>1</w:t>
        </w:r>
        <w:r w:rsidR="00ED3387" w:rsidRPr="00ED3387">
          <w:rPr>
            <w:rStyle w:val="Hyperlink"/>
          </w:rPr>
          <w:t>8</w:t>
        </w:r>
      </w:hyperlink>
    </w:p>
    <w:p w:rsidR="001E1612" w:rsidRDefault="00630743" w:rsidP="001E1612">
      <w:pPr>
        <w:pStyle w:val="TOC2"/>
      </w:pPr>
      <w:hyperlink w:anchor="Table6" w:history="1">
        <w:r w:rsidR="001E1612" w:rsidRPr="00ED3387">
          <w:rPr>
            <w:rStyle w:val="Hyperlink"/>
          </w:rPr>
          <w:t xml:space="preserve">Table </w:t>
        </w:r>
        <w:r w:rsidR="00E82C2E">
          <w:rPr>
            <w:rStyle w:val="Hyperlink"/>
          </w:rPr>
          <w:t>14</w:t>
        </w:r>
        <w:r w:rsidR="001E1612" w:rsidRPr="00ED3387">
          <w:rPr>
            <w:rStyle w:val="Hyperlink"/>
          </w:rPr>
          <w:t xml:space="preserve">. </w:t>
        </w:r>
        <w:r w:rsidR="001E1612">
          <w:rPr>
            <w:rStyle w:val="Hyperlink"/>
          </w:rPr>
          <w:t>Total Cost to Federal Government</w:t>
        </w:r>
        <w:r w:rsidR="001E1612" w:rsidRPr="00ED3387">
          <w:rPr>
            <w:rStyle w:val="Hyperlink"/>
          </w:rPr>
          <w:tab/>
          <w:t>1</w:t>
        </w:r>
        <w:r w:rsidR="00E82C2E">
          <w:rPr>
            <w:rStyle w:val="Hyperlink"/>
          </w:rPr>
          <w:t>9</w:t>
        </w:r>
      </w:hyperlink>
    </w:p>
    <w:p w:rsidR="00B2666E" w:rsidRDefault="00B2666E" w:rsidP="00B2666E">
      <w:pPr>
        <w:pStyle w:val="TOC2"/>
      </w:pPr>
    </w:p>
    <w:p w:rsidR="00B2666E" w:rsidRDefault="005E1433" w:rsidP="00B2666E">
      <w:pPr>
        <w:pStyle w:val="TOC2"/>
      </w:pPr>
      <w:r>
        <w:t>Attachments:</w:t>
      </w:r>
    </w:p>
    <w:p w:rsidR="005E1433" w:rsidRDefault="005E1433" w:rsidP="00B2666E">
      <w:pPr>
        <w:pStyle w:val="TOC2"/>
      </w:pPr>
      <w:r>
        <w:t xml:space="preserve">Attachment1: </w:t>
      </w:r>
      <w:r w:rsidRPr="005E1433">
        <w:t>Interview Guide – External Investigators</w:t>
      </w:r>
    </w:p>
    <w:p w:rsidR="005E1433" w:rsidRDefault="005E1433" w:rsidP="00B2666E">
      <w:pPr>
        <w:pStyle w:val="TOC2"/>
      </w:pPr>
      <w:r>
        <w:t xml:space="preserve">Attachment 2: </w:t>
      </w:r>
      <w:r w:rsidRPr="005E1433">
        <w:t>Interview Guide – Principle Investigators &amp; Key Personnel</w:t>
      </w:r>
    </w:p>
    <w:p w:rsidR="005E1433" w:rsidRDefault="005E1433" w:rsidP="00B2666E">
      <w:pPr>
        <w:pStyle w:val="TOC2"/>
      </w:pPr>
      <w:r>
        <w:t xml:space="preserve">Attachment 3: </w:t>
      </w:r>
      <w:r w:rsidRPr="005E1433">
        <w:t>Interview Guide – Trainees and Junior Investigators</w:t>
      </w:r>
    </w:p>
    <w:p w:rsidR="005E1433" w:rsidRPr="00B2666E" w:rsidRDefault="005E1433" w:rsidP="00B2666E">
      <w:pPr>
        <w:pStyle w:val="TOC2"/>
      </w:pPr>
    </w:p>
    <w:p w:rsidR="0040426B" w:rsidRDefault="0040426B"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B2666E" w:rsidRDefault="00B2666E" w:rsidP="0040426B">
      <w:pPr>
        <w:pStyle w:val="TOC1"/>
        <w:spacing w:line="360" w:lineRule="auto"/>
        <w:rPr>
          <w:caps w:val="0"/>
          <w:sz w:val="22"/>
          <w:szCs w:val="22"/>
        </w:rPr>
      </w:pPr>
    </w:p>
    <w:p w:rsidR="005E1433" w:rsidRPr="0040426B" w:rsidRDefault="005E1433" w:rsidP="0040426B">
      <w:pPr>
        <w:pStyle w:val="TOC1"/>
        <w:spacing w:line="360" w:lineRule="auto"/>
        <w:rPr>
          <w:caps w:val="0"/>
          <w:sz w:val="22"/>
          <w:szCs w:val="22"/>
        </w:rPr>
      </w:pPr>
    </w:p>
    <w:p w:rsidR="0040426B" w:rsidRPr="005B07A6" w:rsidRDefault="0040426B" w:rsidP="0046375B">
      <w:pPr>
        <w:pStyle w:val="TOC2"/>
      </w:pPr>
    </w:p>
    <w:p w:rsidR="008472F9" w:rsidRPr="0040426B" w:rsidRDefault="000D145B" w:rsidP="008472F9">
      <w:pPr>
        <w:spacing w:after="0"/>
        <w:rPr>
          <w:rFonts w:ascii="Times New Roman" w:hAnsi="Times New Roman" w:cs="Times New Roman"/>
          <w:b/>
          <w:caps/>
          <w:noProof/>
        </w:rPr>
      </w:pPr>
      <w:r w:rsidRPr="005B07A6">
        <w:rPr>
          <w:caps/>
          <w:noProof/>
        </w:rPr>
        <w:fldChar w:fldCharType="end"/>
      </w:r>
    </w:p>
    <w:p w:rsidR="00EE0F32" w:rsidRDefault="00EE0F32" w:rsidP="008472F9">
      <w:pPr>
        <w:spacing w:after="0"/>
        <w:rPr>
          <w:rFonts w:ascii="Times New Roman" w:hAnsi="Times New Roman" w:cs="Times New Roman"/>
          <w:b/>
          <w:caps/>
          <w:noProof/>
        </w:rPr>
      </w:pPr>
    </w:p>
    <w:p w:rsidR="00C726D9" w:rsidRPr="00C726D9" w:rsidRDefault="00C726D9" w:rsidP="008472F9">
      <w:pPr>
        <w:spacing w:after="0"/>
        <w:rPr>
          <w:rFonts w:ascii="Times New Roman" w:hAnsi="Times New Roman" w:cs="Times New Roman"/>
          <w:b/>
          <w:caps/>
          <w:noProof/>
        </w:rPr>
      </w:pPr>
    </w:p>
    <w:p w:rsidR="008472F9" w:rsidRDefault="008472F9" w:rsidP="008472F9">
      <w:pPr>
        <w:spacing w:after="0"/>
        <w:rPr>
          <w:caps/>
          <w:noProof/>
        </w:rPr>
      </w:pPr>
    </w:p>
    <w:p w:rsidR="008472F9" w:rsidRDefault="008472F9" w:rsidP="008472F9">
      <w:pPr>
        <w:spacing w:after="0"/>
        <w:rPr>
          <w:rFonts w:ascii="Times New Roman" w:hAnsi="Times New Roman" w:cs="Times New Roman"/>
          <w:b/>
          <w:u w:val="single"/>
        </w:rPr>
      </w:pPr>
      <w:bookmarkStart w:id="0" w:name="A1"/>
      <w:r w:rsidRPr="008472F9">
        <w:rPr>
          <w:rFonts w:ascii="Times New Roman" w:hAnsi="Times New Roman" w:cs="Times New Roman"/>
          <w:b/>
          <w:u w:val="single"/>
        </w:rPr>
        <w:lastRenderedPageBreak/>
        <w:t xml:space="preserve">A.1. Circumstances Making the Collection of Information Necessary </w:t>
      </w:r>
    </w:p>
    <w:bookmarkEnd w:id="0"/>
    <w:p w:rsidR="005E1433" w:rsidRDefault="005E1433" w:rsidP="005E1433">
      <w:pPr>
        <w:pStyle w:val="Heading1"/>
        <w:spacing w:line="480" w:lineRule="auto"/>
        <w:contextualSpacing/>
        <w:rPr>
          <w:b w:val="0"/>
          <w:sz w:val="22"/>
          <w:szCs w:val="22"/>
        </w:rPr>
      </w:pPr>
      <w:r w:rsidRPr="005E1433">
        <w:rPr>
          <w:b w:val="0"/>
          <w:sz w:val="22"/>
          <w:szCs w:val="22"/>
        </w:rPr>
        <w:t>The National Heart, Lung and Blood Institute is represented under the legal authority U.S. Code Part C-Specific Provisions Respecting National Research Institutes, the Public Health and Welfare.  The primary purpose of the Institute is to conduct and support research, training, health information dissemination and other programs with respect to heart, blood vessel, lung and blood diseases with respect to the use of blood and blood products and the management of blood resources. The National Heart, Lung and Blood Institute’s mission is to “provide global leadership for a research, training, and education programs to promote the prevention and treatment of heart, lung, and blood diseases and enhance the health of all individuals so that they can live longer and more fulfilling lives”.  The NHLBI Proteomics Centers Program ultimately supports the development and discovery of new tools, proteomic application and knowledgebase to facilitate proteomic clinical approaches and efficacy.  The Proteomics Centers’ aims are to help fill existing gaps of knowledge as well as contributing to the integration and creation of a knowledgebase linking changes in proteomics with molecular phenotypes of disease.  The innovation and creation of new technologies and tools are being developed and will be made available to the community at-large for further advancement of heart, lung, and blood research.</w:t>
      </w:r>
    </w:p>
    <w:p w:rsidR="005E1433" w:rsidRDefault="005E1433" w:rsidP="00153949">
      <w:pPr>
        <w:pStyle w:val="Heading1"/>
        <w:spacing w:line="480" w:lineRule="auto"/>
        <w:contextualSpacing/>
        <w:rPr>
          <w:b w:val="0"/>
          <w:sz w:val="22"/>
          <w:szCs w:val="22"/>
        </w:rPr>
      </w:pPr>
      <w:r w:rsidRPr="005E1433">
        <w:rPr>
          <w:b w:val="0"/>
          <w:sz w:val="22"/>
          <w:szCs w:val="22"/>
        </w:rPr>
        <w:t>Th</w:t>
      </w:r>
      <w:r>
        <w:rPr>
          <w:b w:val="0"/>
          <w:sz w:val="22"/>
          <w:szCs w:val="22"/>
        </w:rPr>
        <w:t xml:space="preserve">is </w:t>
      </w:r>
      <w:r w:rsidRPr="005E1433">
        <w:rPr>
          <w:b w:val="0"/>
          <w:sz w:val="22"/>
          <w:szCs w:val="22"/>
        </w:rPr>
        <w:t xml:space="preserve">information collection request is authorized by the legislative authority 42 U.S. Code 42 U.S. Code § 285b–3- National Heart, Blood Vessel, Lung and Blood Diseases and Blood Resources Program; administrative provisions.  In accordance with the U.S Code § 285b–3, the NHLBI Proteomics Centers Program relates to the establishment of programs that apply “scientific and technological efforts involving the biological, physical, and engineering sciences on the refinement, development, and evaluation of technological devices that will assist, replace, or monitor vital organs and improve instrumentation for detection, diagnosis, and treatment of and rehabilitation from such diseases”.   Additionally, the NHLBI Proteomics Centers Program provides educational programs, research opportunities, and training opportunities for investigators and trainees.  The information collection will be used to determine to what </w:t>
      </w:r>
      <w:r w:rsidRPr="005E1433">
        <w:rPr>
          <w:b w:val="0"/>
          <w:sz w:val="22"/>
          <w:szCs w:val="22"/>
        </w:rPr>
        <w:lastRenderedPageBreak/>
        <w:t xml:space="preserve">extent the NHLBI Proteomics Centers have achieved results as outlined within the statuary mission of the Information Collection Code. </w:t>
      </w:r>
    </w:p>
    <w:p w:rsidR="00153949" w:rsidRDefault="003A14A7" w:rsidP="00153949">
      <w:pPr>
        <w:pStyle w:val="Heading1"/>
        <w:spacing w:line="480" w:lineRule="auto"/>
        <w:contextualSpacing/>
        <w:rPr>
          <w:b w:val="0"/>
          <w:sz w:val="22"/>
          <w:szCs w:val="22"/>
        </w:rPr>
      </w:pPr>
      <w:r w:rsidRPr="000C7A15">
        <w:rPr>
          <w:b w:val="0"/>
          <w:sz w:val="22"/>
          <w:szCs w:val="22"/>
        </w:rPr>
        <w:t xml:space="preserve">The National Heart Lung and Blood Institute (NHLBI) Proteomics Centers Program is administered within the Division of Cardiovascular Sciences at the NHLBI.  The </w:t>
      </w:r>
      <w:r w:rsidR="002939A2" w:rsidRPr="000C7A15">
        <w:rPr>
          <w:b w:val="0"/>
          <w:sz w:val="22"/>
          <w:szCs w:val="22"/>
        </w:rPr>
        <w:t>Proteomics Centers Program</w:t>
      </w:r>
      <w:r w:rsidRPr="000C7A15">
        <w:rPr>
          <w:b w:val="0"/>
          <w:sz w:val="22"/>
          <w:szCs w:val="22"/>
        </w:rPr>
        <w:t xml:space="preserve"> </w:t>
      </w:r>
      <w:r w:rsidR="00153949" w:rsidRPr="00153949">
        <w:rPr>
          <w:b w:val="0"/>
          <w:sz w:val="22"/>
          <w:szCs w:val="22"/>
        </w:rPr>
        <w:t xml:space="preserve">was established in FY2010 by the Division of Cardiovascular Sciences at the NHLBI, with contract funding ending in FY2015. The program consists of seven centers and an Administrative and Coordinating Center. The overarching goal of the program is to help facilitate a better understanding of the underlying mechanisms in heart, lung, and blood diseases which could contribute to more effective diagnoses, risk stratification, intervention, and prevention. Towards this goal, each of the Proteomic Centers encompasses three components to make an interactive team that includes proteomic technology development; molecular, mechanistic and functional studies; and application to clinical questions. </w:t>
      </w:r>
    </w:p>
    <w:p w:rsidR="00153949" w:rsidRDefault="00153949" w:rsidP="00153949">
      <w:pPr>
        <w:pStyle w:val="Heading1"/>
        <w:spacing w:line="480" w:lineRule="auto"/>
        <w:contextualSpacing/>
        <w:rPr>
          <w:b w:val="0"/>
          <w:sz w:val="22"/>
          <w:szCs w:val="22"/>
        </w:rPr>
      </w:pPr>
    </w:p>
    <w:p w:rsidR="00153949" w:rsidRPr="00153949" w:rsidRDefault="00153949" w:rsidP="00153949">
      <w:pPr>
        <w:pStyle w:val="Heading1"/>
        <w:spacing w:line="480" w:lineRule="auto"/>
        <w:contextualSpacing/>
        <w:rPr>
          <w:b w:val="0"/>
          <w:sz w:val="22"/>
          <w:szCs w:val="22"/>
        </w:rPr>
      </w:pPr>
      <w:r w:rsidRPr="00153949">
        <w:rPr>
          <w:b w:val="0"/>
          <w:sz w:val="22"/>
          <w:szCs w:val="22"/>
        </w:rPr>
        <w:t>The centers not only help fill existing knowledge gaps but also contribute to the integration and creation of a knowledgebase linking changes in proteomes with molecular phenotypes of disease. Tools developed through the program are made available to the larger community to further advance heart, lung, and blood research.  Training and research opportunities for investigators are also supported by the program.</w:t>
      </w:r>
    </w:p>
    <w:p w:rsidR="00153949" w:rsidRDefault="00153949" w:rsidP="00153949">
      <w:pPr>
        <w:pStyle w:val="Heading1"/>
        <w:spacing w:line="480" w:lineRule="auto"/>
        <w:contextualSpacing/>
        <w:rPr>
          <w:b w:val="0"/>
          <w:sz w:val="22"/>
          <w:szCs w:val="22"/>
        </w:rPr>
      </w:pPr>
      <w:r w:rsidRPr="00153949">
        <w:rPr>
          <w:b w:val="0"/>
          <w:sz w:val="22"/>
          <w:szCs w:val="22"/>
        </w:rPr>
        <w:t>The objectives of the centers align with NHLBI's</w:t>
      </w:r>
      <w:r>
        <w:rPr>
          <w:b w:val="0"/>
          <w:sz w:val="22"/>
          <w:szCs w:val="22"/>
        </w:rPr>
        <w:t xml:space="preserve"> </w:t>
      </w:r>
      <w:r w:rsidRPr="00153949">
        <w:rPr>
          <w:b w:val="0"/>
          <w:sz w:val="22"/>
          <w:szCs w:val="22"/>
        </w:rPr>
        <w:t>first Strategic Goal of helping improve understanding of the molecular and physiological basis of health and disease and to use that understanding to develop improved approaches to disease diagnosis, treatment, and prevention.</w:t>
      </w:r>
    </w:p>
    <w:p w:rsidR="00153949" w:rsidRDefault="00153949" w:rsidP="00153949">
      <w:pPr>
        <w:pStyle w:val="Heading1"/>
        <w:spacing w:line="480" w:lineRule="auto"/>
        <w:contextualSpacing/>
        <w:rPr>
          <w:b w:val="0"/>
          <w:sz w:val="22"/>
          <w:szCs w:val="22"/>
        </w:rPr>
      </w:pPr>
    </w:p>
    <w:p w:rsidR="00790FBF" w:rsidRPr="00C106F6" w:rsidRDefault="003A14A7" w:rsidP="000C7A15">
      <w:pPr>
        <w:pStyle w:val="Heading1"/>
        <w:spacing w:line="480" w:lineRule="auto"/>
        <w:contextualSpacing/>
        <w:rPr>
          <w:b w:val="0"/>
          <w:iCs/>
          <w:sz w:val="22"/>
          <w:szCs w:val="22"/>
        </w:rPr>
      </w:pPr>
      <w:r w:rsidRPr="000C7A15">
        <w:rPr>
          <w:b w:val="0"/>
          <w:sz w:val="22"/>
          <w:szCs w:val="22"/>
        </w:rPr>
        <w:t xml:space="preserve">The </w:t>
      </w:r>
      <w:r w:rsidR="002939A2" w:rsidRPr="000C7A15">
        <w:rPr>
          <w:b w:val="0"/>
          <w:sz w:val="22"/>
          <w:szCs w:val="22"/>
        </w:rPr>
        <w:t>Proteomics Centers Program</w:t>
      </w:r>
      <w:r w:rsidR="002939A2">
        <w:rPr>
          <w:b w:val="0"/>
          <w:sz w:val="22"/>
          <w:szCs w:val="22"/>
        </w:rPr>
        <w:t xml:space="preserve"> consists of seven contracted research centers</w:t>
      </w:r>
      <w:r w:rsidR="002939A2">
        <w:rPr>
          <w:rStyle w:val="FootnoteReference"/>
          <w:b w:val="0"/>
          <w:sz w:val="22"/>
          <w:szCs w:val="22"/>
        </w:rPr>
        <w:footnoteReference w:id="1"/>
      </w:r>
      <w:r w:rsidRPr="000C7A15">
        <w:rPr>
          <w:b w:val="0"/>
          <w:sz w:val="22"/>
          <w:szCs w:val="22"/>
        </w:rPr>
        <w:t xml:space="preserve"> and an Administrative and Coordinating Cente</w:t>
      </w:r>
      <w:r w:rsidR="00E419DB" w:rsidRPr="000C7A15">
        <w:rPr>
          <w:b w:val="0"/>
          <w:sz w:val="22"/>
          <w:szCs w:val="22"/>
        </w:rPr>
        <w:t>r</w:t>
      </w:r>
      <w:r w:rsidR="002939A2">
        <w:rPr>
          <w:rStyle w:val="FootnoteReference"/>
          <w:b w:val="0"/>
          <w:sz w:val="22"/>
          <w:szCs w:val="22"/>
        </w:rPr>
        <w:footnoteReference w:id="2"/>
      </w:r>
      <w:r w:rsidR="002939A2">
        <w:rPr>
          <w:b w:val="0"/>
          <w:sz w:val="22"/>
          <w:szCs w:val="22"/>
        </w:rPr>
        <w:t>.  The</w:t>
      </w:r>
      <w:r w:rsidR="00B2505D" w:rsidRPr="000C7A15">
        <w:rPr>
          <w:b w:val="0"/>
          <w:sz w:val="22"/>
          <w:szCs w:val="22"/>
        </w:rPr>
        <w:t xml:space="preserve"> </w:t>
      </w:r>
      <w:r w:rsidR="002939A2">
        <w:rPr>
          <w:b w:val="0"/>
          <w:sz w:val="22"/>
          <w:szCs w:val="22"/>
        </w:rPr>
        <w:t xml:space="preserve">current </w:t>
      </w:r>
      <w:r w:rsidR="00B2505D" w:rsidRPr="000C7A15">
        <w:rPr>
          <w:b w:val="0"/>
          <w:sz w:val="22"/>
          <w:szCs w:val="22"/>
        </w:rPr>
        <w:t>contract</w:t>
      </w:r>
      <w:r w:rsidR="002939A2">
        <w:rPr>
          <w:b w:val="0"/>
          <w:sz w:val="22"/>
          <w:szCs w:val="22"/>
        </w:rPr>
        <w:t xml:space="preserve"> mechanism for the centers</w:t>
      </w:r>
      <w:r w:rsidR="00B2505D" w:rsidRPr="000C7A15">
        <w:rPr>
          <w:b w:val="0"/>
          <w:sz w:val="22"/>
          <w:szCs w:val="22"/>
        </w:rPr>
        <w:t xml:space="preserve"> expires in August of 2015</w:t>
      </w:r>
      <w:r w:rsidR="00E419DB" w:rsidRPr="000C7A15">
        <w:rPr>
          <w:b w:val="0"/>
          <w:iCs/>
          <w:sz w:val="22"/>
          <w:szCs w:val="22"/>
        </w:rPr>
        <w:t xml:space="preserve">. </w:t>
      </w:r>
      <w:r w:rsidR="002939A2">
        <w:rPr>
          <w:b w:val="0"/>
          <w:iCs/>
          <w:sz w:val="22"/>
          <w:szCs w:val="22"/>
        </w:rPr>
        <w:t xml:space="preserve"> </w:t>
      </w:r>
      <w:r w:rsidR="00790FBF" w:rsidRPr="000C7A15">
        <w:rPr>
          <w:b w:val="0"/>
          <w:iCs/>
          <w:sz w:val="22"/>
          <w:szCs w:val="22"/>
        </w:rPr>
        <w:t xml:space="preserve">Each NHLBI Proteomic Center </w:t>
      </w:r>
      <w:r w:rsidR="002939A2">
        <w:rPr>
          <w:b w:val="0"/>
          <w:iCs/>
          <w:sz w:val="22"/>
          <w:szCs w:val="22"/>
        </w:rPr>
        <w:t xml:space="preserve">works to </w:t>
      </w:r>
      <w:r w:rsidR="002F7F52">
        <w:rPr>
          <w:b w:val="0"/>
          <w:iCs/>
          <w:sz w:val="22"/>
          <w:szCs w:val="22"/>
        </w:rPr>
        <w:t>integrate</w:t>
      </w:r>
      <w:r w:rsidR="00790FBF" w:rsidRPr="000C7A15">
        <w:rPr>
          <w:b w:val="0"/>
          <w:iCs/>
          <w:sz w:val="22"/>
          <w:szCs w:val="22"/>
        </w:rPr>
        <w:t xml:space="preserve"> multid</w:t>
      </w:r>
      <w:r w:rsidR="00DD051F">
        <w:rPr>
          <w:b w:val="0"/>
          <w:iCs/>
          <w:sz w:val="22"/>
          <w:szCs w:val="22"/>
        </w:rPr>
        <w:t>isciplinary expertise including</w:t>
      </w:r>
      <w:r w:rsidR="00790FBF" w:rsidRPr="000C7A15">
        <w:rPr>
          <w:b w:val="0"/>
          <w:iCs/>
          <w:sz w:val="22"/>
          <w:szCs w:val="22"/>
        </w:rPr>
        <w:t xml:space="preserve"> proteomics, </w:t>
      </w:r>
      <w:r w:rsidR="00790FBF" w:rsidRPr="000C7A15">
        <w:rPr>
          <w:b w:val="0"/>
          <w:iCs/>
          <w:sz w:val="22"/>
          <w:szCs w:val="22"/>
        </w:rPr>
        <w:lastRenderedPageBreak/>
        <w:t xml:space="preserve">physiology, clinical studies, molecular biology, genomics, chemistry, physics, engineering, computational biology, bioinformatics, and biostatistics to advance proteomic applications in </w:t>
      </w:r>
      <w:r w:rsidR="00790FBF" w:rsidRPr="00C106F6">
        <w:rPr>
          <w:b w:val="0"/>
          <w:iCs/>
          <w:sz w:val="22"/>
          <w:szCs w:val="22"/>
        </w:rPr>
        <w:t>heart, lung, blood</w:t>
      </w:r>
      <w:r w:rsidR="002E1F4D" w:rsidRPr="00C106F6">
        <w:rPr>
          <w:b w:val="0"/>
          <w:iCs/>
          <w:sz w:val="22"/>
          <w:szCs w:val="22"/>
        </w:rPr>
        <w:t>, and sleep diseases and disorders.  Additionally, each program contractor identifies and addresses specific clinical need</w:t>
      </w:r>
      <w:r w:rsidR="00DD051F">
        <w:rPr>
          <w:b w:val="0"/>
          <w:iCs/>
          <w:sz w:val="22"/>
          <w:szCs w:val="22"/>
        </w:rPr>
        <w:t xml:space="preserve">s, </w:t>
      </w:r>
      <w:r w:rsidR="002E1F4D" w:rsidRPr="00C106F6">
        <w:rPr>
          <w:b w:val="0"/>
          <w:iCs/>
          <w:sz w:val="22"/>
          <w:szCs w:val="22"/>
        </w:rPr>
        <w:t>problem</w:t>
      </w:r>
      <w:r w:rsidR="00DD051F">
        <w:rPr>
          <w:b w:val="0"/>
          <w:iCs/>
          <w:sz w:val="22"/>
          <w:szCs w:val="22"/>
        </w:rPr>
        <w:t xml:space="preserve">s, </w:t>
      </w:r>
      <w:r w:rsidR="002E1F4D" w:rsidRPr="00C106F6">
        <w:rPr>
          <w:b w:val="0"/>
          <w:iCs/>
          <w:sz w:val="22"/>
          <w:szCs w:val="22"/>
        </w:rPr>
        <w:t>disease</w:t>
      </w:r>
      <w:r w:rsidR="00DD051F">
        <w:rPr>
          <w:b w:val="0"/>
          <w:iCs/>
          <w:sz w:val="22"/>
          <w:szCs w:val="22"/>
        </w:rPr>
        <w:t xml:space="preserve">s, and/or </w:t>
      </w:r>
      <w:r w:rsidR="002E1F4D" w:rsidRPr="00C106F6">
        <w:rPr>
          <w:b w:val="0"/>
          <w:iCs/>
          <w:sz w:val="22"/>
          <w:szCs w:val="22"/>
        </w:rPr>
        <w:t>process</w:t>
      </w:r>
      <w:r w:rsidR="00DD051F">
        <w:rPr>
          <w:b w:val="0"/>
          <w:iCs/>
          <w:sz w:val="22"/>
          <w:szCs w:val="22"/>
        </w:rPr>
        <w:t>es</w:t>
      </w:r>
      <w:r w:rsidR="002E1F4D" w:rsidRPr="00C106F6">
        <w:rPr>
          <w:b w:val="0"/>
          <w:iCs/>
          <w:sz w:val="22"/>
          <w:szCs w:val="22"/>
        </w:rPr>
        <w:t xml:space="preserve">.  </w:t>
      </w:r>
      <w:r w:rsidR="00790FBF" w:rsidRPr="00C106F6">
        <w:rPr>
          <w:b w:val="0"/>
          <w:iCs/>
          <w:sz w:val="22"/>
          <w:szCs w:val="22"/>
        </w:rPr>
        <w:t xml:space="preserve">  </w:t>
      </w:r>
    </w:p>
    <w:p w:rsidR="000C7A15" w:rsidRPr="00C106F6" w:rsidRDefault="000C7A15" w:rsidP="000C7A15">
      <w:pPr>
        <w:pStyle w:val="Heading1"/>
        <w:spacing w:line="480" w:lineRule="auto"/>
        <w:contextualSpacing/>
        <w:rPr>
          <w:b w:val="0"/>
          <w:sz w:val="22"/>
          <w:szCs w:val="22"/>
        </w:rPr>
      </w:pPr>
    </w:p>
    <w:p w:rsidR="00C106F6" w:rsidRPr="00C106F6" w:rsidRDefault="002E1F4D" w:rsidP="00C106F6">
      <w:pPr>
        <w:pStyle w:val="Heading1"/>
        <w:spacing w:line="480" w:lineRule="auto"/>
        <w:contextualSpacing/>
        <w:rPr>
          <w:b w:val="0"/>
          <w:sz w:val="22"/>
          <w:szCs w:val="22"/>
        </w:rPr>
      </w:pPr>
      <w:r w:rsidRPr="00C106F6">
        <w:rPr>
          <w:b w:val="0"/>
          <w:sz w:val="22"/>
          <w:szCs w:val="22"/>
        </w:rPr>
        <w:t xml:space="preserve">The primary goal of the program is to help facilitate a better understanding of the underlying mechanisms in heart, lung, and blood diseases which could contribute to more effective diagnoses, risk stratification, intervention, and prevention. </w:t>
      </w:r>
      <w:r w:rsidR="000C7A15" w:rsidRPr="00C106F6">
        <w:rPr>
          <w:b w:val="0"/>
          <w:sz w:val="22"/>
          <w:szCs w:val="22"/>
        </w:rPr>
        <w:t xml:space="preserve"> </w:t>
      </w:r>
      <w:r w:rsidR="00F03B46">
        <w:rPr>
          <w:b w:val="0"/>
          <w:sz w:val="22"/>
          <w:szCs w:val="22"/>
        </w:rPr>
        <w:t>Toward</w:t>
      </w:r>
      <w:r w:rsidRPr="00C106F6">
        <w:rPr>
          <w:b w:val="0"/>
          <w:sz w:val="22"/>
          <w:szCs w:val="22"/>
        </w:rPr>
        <w:t xml:space="preserve"> this goal, each of the Proteomic Centers encompasses three components to make an interactive team that includes</w:t>
      </w:r>
      <w:r w:rsidR="00F03B46">
        <w:rPr>
          <w:b w:val="0"/>
          <w:sz w:val="22"/>
          <w:szCs w:val="22"/>
        </w:rPr>
        <w:t xml:space="preserve"> (1)</w:t>
      </w:r>
      <w:r w:rsidRPr="00C106F6">
        <w:rPr>
          <w:b w:val="0"/>
          <w:sz w:val="22"/>
          <w:szCs w:val="22"/>
        </w:rPr>
        <w:t xml:space="preserve"> proteomic technology development</w:t>
      </w:r>
      <w:r w:rsidR="00F03B46">
        <w:rPr>
          <w:b w:val="0"/>
          <w:sz w:val="22"/>
          <w:szCs w:val="22"/>
        </w:rPr>
        <w:t>, (2)</w:t>
      </w:r>
      <w:r w:rsidRPr="00C106F6">
        <w:rPr>
          <w:b w:val="0"/>
          <w:sz w:val="22"/>
          <w:szCs w:val="22"/>
        </w:rPr>
        <w:t xml:space="preserve"> molecular, mechanistic and functional studie</w:t>
      </w:r>
      <w:r w:rsidR="00F03B46">
        <w:rPr>
          <w:b w:val="0"/>
          <w:sz w:val="22"/>
          <w:szCs w:val="22"/>
        </w:rPr>
        <w:t>s, and (3)</w:t>
      </w:r>
      <w:r w:rsidRPr="00C106F6">
        <w:rPr>
          <w:b w:val="0"/>
          <w:sz w:val="22"/>
          <w:szCs w:val="22"/>
        </w:rPr>
        <w:t xml:space="preserve"> application to clinical questions.  The centers not only help fill existing knowledge gaps</w:t>
      </w:r>
      <w:r w:rsidR="008B0530" w:rsidRPr="00C106F6">
        <w:rPr>
          <w:b w:val="0"/>
          <w:sz w:val="22"/>
          <w:szCs w:val="22"/>
        </w:rPr>
        <w:t>,</w:t>
      </w:r>
      <w:r w:rsidRPr="00C106F6">
        <w:rPr>
          <w:b w:val="0"/>
          <w:sz w:val="22"/>
          <w:szCs w:val="22"/>
        </w:rPr>
        <w:t xml:space="preserve"> but also contribute to the integration and creation of a knowledgebase linking changes in proteomes with molecular phenotypes of disease.  Tools developed through the program are made available to the larger community to further advance heart, lung, and blood research.  Training and research opportunities for investigators are also supported by the program.</w:t>
      </w:r>
    </w:p>
    <w:p w:rsidR="0027733A" w:rsidRDefault="0027733A" w:rsidP="00C106F6">
      <w:pPr>
        <w:pStyle w:val="Heading1"/>
        <w:spacing w:line="480" w:lineRule="auto"/>
        <w:contextualSpacing/>
        <w:rPr>
          <w:b w:val="0"/>
          <w:sz w:val="22"/>
          <w:szCs w:val="22"/>
        </w:rPr>
      </w:pPr>
    </w:p>
    <w:p w:rsidR="00C106F6" w:rsidRPr="00441206" w:rsidRDefault="00F91011" w:rsidP="00C106F6">
      <w:pPr>
        <w:pStyle w:val="Heading1"/>
        <w:spacing w:line="480" w:lineRule="auto"/>
        <w:contextualSpacing/>
        <w:rPr>
          <w:b w:val="0"/>
          <w:sz w:val="22"/>
          <w:szCs w:val="22"/>
        </w:rPr>
      </w:pPr>
      <w:r w:rsidRPr="00C106F6">
        <w:rPr>
          <w:b w:val="0"/>
          <w:sz w:val="22"/>
          <w:szCs w:val="22"/>
        </w:rPr>
        <w:t xml:space="preserve">Given the rapid developments in proteomic technologies and approaches in the last five years, it is important to determine the extent to which </w:t>
      </w:r>
      <w:r w:rsidR="002939A2">
        <w:rPr>
          <w:b w:val="0"/>
          <w:sz w:val="22"/>
          <w:szCs w:val="22"/>
        </w:rPr>
        <w:t>the efforts of the centers have</w:t>
      </w:r>
      <w:r w:rsidRPr="00C106F6">
        <w:rPr>
          <w:b w:val="0"/>
          <w:sz w:val="22"/>
          <w:szCs w:val="22"/>
        </w:rPr>
        <w:t xml:space="preserve"> matured, leading to discovery of new targets for intervention and clinically actionable tool sets. </w:t>
      </w:r>
      <w:r w:rsidR="002939A2">
        <w:rPr>
          <w:b w:val="0"/>
          <w:sz w:val="22"/>
          <w:szCs w:val="22"/>
        </w:rPr>
        <w:t xml:space="preserve"> </w:t>
      </w:r>
      <w:r w:rsidR="00700334" w:rsidRPr="00C106F6">
        <w:rPr>
          <w:b w:val="0"/>
          <w:sz w:val="22"/>
          <w:szCs w:val="22"/>
        </w:rPr>
        <w:t xml:space="preserve">An </w:t>
      </w:r>
      <w:r w:rsidR="002E1F4D" w:rsidRPr="00C106F6">
        <w:rPr>
          <w:b w:val="0"/>
          <w:sz w:val="22"/>
          <w:szCs w:val="22"/>
        </w:rPr>
        <w:t>eighteen</w:t>
      </w:r>
      <w:r w:rsidR="006670F0" w:rsidRPr="00C106F6">
        <w:rPr>
          <w:b w:val="0"/>
          <w:sz w:val="22"/>
          <w:szCs w:val="22"/>
        </w:rPr>
        <w:t>-month</w:t>
      </w:r>
      <w:r w:rsidRPr="00C106F6">
        <w:rPr>
          <w:b w:val="0"/>
          <w:sz w:val="22"/>
          <w:szCs w:val="22"/>
        </w:rPr>
        <w:t xml:space="preserve"> outcome evaluation will coincide with the completion of funding for the program</w:t>
      </w:r>
      <w:r w:rsidRPr="00441206">
        <w:rPr>
          <w:b w:val="0"/>
          <w:sz w:val="22"/>
          <w:szCs w:val="22"/>
        </w:rPr>
        <w:t>.</w:t>
      </w:r>
      <w:r w:rsidR="002939A2" w:rsidRPr="00441206">
        <w:rPr>
          <w:b w:val="0"/>
          <w:sz w:val="22"/>
          <w:szCs w:val="22"/>
        </w:rPr>
        <w:t xml:space="preserve">  This information collection request is being made for </w:t>
      </w:r>
      <w:r w:rsidR="00700334" w:rsidRPr="00441206">
        <w:rPr>
          <w:b w:val="0"/>
          <w:sz w:val="22"/>
          <w:szCs w:val="22"/>
        </w:rPr>
        <w:t>o</w:t>
      </w:r>
      <w:r w:rsidR="002939A2" w:rsidRPr="00441206">
        <w:rPr>
          <w:b w:val="0"/>
          <w:sz w:val="22"/>
          <w:szCs w:val="22"/>
        </w:rPr>
        <w:t>ne component of this evaluation:</w:t>
      </w:r>
      <w:r w:rsidR="00700334" w:rsidRPr="00441206">
        <w:rPr>
          <w:b w:val="0"/>
          <w:sz w:val="22"/>
          <w:szCs w:val="22"/>
        </w:rPr>
        <w:t xml:space="preserve"> semi-structured interviews </w:t>
      </w:r>
      <w:r w:rsidR="000C7A15" w:rsidRPr="00441206">
        <w:rPr>
          <w:b w:val="0"/>
          <w:sz w:val="22"/>
          <w:szCs w:val="22"/>
        </w:rPr>
        <w:t>with key informants across four targeted groups, internal and external to the program.</w:t>
      </w:r>
    </w:p>
    <w:p w:rsidR="002939A2" w:rsidRDefault="002939A2" w:rsidP="002939A2">
      <w:pPr>
        <w:pStyle w:val="Heading1"/>
        <w:spacing w:line="480" w:lineRule="auto"/>
        <w:contextualSpacing/>
        <w:rPr>
          <w:b w:val="0"/>
          <w:sz w:val="22"/>
          <w:szCs w:val="22"/>
        </w:rPr>
      </w:pPr>
    </w:p>
    <w:p w:rsidR="002939A2" w:rsidRPr="000C7A15" w:rsidRDefault="002939A2" w:rsidP="002939A2">
      <w:pPr>
        <w:pStyle w:val="Heading1"/>
        <w:spacing w:line="480" w:lineRule="auto"/>
        <w:contextualSpacing/>
        <w:rPr>
          <w:b w:val="0"/>
          <w:sz w:val="22"/>
          <w:szCs w:val="22"/>
        </w:rPr>
      </w:pPr>
      <w:r w:rsidRPr="000C7A15">
        <w:rPr>
          <w:b w:val="0"/>
          <w:sz w:val="22"/>
          <w:szCs w:val="22"/>
        </w:rPr>
        <w:t>The results of the evaluation will help determine the extent to which these desired outcomes were achieved as well as to inform future of proteomics research funding and commitments by the NHLBI</w:t>
      </w:r>
      <w:r w:rsidRPr="00775E9D">
        <w:rPr>
          <w:b w:val="0"/>
          <w:sz w:val="22"/>
          <w:szCs w:val="22"/>
        </w:rPr>
        <w:t xml:space="preserve">. The key informant interviews are necessary to understand the perspectives of internal and external program stakeholders as it relates to the success, limitations, and opportunities that can shape future research </w:t>
      </w:r>
      <w:r w:rsidRPr="00775E9D">
        <w:rPr>
          <w:b w:val="0"/>
          <w:sz w:val="22"/>
          <w:szCs w:val="22"/>
        </w:rPr>
        <w:lastRenderedPageBreak/>
        <w:t>funding.   The National Heart, Lung and Blood Institute (NHLBI), Office of Acquisitions (OA),</w:t>
      </w:r>
      <w:r w:rsidRPr="000C7A15">
        <w:rPr>
          <w:b w:val="0"/>
          <w:sz w:val="22"/>
          <w:szCs w:val="22"/>
        </w:rPr>
        <w:t xml:space="preserve"> Consolidated Operation Acquisition Center (COAC) Services Branch, has a requirement for supporting the program evaluation of the NHLBI Proteomics Centers Program in accordance with Part III- Statement of Work (SOW).  In accordance with the procedures of FAR subpart 8.405-2, the NHLBI awarded Concept Systems, Incorporated (CSI) a single task order to provide an eighteen -month program evaluation, which includes </w:t>
      </w:r>
      <w:r>
        <w:rPr>
          <w:b w:val="0"/>
          <w:sz w:val="22"/>
          <w:szCs w:val="22"/>
        </w:rPr>
        <w:t>facilitation of key informant interviews as outlined in this information collection request.</w:t>
      </w:r>
      <w:r w:rsidRPr="000C7A15">
        <w:rPr>
          <w:b w:val="0"/>
          <w:sz w:val="22"/>
          <w:szCs w:val="22"/>
        </w:rPr>
        <w:t xml:space="preserve"> </w:t>
      </w:r>
    </w:p>
    <w:p w:rsidR="00D47D4F" w:rsidRPr="00C106F6" w:rsidRDefault="00D47D4F" w:rsidP="002939A2">
      <w:pPr>
        <w:spacing w:line="480" w:lineRule="auto"/>
        <w:contextualSpacing/>
        <w:rPr>
          <w:rFonts w:ascii="Times New Roman" w:hAnsi="Times New Roman" w:cs="Times New Roman"/>
        </w:rPr>
      </w:pPr>
      <w:r w:rsidRPr="00C106F6">
        <w:rPr>
          <w:rFonts w:ascii="Times New Roman" w:hAnsi="Times New Roman" w:cs="Times New Roman"/>
        </w:rPr>
        <w:t xml:space="preserve">  </w:t>
      </w:r>
    </w:p>
    <w:p w:rsidR="000C7A15" w:rsidRDefault="000C7A15" w:rsidP="002939A2">
      <w:pPr>
        <w:widowControl w:val="0"/>
        <w:tabs>
          <w:tab w:val="left" w:pos="9270"/>
        </w:tabs>
        <w:overflowPunct w:val="0"/>
        <w:autoSpaceDE w:val="0"/>
        <w:autoSpaceDN w:val="0"/>
        <w:adjustRightInd w:val="0"/>
        <w:spacing w:after="0" w:line="480" w:lineRule="auto"/>
        <w:contextualSpacing/>
        <w:rPr>
          <w:rFonts w:ascii="Times New Roman" w:hAnsi="Times New Roman" w:cs="Times New Roman"/>
          <w:b/>
        </w:rPr>
      </w:pPr>
    </w:p>
    <w:p w:rsidR="00D47D4F" w:rsidRPr="000C7A15" w:rsidRDefault="00AA593F" w:rsidP="002939A2">
      <w:pPr>
        <w:widowControl w:val="0"/>
        <w:tabs>
          <w:tab w:val="left" w:pos="9270"/>
        </w:tabs>
        <w:overflowPunct w:val="0"/>
        <w:autoSpaceDE w:val="0"/>
        <w:autoSpaceDN w:val="0"/>
        <w:adjustRightInd w:val="0"/>
        <w:spacing w:after="0" w:line="480" w:lineRule="auto"/>
        <w:contextualSpacing/>
        <w:rPr>
          <w:rFonts w:ascii="Times New Roman" w:hAnsi="Times New Roman" w:cs="Times New Roman"/>
          <w:b/>
        </w:rPr>
      </w:pPr>
      <w:bookmarkStart w:id="1" w:name="A2"/>
      <w:r w:rsidRPr="000C7A15">
        <w:rPr>
          <w:rFonts w:ascii="Times New Roman" w:hAnsi="Times New Roman" w:cs="Times New Roman"/>
          <w:b/>
        </w:rPr>
        <w:t>A2. Purpose and U</w:t>
      </w:r>
      <w:r w:rsidR="00D47D4F" w:rsidRPr="000C7A15">
        <w:rPr>
          <w:rFonts w:ascii="Times New Roman" w:hAnsi="Times New Roman" w:cs="Times New Roman"/>
          <w:b/>
        </w:rPr>
        <w:t>se of the Information</w:t>
      </w:r>
    </w:p>
    <w:bookmarkEnd w:id="1"/>
    <w:p w:rsidR="00A20CD3" w:rsidRPr="000C7A15" w:rsidRDefault="00D74BBF" w:rsidP="002939A2">
      <w:pPr>
        <w:widowControl w:val="0"/>
        <w:tabs>
          <w:tab w:val="left" w:pos="9270"/>
        </w:tabs>
        <w:overflowPunct w:val="0"/>
        <w:autoSpaceDE w:val="0"/>
        <w:autoSpaceDN w:val="0"/>
        <w:adjustRightInd w:val="0"/>
        <w:spacing w:after="0" w:line="480" w:lineRule="auto"/>
        <w:contextualSpacing/>
        <w:rPr>
          <w:rFonts w:ascii="Times New Roman" w:hAnsi="Times New Roman" w:cs="Times New Roman"/>
        </w:rPr>
      </w:pPr>
      <w:r w:rsidRPr="000C7A15">
        <w:rPr>
          <w:rFonts w:ascii="Times New Roman" w:hAnsi="Times New Roman" w:cs="Times New Roman"/>
        </w:rPr>
        <w:t xml:space="preserve">This request constitutes a new collection, the purpose of which is to ascertain the perspectives of </w:t>
      </w:r>
      <w:r w:rsidR="008433AC" w:rsidRPr="000C7A15">
        <w:rPr>
          <w:rFonts w:ascii="Times New Roman" w:hAnsi="Times New Roman" w:cs="Times New Roman"/>
        </w:rPr>
        <w:t xml:space="preserve">selected </w:t>
      </w:r>
      <w:r w:rsidRPr="000C7A15">
        <w:rPr>
          <w:rFonts w:ascii="Times New Roman" w:hAnsi="Times New Roman" w:cs="Times New Roman"/>
        </w:rPr>
        <w:t>individuals internal and external to the Proteomic</w:t>
      </w:r>
      <w:r w:rsidR="002939A2">
        <w:rPr>
          <w:rFonts w:ascii="Times New Roman" w:hAnsi="Times New Roman" w:cs="Times New Roman"/>
        </w:rPr>
        <w:t>s Centers P</w:t>
      </w:r>
      <w:r w:rsidR="008433AC" w:rsidRPr="000C7A15">
        <w:rPr>
          <w:rFonts w:ascii="Times New Roman" w:hAnsi="Times New Roman" w:cs="Times New Roman"/>
        </w:rPr>
        <w:t xml:space="preserve">rogram.  </w:t>
      </w:r>
      <w:r w:rsidR="00A20CD3" w:rsidRPr="00775E9D">
        <w:rPr>
          <w:rFonts w:ascii="Times New Roman" w:hAnsi="Times New Roman" w:cs="Times New Roman"/>
        </w:rPr>
        <w:t xml:space="preserve">A set of qualitative, semi-structured interviews </w:t>
      </w:r>
      <w:r w:rsidR="002939A2" w:rsidRPr="00775E9D">
        <w:rPr>
          <w:rFonts w:ascii="Times New Roman" w:hAnsi="Times New Roman" w:cs="Times New Roman"/>
        </w:rPr>
        <w:t>will be conducted to gather</w:t>
      </w:r>
      <w:r w:rsidR="00A20CD3" w:rsidRPr="00775E9D">
        <w:rPr>
          <w:rFonts w:ascii="Times New Roman" w:hAnsi="Times New Roman" w:cs="Times New Roman"/>
        </w:rPr>
        <w:t xml:space="preserve"> position and role-specific insights </w:t>
      </w:r>
      <w:r w:rsidR="00BC3718" w:rsidRPr="00775E9D">
        <w:rPr>
          <w:rFonts w:ascii="Times New Roman" w:hAnsi="Times New Roman" w:cs="Times New Roman"/>
        </w:rPr>
        <w:t>as to the</w:t>
      </w:r>
      <w:r w:rsidR="00775E9D" w:rsidRPr="00775E9D">
        <w:rPr>
          <w:rFonts w:ascii="Times New Roman" w:hAnsi="Times New Roman" w:cs="Times New Roman"/>
        </w:rPr>
        <w:t xml:space="preserve"> attainment of specific outcomes related to the coordination, facilitation, management, and operation</w:t>
      </w:r>
      <w:r w:rsidR="00775E9D">
        <w:rPr>
          <w:rFonts w:ascii="Times New Roman" w:hAnsi="Times New Roman" w:cs="Times New Roman"/>
        </w:rPr>
        <w:t xml:space="preserve"> of a center-based model of scientific inquiry in proteomics research.  </w:t>
      </w:r>
      <w:r w:rsidR="00A20CD3" w:rsidRPr="000C7A15">
        <w:rPr>
          <w:rFonts w:ascii="Times New Roman" w:hAnsi="Times New Roman" w:cs="Times New Roman"/>
        </w:rPr>
        <w:t xml:space="preserve">The </w:t>
      </w:r>
      <w:r w:rsidR="00A20CD3">
        <w:rPr>
          <w:rFonts w:ascii="Times New Roman" w:hAnsi="Times New Roman" w:cs="Times New Roman"/>
        </w:rPr>
        <w:t xml:space="preserve">key informant interviews </w:t>
      </w:r>
      <w:r w:rsidR="00E06BEE">
        <w:rPr>
          <w:rFonts w:ascii="Times New Roman" w:hAnsi="Times New Roman" w:cs="Times New Roman"/>
        </w:rPr>
        <w:t>are</w:t>
      </w:r>
      <w:r w:rsidR="00A20CD3" w:rsidRPr="000C7A15">
        <w:rPr>
          <w:rFonts w:ascii="Times New Roman" w:hAnsi="Times New Roman" w:cs="Times New Roman"/>
        </w:rPr>
        <w:t xml:space="preserve"> expected</w:t>
      </w:r>
      <w:r w:rsidR="00A20CD3">
        <w:rPr>
          <w:rFonts w:ascii="Times New Roman" w:hAnsi="Times New Roman" w:cs="Times New Roman"/>
        </w:rPr>
        <w:t xml:space="preserve"> to generate information</w:t>
      </w:r>
      <w:r w:rsidR="00BC3718">
        <w:rPr>
          <w:rFonts w:ascii="Times New Roman" w:hAnsi="Times New Roman" w:cs="Times New Roman"/>
        </w:rPr>
        <w:t xml:space="preserve"> that will enable a response to the following</w:t>
      </w:r>
      <w:r w:rsidR="00A20CD3" w:rsidRPr="000C7A15">
        <w:rPr>
          <w:rFonts w:ascii="Times New Roman" w:hAnsi="Times New Roman" w:cs="Times New Roman"/>
        </w:rPr>
        <w:t xml:space="preserve"> </w:t>
      </w:r>
      <w:r w:rsidR="00A20CD3">
        <w:rPr>
          <w:rFonts w:ascii="Times New Roman" w:hAnsi="Times New Roman" w:cs="Times New Roman"/>
        </w:rPr>
        <w:t>general</w:t>
      </w:r>
      <w:r w:rsidR="00BC3718">
        <w:rPr>
          <w:rFonts w:ascii="Times New Roman" w:hAnsi="Times New Roman" w:cs="Times New Roman"/>
        </w:rPr>
        <w:t xml:space="preserve"> evaluation</w:t>
      </w:r>
      <w:r w:rsidR="00A20CD3">
        <w:rPr>
          <w:rFonts w:ascii="Times New Roman" w:hAnsi="Times New Roman" w:cs="Times New Roman"/>
        </w:rPr>
        <w:t xml:space="preserve"> </w:t>
      </w:r>
      <w:r w:rsidR="00A20CD3" w:rsidRPr="000C7A15">
        <w:rPr>
          <w:rFonts w:ascii="Times New Roman" w:hAnsi="Times New Roman" w:cs="Times New Roman"/>
        </w:rPr>
        <w:t>questions:</w:t>
      </w:r>
    </w:p>
    <w:p w:rsidR="00A20CD3" w:rsidRPr="000C7A15" w:rsidRDefault="00A20CD3" w:rsidP="00A20CD3">
      <w:pPr>
        <w:widowControl w:val="0"/>
        <w:numPr>
          <w:ilvl w:val="0"/>
          <w:numId w:val="6"/>
        </w:numPr>
        <w:tabs>
          <w:tab w:val="left" w:pos="9270"/>
        </w:tabs>
        <w:overflowPunct w:val="0"/>
        <w:autoSpaceDE w:val="0"/>
        <w:autoSpaceDN w:val="0"/>
        <w:adjustRightInd w:val="0"/>
        <w:spacing w:after="0" w:line="480" w:lineRule="auto"/>
        <w:contextualSpacing/>
        <w:rPr>
          <w:rFonts w:ascii="Times New Roman" w:hAnsi="Times New Roman" w:cs="Times New Roman"/>
        </w:rPr>
      </w:pPr>
      <w:r w:rsidRPr="000C7A15">
        <w:rPr>
          <w:rFonts w:ascii="Times New Roman" w:hAnsi="Times New Roman" w:cs="Times New Roman"/>
        </w:rPr>
        <w:t xml:space="preserve">To what extent has the program developed and shared new tools and technologies? </w:t>
      </w:r>
    </w:p>
    <w:p w:rsidR="00A20CD3" w:rsidRPr="000C7A15" w:rsidRDefault="00A20CD3" w:rsidP="00A20CD3">
      <w:pPr>
        <w:widowControl w:val="0"/>
        <w:numPr>
          <w:ilvl w:val="0"/>
          <w:numId w:val="6"/>
        </w:numPr>
        <w:tabs>
          <w:tab w:val="left" w:pos="9270"/>
        </w:tabs>
        <w:overflowPunct w:val="0"/>
        <w:autoSpaceDE w:val="0"/>
        <w:autoSpaceDN w:val="0"/>
        <w:adjustRightInd w:val="0"/>
        <w:spacing w:after="0" w:line="480" w:lineRule="auto"/>
        <w:contextualSpacing/>
        <w:rPr>
          <w:rFonts w:ascii="Times New Roman" w:hAnsi="Times New Roman" w:cs="Times New Roman"/>
        </w:rPr>
      </w:pPr>
      <w:r w:rsidRPr="000C7A15">
        <w:rPr>
          <w:rFonts w:ascii="Times New Roman" w:hAnsi="Times New Roman" w:cs="Times New Roman"/>
        </w:rPr>
        <w:t xml:space="preserve">What outputs of the program have matured enough to be of clinical utility? To what extent has the program resulted in inventions, patent applications, spin-off companies, and licensing agreements? </w:t>
      </w:r>
    </w:p>
    <w:p w:rsidR="00A20CD3" w:rsidRPr="000C7A15" w:rsidRDefault="00A20CD3" w:rsidP="00A20CD3">
      <w:pPr>
        <w:widowControl w:val="0"/>
        <w:numPr>
          <w:ilvl w:val="0"/>
          <w:numId w:val="6"/>
        </w:numPr>
        <w:tabs>
          <w:tab w:val="left" w:pos="9270"/>
        </w:tabs>
        <w:overflowPunct w:val="0"/>
        <w:autoSpaceDE w:val="0"/>
        <w:autoSpaceDN w:val="0"/>
        <w:adjustRightInd w:val="0"/>
        <w:spacing w:after="0" w:line="480" w:lineRule="auto"/>
        <w:contextualSpacing/>
        <w:rPr>
          <w:rFonts w:ascii="Times New Roman" w:hAnsi="Times New Roman" w:cs="Times New Roman"/>
        </w:rPr>
      </w:pPr>
      <w:r w:rsidRPr="000C7A15">
        <w:rPr>
          <w:rFonts w:ascii="Times New Roman" w:hAnsi="Times New Roman" w:cs="Times New Roman"/>
        </w:rPr>
        <w:t xml:space="preserve">To what extent has the research contributed to the creation and integration of a knowledgebase linking changes in proteomes with molecular phenotypes of disease? </w:t>
      </w:r>
    </w:p>
    <w:p w:rsidR="00A20CD3" w:rsidRPr="000C7A15" w:rsidRDefault="00A20CD3" w:rsidP="00A20CD3">
      <w:pPr>
        <w:widowControl w:val="0"/>
        <w:numPr>
          <w:ilvl w:val="0"/>
          <w:numId w:val="6"/>
        </w:numPr>
        <w:tabs>
          <w:tab w:val="left" w:pos="9270"/>
        </w:tabs>
        <w:overflowPunct w:val="0"/>
        <w:autoSpaceDE w:val="0"/>
        <w:autoSpaceDN w:val="0"/>
        <w:adjustRightInd w:val="0"/>
        <w:spacing w:after="0" w:line="480" w:lineRule="auto"/>
        <w:contextualSpacing/>
        <w:rPr>
          <w:rFonts w:ascii="Times New Roman" w:hAnsi="Times New Roman" w:cs="Times New Roman"/>
        </w:rPr>
      </w:pPr>
      <w:r w:rsidRPr="000C7A15">
        <w:rPr>
          <w:rFonts w:ascii="Times New Roman" w:hAnsi="Times New Roman" w:cs="Times New Roman"/>
        </w:rPr>
        <w:t xml:space="preserve">In what areas has the program filled existing knowledge gaps in heart, lung, and blood disease biology? </w:t>
      </w:r>
    </w:p>
    <w:p w:rsidR="00A20CD3" w:rsidRPr="000C7A15" w:rsidRDefault="00A20CD3" w:rsidP="00A20CD3">
      <w:pPr>
        <w:widowControl w:val="0"/>
        <w:numPr>
          <w:ilvl w:val="0"/>
          <w:numId w:val="6"/>
        </w:numPr>
        <w:tabs>
          <w:tab w:val="left" w:pos="9270"/>
        </w:tabs>
        <w:overflowPunct w:val="0"/>
        <w:autoSpaceDE w:val="0"/>
        <w:autoSpaceDN w:val="0"/>
        <w:adjustRightInd w:val="0"/>
        <w:spacing w:after="0" w:line="480" w:lineRule="auto"/>
        <w:contextualSpacing/>
        <w:rPr>
          <w:rFonts w:ascii="Times New Roman" w:hAnsi="Times New Roman" w:cs="Times New Roman"/>
        </w:rPr>
      </w:pPr>
      <w:r w:rsidRPr="000C7A15">
        <w:rPr>
          <w:rFonts w:ascii="Times New Roman" w:hAnsi="Times New Roman" w:cs="Times New Roman"/>
        </w:rPr>
        <w:t xml:space="preserve">To what extent have the program investigators been collaborative within and outside their fields? </w:t>
      </w:r>
    </w:p>
    <w:p w:rsidR="00A20CD3" w:rsidRPr="000C7A15" w:rsidRDefault="00A20CD3" w:rsidP="00A20CD3">
      <w:pPr>
        <w:widowControl w:val="0"/>
        <w:numPr>
          <w:ilvl w:val="0"/>
          <w:numId w:val="6"/>
        </w:numPr>
        <w:tabs>
          <w:tab w:val="left" w:pos="9270"/>
        </w:tabs>
        <w:overflowPunct w:val="0"/>
        <w:autoSpaceDE w:val="0"/>
        <w:autoSpaceDN w:val="0"/>
        <w:adjustRightInd w:val="0"/>
        <w:spacing w:after="0" w:line="480" w:lineRule="auto"/>
        <w:contextualSpacing/>
        <w:rPr>
          <w:rFonts w:ascii="Times New Roman" w:hAnsi="Times New Roman" w:cs="Times New Roman"/>
        </w:rPr>
      </w:pPr>
      <w:r w:rsidRPr="000C7A15">
        <w:rPr>
          <w:rFonts w:ascii="Times New Roman" w:hAnsi="Times New Roman" w:cs="Times New Roman"/>
        </w:rPr>
        <w:lastRenderedPageBreak/>
        <w:t xml:space="preserve">To what extent was subsequent science informed by the research conducted by the program? </w:t>
      </w:r>
    </w:p>
    <w:p w:rsidR="00A20CD3" w:rsidRPr="000C7A15" w:rsidRDefault="00A20CD3" w:rsidP="00A20CD3">
      <w:pPr>
        <w:widowControl w:val="0"/>
        <w:numPr>
          <w:ilvl w:val="0"/>
          <w:numId w:val="6"/>
        </w:numPr>
        <w:tabs>
          <w:tab w:val="left" w:pos="9270"/>
        </w:tabs>
        <w:overflowPunct w:val="0"/>
        <w:autoSpaceDE w:val="0"/>
        <w:autoSpaceDN w:val="0"/>
        <w:adjustRightInd w:val="0"/>
        <w:spacing w:after="0" w:line="480" w:lineRule="auto"/>
        <w:contextualSpacing/>
        <w:rPr>
          <w:rFonts w:ascii="Times New Roman" w:hAnsi="Times New Roman" w:cs="Times New Roman"/>
        </w:rPr>
      </w:pPr>
      <w:r w:rsidRPr="000C7A15">
        <w:rPr>
          <w:rFonts w:ascii="Times New Roman" w:hAnsi="Times New Roman" w:cs="Times New Roman"/>
        </w:rPr>
        <w:t>To what extent has the program served as a springboard for subsequent academic appointments and professional recognition</w:t>
      </w:r>
      <w:bookmarkStart w:id="2" w:name="page32"/>
      <w:bookmarkStart w:id="3" w:name="page33"/>
      <w:bookmarkEnd w:id="2"/>
      <w:bookmarkEnd w:id="3"/>
      <w:r w:rsidR="00B45812">
        <w:rPr>
          <w:rFonts w:ascii="Times New Roman" w:hAnsi="Times New Roman" w:cs="Times New Roman"/>
        </w:rPr>
        <w:t>?</w:t>
      </w:r>
    </w:p>
    <w:p w:rsidR="00BC3718" w:rsidRPr="00D80DE8" w:rsidRDefault="00A20CD3" w:rsidP="00D74BBF">
      <w:pPr>
        <w:spacing w:after="0" w:line="480" w:lineRule="auto"/>
        <w:contextualSpacing/>
        <w:rPr>
          <w:rFonts w:ascii="Times New Roman" w:hAnsi="Times New Roman" w:cs="Times New Roman"/>
        </w:rPr>
      </w:pPr>
      <w:r w:rsidRPr="000C7A15">
        <w:rPr>
          <w:rFonts w:ascii="Times New Roman" w:hAnsi="Times New Roman" w:cs="Times New Roman"/>
        </w:rPr>
        <w:t xml:space="preserve">The </w:t>
      </w:r>
      <w:r>
        <w:rPr>
          <w:rFonts w:ascii="Times New Roman" w:hAnsi="Times New Roman" w:cs="Times New Roman"/>
        </w:rPr>
        <w:t xml:space="preserve">interviews </w:t>
      </w:r>
      <w:r w:rsidR="00D74BBF" w:rsidRPr="000C7A15">
        <w:rPr>
          <w:rFonts w:ascii="Times New Roman" w:hAnsi="Times New Roman" w:cs="Times New Roman"/>
        </w:rPr>
        <w:t xml:space="preserve">will be conducted with </w:t>
      </w:r>
      <w:r w:rsidR="00D74BBF" w:rsidRPr="000C7A15">
        <w:rPr>
          <w:rFonts w:ascii="Times New Roman" w:hAnsi="Times New Roman" w:cs="Times New Roman"/>
          <w:u w:val="single"/>
        </w:rPr>
        <w:t>key informants from 4 specific groups</w:t>
      </w:r>
      <w:r w:rsidR="00D74BBF" w:rsidRPr="000C7A15">
        <w:rPr>
          <w:rFonts w:ascii="Times New Roman" w:hAnsi="Times New Roman" w:cs="Times New Roman"/>
        </w:rPr>
        <w:t xml:space="preserve">: (1) principal investigators and key personnel from the seven centers; (2) proteomics investigators not funded by the NHLBI program (external investigators); (3) trainees (current and former) and junior investigators; and (4) NIH staff.  Using the </w:t>
      </w:r>
      <w:r w:rsidR="008433AC" w:rsidRPr="000C7A15">
        <w:rPr>
          <w:rFonts w:ascii="Times New Roman" w:hAnsi="Times New Roman" w:cs="Times New Roman"/>
        </w:rPr>
        <w:t xml:space="preserve">primary </w:t>
      </w:r>
      <w:r w:rsidR="00D74BBF" w:rsidRPr="000C7A15">
        <w:rPr>
          <w:rFonts w:ascii="Times New Roman" w:hAnsi="Times New Roman" w:cs="Times New Roman"/>
        </w:rPr>
        <w:t xml:space="preserve">evaluation questions as the guiding framework for </w:t>
      </w:r>
      <w:r w:rsidR="00AA593F" w:rsidRPr="000C7A15">
        <w:rPr>
          <w:rFonts w:ascii="Times New Roman" w:hAnsi="Times New Roman" w:cs="Times New Roman"/>
        </w:rPr>
        <w:t xml:space="preserve">establishing the specific </w:t>
      </w:r>
      <w:r w:rsidR="00D74BBF" w:rsidRPr="000C7A15">
        <w:rPr>
          <w:rFonts w:ascii="Times New Roman" w:hAnsi="Times New Roman" w:cs="Times New Roman"/>
        </w:rPr>
        <w:t>interview question</w:t>
      </w:r>
      <w:r w:rsidR="00AA593F" w:rsidRPr="000C7A15">
        <w:rPr>
          <w:rFonts w:ascii="Times New Roman" w:hAnsi="Times New Roman" w:cs="Times New Roman"/>
        </w:rPr>
        <w:t xml:space="preserve">s relative to each </w:t>
      </w:r>
      <w:r w:rsidR="00BC3718">
        <w:rPr>
          <w:rFonts w:ascii="Times New Roman" w:hAnsi="Times New Roman" w:cs="Times New Roman"/>
        </w:rPr>
        <w:t>development, Concept Systems, Inc</w:t>
      </w:r>
      <w:r w:rsidR="0088312E">
        <w:rPr>
          <w:rFonts w:ascii="Times New Roman" w:hAnsi="Times New Roman" w:cs="Times New Roman"/>
        </w:rPr>
        <w:t>.</w:t>
      </w:r>
      <w:r w:rsidR="00D74BBF" w:rsidRPr="000C7A15">
        <w:rPr>
          <w:rFonts w:ascii="Times New Roman" w:hAnsi="Times New Roman" w:cs="Times New Roman"/>
        </w:rPr>
        <w:t xml:space="preserve"> will use the </w:t>
      </w:r>
      <w:r w:rsidR="008433AC" w:rsidRPr="000C7A15">
        <w:rPr>
          <w:rFonts w:ascii="Times New Roman" w:hAnsi="Times New Roman" w:cs="Times New Roman"/>
        </w:rPr>
        <w:t xml:space="preserve">attached </w:t>
      </w:r>
      <w:r w:rsidR="00D74BBF" w:rsidRPr="000C7A15">
        <w:rPr>
          <w:rFonts w:ascii="Times New Roman" w:hAnsi="Times New Roman" w:cs="Times New Roman"/>
        </w:rPr>
        <w:t>interview guides</w:t>
      </w:r>
      <w:r w:rsidR="008433AC" w:rsidRPr="000C7A15">
        <w:rPr>
          <w:rFonts w:ascii="Times New Roman" w:hAnsi="Times New Roman" w:cs="Times New Roman"/>
        </w:rPr>
        <w:t xml:space="preserve"> (see appendix)</w:t>
      </w:r>
      <w:r w:rsidR="00D74BBF" w:rsidRPr="000C7A15">
        <w:rPr>
          <w:rFonts w:ascii="Times New Roman" w:hAnsi="Times New Roman" w:cs="Times New Roman"/>
        </w:rPr>
        <w:t xml:space="preserve"> to draw insights </w:t>
      </w:r>
      <w:r w:rsidR="00D74BBF" w:rsidRPr="00D80DE8">
        <w:rPr>
          <w:rFonts w:ascii="Times New Roman" w:hAnsi="Times New Roman" w:cs="Times New Roman"/>
        </w:rPr>
        <w:t xml:space="preserve">from multiple perspectives and triangulate sources of information in an effort to confirm observations and conclusions. </w:t>
      </w:r>
      <w:r w:rsidR="00BC3718" w:rsidRPr="00D80DE8">
        <w:rPr>
          <w:rFonts w:ascii="Times New Roman" w:hAnsi="Times New Roman" w:cs="Times New Roman"/>
        </w:rPr>
        <w:t xml:space="preserve"> </w:t>
      </w:r>
      <w:r w:rsidR="002D288D" w:rsidRPr="00D80DE8">
        <w:rPr>
          <w:rFonts w:ascii="Times New Roman" w:hAnsi="Times New Roman" w:cs="Times New Roman"/>
        </w:rPr>
        <w:t xml:space="preserve">Key informants are viewed as </w:t>
      </w:r>
      <w:r w:rsidR="00B45812">
        <w:rPr>
          <w:rFonts w:ascii="Times New Roman" w:hAnsi="Times New Roman" w:cs="Times New Roman"/>
        </w:rPr>
        <w:t>individuals</w:t>
      </w:r>
      <w:r w:rsidR="002D288D" w:rsidRPr="00D80DE8">
        <w:rPr>
          <w:rFonts w:ascii="Times New Roman" w:hAnsi="Times New Roman" w:cs="Times New Roman"/>
        </w:rPr>
        <w:t xml:space="preserve"> who are particularly knowledgeable and articulate, and who have insights that prove particularly helpful in</w:t>
      </w:r>
      <w:r w:rsidR="00B45812">
        <w:rPr>
          <w:rFonts w:ascii="Times New Roman" w:hAnsi="Times New Roman" w:cs="Times New Roman"/>
        </w:rPr>
        <w:t xml:space="preserve"> understanding the work of the program</w:t>
      </w:r>
      <w:r w:rsidR="002D288D" w:rsidRPr="00D80DE8">
        <w:rPr>
          <w:rFonts w:ascii="Times New Roman" w:hAnsi="Times New Roman" w:cs="Times New Roman"/>
        </w:rPr>
        <w:t xml:space="preserve">.  </w:t>
      </w:r>
      <w:r w:rsidR="00BC3718" w:rsidRPr="00D80DE8">
        <w:rPr>
          <w:rFonts w:ascii="Times New Roman" w:hAnsi="Times New Roman" w:cs="Times New Roman"/>
        </w:rPr>
        <w:t xml:space="preserve">Key informant interviews are necessary in this situation and </w:t>
      </w:r>
      <w:r w:rsidR="00B45812">
        <w:rPr>
          <w:rFonts w:ascii="Times New Roman" w:hAnsi="Times New Roman" w:cs="Times New Roman"/>
        </w:rPr>
        <w:t>a</w:t>
      </w:r>
      <w:r w:rsidR="00BC3718" w:rsidRPr="00D80DE8">
        <w:rPr>
          <w:rFonts w:ascii="Times New Roman" w:hAnsi="Times New Roman" w:cs="Times New Roman"/>
        </w:rPr>
        <w:t>re preferred over self-reported survey methodologies for several reasons</w:t>
      </w:r>
      <w:r w:rsidR="00F75DFC" w:rsidRPr="00D80DE8">
        <w:rPr>
          <w:rFonts w:ascii="Times New Roman" w:hAnsi="Times New Roman" w:cs="Times New Roman"/>
        </w:rPr>
        <w:t>, including</w:t>
      </w:r>
      <w:r w:rsidR="00B45812">
        <w:rPr>
          <w:rFonts w:ascii="Times New Roman" w:hAnsi="Times New Roman" w:cs="Times New Roman"/>
        </w:rPr>
        <w:t>:</w:t>
      </w:r>
    </w:p>
    <w:p w:rsidR="002D288D" w:rsidRPr="00D80DE8" w:rsidRDefault="002D288D" w:rsidP="00D80DE8">
      <w:pPr>
        <w:pStyle w:val="ListParagraph"/>
        <w:numPr>
          <w:ilvl w:val="0"/>
          <w:numId w:val="9"/>
        </w:numPr>
        <w:spacing w:after="0" w:line="480" w:lineRule="auto"/>
        <w:rPr>
          <w:rFonts w:ascii="Times New Roman" w:hAnsi="Times New Roman" w:cs="Times New Roman"/>
        </w:rPr>
      </w:pPr>
      <w:r w:rsidRPr="00D80DE8">
        <w:rPr>
          <w:rFonts w:ascii="Times New Roman" w:hAnsi="Times New Roman" w:cs="Times New Roman"/>
        </w:rPr>
        <w:t xml:space="preserve">flexibility and adaptability to the context, questioning, and </w:t>
      </w:r>
      <w:r w:rsidR="00D80DE8" w:rsidRPr="00D80DE8">
        <w:rPr>
          <w:rFonts w:ascii="Times New Roman" w:hAnsi="Times New Roman" w:cs="Times New Roman"/>
        </w:rPr>
        <w:t>response</w:t>
      </w:r>
      <w:r w:rsidRPr="00D80DE8">
        <w:rPr>
          <w:rFonts w:ascii="Times New Roman" w:hAnsi="Times New Roman" w:cs="Times New Roman"/>
        </w:rPr>
        <w:t>;</w:t>
      </w:r>
    </w:p>
    <w:p w:rsidR="002D288D" w:rsidRPr="00D80DE8" w:rsidRDefault="002D288D" w:rsidP="00D80DE8">
      <w:pPr>
        <w:pStyle w:val="ListParagraph"/>
        <w:numPr>
          <w:ilvl w:val="0"/>
          <w:numId w:val="9"/>
        </w:numPr>
        <w:spacing w:after="0" w:line="480" w:lineRule="auto"/>
        <w:rPr>
          <w:rFonts w:ascii="Times New Roman" w:hAnsi="Times New Roman" w:cs="Times New Roman"/>
        </w:rPr>
      </w:pPr>
      <w:r w:rsidRPr="00D80DE8">
        <w:rPr>
          <w:rFonts w:ascii="Times New Roman" w:hAnsi="Times New Roman" w:cs="Times New Roman"/>
        </w:rPr>
        <w:t xml:space="preserve">ability to clarify </w:t>
      </w:r>
      <w:r w:rsidRPr="00D80DE8">
        <w:rPr>
          <w:rFonts w:ascii="Times New Roman" w:hAnsi="Times New Roman" w:cs="Times New Roman"/>
          <w:i/>
        </w:rPr>
        <w:t>in situ</w:t>
      </w:r>
      <w:r w:rsidR="00B45812">
        <w:rPr>
          <w:rFonts w:ascii="Times New Roman" w:hAnsi="Times New Roman" w:cs="Times New Roman"/>
        </w:rPr>
        <w:t xml:space="preserve"> and</w:t>
      </w:r>
      <w:r w:rsidR="00D80DE8" w:rsidRPr="00D80DE8">
        <w:rPr>
          <w:rFonts w:ascii="Times New Roman" w:hAnsi="Times New Roman" w:cs="Times New Roman"/>
        </w:rPr>
        <w:t xml:space="preserve"> facilitate immediate follow-up for more precise understanding;</w:t>
      </w:r>
    </w:p>
    <w:p w:rsidR="00D80DE8" w:rsidRPr="00D80DE8" w:rsidRDefault="00D80DE8" w:rsidP="00D80DE8">
      <w:pPr>
        <w:pStyle w:val="ListParagraph"/>
        <w:numPr>
          <w:ilvl w:val="0"/>
          <w:numId w:val="9"/>
        </w:numPr>
        <w:spacing w:after="0" w:line="480" w:lineRule="auto"/>
        <w:rPr>
          <w:rFonts w:ascii="Times New Roman" w:hAnsi="Times New Roman" w:cs="Times New Roman"/>
        </w:rPr>
      </w:pPr>
      <w:r w:rsidRPr="00D80DE8">
        <w:rPr>
          <w:rFonts w:ascii="Times New Roman" w:hAnsi="Times New Roman" w:cs="Times New Roman"/>
        </w:rPr>
        <w:t>capture rich and detailed descriptions of experience and events in the language of respondents;</w:t>
      </w:r>
    </w:p>
    <w:p w:rsidR="00D80DE8" w:rsidRPr="00D80DE8" w:rsidRDefault="00D80DE8" w:rsidP="00D80DE8">
      <w:pPr>
        <w:pStyle w:val="ListParagraph"/>
        <w:numPr>
          <w:ilvl w:val="0"/>
          <w:numId w:val="9"/>
        </w:numPr>
        <w:spacing w:after="0" w:line="480" w:lineRule="auto"/>
        <w:rPr>
          <w:rFonts w:ascii="Times New Roman" w:hAnsi="Times New Roman" w:cs="Times New Roman"/>
        </w:rPr>
      </w:pPr>
      <w:r w:rsidRPr="00D80DE8">
        <w:rPr>
          <w:rFonts w:ascii="Times New Roman" w:hAnsi="Times New Roman" w:cs="Times New Roman"/>
        </w:rPr>
        <w:t xml:space="preserve">facilitates responsiveness to the respondents and the inquiry; </w:t>
      </w:r>
    </w:p>
    <w:p w:rsidR="00D80DE8" w:rsidRPr="00D80DE8" w:rsidRDefault="00D80DE8" w:rsidP="00D80DE8">
      <w:pPr>
        <w:pStyle w:val="ListParagraph"/>
        <w:numPr>
          <w:ilvl w:val="0"/>
          <w:numId w:val="9"/>
        </w:numPr>
        <w:spacing w:after="0" w:line="480" w:lineRule="auto"/>
        <w:rPr>
          <w:rFonts w:ascii="Times New Roman" w:hAnsi="Times New Roman" w:cs="Times New Roman"/>
        </w:rPr>
      </w:pPr>
      <w:r w:rsidRPr="00D80DE8">
        <w:rPr>
          <w:rFonts w:ascii="Times New Roman" w:hAnsi="Times New Roman" w:cs="Times New Roman"/>
        </w:rPr>
        <w:t xml:space="preserve">allows for understanding to emerge within and across interviews; </w:t>
      </w:r>
    </w:p>
    <w:p w:rsidR="00D80DE8" w:rsidRPr="00D80DE8" w:rsidRDefault="00D80DE8" w:rsidP="00D80DE8">
      <w:pPr>
        <w:pStyle w:val="ListParagraph"/>
        <w:numPr>
          <w:ilvl w:val="0"/>
          <w:numId w:val="9"/>
        </w:numPr>
        <w:spacing w:after="0" w:line="480" w:lineRule="auto"/>
        <w:rPr>
          <w:rFonts w:ascii="Times New Roman" w:hAnsi="Times New Roman" w:cs="Times New Roman"/>
        </w:rPr>
      </w:pPr>
      <w:r w:rsidRPr="00D80DE8">
        <w:rPr>
          <w:rFonts w:ascii="Times New Roman" w:hAnsi="Times New Roman" w:cs="Times New Roman"/>
        </w:rPr>
        <w:t xml:space="preserve">does not assume or require </w:t>
      </w:r>
      <w:r w:rsidRPr="00D80DE8">
        <w:rPr>
          <w:rFonts w:ascii="Times New Roman" w:hAnsi="Times New Roman" w:cs="Times New Roman"/>
          <w:i/>
        </w:rPr>
        <w:t xml:space="preserve">a </w:t>
      </w:r>
      <w:r w:rsidR="00B0024B">
        <w:rPr>
          <w:rFonts w:ascii="Times New Roman" w:hAnsi="Times New Roman" w:cs="Times New Roman"/>
          <w:i/>
        </w:rPr>
        <w:t>priori</w:t>
      </w:r>
      <w:r w:rsidRPr="00D80DE8">
        <w:rPr>
          <w:rFonts w:ascii="Times New Roman" w:hAnsi="Times New Roman" w:cs="Times New Roman"/>
        </w:rPr>
        <w:t xml:space="preserve"> knowledge to be tested or validated</w:t>
      </w:r>
    </w:p>
    <w:p w:rsidR="000F71DC" w:rsidRDefault="000F71DC" w:rsidP="00D74BBF">
      <w:pPr>
        <w:spacing w:after="0" w:line="480" w:lineRule="auto"/>
        <w:contextualSpacing/>
        <w:rPr>
          <w:rFonts w:ascii="Times New Roman" w:hAnsi="Times New Roman" w:cs="Times New Roman"/>
        </w:rPr>
      </w:pPr>
    </w:p>
    <w:p w:rsidR="00D74BBF" w:rsidRDefault="00D80DE8" w:rsidP="00D74BBF">
      <w:pPr>
        <w:spacing w:after="0" w:line="480" w:lineRule="auto"/>
        <w:contextualSpacing/>
        <w:rPr>
          <w:rFonts w:ascii="Times New Roman" w:hAnsi="Times New Roman" w:cs="Times New Roman"/>
        </w:rPr>
      </w:pPr>
      <w:r>
        <w:rPr>
          <w:rFonts w:ascii="Times New Roman" w:hAnsi="Times New Roman" w:cs="Times New Roman"/>
        </w:rPr>
        <w:t xml:space="preserve">Given </w:t>
      </w:r>
      <w:r w:rsidR="000F71DC">
        <w:rPr>
          <w:rFonts w:ascii="Times New Roman" w:hAnsi="Times New Roman" w:cs="Times New Roman"/>
        </w:rPr>
        <w:t>the</w:t>
      </w:r>
      <w:r>
        <w:rPr>
          <w:rFonts w:ascii="Times New Roman" w:hAnsi="Times New Roman" w:cs="Times New Roman"/>
        </w:rPr>
        <w:t xml:space="preserve"> variability of experience</w:t>
      </w:r>
      <w:r w:rsidR="000F71DC">
        <w:rPr>
          <w:rFonts w:ascii="Times New Roman" w:hAnsi="Times New Roman" w:cs="Times New Roman"/>
        </w:rPr>
        <w:t xml:space="preserve">, </w:t>
      </w:r>
      <w:r>
        <w:rPr>
          <w:rFonts w:ascii="Times New Roman" w:hAnsi="Times New Roman" w:cs="Times New Roman"/>
        </w:rPr>
        <w:t>expectations</w:t>
      </w:r>
      <w:r w:rsidR="000F71DC">
        <w:rPr>
          <w:rFonts w:ascii="Times New Roman" w:hAnsi="Times New Roman" w:cs="Times New Roman"/>
        </w:rPr>
        <w:t>, and opinions</w:t>
      </w:r>
      <w:r>
        <w:rPr>
          <w:rFonts w:ascii="Times New Roman" w:hAnsi="Times New Roman" w:cs="Times New Roman"/>
        </w:rPr>
        <w:t xml:space="preserve"> across centers and roles, key informant interviews provide the necessary flexibility and </w:t>
      </w:r>
      <w:r w:rsidR="000F71DC">
        <w:rPr>
          <w:rFonts w:ascii="Times New Roman" w:hAnsi="Times New Roman" w:cs="Times New Roman"/>
        </w:rPr>
        <w:t>can be appropriately structured</w:t>
      </w:r>
      <w:r>
        <w:rPr>
          <w:rFonts w:ascii="Times New Roman" w:hAnsi="Times New Roman" w:cs="Times New Roman"/>
        </w:rPr>
        <w:t xml:space="preserve"> to identify and account for common and disparate </w:t>
      </w:r>
      <w:r w:rsidR="000F71DC">
        <w:rPr>
          <w:rFonts w:ascii="Times New Roman" w:hAnsi="Times New Roman" w:cs="Times New Roman"/>
        </w:rPr>
        <w:t xml:space="preserve">perspectives. </w:t>
      </w:r>
      <w:r w:rsidR="00D74BBF" w:rsidRPr="000C7A15">
        <w:rPr>
          <w:rFonts w:ascii="Times New Roman" w:hAnsi="Times New Roman" w:cs="Times New Roman"/>
        </w:rPr>
        <w:t xml:space="preserve"> In order to ensure that the semi-structured interview guides appropriately frame the perspective of individuals</w:t>
      </w:r>
      <w:r w:rsidR="00FD52ED">
        <w:rPr>
          <w:rFonts w:ascii="Times New Roman" w:hAnsi="Times New Roman" w:cs="Times New Roman"/>
        </w:rPr>
        <w:t xml:space="preserve"> from the groups</w:t>
      </w:r>
      <w:r w:rsidR="00D74BBF" w:rsidRPr="000C7A15">
        <w:rPr>
          <w:rFonts w:ascii="Times New Roman" w:hAnsi="Times New Roman" w:cs="Times New Roman"/>
        </w:rPr>
        <w:t>, we will implement a pilot testing phase with a select set</w:t>
      </w:r>
      <w:r w:rsidR="008433AC" w:rsidRPr="000C7A15">
        <w:rPr>
          <w:rFonts w:ascii="Times New Roman" w:hAnsi="Times New Roman" w:cs="Times New Roman"/>
        </w:rPr>
        <w:t xml:space="preserve"> (less than 10 </w:t>
      </w:r>
      <w:r w:rsidR="007D0643">
        <w:rPr>
          <w:rFonts w:ascii="Times New Roman" w:hAnsi="Times New Roman" w:cs="Times New Roman"/>
        </w:rPr>
        <w:t>total</w:t>
      </w:r>
      <w:r w:rsidR="008433AC" w:rsidRPr="000C7A15">
        <w:rPr>
          <w:rFonts w:ascii="Times New Roman" w:hAnsi="Times New Roman" w:cs="Times New Roman"/>
        </w:rPr>
        <w:t>)</w:t>
      </w:r>
      <w:r w:rsidR="00D74BBF" w:rsidRPr="000C7A15">
        <w:rPr>
          <w:rFonts w:ascii="Times New Roman" w:hAnsi="Times New Roman" w:cs="Times New Roman"/>
        </w:rPr>
        <w:t xml:space="preserve"> of volunteers from the program.</w:t>
      </w:r>
      <w:r w:rsidR="00D74BBF">
        <w:rPr>
          <w:rFonts w:ascii="Times New Roman" w:hAnsi="Times New Roman" w:cs="Times New Roman"/>
        </w:rPr>
        <w:t xml:space="preserve">  </w:t>
      </w:r>
    </w:p>
    <w:p w:rsidR="00B57374" w:rsidRDefault="00B57374" w:rsidP="00444BA1">
      <w:pPr>
        <w:spacing w:after="0" w:line="480" w:lineRule="auto"/>
        <w:contextualSpacing/>
        <w:rPr>
          <w:rFonts w:ascii="Times New Roman" w:hAnsi="Times New Roman" w:cs="Times New Roman"/>
          <w:b/>
        </w:rPr>
      </w:pPr>
    </w:p>
    <w:p w:rsidR="00444BA1" w:rsidRPr="007A00A3" w:rsidRDefault="00B57374" w:rsidP="00BC3718">
      <w:pPr>
        <w:spacing w:after="0" w:line="480" w:lineRule="auto"/>
        <w:contextualSpacing/>
        <w:rPr>
          <w:rFonts w:ascii="Times New Roman" w:hAnsi="Times New Roman" w:cs="Times New Roman"/>
          <w:i/>
        </w:rPr>
      </w:pPr>
      <w:r w:rsidRPr="007A00A3">
        <w:rPr>
          <w:rFonts w:ascii="Times New Roman" w:hAnsi="Times New Roman" w:cs="Times New Roman"/>
          <w:i/>
        </w:rPr>
        <w:t>Sample for</w:t>
      </w:r>
      <w:r w:rsidR="00444BA1" w:rsidRPr="007A00A3">
        <w:rPr>
          <w:rFonts w:ascii="Times New Roman" w:hAnsi="Times New Roman" w:cs="Times New Roman"/>
          <w:i/>
        </w:rPr>
        <w:t xml:space="preserve"> Qualitative Interviews</w:t>
      </w:r>
    </w:p>
    <w:p w:rsidR="00B57374" w:rsidRDefault="00444BA1" w:rsidP="00BC3718">
      <w:pPr>
        <w:spacing w:line="480" w:lineRule="auto"/>
        <w:contextualSpacing/>
        <w:rPr>
          <w:rFonts w:ascii="Times New Roman" w:hAnsi="Times New Roman" w:cs="Times New Roman"/>
        </w:rPr>
      </w:pPr>
      <w:r w:rsidRPr="00B97B26">
        <w:rPr>
          <w:rFonts w:ascii="Times New Roman" w:hAnsi="Times New Roman" w:cs="Times New Roman"/>
        </w:rPr>
        <w:t xml:space="preserve">For the final </w:t>
      </w:r>
      <w:r w:rsidR="00824224">
        <w:rPr>
          <w:rFonts w:ascii="Times New Roman" w:hAnsi="Times New Roman" w:cs="Times New Roman"/>
        </w:rPr>
        <w:t>set of key informant interviews</w:t>
      </w:r>
      <w:r>
        <w:rPr>
          <w:rFonts w:ascii="Times New Roman" w:hAnsi="Times New Roman" w:cs="Times New Roman"/>
        </w:rPr>
        <w:t xml:space="preserve">, </w:t>
      </w:r>
      <w:r w:rsidR="00824224">
        <w:rPr>
          <w:rFonts w:ascii="Times New Roman" w:hAnsi="Times New Roman" w:cs="Times New Roman"/>
        </w:rPr>
        <w:t xml:space="preserve">volunteers </w:t>
      </w:r>
      <w:r>
        <w:rPr>
          <w:rFonts w:ascii="Times New Roman" w:hAnsi="Times New Roman" w:cs="Times New Roman"/>
        </w:rPr>
        <w:t>will be recruited</w:t>
      </w:r>
      <w:r w:rsidR="00824224">
        <w:rPr>
          <w:rFonts w:ascii="Times New Roman" w:hAnsi="Times New Roman" w:cs="Times New Roman"/>
        </w:rPr>
        <w:t xml:space="preserve"> from each of the </w:t>
      </w:r>
      <w:r w:rsidR="007D0643">
        <w:rPr>
          <w:rFonts w:ascii="Times New Roman" w:hAnsi="Times New Roman" w:cs="Times New Roman"/>
        </w:rPr>
        <w:t>four</w:t>
      </w:r>
      <w:r w:rsidR="004B4949">
        <w:rPr>
          <w:rFonts w:ascii="Times New Roman" w:hAnsi="Times New Roman" w:cs="Times New Roman"/>
        </w:rPr>
        <w:t xml:space="preserve"> groups listed below in Table 1</w:t>
      </w:r>
      <w:r w:rsidR="00824224">
        <w:rPr>
          <w:rFonts w:ascii="Times New Roman" w:hAnsi="Times New Roman" w:cs="Times New Roman"/>
        </w:rPr>
        <w:t>.</w:t>
      </w:r>
      <w:r>
        <w:rPr>
          <w:rFonts w:ascii="Times New Roman" w:hAnsi="Times New Roman" w:cs="Times New Roman"/>
        </w:rPr>
        <w:t xml:space="preserve"> </w:t>
      </w:r>
      <w:r w:rsidR="00824224">
        <w:rPr>
          <w:rFonts w:ascii="Times New Roman" w:hAnsi="Times New Roman" w:cs="Times New Roman"/>
        </w:rPr>
        <w:t xml:space="preserve"> A set of </w:t>
      </w:r>
      <w:r w:rsidRPr="00B97B26">
        <w:rPr>
          <w:rFonts w:ascii="Times New Roman" w:hAnsi="Times New Roman" w:cs="Times New Roman"/>
        </w:rPr>
        <w:t xml:space="preserve">semi-structured interviews </w:t>
      </w:r>
      <w:r w:rsidR="00824224">
        <w:rPr>
          <w:rFonts w:ascii="Times New Roman" w:hAnsi="Times New Roman" w:cs="Times New Roman"/>
        </w:rPr>
        <w:t xml:space="preserve">using a group-specific </w:t>
      </w:r>
      <w:r w:rsidR="00D87DF4">
        <w:rPr>
          <w:rFonts w:ascii="Times New Roman" w:hAnsi="Times New Roman" w:cs="Times New Roman"/>
        </w:rPr>
        <w:t>interview guide</w:t>
      </w:r>
      <w:r w:rsidR="00824224">
        <w:rPr>
          <w:rFonts w:ascii="Times New Roman" w:hAnsi="Times New Roman" w:cs="Times New Roman"/>
        </w:rPr>
        <w:t xml:space="preserve"> </w:t>
      </w:r>
      <w:r>
        <w:rPr>
          <w:rFonts w:ascii="Times New Roman" w:hAnsi="Times New Roman" w:cs="Times New Roman"/>
        </w:rPr>
        <w:t>will be conducted</w:t>
      </w:r>
      <w:r w:rsidR="00824224">
        <w:rPr>
          <w:rFonts w:ascii="Times New Roman" w:hAnsi="Times New Roman" w:cs="Times New Roman"/>
        </w:rPr>
        <w:t xml:space="preserve"> in person </w:t>
      </w:r>
      <w:r w:rsidR="00B57374">
        <w:rPr>
          <w:rFonts w:ascii="Times New Roman" w:hAnsi="Times New Roman" w:cs="Times New Roman"/>
        </w:rPr>
        <w:t>at</w:t>
      </w:r>
      <w:r w:rsidRPr="00B97B26">
        <w:rPr>
          <w:rFonts w:ascii="Times New Roman" w:hAnsi="Times New Roman" w:cs="Times New Roman"/>
        </w:rPr>
        <w:t xml:space="preserve"> the annual Proteomics Principal Investigator meeting in Bethesda, MD.</w:t>
      </w:r>
      <w:r w:rsidR="00824224">
        <w:rPr>
          <w:rFonts w:ascii="Times New Roman" w:hAnsi="Times New Roman" w:cs="Times New Roman"/>
        </w:rPr>
        <w:t xml:space="preserve">  For those key informants in each of the four groups not able to participate in the face-to-interview at the </w:t>
      </w:r>
      <w:r w:rsidR="00824224" w:rsidRPr="00B97B26">
        <w:rPr>
          <w:rFonts w:ascii="Times New Roman" w:hAnsi="Times New Roman" w:cs="Times New Roman"/>
        </w:rPr>
        <w:t>Proteomics Principal Investigator</w:t>
      </w:r>
      <w:r w:rsidR="004B4949">
        <w:rPr>
          <w:rFonts w:ascii="Times New Roman" w:hAnsi="Times New Roman" w:cs="Times New Roman"/>
        </w:rPr>
        <w:t xml:space="preserve"> meeting, either due to attendance at the meeting or scheduling conflict</w:t>
      </w:r>
      <w:r w:rsidR="00B0024B">
        <w:rPr>
          <w:rFonts w:ascii="Times New Roman" w:hAnsi="Times New Roman" w:cs="Times New Roman"/>
        </w:rPr>
        <w:t>s</w:t>
      </w:r>
      <w:r w:rsidR="004B4949">
        <w:rPr>
          <w:rFonts w:ascii="Times New Roman" w:hAnsi="Times New Roman" w:cs="Times New Roman"/>
        </w:rPr>
        <w:t xml:space="preserve"> while at the meeting, a virtual interview (Skype or teleconference) will be arranged.  </w:t>
      </w:r>
      <w:r w:rsidR="00525F6C" w:rsidRPr="00525F6C">
        <w:rPr>
          <w:rFonts w:ascii="Times New Roman" w:hAnsi="Times New Roman" w:cs="Times New Roman"/>
        </w:rPr>
        <w:t xml:space="preserve">The tentative goal involves interviewing the following number of people from the pilot and final interviews: (1) </w:t>
      </w:r>
      <w:r w:rsidR="0047575F">
        <w:rPr>
          <w:rFonts w:ascii="Times New Roman" w:hAnsi="Times New Roman" w:cs="Times New Roman"/>
        </w:rPr>
        <w:t xml:space="preserve">twenty seven </w:t>
      </w:r>
      <w:r w:rsidR="00525F6C" w:rsidRPr="00525F6C">
        <w:rPr>
          <w:rFonts w:ascii="Times New Roman" w:hAnsi="Times New Roman" w:cs="Times New Roman"/>
        </w:rPr>
        <w:t xml:space="preserve">participants from the Principal Investigators and key personnel group; (2) ten current and </w:t>
      </w:r>
      <w:r w:rsidR="0047575F">
        <w:rPr>
          <w:rFonts w:ascii="Times New Roman" w:hAnsi="Times New Roman" w:cs="Times New Roman"/>
        </w:rPr>
        <w:t xml:space="preserve">ten </w:t>
      </w:r>
      <w:r w:rsidR="00525F6C" w:rsidRPr="00525F6C">
        <w:rPr>
          <w:rFonts w:ascii="Times New Roman" w:hAnsi="Times New Roman" w:cs="Times New Roman"/>
        </w:rPr>
        <w:t xml:space="preserve">former trainees and/or junior investigators; (3) nine external investigators (investigators in the field of proteomics </w:t>
      </w:r>
      <w:r w:rsidR="00B0024B">
        <w:rPr>
          <w:rFonts w:ascii="Times New Roman" w:hAnsi="Times New Roman" w:cs="Times New Roman"/>
        </w:rPr>
        <w:t>who are</w:t>
      </w:r>
      <w:r w:rsidR="00525F6C" w:rsidRPr="00525F6C">
        <w:rPr>
          <w:rFonts w:ascii="Times New Roman" w:hAnsi="Times New Roman" w:cs="Times New Roman"/>
        </w:rPr>
        <w:t xml:space="preserve"> not funded by the program; and (4) five NHLBI and two NCI staff members. </w:t>
      </w:r>
      <w:r w:rsidR="00BC3718">
        <w:rPr>
          <w:rFonts w:ascii="Times New Roman" w:hAnsi="Times New Roman" w:cs="Times New Roman"/>
        </w:rPr>
        <w:t xml:space="preserve"> </w:t>
      </w:r>
      <w:r w:rsidR="004B4949">
        <w:rPr>
          <w:rFonts w:ascii="Times New Roman" w:hAnsi="Times New Roman" w:cs="Times New Roman"/>
        </w:rPr>
        <w:t>Based on the targeted number of key informants across groups</w:t>
      </w:r>
      <w:r w:rsidR="00B0024B">
        <w:rPr>
          <w:rFonts w:ascii="Times New Roman" w:hAnsi="Times New Roman" w:cs="Times New Roman"/>
        </w:rPr>
        <w:t>,</w:t>
      </w:r>
      <w:r w:rsidR="004B4949">
        <w:rPr>
          <w:rFonts w:ascii="Times New Roman" w:hAnsi="Times New Roman" w:cs="Times New Roman"/>
        </w:rPr>
        <w:t xml:space="preserve"> w</w:t>
      </w:r>
      <w:r>
        <w:rPr>
          <w:rFonts w:ascii="Times New Roman" w:hAnsi="Times New Roman" w:cs="Times New Roman"/>
        </w:rPr>
        <w:t xml:space="preserve">e expect to complete </w:t>
      </w:r>
      <w:r w:rsidRPr="00D87DF4">
        <w:rPr>
          <w:rFonts w:ascii="Times New Roman" w:hAnsi="Times New Roman" w:cs="Times New Roman"/>
        </w:rPr>
        <w:t>approximatel</w:t>
      </w:r>
      <w:r w:rsidR="00D87DF4" w:rsidRPr="00D87DF4">
        <w:rPr>
          <w:rFonts w:ascii="Times New Roman" w:hAnsi="Times New Roman" w:cs="Times New Roman"/>
        </w:rPr>
        <w:t>y 35</w:t>
      </w:r>
      <w:r w:rsidR="00B57374" w:rsidRPr="00D87DF4">
        <w:rPr>
          <w:rFonts w:ascii="Times New Roman" w:hAnsi="Times New Roman" w:cs="Times New Roman"/>
        </w:rPr>
        <w:t xml:space="preserve"> interviews a</w:t>
      </w:r>
      <w:r w:rsidR="00D87DF4" w:rsidRPr="00D87DF4">
        <w:rPr>
          <w:rFonts w:ascii="Times New Roman" w:hAnsi="Times New Roman" w:cs="Times New Roman"/>
        </w:rPr>
        <w:t>t the</w:t>
      </w:r>
      <w:r w:rsidR="00D87DF4">
        <w:rPr>
          <w:rFonts w:ascii="Times New Roman" w:hAnsi="Times New Roman" w:cs="Times New Roman"/>
        </w:rPr>
        <w:t xml:space="preserve"> meeting and 26</w:t>
      </w:r>
      <w:r w:rsidR="00B57374">
        <w:rPr>
          <w:rFonts w:ascii="Times New Roman" w:hAnsi="Times New Roman" w:cs="Times New Roman"/>
        </w:rPr>
        <w:t xml:space="preserve"> interviews outside of the meeting.  Table </w:t>
      </w:r>
      <w:r w:rsidR="004B4949">
        <w:rPr>
          <w:rFonts w:ascii="Times New Roman" w:hAnsi="Times New Roman" w:cs="Times New Roman"/>
        </w:rPr>
        <w:t xml:space="preserve">1 </w:t>
      </w:r>
      <w:r w:rsidR="00B57374">
        <w:rPr>
          <w:rFonts w:ascii="Times New Roman" w:hAnsi="Times New Roman" w:cs="Times New Roman"/>
        </w:rPr>
        <w:t>below outlines the anticipated sampling frame.</w:t>
      </w:r>
    </w:p>
    <w:p w:rsidR="007A00A3" w:rsidRDefault="007A00A3" w:rsidP="00BC3718">
      <w:pPr>
        <w:spacing w:line="480" w:lineRule="auto"/>
        <w:contextualSpacing/>
        <w:rPr>
          <w:rFonts w:ascii="Times New Roman" w:hAnsi="Times New Roman" w:cs="Times New Roman"/>
        </w:rPr>
      </w:pPr>
    </w:p>
    <w:p w:rsidR="004B4949" w:rsidRPr="007A00A3" w:rsidRDefault="004B4949" w:rsidP="00D87DF4">
      <w:pPr>
        <w:spacing w:line="240" w:lineRule="auto"/>
        <w:contextualSpacing/>
        <w:rPr>
          <w:rFonts w:ascii="Times New Roman" w:hAnsi="Times New Roman" w:cs="Times New Roman"/>
          <w:b/>
        </w:rPr>
      </w:pPr>
      <w:bookmarkStart w:id="4" w:name="Table1"/>
      <w:r w:rsidRPr="007A00A3">
        <w:rPr>
          <w:rFonts w:ascii="Times New Roman" w:hAnsi="Times New Roman" w:cs="Times New Roman"/>
          <w:b/>
        </w:rPr>
        <w:t>Table 1. Key Informant Interviews: Sampling Frame</w:t>
      </w:r>
    </w:p>
    <w:tbl>
      <w:tblPr>
        <w:tblStyle w:val="TableGrid"/>
        <w:tblW w:w="0" w:type="auto"/>
        <w:tblInd w:w="108" w:type="dxa"/>
        <w:tblLook w:val="04A0" w:firstRow="1" w:lastRow="0" w:firstColumn="1" w:lastColumn="0" w:noHBand="0" w:noVBand="1"/>
      </w:tblPr>
      <w:tblGrid>
        <w:gridCol w:w="4770"/>
        <w:gridCol w:w="1530"/>
        <w:gridCol w:w="1350"/>
        <w:gridCol w:w="1440"/>
      </w:tblGrid>
      <w:tr w:rsidR="00B56AFB" w:rsidTr="00B56AFB">
        <w:tc>
          <w:tcPr>
            <w:tcW w:w="4770" w:type="dxa"/>
          </w:tcPr>
          <w:bookmarkEnd w:id="4"/>
          <w:p w:rsidR="00B56AFB" w:rsidRDefault="00444BA1" w:rsidP="00B57374">
            <w:pPr>
              <w:contextualSpacing/>
              <w:rPr>
                <w:rFonts w:ascii="Times New Roman" w:hAnsi="Times New Roman" w:cs="Times New Roman"/>
              </w:rPr>
            </w:pPr>
            <w:r>
              <w:rPr>
                <w:rFonts w:ascii="Times New Roman" w:hAnsi="Times New Roman" w:cs="Times New Roman"/>
              </w:rPr>
              <w:t xml:space="preserve"> </w:t>
            </w:r>
          </w:p>
        </w:tc>
        <w:tc>
          <w:tcPr>
            <w:tcW w:w="4320" w:type="dxa"/>
            <w:gridSpan w:val="3"/>
          </w:tcPr>
          <w:p w:rsidR="00B56AFB" w:rsidRDefault="00B56AFB" w:rsidP="00B56AFB">
            <w:pPr>
              <w:contextualSpacing/>
              <w:jc w:val="center"/>
              <w:rPr>
                <w:rFonts w:ascii="Times New Roman" w:hAnsi="Times New Roman" w:cs="Times New Roman"/>
              </w:rPr>
            </w:pPr>
            <w:r>
              <w:rPr>
                <w:rFonts w:ascii="Times New Roman" w:hAnsi="Times New Roman" w:cs="Times New Roman"/>
              </w:rPr>
              <w:t>Estimated Number</w:t>
            </w:r>
          </w:p>
        </w:tc>
      </w:tr>
      <w:tr w:rsidR="00B57374" w:rsidTr="00B56AFB">
        <w:tc>
          <w:tcPr>
            <w:tcW w:w="4770" w:type="dxa"/>
          </w:tcPr>
          <w:p w:rsidR="00B57374" w:rsidRDefault="00B57374" w:rsidP="00B56AFB">
            <w:pPr>
              <w:contextualSpacing/>
              <w:jc w:val="center"/>
              <w:rPr>
                <w:rFonts w:ascii="Times New Roman" w:hAnsi="Times New Roman" w:cs="Times New Roman"/>
              </w:rPr>
            </w:pPr>
            <w:r>
              <w:rPr>
                <w:rFonts w:ascii="Times New Roman" w:hAnsi="Times New Roman" w:cs="Times New Roman"/>
              </w:rPr>
              <w:t>Group</w:t>
            </w:r>
          </w:p>
        </w:tc>
        <w:tc>
          <w:tcPr>
            <w:tcW w:w="1530" w:type="dxa"/>
          </w:tcPr>
          <w:p w:rsidR="00B57374" w:rsidRDefault="00B57374" w:rsidP="00B56AFB">
            <w:pPr>
              <w:contextualSpacing/>
              <w:jc w:val="center"/>
              <w:rPr>
                <w:rFonts w:ascii="Times New Roman" w:hAnsi="Times New Roman" w:cs="Times New Roman"/>
              </w:rPr>
            </w:pPr>
            <w:r>
              <w:rPr>
                <w:rFonts w:ascii="Times New Roman" w:hAnsi="Times New Roman" w:cs="Times New Roman"/>
              </w:rPr>
              <w:t>Proteomics Meeting</w:t>
            </w:r>
          </w:p>
        </w:tc>
        <w:tc>
          <w:tcPr>
            <w:tcW w:w="1350" w:type="dxa"/>
          </w:tcPr>
          <w:p w:rsidR="00B57374" w:rsidRDefault="00B57374" w:rsidP="00B56AFB">
            <w:pPr>
              <w:contextualSpacing/>
              <w:jc w:val="center"/>
              <w:rPr>
                <w:rFonts w:ascii="Times New Roman" w:hAnsi="Times New Roman" w:cs="Times New Roman"/>
              </w:rPr>
            </w:pPr>
            <w:r>
              <w:rPr>
                <w:rFonts w:ascii="Times New Roman" w:hAnsi="Times New Roman" w:cs="Times New Roman"/>
              </w:rPr>
              <w:t>Outside of Meeting</w:t>
            </w:r>
          </w:p>
        </w:tc>
        <w:tc>
          <w:tcPr>
            <w:tcW w:w="1440" w:type="dxa"/>
          </w:tcPr>
          <w:p w:rsidR="00B57374" w:rsidRDefault="00B57374" w:rsidP="00B56AFB">
            <w:pPr>
              <w:contextualSpacing/>
              <w:jc w:val="center"/>
              <w:rPr>
                <w:rFonts w:ascii="Times New Roman" w:hAnsi="Times New Roman" w:cs="Times New Roman"/>
              </w:rPr>
            </w:pPr>
            <w:r>
              <w:rPr>
                <w:rFonts w:ascii="Times New Roman" w:hAnsi="Times New Roman" w:cs="Times New Roman"/>
              </w:rPr>
              <w:t>Total</w:t>
            </w:r>
          </w:p>
        </w:tc>
      </w:tr>
      <w:tr w:rsidR="00B57374" w:rsidTr="0047575F">
        <w:tc>
          <w:tcPr>
            <w:tcW w:w="4770" w:type="dxa"/>
            <w:vAlign w:val="center"/>
          </w:tcPr>
          <w:p w:rsidR="00B57374" w:rsidRDefault="00B57374" w:rsidP="0047575F">
            <w:pPr>
              <w:contextualSpacing/>
              <w:rPr>
                <w:rFonts w:ascii="Times New Roman" w:hAnsi="Times New Roman" w:cs="Times New Roman"/>
              </w:rPr>
            </w:pPr>
            <w:r>
              <w:rPr>
                <w:rFonts w:ascii="Times New Roman" w:hAnsi="Times New Roman" w:cs="Times New Roman"/>
              </w:rPr>
              <w:t>P</w:t>
            </w:r>
            <w:r w:rsidRPr="00D74BBF">
              <w:rPr>
                <w:rFonts w:ascii="Times New Roman" w:hAnsi="Times New Roman" w:cs="Times New Roman"/>
              </w:rPr>
              <w:t>rincipal investigators and key personnel from the seven centers</w:t>
            </w:r>
          </w:p>
        </w:tc>
        <w:tc>
          <w:tcPr>
            <w:tcW w:w="153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2</w:t>
            </w:r>
            <w:r w:rsidR="000D5E39">
              <w:rPr>
                <w:rFonts w:ascii="Times New Roman" w:hAnsi="Times New Roman" w:cs="Times New Roman"/>
              </w:rPr>
              <w:t>2</w:t>
            </w:r>
          </w:p>
        </w:tc>
        <w:tc>
          <w:tcPr>
            <w:tcW w:w="1350" w:type="dxa"/>
            <w:vAlign w:val="center"/>
          </w:tcPr>
          <w:p w:rsidR="00B57374" w:rsidRDefault="000D5E39" w:rsidP="0047575F">
            <w:pPr>
              <w:contextualSpacing/>
              <w:jc w:val="center"/>
              <w:rPr>
                <w:rFonts w:ascii="Times New Roman" w:hAnsi="Times New Roman" w:cs="Times New Roman"/>
              </w:rPr>
            </w:pPr>
            <w:r>
              <w:rPr>
                <w:rFonts w:ascii="Times New Roman" w:hAnsi="Times New Roman" w:cs="Times New Roman"/>
              </w:rPr>
              <w:t>5</w:t>
            </w:r>
          </w:p>
        </w:tc>
        <w:tc>
          <w:tcPr>
            <w:tcW w:w="144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2</w:t>
            </w:r>
            <w:r w:rsidR="000D5E39">
              <w:rPr>
                <w:rFonts w:ascii="Times New Roman" w:hAnsi="Times New Roman" w:cs="Times New Roman"/>
              </w:rPr>
              <w:t>7</w:t>
            </w:r>
          </w:p>
        </w:tc>
      </w:tr>
      <w:tr w:rsidR="00B57374" w:rsidTr="0047575F">
        <w:tc>
          <w:tcPr>
            <w:tcW w:w="4770" w:type="dxa"/>
            <w:vAlign w:val="center"/>
          </w:tcPr>
          <w:p w:rsidR="00B57374" w:rsidRDefault="00B57374" w:rsidP="0047575F">
            <w:pPr>
              <w:contextualSpacing/>
              <w:rPr>
                <w:rFonts w:ascii="Times New Roman" w:hAnsi="Times New Roman" w:cs="Times New Roman"/>
              </w:rPr>
            </w:pPr>
            <w:r>
              <w:rPr>
                <w:rFonts w:ascii="Times New Roman" w:hAnsi="Times New Roman" w:cs="Times New Roman"/>
              </w:rPr>
              <w:t>P</w:t>
            </w:r>
            <w:r w:rsidRPr="00D74BBF">
              <w:rPr>
                <w:rFonts w:ascii="Times New Roman" w:hAnsi="Times New Roman" w:cs="Times New Roman"/>
              </w:rPr>
              <w:t>roteomics investigators not funded by the NHLBI program (external investigators)</w:t>
            </w:r>
          </w:p>
        </w:tc>
        <w:tc>
          <w:tcPr>
            <w:tcW w:w="1530" w:type="dxa"/>
            <w:vAlign w:val="center"/>
          </w:tcPr>
          <w:p w:rsidR="00B57374" w:rsidRDefault="00B57374" w:rsidP="0047575F">
            <w:pPr>
              <w:contextualSpacing/>
              <w:jc w:val="center"/>
              <w:rPr>
                <w:rFonts w:ascii="Times New Roman" w:hAnsi="Times New Roman" w:cs="Times New Roman"/>
              </w:rPr>
            </w:pPr>
          </w:p>
        </w:tc>
        <w:tc>
          <w:tcPr>
            <w:tcW w:w="135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9</w:t>
            </w:r>
          </w:p>
        </w:tc>
        <w:tc>
          <w:tcPr>
            <w:tcW w:w="144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9</w:t>
            </w:r>
          </w:p>
        </w:tc>
      </w:tr>
      <w:tr w:rsidR="00B57374" w:rsidTr="0047575F">
        <w:tc>
          <w:tcPr>
            <w:tcW w:w="4770" w:type="dxa"/>
            <w:vAlign w:val="center"/>
          </w:tcPr>
          <w:p w:rsidR="00B57374" w:rsidRDefault="00B57374" w:rsidP="0047575F">
            <w:pPr>
              <w:contextualSpacing/>
              <w:rPr>
                <w:rFonts w:ascii="Times New Roman" w:hAnsi="Times New Roman" w:cs="Times New Roman"/>
              </w:rPr>
            </w:pPr>
            <w:r>
              <w:rPr>
                <w:rFonts w:ascii="Times New Roman" w:hAnsi="Times New Roman" w:cs="Times New Roman"/>
              </w:rPr>
              <w:t>T</w:t>
            </w:r>
            <w:r w:rsidRPr="00D74BBF">
              <w:rPr>
                <w:rFonts w:ascii="Times New Roman" w:hAnsi="Times New Roman" w:cs="Times New Roman"/>
              </w:rPr>
              <w:t>rainees (current and former) and junior investigators</w:t>
            </w:r>
          </w:p>
        </w:tc>
        <w:tc>
          <w:tcPr>
            <w:tcW w:w="153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10</w:t>
            </w:r>
          </w:p>
        </w:tc>
        <w:tc>
          <w:tcPr>
            <w:tcW w:w="135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10</w:t>
            </w:r>
          </w:p>
        </w:tc>
        <w:tc>
          <w:tcPr>
            <w:tcW w:w="144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20</w:t>
            </w:r>
          </w:p>
        </w:tc>
      </w:tr>
      <w:tr w:rsidR="00B57374" w:rsidTr="0047575F">
        <w:trPr>
          <w:trHeight w:val="432"/>
        </w:trPr>
        <w:tc>
          <w:tcPr>
            <w:tcW w:w="4770" w:type="dxa"/>
            <w:vAlign w:val="center"/>
          </w:tcPr>
          <w:p w:rsidR="00B57374" w:rsidRDefault="00B57374" w:rsidP="0047575F">
            <w:pPr>
              <w:contextualSpacing/>
              <w:rPr>
                <w:rFonts w:ascii="Times New Roman" w:hAnsi="Times New Roman" w:cs="Times New Roman"/>
              </w:rPr>
            </w:pPr>
            <w:r>
              <w:rPr>
                <w:rFonts w:ascii="Times New Roman" w:hAnsi="Times New Roman" w:cs="Times New Roman"/>
              </w:rPr>
              <w:t>NIH staff</w:t>
            </w:r>
          </w:p>
        </w:tc>
        <w:tc>
          <w:tcPr>
            <w:tcW w:w="153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5</w:t>
            </w:r>
          </w:p>
        </w:tc>
        <w:tc>
          <w:tcPr>
            <w:tcW w:w="135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2</w:t>
            </w:r>
          </w:p>
        </w:tc>
        <w:tc>
          <w:tcPr>
            <w:tcW w:w="1440" w:type="dxa"/>
            <w:vAlign w:val="center"/>
          </w:tcPr>
          <w:p w:rsidR="00B57374" w:rsidRDefault="00BC3718" w:rsidP="0047575F">
            <w:pPr>
              <w:contextualSpacing/>
              <w:jc w:val="center"/>
              <w:rPr>
                <w:rFonts w:ascii="Times New Roman" w:hAnsi="Times New Roman" w:cs="Times New Roman"/>
              </w:rPr>
            </w:pPr>
            <w:r>
              <w:rPr>
                <w:rFonts w:ascii="Times New Roman" w:hAnsi="Times New Roman" w:cs="Times New Roman"/>
              </w:rPr>
              <w:t>7</w:t>
            </w:r>
          </w:p>
        </w:tc>
      </w:tr>
      <w:tr w:rsidR="00B56AFB" w:rsidTr="0047575F">
        <w:trPr>
          <w:trHeight w:val="432"/>
        </w:trPr>
        <w:tc>
          <w:tcPr>
            <w:tcW w:w="4770" w:type="dxa"/>
            <w:vAlign w:val="center"/>
          </w:tcPr>
          <w:p w:rsidR="00B56AFB" w:rsidRDefault="00B56AFB" w:rsidP="0047575F">
            <w:pPr>
              <w:contextualSpacing/>
              <w:rPr>
                <w:rFonts w:ascii="Times New Roman" w:hAnsi="Times New Roman" w:cs="Times New Roman"/>
              </w:rPr>
            </w:pPr>
            <w:r>
              <w:rPr>
                <w:rFonts w:ascii="Times New Roman" w:hAnsi="Times New Roman" w:cs="Times New Roman"/>
              </w:rPr>
              <w:t>Total</w:t>
            </w:r>
          </w:p>
        </w:tc>
        <w:tc>
          <w:tcPr>
            <w:tcW w:w="1530" w:type="dxa"/>
            <w:vAlign w:val="center"/>
          </w:tcPr>
          <w:p w:rsidR="00B56AFB" w:rsidRDefault="00BC3718" w:rsidP="0047575F">
            <w:pPr>
              <w:contextualSpacing/>
              <w:jc w:val="center"/>
              <w:rPr>
                <w:rFonts w:ascii="Times New Roman" w:hAnsi="Times New Roman" w:cs="Times New Roman"/>
              </w:rPr>
            </w:pPr>
            <w:r>
              <w:rPr>
                <w:rFonts w:ascii="Times New Roman" w:hAnsi="Times New Roman" w:cs="Times New Roman"/>
              </w:rPr>
              <w:t>35</w:t>
            </w:r>
          </w:p>
        </w:tc>
        <w:tc>
          <w:tcPr>
            <w:tcW w:w="1350" w:type="dxa"/>
            <w:vAlign w:val="center"/>
          </w:tcPr>
          <w:p w:rsidR="00B56AFB" w:rsidRDefault="00BC3718" w:rsidP="0047575F">
            <w:pPr>
              <w:contextualSpacing/>
              <w:jc w:val="center"/>
              <w:rPr>
                <w:rFonts w:ascii="Times New Roman" w:hAnsi="Times New Roman" w:cs="Times New Roman"/>
              </w:rPr>
            </w:pPr>
            <w:r>
              <w:rPr>
                <w:rFonts w:ascii="Times New Roman" w:hAnsi="Times New Roman" w:cs="Times New Roman"/>
              </w:rPr>
              <w:t>26</w:t>
            </w:r>
          </w:p>
        </w:tc>
        <w:tc>
          <w:tcPr>
            <w:tcW w:w="1440" w:type="dxa"/>
            <w:vAlign w:val="center"/>
          </w:tcPr>
          <w:p w:rsidR="00B56AFB" w:rsidRDefault="00BC3718" w:rsidP="0047575F">
            <w:pPr>
              <w:contextualSpacing/>
              <w:jc w:val="center"/>
              <w:rPr>
                <w:rFonts w:ascii="Times New Roman" w:hAnsi="Times New Roman" w:cs="Times New Roman"/>
              </w:rPr>
            </w:pPr>
            <w:r>
              <w:rPr>
                <w:rFonts w:ascii="Times New Roman" w:hAnsi="Times New Roman" w:cs="Times New Roman"/>
              </w:rPr>
              <w:t>6</w:t>
            </w:r>
            <w:r w:rsidR="000D5E39">
              <w:rPr>
                <w:rFonts w:ascii="Times New Roman" w:hAnsi="Times New Roman" w:cs="Times New Roman"/>
              </w:rPr>
              <w:t>3</w:t>
            </w:r>
          </w:p>
        </w:tc>
      </w:tr>
    </w:tbl>
    <w:p w:rsidR="00B57374" w:rsidRDefault="00B57374" w:rsidP="00444BA1">
      <w:pPr>
        <w:spacing w:line="480" w:lineRule="auto"/>
        <w:contextualSpacing/>
        <w:rPr>
          <w:rFonts w:ascii="Times New Roman" w:hAnsi="Times New Roman" w:cs="Times New Roman"/>
        </w:rPr>
      </w:pPr>
    </w:p>
    <w:p w:rsidR="00B57374" w:rsidRPr="007A00A3" w:rsidRDefault="00B57374" w:rsidP="00B57374">
      <w:pPr>
        <w:spacing w:after="0" w:line="360" w:lineRule="auto"/>
        <w:contextualSpacing/>
        <w:rPr>
          <w:rFonts w:ascii="Times New Roman" w:hAnsi="Times New Roman" w:cs="Times New Roman"/>
          <w:i/>
        </w:rPr>
      </w:pPr>
      <w:r w:rsidRPr="007A00A3">
        <w:rPr>
          <w:rFonts w:ascii="Times New Roman" w:hAnsi="Times New Roman" w:cs="Times New Roman"/>
          <w:i/>
        </w:rPr>
        <w:t>Data collection plans</w:t>
      </w:r>
    </w:p>
    <w:p w:rsidR="00444BA1" w:rsidRDefault="008433AC" w:rsidP="00444BA1">
      <w:pPr>
        <w:spacing w:line="480" w:lineRule="auto"/>
        <w:contextualSpacing/>
        <w:rPr>
          <w:rFonts w:ascii="Times New Roman" w:hAnsi="Times New Roman" w:cs="Times New Roman"/>
        </w:rPr>
      </w:pPr>
      <w:r>
        <w:rPr>
          <w:rFonts w:ascii="Times New Roman" w:hAnsi="Times New Roman" w:cs="Times New Roman"/>
        </w:rPr>
        <w:lastRenderedPageBreak/>
        <w:t>Key informants</w:t>
      </w:r>
      <w:r w:rsidR="00444BA1" w:rsidRPr="00EB5639">
        <w:rPr>
          <w:rFonts w:ascii="Times New Roman" w:hAnsi="Times New Roman" w:cs="Times New Roman"/>
        </w:rPr>
        <w:t xml:space="preserve"> </w:t>
      </w:r>
      <w:r w:rsidR="00B56AFB">
        <w:rPr>
          <w:rFonts w:ascii="Times New Roman" w:hAnsi="Times New Roman" w:cs="Times New Roman"/>
        </w:rPr>
        <w:t xml:space="preserve">identified in these </w:t>
      </w:r>
      <w:r w:rsidR="00444BA1" w:rsidRPr="00EB5639">
        <w:rPr>
          <w:rFonts w:ascii="Times New Roman" w:hAnsi="Times New Roman" w:cs="Times New Roman"/>
        </w:rPr>
        <w:t>respective groups have unique perspectives as</w:t>
      </w:r>
      <w:r w:rsidR="00B57374">
        <w:rPr>
          <w:rFonts w:ascii="Times New Roman" w:hAnsi="Times New Roman" w:cs="Times New Roman"/>
        </w:rPr>
        <w:t xml:space="preserve"> to</w:t>
      </w:r>
      <w:r w:rsidR="00444BA1" w:rsidRPr="00EB5639">
        <w:rPr>
          <w:rFonts w:ascii="Times New Roman" w:hAnsi="Times New Roman" w:cs="Times New Roman"/>
        </w:rPr>
        <w:t xml:space="preserve"> the successes and limitations of the program.  Therefore, it is critical that the semi-structured interview guides</w:t>
      </w:r>
      <w:r>
        <w:rPr>
          <w:rFonts w:ascii="Times New Roman" w:hAnsi="Times New Roman" w:cs="Times New Roman"/>
        </w:rPr>
        <w:t xml:space="preserve"> are</w:t>
      </w:r>
      <w:r w:rsidR="00444BA1" w:rsidRPr="00EB5639">
        <w:rPr>
          <w:rFonts w:ascii="Times New Roman" w:hAnsi="Times New Roman" w:cs="Times New Roman"/>
        </w:rPr>
        <w:t xml:space="preserve"> </w:t>
      </w:r>
      <w:r w:rsidR="00B57374">
        <w:rPr>
          <w:rFonts w:ascii="Times New Roman" w:hAnsi="Times New Roman" w:cs="Times New Roman"/>
        </w:rPr>
        <w:t>designed</w:t>
      </w:r>
      <w:r>
        <w:rPr>
          <w:rFonts w:ascii="Times New Roman" w:hAnsi="Times New Roman" w:cs="Times New Roman"/>
        </w:rPr>
        <w:t xml:space="preserve"> and facilitated</w:t>
      </w:r>
      <w:r w:rsidR="00444BA1" w:rsidRPr="00EB5639">
        <w:rPr>
          <w:rFonts w:ascii="Times New Roman" w:hAnsi="Times New Roman" w:cs="Times New Roman"/>
        </w:rPr>
        <w:t xml:space="preserve"> in a way that enables individuals to provide information shaped by their experiences, in the context of the overarching questions.  </w:t>
      </w:r>
      <w:r w:rsidR="00856E71">
        <w:rPr>
          <w:rFonts w:ascii="Times New Roman" w:hAnsi="Times New Roman" w:cs="Times New Roman"/>
        </w:rPr>
        <w:t xml:space="preserve">In general, the key informant interview questions will focus on the areas listed in Table 2 below. </w:t>
      </w:r>
      <w:r w:rsidR="00444BA1" w:rsidRPr="00EB5639">
        <w:rPr>
          <w:rFonts w:ascii="Times New Roman" w:hAnsi="Times New Roman" w:cs="Times New Roman"/>
        </w:rPr>
        <w:t xml:space="preserve">Using the </w:t>
      </w:r>
      <w:r w:rsidR="00856E71">
        <w:rPr>
          <w:rFonts w:ascii="Times New Roman" w:hAnsi="Times New Roman" w:cs="Times New Roman"/>
        </w:rPr>
        <w:t xml:space="preserve">primary </w:t>
      </w:r>
      <w:r w:rsidR="00444BA1" w:rsidRPr="00EB5639">
        <w:rPr>
          <w:rFonts w:ascii="Times New Roman" w:hAnsi="Times New Roman" w:cs="Times New Roman"/>
        </w:rPr>
        <w:t>evaluation questions as the guiding framework for</w:t>
      </w:r>
      <w:r w:rsidR="00856E71">
        <w:rPr>
          <w:rFonts w:ascii="Times New Roman" w:hAnsi="Times New Roman" w:cs="Times New Roman"/>
        </w:rPr>
        <w:t xml:space="preserve"> the specific</w:t>
      </w:r>
      <w:r w:rsidR="00444BA1" w:rsidRPr="00EB5639">
        <w:rPr>
          <w:rFonts w:ascii="Times New Roman" w:hAnsi="Times New Roman" w:cs="Times New Roman"/>
        </w:rPr>
        <w:t xml:space="preserve"> interview question</w:t>
      </w:r>
      <w:r w:rsidR="00856E71">
        <w:rPr>
          <w:rFonts w:ascii="Times New Roman" w:hAnsi="Times New Roman" w:cs="Times New Roman"/>
        </w:rPr>
        <w:t>s tailored for each group, the</w:t>
      </w:r>
      <w:r w:rsidR="00444BA1" w:rsidRPr="00EB5639">
        <w:rPr>
          <w:rFonts w:ascii="Times New Roman" w:hAnsi="Times New Roman" w:cs="Times New Roman"/>
        </w:rPr>
        <w:t xml:space="preserve"> interview guides </w:t>
      </w:r>
      <w:r w:rsidR="00B0024B">
        <w:rPr>
          <w:rFonts w:ascii="Times New Roman" w:hAnsi="Times New Roman" w:cs="Times New Roman"/>
        </w:rPr>
        <w:t>will</w:t>
      </w:r>
      <w:r w:rsidR="00444BA1" w:rsidRPr="00EB5639">
        <w:rPr>
          <w:rFonts w:ascii="Times New Roman" w:hAnsi="Times New Roman" w:cs="Times New Roman"/>
        </w:rPr>
        <w:t xml:space="preserve"> draw insights from multiple perspectives and triangulate sources of information in an effort to confirm observations and conclusions.  </w:t>
      </w:r>
      <w:r w:rsidR="00856E71">
        <w:rPr>
          <w:rFonts w:ascii="Times New Roman" w:hAnsi="Times New Roman" w:cs="Times New Roman"/>
        </w:rPr>
        <w:t>Refer</w:t>
      </w:r>
      <w:r w:rsidR="00B0024B">
        <w:rPr>
          <w:rFonts w:ascii="Times New Roman" w:hAnsi="Times New Roman" w:cs="Times New Roman"/>
        </w:rPr>
        <w:t xml:space="preserve"> to</w:t>
      </w:r>
      <w:r w:rsidR="00856E71">
        <w:rPr>
          <w:rFonts w:ascii="Times New Roman" w:hAnsi="Times New Roman" w:cs="Times New Roman"/>
        </w:rPr>
        <w:t xml:space="preserve"> the semi-structured interview guides in the Appendix for the specific questions for each group developed under the areas of inquiry rubric.</w:t>
      </w:r>
    </w:p>
    <w:p w:rsidR="00220192" w:rsidRDefault="00220192" w:rsidP="00444BA1">
      <w:pPr>
        <w:spacing w:line="480" w:lineRule="auto"/>
        <w:contextualSpacing/>
        <w:rPr>
          <w:rFonts w:ascii="Times New Roman" w:hAnsi="Times New Roman" w:cs="Times New Roman"/>
        </w:rPr>
      </w:pPr>
    </w:p>
    <w:p w:rsidR="00B10669" w:rsidRPr="007A00A3" w:rsidRDefault="00B10669" w:rsidP="00D87DF4">
      <w:pPr>
        <w:spacing w:line="240" w:lineRule="auto"/>
        <w:contextualSpacing/>
        <w:rPr>
          <w:rFonts w:ascii="Times New Roman" w:hAnsi="Times New Roman" w:cs="Times New Roman"/>
          <w:b/>
        </w:rPr>
      </w:pPr>
      <w:bookmarkStart w:id="5" w:name="Table2"/>
      <w:r w:rsidRPr="007A00A3">
        <w:rPr>
          <w:rFonts w:ascii="Times New Roman" w:hAnsi="Times New Roman" w:cs="Times New Roman"/>
          <w:b/>
        </w:rPr>
        <w:t xml:space="preserve">Table 2. Areas of inquiry for the Key Informant </w:t>
      </w:r>
      <w:r w:rsidR="00856E71" w:rsidRPr="007A00A3">
        <w:rPr>
          <w:rFonts w:ascii="Times New Roman" w:hAnsi="Times New Roman" w:cs="Times New Roman"/>
          <w:b/>
        </w:rPr>
        <w:t>Interviews</w:t>
      </w:r>
    </w:p>
    <w:tbl>
      <w:tblPr>
        <w:tblStyle w:val="TableGrid"/>
        <w:tblW w:w="0" w:type="auto"/>
        <w:tblInd w:w="108" w:type="dxa"/>
        <w:tblLook w:val="04A0" w:firstRow="1" w:lastRow="0" w:firstColumn="1" w:lastColumn="0" w:noHBand="0" w:noVBand="1"/>
      </w:tblPr>
      <w:tblGrid>
        <w:gridCol w:w="2610"/>
        <w:gridCol w:w="6858"/>
      </w:tblGrid>
      <w:tr w:rsidR="00B10669" w:rsidRPr="00BC3718" w:rsidTr="00D87DF4">
        <w:tc>
          <w:tcPr>
            <w:tcW w:w="2610" w:type="dxa"/>
            <w:shd w:val="clear" w:color="auto" w:fill="BFBFBF" w:themeFill="background1" w:themeFillShade="BF"/>
          </w:tcPr>
          <w:bookmarkEnd w:id="5"/>
          <w:p w:rsidR="00B10669" w:rsidRPr="00BC3718" w:rsidRDefault="00BC3718" w:rsidP="00856E71">
            <w:pPr>
              <w:spacing w:before="20" w:after="20"/>
              <w:rPr>
                <w:rFonts w:ascii="Times New Roman" w:hAnsi="Times New Roman" w:cs="Times New Roman"/>
                <w:b/>
                <w:bCs/>
              </w:rPr>
            </w:pPr>
            <w:r w:rsidRPr="00BC3718">
              <w:rPr>
                <w:rFonts w:ascii="Times New Roman" w:hAnsi="Times New Roman" w:cs="Times New Roman"/>
                <w:b/>
                <w:bCs/>
              </w:rPr>
              <w:t>Area of inquiry</w:t>
            </w:r>
          </w:p>
        </w:tc>
        <w:tc>
          <w:tcPr>
            <w:tcW w:w="6858" w:type="dxa"/>
            <w:shd w:val="clear" w:color="auto" w:fill="BFBFBF" w:themeFill="background1" w:themeFillShade="BF"/>
          </w:tcPr>
          <w:p w:rsidR="00B10669" w:rsidRPr="00BC3718" w:rsidRDefault="00BC3718" w:rsidP="00B10669">
            <w:pPr>
              <w:spacing w:before="20" w:after="20"/>
              <w:rPr>
                <w:rFonts w:ascii="Times New Roman" w:hAnsi="Times New Roman" w:cs="Times New Roman"/>
                <w:b/>
                <w:bCs/>
              </w:rPr>
            </w:pPr>
            <w:r w:rsidRPr="00BC3718">
              <w:rPr>
                <w:rFonts w:ascii="Times New Roman" w:hAnsi="Times New Roman" w:cs="Times New Roman"/>
                <w:b/>
                <w:bCs/>
              </w:rPr>
              <w:t>Description</w:t>
            </w:r>
          </w:p>
        </w:tc>
      </w:tr>
      <w:tr w:rsidR="00B10669" w:rsidRPr="00BC3718" w:rsidTr="00525F6C">
        <w:trPr>
          <w:trHeight w:val="1296"/>
        </w:trPr>
        <w:tc>
          <w:tcPr>
            <w:tcW w:w="2610" w:type="dxa"/>
            <w:vAlign w:val="center"/>
          </w:tcPr>
          <w:p w:rsidR="00B10669" w:rsidRPr="00BC3718" w:rsidRDefault="00B10669" w:rsidP="00856E71">
            <w:pPr>
              <w:spacing w:before="20" w:after="60"/>
              <w:rPr>
                <w:rFonts w:ascii="Times New Roman" w:hAnsi="Times New Roman" w:cs="Times New Roman"/>
                <w:bCs/>
                <w:sz w:val="20"/>
                <w:szCs w:val="20"/>
              </w:rPr>
            </w:pPr>
            <w:r w:rsidRPr="00BC3718">
              <w:rPr>
                <w:rFonts w:ascii="Times New Roman" w:hAnsi="Times New Roman" w:cs="Times New Roman"/>
                <w:sz w:val="20"/>
                <w:szCs w:val="20"/>
              </w:rPr>
              <w:t>Development and sharing of new tools and technologies</w:t>
            </w:r>
          </w:p>
        </w:tc>
        <w:tc>
          <w:tcPr>
            <w:tcW w:w="6858" w:type="dxa"/>
            <w:vAlign w:val="center"/>
          </w:tcPr>
          <w:p w:rsidR="00B10669" w:rsidRPr="00BC3718" w:rsidRDefault="00B10669" w:rsidP="00B10669">
            <w:pPr>
              <w:spacing w:before="20" w:after="60"/>
              <w:rPr>
                <w:rFonts w:ascii="Times New Roman" w:hAnsi="Times New Roman" w:cs="Times New Roman"/>
                <w:sz w:val="20"/>
                <w:szCs w:val="20"/>
              </w:rPr>
            </w:pPr>
            <w:r w:rsidRPr="00BC3718">
              <w:rPr>
                <w:rFonts w:ascii="Times New Roman" w:hAnsi="Times New Roman" w:cs="Times New Roman"/>
                <w:sz w:val="20"/>
                <w:szCs w:val="20"/>
              </w:rPr>
              <w:t>The program seeks to develop proteomic technologies to gain a greater understanding of physiological pathways, molecular interactions, and regulatory signals related to heart, lung, blood, and sleep diseases and disorders.  Tools developed through the program will be made available to the larger community to further advance heart, lung, and blood research.</w:t>
            </w:r>
          </w:p>
        </w:tc>
      </w:tr>
      <w:tr w:rsidR="00B10669" w:rsidRPr="00BC3718" w:rsidTr="00525F6C">
        <w:trPr>
          <w:trHeight w:val="1296"/>
        </w:trPr>
        <w:tc>
          <w:tcPr>
            <w:tcW w:w="2610" w:type="dxa"/>
            <w:vAlign w:val="center"/>
          </w:tcPr>
          <w:p w:rsidR="00B10669" w:rsidRPr="00BC3718" w:rsidRDefault="00B10669" w:rsidP="00856E71">
            <w:pPr>
              <w:spacing w:before="20"/>
              <w:rPr>
                <w:rFonts w:ascii="Times New Roman" w:hAnsi="Times New Roman" w:cs="Times New Roman"/>
                <w:bCs/>
                <w:sz w:val="20"/>
                <w:szCs w:val="20"/>
              </w:rPr>
            </w:pPr>
            <w:r w:rsidRPr="00BC3718">
              <w:rPr>
                <w:rFonts w:ascii="Times New Roman" w:hAnsi="Times New Roman" w:cs="Times New Roman"/>
                <w:sz w:val="20"/>
                <w:szCs w:val="20"/>
              </w:rPr>
              <w:t>Mature, clinically useful outputs - i.e.</w:t>
            </w:r>
            <w:r w:rsidR="00856E71" w:rsidRPr="00BC3718">
              <w:rPr>
                <w:rFonts w:ascii="Times New Roman" w:hAnsi="Times New Roman" w:cs="Times New Roman"/>
                <w:sz w:val="20"/>
                <w:szCs w:val="20"/>
              </w:rPr>
              <w:t xml:space="preserve"> </w:t>
            </w:r>
            <w:r w:rsidRPr="00BC3718">
              <w:rPr>
                <w:rFonts w:ascii="Times New Roman" w:hAnsi="Times New Roman" w:cs="Times New Roman"/>
                <w:sz w:val="20"/>
                <w:szCs w:val="20"/>
              </w:rPr>
              <w:t>inventions, patent applications, spin-off companies, and licensing agreements</w:t>
            </w:r>
          </w:p>
        </w:tc>
        <w:tc>
          <w:tcPr>
            <w:tcW w:w="6858" w:type="dxa"/>
            <w:vAlign w:val="center"/>
          </w:tcPr>
          <w:p w:rsidR="00B10669" w:rsidRPr="00BC3718" w:rsidRDefault="00B10669" w:rsidP="00B10669">
            <w:pPr>
              <w:spacing w:before="20" w:after="60"/>
              <w:rPr>
                <w:rFonts w:ascii="Times New Roman" w:hAnsi="Times New Roman" w:cs="Times New Roman"/>
                <w:sz w:val="20"/>
                <w:szCs w:val="20"/>
              </w:rPr>
            </w:pPr>
            <w:r w:rsidRPr="00BC3718">
              <w:rPr>
                <w:rFonts w:ascii="Times New Roman" w:hAnsi="Times New Roman" w:cs="Times New Roman"/>
                <w:sz w:val="20"/>
                <w:szCs w:val="20"/>
              </w:rPr>
              <w:t>The program will develop and yield methods, tools, and techniques (technology products) that can be applied to a number of clinically-relevant questions in heart, lung, and blood research.  The program seeks to bring innovation to commercial fruition through partnerships with industry.</w:t>
            </w:r>
          </w:p>
        </w:tc>
      </w:tr>
      <w:tr w:rsidR="00B10669" w:rsidRPr="00BC3718" w:rsidTr="00525F6C">
        <w:trPr>
          <w:trHeight w:val="1152"/>
        </w:trPr>
        <w:tc>
          <w:tcPr>
            <w:tcW w:w="2610" w:type="dxa"/>
            <w:vAlign w:val="center"/>
          </w:tcPr>
          <w:p w:rsidR="00B10669" w:rsidRPr="00BC3718" w:rsidRDefault="00856E71" w:rsidP="00856E71">
            <w:pPr>
              <w:spacing w:before="20" w:after="60"/>
              <w:rPr>
                <w:rFonts w:ascii="Times New Roman" w:hAnsi="Times New Roman" w:cs="Times New Roman"/>
                <w:bCs/>
                <w:sz w:val="20"/>
                <w:szCs w:val="20"/>
              </w:rPr>
            </w:pPr>
            <w:r w:rsidRPr="00BC3718">
              <w:rPr>
                <w:rFonts w:ascii="Times New Roman" w:hAnsi="Times New Roman" w:cs="Times New Roman"/>
                <w:sz w:val="20"/>
                <w:szCs w:val="20"/>
              </w:rPr>
              <w:t>Contribution to the creation and integration of a knowledgebase</w:t>
            </w:r>
          </w:p>
        </w:tc>
        <w:tc>
          <w:tcPr>
            <w:tcW w:w="6858" w:type="dxa"/>
            <w:vAlign w:val="center"/>
          </w:tcPr>
          <w:p w:rsidR="00B10669" w:rsidRPr="00BC3718" w:rsidRDefault="00B10669" w:rsidP="00B10669">
            <w:pPr>
              <w:spacing w:before="20" w:after="60"/>
              <w:rPr>
                <w:rFonts w:ascii="Times New Roman" w:hAnsi="Times New Roman" w:cs="Times New Roman"/>
                <w:sz w:val="20"/>
                <w:szCs w:val="20"/>
              </w:rPr>
            </w:pPr>
            <w:r w:rsidRPr="00BC3718">
              <w:rPr>
                <w:rFonts w:ascii="Times New Roman" w:hAnsi="Times New Roman" w:cs="Times New Roman"/>
                <w:sz w:val="20"/>
                <w:szCs w:val="20"/>
              </w:rPr>
              <w:t xml:space="preserve">The program will create a knowledge base to facilitate translation of innovative proteomic approaches and technologies to clinical utility.  The knowledgebase will constitute the integration of multi-disciplinary proteomic data sets in the context of cardiovascular biology and medicine.  </w:t>
            </w:r>
          </w:p>
        </w:tc>
      </w:tr>
      <w:tr w:rsidR="00B10669" w:rsidRPr="00BC3718" w:rsidTr="00525F6C">
        <w:trPr>
          <w:trHeight w:val="1296"/>
        </w:trPr>
        <w:tc>
          <w:tcPr>
            <w:tcW w:w="2610" w:type="dxa"/>
            <w:vAlign w:val="center"/>
          </w:tcPr>
          <w:p w:rsidR="00B10669" w:rsidRPr="00BC3718" w:rsidRDefault="00B10669" w:rsidP="00856E71">
            <w:pPr>
              <w:spacing w:before="20" w:after="60"/>
              <w:rPr>
                <w:rFonts w:ascii="Times New Roman" w:hAnsi="Times New Roman" w:cs="Times New Roman"/>
                <w:bCs/>
                <w:sz w:val="20"/>
                <w:szCs w:val="20"/>
              </w:rPr>
            </w:pPr>
            <w:r w:rsidRPr="00BC3718">
              <w:rPr>
                <w:rFonts w:ascii="Times New Roman" w:hAnsi="Times New Roman" w:cs="Times New Roman"/>
                <w:sz w:val="20"/>
                <w:szCs w:val="20"/>
              </w:rPr>
              <w:t>Filling of existing knowledge gaps</w:t>
            </w:r>
          </w:p>
        </w:tc>
        <w:tc>
          <w:tcPr>
            <w:tcW w:w="6858" w:type="dxa"/>
            <w:vAlign w:val="center"/>
          </w:tcPr>
          <w:p w:rsidR="00B10669" w:rsidRPr="00BC3718" w:rsidRDefault="00B10669" w:rsidP="00B10669">
            <w:pPr>
              <w:spacing w:before="20" w:after="60"/>
              <w:rPr>
                <w:rFonts w:ascii="Times New Roman" w:hAnsi="Times New Roman" w:cs="Times New Roman"/>
                <w:sz w:val="20"/>
                <w:szCs w:val="20"/>
              </w:rPr>
            </w:pPr>
            <w:r w:rsidRPr="00BC3718">
              <w:rPr>
                <w:rFonts w:ascii="Times New Roman" w:hAnsi="Times New Roman" w:cs="Times New Roman"/>
                <w:sz w:val="20"/>
                <w:szCs w:val="20"/>
              </w:rPr>
              <w:t xml:space="preserve">Biological and clinical knowledge gaps exist in the understanding of heart, lung, and blood conditions.  The program is purposefully targeting proteomic tools and technologies to address relevant and compelling biological and clinical questions. The program seeks to produce innovative methods and techniques, the application of which will advance knowledge in diagnostics and therapeutics. </w:t>
            </w:r>
          </w:p>
        </w:tc>
      </w:tr>
      <w:tr w:rsidR="00B10669" w:rsidRPr="00BC3718" w:rsidTr="00525F6C">
        <w:trPr>
          <w:trHeight w:val="1296"/>
        </w:trPr>
        <w:tc>
          <w:tcPr>
            <w:tcW w:w="2610" w:type="dxa"/>
            <w:vAlign w:val="center"/>
          </w:tcPr>
          <w:p w:rsidR="00B10669" w:rsidRPr="00BC3718" w:rsidRDefault="00B10669" w:rsidP="00856E71">
            <w:pPr>
              <w:spacing w:before="20" w:after="60"/>
              <w:rPr>
                <w:rFonts w:ascii="Times New Roman" w:hAnsi="Times New Roman" w:cs="Times New Roman"/>
                <w:bCs/>
                <w:sz w:val="20"/>
                <w:szCs w:val="20"/>
              </w:rPr>
            </w:pPr>
            <w:r w:rsidRPr="00BC3718">
              <w:rPr>
                <w:rFonts w:ascii="Times New Roman" w:hAnsi="Times New Roman" w:cs="Times New Roman"/>
                <w:sz w:val="20"/>
                <w:szCs w:val="20"/>
              </w:rPr>
              <w:t>Collaboration among investigators</w:t>
            </w:r>
          </w:p>
        </w:tc>
        <w:tc>
          <w:tcPr>
            <w:tcW w:w="6858" w:type="dxa"/>
            <w:vAlign w:val="center"/>
          </w:tcPr>
          <w:p w:rsidR="00B10669" w:rsidRPr="00BC3718" w:rsidRDefault="00B10669" w:rsidP="00B10669">
            <w:pPr>
              <w:spacing w:before="20" w:after="60"/>
              <w:rPr>
                <w:rFonts w:ascii="Times New Roman" w:hAnsi="Times New Roman" w:cs="Times New Roman"/>
                <w:sz w:val="20"/>
                <w:szCs w:val="20"/>
              </w:rPr>
            </w:pPr>
            <w:r w:rsidRPr="00BC3718">
              <w:rPr>
                <w:rFonts w:ascii="Times New Roman" w:hAnsi="Times New Roman" w:cs="Times New Roman"/>
                <w:sz w:val="20"/>
                <w:szCs w:val="20"/>
              </w:rPr>
              <w:t>Principal investigators work together, concentrating on a particular innovation, then collaborate extensively with clinical researchers.  The program anticipates that investigators will develop and maintain internal (within center) and external (outside of the center) collaborations, as well as international partnerships in the pursuit of program goals.</w:t>
            </w:r>
          </w:p>
        </w:tc>
      </w:tr>
      <w:tr w:rsidR="00B10669" w:rsidRPr="00BC3718" w:rsidTr="00525F6C">
        <w:trPr>
          <w:trHeight w:val="1296"/>
        </w:trPr>
        <w:tc>
          <w:tcPr>
            <w:tcW w:w="2610" w:type="dxa"/>
            <w:vAlign w:val="center"/>
          </w:tcPr>
          <w:p w:rsidR="00B10669" w:rsidRPr="00BC3718" w:rsidRDefault="00B10669" w:rsidP="00856E71">
            <w:pPr>
              <w:spacing w:before="20" w:after="60"/>
              <w:rPr>
                <w:rFonts w:ascii="Times New Roman" w:hAnsi="Times New Roman" w:cs="Times New Roman"/>
                <w:bCs/>
                <w:sz w:val="20"/>
                <w:szCs w:val="20"/>
              </w:rPr>
            </w:pPr>
            <w:r w:rsidRPr="00BC3718">
              <w:rPr>
                <w:rFonts w:ascii="Times New Roman" w:hAnsi="Times New Roman" w:cs="Times New Roman"/>
                <w:sz w:val="20"/>
                <w:szCs w:val="20"/>
              </w:rPr>
              <w:lastRenderedPageBreak/>
              <w:t>Research informs subsequent science</w:t>
            </w:r>
          </w:p>
        </w:tc>
        <w:tc>
          <w:tcPr>
            <w:tcW w:w="6858" w:type="dxa"/>
            <w:vAlign w:val="center"/>
          </w:tcPr>
          <w:p w:rsidR="00B10669" w:rsidRPr="00BC3718" w:rsidRDefault="00B10669" w:rsidP="00B10669">
            <w:pPr>
              <w:spacing w:before="20" w:after="60"/>
              <w:rPr>
                <w:rFonts w:ascii="Times New Roman" w:hAnsi="Times New Roman" w:cs="Times New Roman"/>
                <w:sz w:val="20"/>
                <w:szCs w:val="20"/>
              </w:rPr>
            </w:pPr>
            <w:r w:rsidRPr="00BC3718">
              <w:rPr>
                <w:rFonts w:ascii="Times New Roman" w:hAnsi="Times New Roman" w:cs="Times New Roman"/>
                <w:sz w:val="20"/>
                <w:szCs w:val="20"/>
              </w:rPr>
              <w:t>Center research is expected to influence the future research on the identification of new paradigms, potential therapeutics, and new biomarkers.  Clinically actionable research on existing and emerging proteomics approaches is anticipated to revolutionize the understanding of clinical issues (e.g., heart failure) and facilitate rapid translational research.</w:t>
            </w:r>
          </w:p>
        </w:tc>
      </w:tr>
      <w:tr w:rsidR="00B10669" w:rsidRPr="00BC3718" w:rsidTr="00525F6C">
        <w:trPr>
          <w:trHeight w:val="1296"/>
        </w:trPr>
        <w:tc>
          <w:tcPr>
            <w:tcW w:w="2610" w:type="dxa"/>
            <w:vAlign w:val="center"/>
          </w:tcPr>
          <w:p w:rsidR="00B10669" w:rsidRPr="00BC3718" w:rsidRDefault="00B10669" w:rsidP="00856E71">
            <w:pPr>
              <w:spacing w:before="20" w:after="60"/>
              <w:rPr>
                <w:rFonts w:ascii="Times New Roman" w:hAnsi="Times New Roman" w:cs="Times New Roman"/>
                <w:bCs/>
                <w:sz w:val="20"/>
                <w:szCs w:val="20"/>
              </w:rPr>
            </w:pPr>
            <w:r w:rsidRPr="00BC3718">
              <w:rPr>
                <w:rFonts w:ascii="Times New Roman" w:hAnsi="Times New Roman" w:cs="Times New Roman"/>
                <w:sz w:val="20"/>
                <w:szCs w:val="20"/>
              </w:rPr>
              <w:t>Subsequent academic appointments and professional recognition</w:t>
            </w:r>
          </w:p>
        </w:tc>
        <w:tc>
          <w:tcPr>
            <w:tcW w:w="6858" w:type="dxa"/>
            <w:vAlign w:val="center"/>
          </w:tcPr>
          <w:p w:rsidR="00B10669" w:rsidRPr="00BC3718" w:rsidRDefault="00B10669" w:rsidP="00B10669">
            <w:pPr>
              <w:spacing w:before="20" w:after="60"/>
              <w:rPr>
                <w:rFonts w:ascii="Times New Roman" w:hAnsi="Times New Roman" w:cs="Times New Roman"/>
                <w:sz w:val="20"/>
                <w:szCs w:val="20"/>
              </w:rPr>
            </w:pPr>
            <w:r w:rsidRPr="00BC3718">
              <w:rPr>
                <w:rFonts w:ascii="Times New Roman" w:hAnsi="Times New Roman" w:cs="Times New Roman"/>
                <w:sz w:val="20"/>
                <w:szCs w:val="20"/>
              </w:rPr>
              <w:t xml:space="preserve">As an </w:t>
            </w:r>
            <w:r w:rsidR="00167782" w:rsidRPr="00BC3718">
              <w:rPr>
                <w:rFonts w:ascii="Times New Roman" w:hAnsi="Times New Roman" w:cs="Times New Roman"/>
                <w:sz w:val="20"/>
                <w:szCs w:val="20"/>
              </w:rPr>
              <w:t>indispensable</w:t>
            </w:r>
            <w:r w:rsidRPr="00BC3718">
              <w:rPr>
                <w:rFonts w:ascii="Times New Roman" w:hAnsi="Times New Roman" w:cs="Times New Roman"/>
                <w:sz w:val="20"/>
                <w:szCs w:val="20"/>
              </w:rPr>
              <w:t xml:space="preserve"> resource young investigators are dedicated and creative.  The program seeks to serve as a training ground and platform for professional advancement and recognition.  Academic advancement, honors, and awards are key indicators of the development of capacity to support future cutting-edge research.</w:t>
            </w:r>
          </w:p>
        </w:tc>
      </w:tr>
    </w:tbl>
    <w:p w:rsidR="00B10669" w:rsidRPr="00EB5639" w:rsidRDefault="00B10669" w:rsidP="00444BA1">
      <w:pPr>
        <w:spacing w:line="480" w:lineRule="auto"/>
        <w:contextualSpacing/>
        <w:rPr>
          <w:rFonts w:ascii="Times New Roman" w:hAnsi="Times New Roman" w:cs="Times New Roman"/>
        </w:rPr>
      </w:pPr>
    </w:p>
    <w:p w:rsidR="00444BA1" w:rsidRPr="00EB5639" w:rsidRDefault="00444BA1" w:rsidP="00444BA1">
      <w:pPr>
        <w:spacing w:line="480" w:lineRule="auto"/>
        <w:contextualSpacing/>
        <w:rPr>
          <w:rFonts w:ascii="Times New Roman" w:hAnsi="Times New Roman" w:cs="Times New Roman"/>
        </w:rPr>
      </w:pPr>
      <w:r w:rsidRPr="00EB5639">
        <w:rPr>
          <w:rFonts w:ascii="Times New Roman" w:hAnsi="Times New Roman" w:cs="Times New Roman"/>
        </w:rPr>
        <w:t xml:space="preserve">For </w:t>
      </w:r>
      <w:r w:rsidR="00BC3718">
        <w:rPr>
          <w:rFonts w:ascii="Times New Roman" w:hAnsi="Times New Roman" w:cs="Times New Roman"/>
        </w:rPr>
        <w:t>the key informant</w:t>
      </w:r>
      <w:r w:rsidRPr="00EB5639">
        <w:rPr>
          <w:rFonts w:ascii="Times New Roman" w:hAnsi="Times New Roman" w:cs="Times New Roman"/>
        </w:rPr>
        <w:t xml:space="preserve"> interviews, interv</w:t>
      </w:r>
      <w:r w:rsidR="00BC3718">
        <w:rPr>
          <w:rFonts w:ascii="Times New Roman" w:hAnsi="Times New Roman" w:cs="Times New Roman"/>
        </w:rPr>
        <w:t xml:space="preserve">iewers from CSI will capture the content </w:t>
      </w:r>
      <w:r w:rsidRPr="00EB5639">
        <w:rPr>
          <w:rFonts w:ascii="Times New Roman" w:hAnsi="Times New Roman" w:cs="Times New Roman"/>
        </w:rPr>
        <w:t>through digital recording</w:t>
      </w:r>
      <w:r w:rsidR="00B0024B">
        <w:rPr>
          <w:rFonts w:ascii="Times New Roman" w:hAnsi="Times New Roman" w:cs="Times New Roman"/>
        </w:rPr>
        <w:t>s</w:t>
      </w:r>
      <w:r w:rsidRPr="00EB5639">
        <w:rPr>
          <w:rFonts w:ascii="Times New Roman" w:hAnsi="Times New Roman" w:cs="Times New Roman"/>
        </w:rPr>
        <w:t xml:space="preserve">, from which summaries and transcripts </w:t>
      </w:r>
      <w:r w:rsidR="00BC3718">
        <w:rPr>
          <w:rFonts w:ascii="Times New Roman" w:hAnsi="Times New Roman" w:cs="Times New Roman"/>
        </w:rPr>
        <w:t>will</w:t>
      </w:r>
      <w:r w:rsidRPr="00EB5639">
        <w:rPr>
          <w:rFonts w:ascii="Times New Roman" w:hAnsi="Times New Roman" w:cs="Times New Roman"/>
        </w:rPr>
        <w:t xml:space="preserve"> be produced.  Through an analytic memoing process developed by </w:t>
      </w:r>
      <w:r w:rsidR="00BC3718">
        <w:rPr>
          <w:rFonts w:ascii="Times New Roman" w:hAnsi="Times New Roman" w:cs="Times New Roman"/>
        </w:rPr>
        <w:t>the principal evaluator</w:t>
      </w:r>
      <w:r w:rsidRPr="00EB5639">
        <w:rPr>
          <w:rFonts w:ascii="Times New Roman" w:hAnsi="Times New Roman" w:cs="Times New Roman"/>
        </w:rPr>
        <w:t xml:space="preserve">, the interviewers will use the interview guide to record insights and summarize reflections after each interview.  The analytic memos generated by the interviewers will enable </w:t>
      </w:r>
      <w:r w:rsidR="00BC3718">
        <w:rPr>
          <w:rFonts w:ascii="Times New Roman" w:hAnsi="Times New Roman" w:cs="Times New Roman"/>
        </w:rPr>
        <w:t>the principal evaluator</w:t>
      </w:r>
      <w:r w:rsidR="00BC3718" w:rsidRPr="00EB5639">
        <w:rPr>
          <w:rFonts w:ascii="Times New Roman" w:hAnsi="Times New Roman" w:cs="Times New Roman"/>
        </w:rPr>
        <w:t xml:space="preserve"> </w:t>
      </w:r>
      <w:r w:rsidRPr="00EB5639">
        <w:rPr>
          <w:rFonts w:ascii="Times New Roman" w:hAnsi="Times New Roman" w:cs="Times New Roman"/>
        </w:rPr>
        <w:t xml:space="preserve">to ascertain the degree to which the interview process (semi-structured interview guide and </w:t>
      </w:r>
      <w:r w:rsidR="00B0024B">
        <w:rPr>
          <w:rFonts w:ascii="Times New Roman" w:hAnsi="Times New Roman" w:cs="Times New Roman"/>
        </w:rPr>
        <w:t>the implementation</w:t>
      </w:r>
      <w:r w:rsidRPr="00EB5639">
        <w:rPr>
          <w:rFonts w:ascii="Times New Roman" w:hAnsi="Times New Roman" w:cs="Times New Roman"/>
        </w:rPr>
        <w:t xml:space="preserve"> of the interviews) are generating information that will enable key questions to be answered.  CSI will tra</w:t>
      </w:r>
      <w:r w:rsidR="00BC3718">
        <w:rPr>
          <w:rFonts w:ascii="Times New Roman" w:hAnsi="Times New Roman" w:cs="Times New Roman"/>
        </w:rPr>
        <w:t>nscribe the interviews, and a designated quality reviewer</w:t>
      </w:r>
      <w:r w:rsidRPr="00EB5639">
        <w:rPr>
          <w:rFonts w:ascii="Times New Roman" w:hAnsi="Times New Roman" w:cs="Times New Roman"/>
        </w:rPr>
        <w:t xml:space="preserve"> will initiate a quality check of the transcription with the digital recording.  This will also enable </w:t>
      </w:r>
      <w:r w:rsidR="00BC3718">
        <w:rPr>
          <w:rFonts w:ascii="Times New Roman" w:hAnsi="Times New Roman" w:cs="Times New Roman"/>
        </w:rPr>
        <w:t>the principal evaluator</w:t>
      </w:r>
      <w:r w:rsidR="00BC3718" w:rsidRPr="00EB5639">
        <w:rPr>
          <w:rFonts w:ascii="Times New Roman" w:hAnsi="Times New Roman" w:cs="Times New Roman"/>
        </w:rPr>
        <w:t xml:space="preserve"> </w:t>
      </w:r>
      <w:r w:rsidRPr="00EB5639">
        <w:rPr>
          <w:rFonts w:ascii="Times New Roman" w:hAnsi="Times New Roman" w:cs="Times New Roman"/>
        </w:rPr>
        <w:t xml:space="preserve">to routinely conduct data audits on qualitative interview procedures as well as the data captured during the interview to ensure that the guide is being used as designed and that the guides are yielding the anticipated information.  In addition, </w:t>
      </w:r>
      <w:r w:rsidR="00BC3718">
        <w:rPr>
          <w:rFonts w:ascii="Times New Roman" w:hAnsi="Times New Roman" w:cs="Times New Roman"/>
        </w:rPr>
        <w:t xml:space="preserve">CSI </w:t>
      </w:r>
      <w:r w:rsidRPr="00EB5639">
        <w:rPr>
          <w:rFonts w:ascii="Times New Roman" w:hAnsi="Times New Roman" w:cs="Times New Roman"/>
        </w:rPr>
        <w:t>interviewers will follow up with the interview participants, if necessary, to ensure validity of the data.</w:t>
      </w:r>
    </w:p>
    <w:p w:rsidR="00BC3718" w:rsidRDefault="00BC3718" w:rsidP="00444BA1">
      <w:pPr>
        <w:spacing w:line="480" w:lineRule="auto"/>
        <w:contextualSpacing/>
        <w:rPr>
          <w:rFonts w:ascii="Times New Roman" w:hAnsi="Times New Roman" w:cs="Times New Roman"/>
        </w:rPr>
      </w:pPr>
    </w:p>
    <w:p w:rsidR="00444BA1" w:rsidRPr="00EB5639" w:rsidRDefault="00444BA1" w:rsidP="00444BA1">
      <w:pPr>
        <w:spacing w:line="480" w:lineRule="auto"/>
        <w:contextualSpacing/>
        <w:rPr>
          <w:rFonts w:ascii="Times New Roman" w:hAnsi="Times New Roman" w:cs="Times New Roman"/>
        </w:rPr>
      </w:pPr>
      <w:r w:rsidRPr="00EB5639">
        <w:rPr>
          <w:rFonts w:ascii="Times New Roman" w:hAnsi="Times New Roman" w:cs="Times New Roman"/>
        </w:rPr>
        <w:t xml:space="preserve">Once the transcribed interviews have been checked for completion and errors, </w:t>
      </w:r>
      <w:r w:rsidR="00BC3718">
        <w:rPr>
          <w:rFonts w:ascii="Times New Roman" w:hAnsi="Times New Roman" w:cs="Times New Roman"/>
        </w:rPr>
        <w:t>the principal evaluator</w:t>
      </w:r>
      <w:r w:rsidR="00BC3718" w:rsidRPr="00EB5639">
        <w:rPr>
          <w:rFonts w:ascii="Times New Roman" w:hAnsi="Times New Roman" w:cs="Times New Roman"/>
        </w:rPr>
        <w:t xml:space="preserve"> </w:t>
      </w:r>
      <w:r w:rsidRPr="00EB5639">
        <w:rPr>
          <w:rFonts w:ascii="Times New Roman" w:hAnsi="Times New Roman" w:cs="Times New Roman"/>
        </w:rPr>
        <w:t>will lead the development of the qualitative data reduction and coding process, following an iterative analytic process using multiple analysts on the team to enhance the credibility of the findings.  A codebook will be created to aid in the analysis of the data among multiple analysts.  It is through the application of this process that the qualitative interview data will be analyzed, and the thematic results interpreted in the context of the broad ev</w:t>
      </w:r>
      <w:r w:rsidR="00BC3718">
        <w:rPr>
          <w:rFonts w:ascii="Times New Roman" w:hAnsi="Times New Roman" w:cs="Times New Roman"/>
        </w:rPr>
        <w:t>aluation questions.  Through CSI's</w:t>
      </w:r>
      <w:r w:rsidRPr="00EB5639">
        <w:rPr>
          <w:rFonts w:ascii="Times New Roman" w:hAnsi="Times New Roman" w:cs="Times New Roman"/>
        </w:rPr>
        <w:t xml:space="preserve"> ana</w:t>
      </w:r>
      <w:r w:rsidR="00BC3718">
        <w:rPr>
          <w:rFonts w:ascii="Times New Roman" w:hAnsi="Times New Roman" w:cs="Times New Roman"/>
        </w:rPr>
        <w:t>lytic approach to the interview data</w:t>
      </w:r>
      <w:r w:rsidRPr="00EB5639">
        <w:rPr>
          <w:rFonts w:ascii="Times New Roman" w:hAnsi="Times New Roman" w:cs="Times New Roman"/>
        </w:rPr>
        <w:t xml:space="preserve">, the use </w:t>
      </w:r>
      <w:r w:rsidRPr="00EB5639">
        <w:rPr>
          <w:rFonts w:ascii="Times New Roman" w:hAnsi="Times New Roman" w:cs="Times New Roman"/>
        </w:rPr>
        <w:lastRenderedPageBreak/>
        <w:t>of participant language and verbatim accounts to highlight and amplify key themes that emerge from the analysis</w:t>
      </w:r>
      <w:r w:rsidR="00BC3718">
        <w:rPr>
          <w:rFonts w:ascii="Times New Roman" w:hAnsi="Times New Roman" w:cs="Times New Roman"/>
        </w:rPr>
        <w:t xml:space="preserve"> will be emphasized</w:t>
      </w:r>
      <w:r w:rsidRPr="00EB5639">
        <w:rPr>
          <w:rFonts w:ascii="Times New Roman" w:hAnsi="Times New Roman" w:cs="Times New Roman"/>
        </w:rPr>
        <w:t>.</w:t>
      </w:r>
    </w:p>
    <w:p w:rsidR="00A20CD3" w:rsidRDefault="00A20CD3" w:rsidP="00B56AFB">
      <w:pPr>
        <w:spacing w:after="0" w:line="480" w:lineRule="auto"/>
        <w:contextualSpacing/>
        <w:rPr>
          <w:rFonts w:ascii="Times New Roman" w:hAnsi="Times New Roman" w:cs="Times New Roman"/>
          <w:b/>
        </w:rPr>
      </w:pPr>
    </w:p>
    <w:p w:rsidR="00444BA1" w:rsidRPr="007A00A3" w:rsidRDefault="00444BA1" w:rsidP="00B56AFB">
      <w:pPr>
        <w:spacing w:after="0" w:line="480" w:lineRule="auto"/>
        <w:contextualSpacing/>
        <w:rPr>
          <w:rFonts w:ascii="Times New Roman" w:hAnsi="Times New Roman" w:cs="Times New Roman"/>
          <w:i/>
        </w:rPr>
      </w:pPr>
      <w:r w:rsidRPr="007A00A3">
        <w:rPr>
          <w:rFonts w:ascii="Times New Roman" w:hAnsi="Times New Roman" w:cs="Times New Roman"/>
          <w:i/>
        </w:rPr>
        <w:t>Analysis plan</w:t>
      </w:r>
    </w:p>
    <w:p w:rsidR="00444BA1" w:rsidRPr="00B56AFB" w:rsidRDefault="00444BA1" w:rsidP="00B56AFB">
      <w:pPr>
        <w:widowControl w:val="0"/>
        <w:autoSpaceDE w:val="0"/>
        <w:autoSpaceDN w:val="0"/>
        <w:adjustRightInd w:val="0"/>
        <w:spacing w:line="480" w:lineRule="auto"/>
        <w:rPr>
          <w:rFonts w:ascii="Times New Roman" w:hAnsi="Times New Roman" w:cs="Times New Roman"/>
          <w:color w:val="000000"/>
        </w:rPr>
      </w:pPr>
      <w:r w:rsidRPr="00B56AFB">
        <w:rPr>
          <w:rFonts w:ascii="Times New Roman" w:hAnsi="Times New Roman" w:cs="Times New Roman"/>
          <w:color w:val="000000"/>
        </w:rPr>
        <w:t>The data reduction and coding plan for analyzing the qualitative information will be based on the need to identify specific information that addresses the evaluation questions. Unlike more general qualitative research, the analysis of qualitative interview data in evaluation requires a utilization-focused approach to keep the findings from becoming too abstract, esoteric, or theoretical and ensure a high degree of relevance to stakeholders in the current system.</w:t>
      </w:r>
    </w:p>
    <w:p w:rsidR="00444BA1" w:rsidRPr="00B56AFB" w:rsidRDefault="00220192" w:rsidP="0047575F">
      <w:pPr>
        <w:widowControl w:val="0"/>
        <w:autoSpaceDE w:val="0"/>
        <w:autoSpaceDN w:val="0"/>
        <w:adjustRightInd w:val="0"/>
        <w:spacing w:line="480" w:lineRule="auto"/>
        <w:contextualSpacing/>
        <w:rPr>
          <w:rFonts w:ascii="Times New Roman" w:hAnsi="Times New Roman" w:cs="Times New Roman"/>
          <w:color w:val="000000"/>
        </w:rPr>
      </w:pPr>
      <w:r>
        <w:rPr>
          <w:rFonts w:ascii="Times New Roman" w:hAnsi="Times New Roman" w:cs="Times New Roman"/>
          <w:color w:val="000000"/>
        </w:rPr>
        <w:t xml:space="preserve">The contracted evaluator will </w:t>
      </w:r>
      <w:r w:rsidR="00444BA1" w:rsidRPr="00B56AFB">
        <w:rPr>
          <w:rFonts w:ascii="Times New Roman" w:hAnsi="Times New Roman" w:cs="Times New Roman"/>
          <w:color w:val="000000"/>
        </w:rPr>
        <w:t xml:space="preserve">analyze the interview data through a cross-case analysis whereby </w:t>
      </w:r>
      <w:r>
        <w:rPr>
          <w:rFonts w:ascii="Times New Roman" w:hAnsi="Times New Roman" w:cs="Times New Roman"/>
          <w:color w:val="000000"/>
        </w:rPr>
        <w:t xml:space="preserve">the purpose is to </w:t>
      </w:r>
      <w:r w:rsidR="00444BA1" w:rsidRPr="00B56AFB">
        <w:rPr>
          <w:rFonts w:ascii="Times New Roman" w:hAnsi="Times New Roman" w:cs="Times New Roman"/>
          <w:color w:val="000000"/>
        </w:rPr>
        <w:t>group together answers from different people to common (or similar) questions or responses to central issues.</w:t>
      </w:r>
      <w:r>
        <w:rPr>
          <w:rFonts w:ascii="Times New Roman" w:hAnsi="Times New Roman" w:cs="Times New Roman"/>
          <w:color w:val="000000"/>
        </w:rPr>
        <w:t xml:space="preserve"> </w:t>
      </w:r>
      <w:r w:rsidR="00444BA1" w:rsidRPr="00B56AFB">
        <w:rPr>
          <w:rFonts w:ascii="Times New Roman" w:hAnsi="Times New Roman" w:cs="Times New Roman"/>
          <w:color w:val="000000"/>
        </w:rPr>
        <w:t xml:space="preserve"> Through the efficient application of qualitative coding methods, we will seek to identify the patterns of practice among centers consistent with the</w:t>
      </w:r>
      <w:r w:rsidR="006F7347">
        <w:rPr>
          <w:rFonts w:ascii="Times New Roman" w:hAnsi="Times New Roman" w:cs="Times New Roman"/>
          <w:color w:val="000000"/>
        </w:rPr>
        <w:t xml:space="preserve"> general</w:t>
      </w:r>
      <w:r w:rsidR="00444BA1" w:rsidRPr="00B56AFB">
        <w:rPr>
          <w:rFonts w:ascii="Times New Roman" w:hAnsi="Times New Roman" w:cs="Times New Roman"/>
          <w:color w:val="000000"/>
        </w:rPr>
        <w:t xml:space="preserve"> evaluation questions</w:t>
      </w:r>
      <w:r w:rsidR="006F7347">
        <w:rPr>
          <w:rFonts w:ascii="Times New Roman" w:hAnsi="Times New Roman" w:cs="Times New Roman"/>
          <w:color w:val="000000"/>
        </w:rPr>
        <w:t xml:space="preserve"> presented above</w:t>
      </w:r>
      <w:r w:rsidR="00444BA1" w:rsidRPr="00B56AFB">
        <w:rPr>
          <w:rFonts w:ascii="Times New Roman" w:hAnsi="Times New Roman" w:cs="Times New Roman"/>
          <w:color w:val="000000"/>
        </w:rPr>
        <w:t xml:space="preserve">. Because these findings will be inextricably linked to the setting and context, uncovering explicit details and providing “thick description” as support will be critical. </w:t>
      </w:r>
      <w:r w:rsidR="006F7347">
        <w:rPr>
          <w:rFonts w:ascii="Times New Roman" w:hAnsi="Times New Roman" w:cs="Times New Roman"/>
          <w:color w:val="000000"/>
        </w:rPr>
        <w:t xml:space="preserve"> CSI's</w:t>
      </w:r>
      <w:r w:rsidR="00444BA1" w:rsidRPr="00B56AFB">
        <w:rPr>
          <w:rFonts w:ascii="Times New Roman" w:hAnsi="Times New Roman" w:cs="Times New Roman"/>
          <w:color w:val="000000"/>
        </w:rPr>
        <w:t xml:space="preserve"> approach to analysis is built upon the assumptions that the application of qualitative evaluation methods is concerned with process as well as the outcomes or products.</w:t>
      </w:r>
      <w:r w:rsidR="006F7347">
        <w:rPr>
          <w:rFonts w:ascii="Times New Roman" w:hAnsi="Times New Roman" w:cs="Times New Roman"/>
          <w:color w:val="000000"/>
        </w:rPr>
        <w:t>  Thus, CSI's approach is</w:t>
      </w:r>
      <w:r w:rsidR="00444BA1" w:rsidRPr="00B56AFB">
        <w:rPr>
          <w:rFonts w:ascii="Times New Roman" w:hAnsi="Times New Roman" w:cs="Times New Roman"/>
          <w:color w:val="000000"/>
        </w:rPr>
        <w:t xml:space="preserve"> interested in meaning and meaning-making; </w:t>
      </w:r>
      <w:r w:rsidR="006F7347">
        <w:rPr>
          <w:rFonts w:ascii="Times New Roman" w:hAnsi="Times New Roman" w:cs="Times New Roman"/>
          <w:color w:val="000000"/>
        </w:rPr>
        <w:t>that is</w:t>
      </w:r>
      <w:r w:rsidR="00FE53DE">
        <w:rPr>
          <w:rFonts w:ascii="Times New Roman" w:hAnsi="Times New Roman" w:cs="Times New Roman"/>
          <w:color w:val="000000"/>
        </w:rPr>
        <w:t>, in</w:t>
      </w:r>
      <w:r w:rsidR="006F7347">
        <w:rPr>
          <w:rFonts w:ascii="Times New Roman" w:hAnsi="Times New Roman" w:cs="Times New Roman"/>
          <w:color w:val="000000"/>
        </w:rPr>
        <w:t xml:space="preserve"> </w:t>
      </w:r>
      <w:r w:rsidR="00444BA1" w:rsidRPr="00B56AFB">
        <w:rPr>
          <w:rFonts w:ascii="Times New Roman" w:hAnsi="Times New Roman" w:cs="Times New Roman"/>
          <w:color w:val="000000"/>
        </w:rPr>
        <w:t>understanding how people make sense of their lives, experiences, and the structures their worlds. Consistent with Guba &amp; Lincoln's (1990)</w:t>
      </w:r>
      <w:r w:rsidR="00444BA1" w:rsidRPr="00B56AFB">
        <w:rPr>
          <w:rStyle w:val="FootnoteReference"/>
          <w:rFonts w:ascii="Times New Roman" w:hAnsi="Times New Roman" w:cs="Times New Roman"/>
          <w:color w:val="000000"/>
        </w:rPr>
        <w:footnoteReference w:id="3"/>
      </w:r>
      <w:r w:rsidR="00444BA1" w:rsidRPr="00B56AFB">
        <w:rPr>
          <w:rFonts w:ascii="Times New Roman" w:hAnsi="Times New Roman" w:cs="Times New Roman"/>
          <w:color w:val="000000"/>
        </w:rPr>
        <w:t xml:space="preserve"> four criteria for judging the soundness and quality of qualitative research and evaluation, the </w:t>
      </w:r>
      <w:r w:rsidR="006F7347">
        <w:rPr>
          <w:rFonts w:ascii="Times New Roman" w:hAnsi="Times New Roman" w:cs="Times New Roman"/>
          <w:color w:val="000000"/>
        </w:rPr>
        <w:t>design and implementation of CSI's</w:t>
      </w:r>
      <w:r w:rsidR="00444BA1" w:rsidRPr="00B56AFB">
        <w:rPr>
          <w:rFonts w:ascii="Times New Roman" w:hAnsi="Times New Roman" w:cs="Times New Roman"/>
          <w:color w:val="000000"/>
        </w:rPr>
        <w:t xml:space="preserve"> qualitative approach will seek to ensure: credibility or the degree of confidence in the “truth” that the findings have for the participants and in the context of the inquiry</w:t>
      </w:r>
      <w:r w:rsidR="00FE53DE">
        <w:rPr>
          <w:rFonts w:ascii="Times New Roman" w:hAnsi="Times New Roman" w:cs="Times New Roman"/>
          <w:color w:val="000000"/>
        </w:rPr>
        <w:t>;</w:t>
      </w:r>
      <w:r w:rsidR="00444BA1" w:rsidRPr="00B56AFB">
        <w:rPr>
          <w:rFonts w:ascii="Times New Roman" w:hAnsi="Times New Roman" w:cs="Times New Roman"/>
          <w:color w:val="000000"/>
        </w:rPr>
        <w:t xml:space="preserve"> transferability of the results to other contexts or settings describing the context and the assumptions that were central to the inquiry</w:t>
      </w:r>
      <w:r w:rsidR="00FE53DE">
        <w:rPr>
          <w:rFonts w:ascii="Times New Roman" w:hAnsi="Times New Roman" w:cs="Times New Roman"/>
          <w:color w:val="000000"/>
        </w:rPr>
        <w:t>;</w:t>
      </w:r>
      <w:r w:rsidR="00444BA1" w:rsidRPr="00B56AFB">
        <w:rPr>
          <w:rFonts w:ascii="Times New Roman" w:hAnsi="Times New Roman" w:cs="Times New Roman"/>
          <w:color w:val="000000"/>
        </w:rPr>
        <w:t xml:space="preserve"> replicability or repeatability in terms of obtaining the same results by describing the changes that occur in the setting and how these changes </w:t>
      </w:r>
      <w:r w:rsidR="00444BA1" w:rsidRPr="00B56AFB">
        <w:rPr>
          <w:rFonts w:ascii="Times New Roman" w:hAnsi="Times New Roman" w:cs="Times New Roman"/>
          <w:color w:val="000000"/>
        </w:rPr>
        <w:lastRenderedPageBreak/>
        <w:t>affected the way the inquiry was approached</w:t>
      </w:r>
      <w:r w:rsidR="00FE53DE">
        <w:rPr>
          <w:rFonts w:ascii="Times New Roman" w:hAnsi="Times New Roman" w:cs="Times New Roman"/>
          <w:color w:val="000000"/>
        </w:rPr>
        <w:t>, and;</w:t>
      </w:r>
      <w:r w:rsidR="00444BA1" w:rsidRPr="00B56AFB">
        <w:rPr>
          <w:rFonts w:ascii="Times New Roman" w:hAnsi="Times New Roman" w:cs="Times New Roman"/>
          <w:color w:val="000000"/>
        </w:rPr>
        <w:t xml:space="preserve"> confirmability or corroboration of the results by documenting the procedures for checking and rechecking the data throughout the inquiry.</w:t>
      </w:r>
    </w:p>
    <w:p w:rsidR="0047575F" w:rsidRDefault="0047575F" w:rsidP="0047575F">
      <w:pPr>
        <w:widowControl w:val="0"/>
        <w:autoSpaceDE w:val="0"/>
        <w:autoSpaceDN w:val="0"/>
        <w:adjustRightInd w:val="0"/>
        <w:spacing w:line="480" w:lineRule="auto"/>
        <w:contextualSpacing/>
        <w:rPr>
          <w:rFonts w:ascii="Times New Roman" w:hAnsi="Times New Roman" w:cs="Times New Roman"/>
          <w:color w:val="000000"/>
        </w:rPr>
      </w:pPr>
    </w:p>
    <w:p w:rsidR="00444BA1" w:rsidRPr="00B56AFB" w:rsidRDefault="006F7347" w:rsidP="0047575F">
      <w:pPr>
        <w:widowControl w:val="0"/>
        <w:autoSpaceDE w:val="0"/>
        <w:autoSpaceDN w:val="0"/>
        <w:adjustRightInd w:val="0"/>
        <w:spacing w:line="480" w:lineRule="auto"/>
        <w:contextualSpacing/>
        <w:rPr>
          <w:rFonts w:ascii="Times New Roman" w:hAnsi="Times New Roman" w:cs="Times New Roman"/>
          <w:color w:val="000000"/>
        </w:rPr>
      </w:pPr>
      <w:r>
        <w:rPr>
          <w:rFonts w:ascii="Times New Roman" w:hAnsi="Times New Roman" w:cs="Times New Roman"/>
          <w:color w:val="000000"/>
        </w:rPr>
        <w:t>Because CSI</w:t>
      </w:r>
      <w:r w:rsidR="00444BA1" w:rsidRPr="00B56AFB">
        <w:rPr>
          <w:rFonts w:ascii="Times New Roman" w:hAnsi="Times New Roman" w:cs="Times New Roman"/>
          <w:color w:val="000000"/>
        </w:rPr>
        <w:t xml:space="preserve"> will be collecting data in the participant</w:t>
      </w:r>
      <w:r w:rsidR="00FE53DE">
        <w:rPr>
          <w:rFonts w:ascii="Times New Roman" w:hAnsi="Times New Roman" w:cs="Times New Roman"/>
          <w:color w:val="000000"/>
        </w:rPr>
        <w:t>s'</w:t>
      </w:r>
      <w:r w:rsidR="00444BA1" w:rsidRPr="00B56AFB">
        <w:rPr>
          <w:rFonts w:ascii="Times New Roman" w:hAnsi="Times New Roman" w:cs="Times New Roman"/>
          <w:color w:val="000000"/>
        </w:rPr>
        <w:t xml:space="preserve"> language by capturing verb</w:t>
      </w:r>
      <w:r>
        <w:rPr>
          <w:rFonts w:ascii="Times New Roman" w:hAnsi="Times New Roman" w:cs="Times New Roman"/>
          <w:color w:val="000000"/>
        </w:rPr>
        <w:t>atim accounts of experiences, the evaluation team</w:t>
      </w:r>
      <w:r w:rsidR="00444BA1" w:rsidRPr="00B56AFB">
        <w:rPr>
          <w:rFonts w:ascii="Times New Roman" w:hAnsi="Times New Roman" w:cs="Times New Roman"/>
          <w:color w:val="000000"/>
        </w:rPr>
        <w:t xml:space="preserve"> will be managing an extensive v</w:t>
      </w:r>
      <w:r>
        <w:rPr>
          <w:rFonts w:ascii="Times New Roman" w:hAnsi="Times New Roman" w:cs="Times New Roman"/>
          <w:color w:val="000000"/>
        </w:rPr>
        <w:t>olume of narrative data.  In the</w:t>
      </w:r>
      <w:r w:rsidR="00444BA1" w:rsidRPr="00B56AFB">
        <w:rPr>
          <w:rFonts w:ascii="Times New Roman" w:hAnsi="Times New Roman" w:cs="Times New Roman"/>
          <w:color w:val="000000"/>
        </w:rPr>
        <w:t xml:space="preserve"> content analysis of</w:t>
      </w:r>
      <w:r>
        <w:rPr>
          <w:rFonts w:ascii="Times New Roman" w:hAnsi="Times New Roman" w:cs="Times New Roman"/>
          <w:color w:val="000000"/>
        </w:rPr>
        <w:t xml:space="preserve"> the qualitative information, CSI</w:t>
      </w:r>
      <w:r w:rsidR="00444BA1" w:rsidRPr="00B56AFB">
        <w:rPr>
          <w:rFonts w:ascii="Times New Roman" w:hAnsi="Times New Roman" w:cs="Times New Roman"/>
          <w:color w:val="000000"/>
        </w:rPr>
        <w:t xml:space="preserve"> will be employing an iterative, data-reduction process across multiple data sources and analysts.  Attention on the collection of “low inference descriptors” or those concrete examples that require very little interpretation and are easily recognizable as a universal experience or situation will enhance the validity of the data and increase the acceptance of the findings. Thus</w:t>
      </w:r>
      <w:r>
        <w:rPr>
          <w:rFonts w:ascii="Times New Roman" w:hAnsi="Times New Roman" w:cs="Times New Roman"/>
          <w:color w:val="000000"/>
        </w:rPr>
        <w:t>,</w:t>
      </w:r>
      <w:r w:rsidR="00444BA1" w:rsidRPr="00B56AFB">
        <w:rPr>
          <w:rFonts w:ascii="Times New Roman" w:hAnsi="Times New Roman" w:cs="Times New Roman"/>
          <w:color w:val="000000"/>
        </w:rPr>
        <w:t xml:space="preserve"> an extensive coding strategy will need to be employed to identify patterns in the data that address the evaluation questions with clear, concret</w:t>
      </w:r>
      <w:r>
        <w:rPr>
          <w:rFonts w:ascii="Times New Roman" w:hAnsi="Times New Roman" w:cs="Times New Roman"/>
          <w:color w:val="000000"/>
        </w:rPr>
        <w:t>e descriptors and exemplars. The</w:t>
      </w:r>
      <w:r w:rsidR="00444BA1" w:rsidRPr="00B56AFB">
        <w:rPr>
          <w:rFonts w:ascii="Times New Roman" w:hAnsi="Times New Roman" w:cs="Times New Roman"/>
          <w:color w:val="000000"/>
        </w:rPr>
        <w:t xml:space="preserve"> data reduction and coding process will begin with a chunking process to organizi</w:t>
      </w:r>
      <w:r>
        <w:rPr>
          <w:rFonts w:ascii="Times New Roman" w:hAnsi="Times New Roman" w:cs="Times New Roman"/>
          <w:color w:val="000000"/>
        </w:rPr>
        <w:t>ng the transcribed narrative. CSI analysts</w:t>
      </w:r>
      <w:r w:rsidR="00444BA1" w:rsidRPr="00B56AFB">
        <w:rPr>
          <w:rFonts w:ascii="Times New Roman" w:hAnsi="Times New Roman" w:cs="Times New Roman"/>
          <w:color w:val="000000"/>
        </w:rPr>
        <w:t xml:space="preserve"> will chunk the narrative data according the inquiry domain framework developed in consultation with the Advisory P</w:t>
      </w:r>
      <w:r w:rsidR="00EA46A5">
        <w:rPr>
          <w:rFonts w:ascii="Times New Roman" w:hAnsi="Times New Roman" w:cs="Times New Roman"/>
          <w:color w:val="000000"/>
        </w:rPr>
        <w:t>anel.  Within this framework, CSI</w:t>
      </w:r>
      <w:r w:rsidR="00444BA1" w:rsidRPr="00B56AFB">
        <w:rPr>
          <w:rFonts w:ascii="Times New Roman" w:hAnsi="Times New Roman" w:cs="Times New Roman"/>
          <w:color w:val="000000"/>
        </w:rPr>
        <w:t xml:space="preserve"> will further divide and organize the data by broad structural themes, such as chronology, key events, settings, people, processes, issues, </w:t>
      </w:r>
      <w:r w:rsidR="00FE53DE">
        <w:rPr>
          <w:rFonts w:ascii="Times New Roman" w:hAnsi="Times New Roman" w:cs="Times New Roman"/>
          <w:color w:val="000000"/>
        </w:rPr>
        <w:t>and results</w:t>
      </w:r>
      <w:r w:rsidR="00444BA1" w:rsidRPr="00B56AFB">
        <w:rPr>
          <w:rFonts w:ascii="Times New Roman" w:hAnsi="Times New Roman" w:cs="Times New Roman"/>
          <w:color w:val="000000"/>
        </w:rPr>
        <w:t>.  Once the narrative data has been organized in</w:t>
      </w:r>
      <w:r w:rsidR="00EA46A5">
        <w:rPr>
          <w:rFonts w:ascii="Times New Roman" w:hAnsi="Times New Roman" w:cs="Times New Roman"/>
          <w:color w:val="000000"/>
        </w:rPr>
        <w:t xml:space="preserve"> these structural categories</w:t>
      </w:r>
      <w:r w:rsidR="00FE53DE">
        <w:rPr>
          <w:rFonts w:ascii="Times New Roman" w:hAnsi="Times New Roman" w:cs="Times New Roman"/>
          <w:color w:val="000000"/>
        </w:rPr>
        <w:t>,</w:t>
      </w:r>
      <w:r w:rsidR="00EA46A5">
        <w:rPr>
          <w:rFonts w:ascii="Times New Roman" w:hAnsi="Times New Roman" w:cs="Times New Roman"/>
          <w:color w:val="000000"/>
        </w:rPr>
        <w:t xml:space="preserve"> CSI </w:t>
      </w:r>
      <w:r w:rsidR="00444BA1" w:rsidRPr="00B56AFB">
        <w:rPr>
          <w:rFonts w:ascii="Times New Roman" w:hAnsi="Times New Roman" w:cs="Times New Roman"/>
          <w:color w:val="000000"/>
        </w:rPr>
        <w:t xml:space="preserve">will employ a coding procedure to sections of the text. </w:t>
      </w:r>
      <w:r w:rsidR="00EA46A5">
        <w:rPr>
          <w:rFonts w:ascii="Times New Roman" w:hAnsi="Times New Roman" w:cs="Times New Roman"/>
          <w:color w:val="000000"/>
        </w:rPr>
        <w:t xml:space="preserve"> </w:t>
      </w:r>
      <w:r w:rsidR="00444BA1" w:rsidRPr="00B56AFB">
        <w:rPr>
          <w:rFonts w:ascii="Times New Roman" w:hAnsi="Times New Roman" w:cs="Times New Roman"/>
          <w:color w:val="000000"/>
        </w:rPr>
        <w:t xml:space="preserve">Specifically, </w:t>
      </w:r>
      <w:r w:rsidR="00EA46A5">
        <w:rPr>
          <w:rFonts w:ascii="Times New Roman" w:hAnsi="Times New Roman" w:cs="Times New Roman"/>
          <w:color w:val="000000"/>
        </w:rPr>
        <w:t>CSI</w:t>
      </w:r>
      <w:r w:rsidR="00444BA1" w:rsidRPr="00B56AFB">
        <w:rPr>
          <w:rFonts w:ascii="Times New Roman" w:hAnsi="Times New Roman" w:cs="Times New Roman"/>
          <w:color w:val="000000"/>
        </w:rPr>
        <w:t xml:space="preserve"> will use a Keyword-In-Context (KWIC) approach (Krippendorf, 2004)</w:t>
      </w:r>
      <w:r w:rsidR="00444BA1" w:rsidRPr="00B56AFB">
        <w:rPr>
          <w:rStyle w:val="FootnoteReference"/>
          <w:rFonts w:ascii="Times New Roman" w:hAnsi="Times New Roman" w:cs="Times New Roman"/>
          <w:color w:val="000000"/>
        </w:rPr>
        <w:footnoteReference w:id="4"/>
      </w:r>
      <w:r w:rsidR="00444BA1" w:rsidRPr="00B56AFB">
        <w:rPr>
          <w:rFonts w:ascii="Times New Roman" w:hAnsi="Times New Roman" w:cs="Times New Roman"/>
          <w:color w:val="000000"/>
        </w:rPr>
        <w:t xml:space="preserve"> to code the textual information.  The KWIC approach uses simple keywords found in the actual text as semantic anchors of the section of narrative or passage. These keywords can then be grouped into </w:t>
      </w:r>
      <w:r w:rsidR="00167782" w:rsidRPr="00B56AFB">
        <w:rPr>
          <w:rFonts w:ascii="Times New Roman" w:hAnsi="Times New Roman" w:cs="Times New Roman"/>
          <w:color w:val="000000"/>
        </w:rPr>
        <w:t>code words</w:t>
      </w:r>
      <w:r w:rsidR="00444BA1" w:rsidRPr="00B56AFB">
        <w:rPr>
          <w:rFonts w:ascii="Times New Roman" w:hAnsi="Times New Roman" w:cs="Times New Roman"/>
          <w:color w:val="000000"/>
        </w:rPr>
        <w:t xml:space="preserve"> that encompass multiple keywords. This process will yield a dynamic codebook, that will be refined and expanded over subsequent</w:t>
      </w:r>
      <w:r w:rsidR="00EA46A5">
        <w:rPr>
          <w:rFonts w:ascii="Times New Roman" w:hAnsi="Times New Roman" w:cs="Times New Roman"/>
          <w:color w:val="000000"/>
        </w:rPr>
        <w:t xml:space="preserve"> analyses of interview data.  Analytically, CSI</w:t>
      </w:r>
      <w:r w:rsidR="00444BA1" w:rsidRPr="00B56AFB">
        <w:rPr>
          <w:rFonts w:ascii="Times New Roman" w:hAnsi="Times New Roman" w:cs="Times New Roman"/>
          <w:color w:val="000000"/>
        </w:rPr>
        <w:t xml:space="preserve"> anticipate</w:t>
      </w:r>
      <w:r w:rsidR="00EA46A5">
        <w:rPr>
          <w:rFonts w:ascii="Times New Roman" w:hAnsi="Times New Roman" w:cs="Times New Roman"/>
          <w:color w:val="000000"/>
        </w:rPr>
        <w:t xml:space="preserve">s that </w:t>
      </w:r>
      <w:r w:rsidR="00444BA1" w:rsidRPr="00B56AFB">
        <w:rPr>
          <w:rFonts w:ascii="Times New Roman" w:hAnsi="Times New Roman" w:cs="Times New Roman"/>
          <w:color w:val="000000"/>
        </w:rPr>
        <w:t xml:space="preserve">the pilot data will produce a codebook that will be applied, refined, and expanded upon in the final set of interviews. The codes will be used to identify patterns in response to the evaluation questions, and because they are linked to specific qualitative descriptors and exemplars, provide rich contextual information.  The codes can then be entered into a relational database, with linkages to actual narrative for </w:t>
      </w:r>
      <w:r w:rsidR="00444BA1" w:rsidRPr="00B56AFB">
        <w:rPr>
          <w:rFonts w:ascii="Times New Roman" w:hAnsi="Times New Roman" w:cs="Times New Roman"/>
          <w:color w:val="000000"/>
        </w:rPr>
        <w:lastRenderedPageBreak/>
        <w:t>further pattern analysis.</w:t>
      </w:r>
    </w:p>
    <w:p w:rsidR="0047575F" w:rsidRDefault="0047575F" w:rsidP="00856E71">
      <w:pPr>
        <w:widowControl w:val="0"/>
        <w:autoSpaceDE w:val="0"/>
        <w:autoSpaceDN w:val="0"/>
        <w:adjustRightInd w:val="0"/>
        <w:spacing w:line="480" w:lineRule="auto"/>
        <w:contextualSpacing/>
        <w:rPr>
          <w:rFonts w:ascii="Times New Roman" w:hAnsi="Times New Roman" w:cs="Times New Roman"/>
          <w:color w:val="000000"/>
        </w:rPr>
      </w:pPr>
    </w:p>
    <w:p w:rsidR="00EA46A5" w:rsidRDefault="00EA46A5" w:rsidP="00856E71">
      <w:pPr>
        <w:widowControl w:val="0"/>
        <w:autoSpaceDE w:val="0"/>
        <w:autoSpaceDN w:val="0"/>
        <w:adjustRightInd w:val="0"/>
        <w:spacing w:line="480" w:lineRule="auto"/>
        <w:contextualSpacing/>
        <w:rPr>
          <w:rFonts w:ascii="Times New Roman" w:hAnsi="Times New Roman" w:cs="Times New Roman"/>
          <w:color w:val="000000"/>
        </w:rPr>
      </w:pPr>
      <w:r>
        <w:rPr>
          <w:rFonts w:ascii="Times New Roman" w:hAnsi="Times New Roman" w:cs="Times New Roman"/>
          <w:color w:val="000000"/>
        </w:rPr>
        <w:t>As CSI</w:t>
      </w:r>
      <w:r w:rsidR="00444BA1" w:rsidRPr="00B56AFB">
        <w:rPr>
          <w:rFonts w:ascii="Times New Roman" w:hAnsi="Times New Roman" w:cs="Times New Roman"/>
          <w:color w:val="000000"/>
        </w:rPr>
        <w:t xml:space="preserve"> look</w:t>
      </w:r>
      <w:r>
        <w:rPr>
          <w:rFonts w:ascii="Times New Roman" w:hAnsi="Times New Roman" w:cs="Times New Roman"/>
          <w:color w:val="000000"/>
        </w:rPr>
        <w:t>s</w:t>
      </w:r>
      <w:r w:rsidR="00444BA1" w:rsidRPr="00B56AFB">
        <w:rPr>
          <w:rFonts w:ascii="Times New Roman" w:hAnsi="Times New Roman" w:cs="Times New Roman"/>
          <w:color w:val="000000"/>
        </w:rPr>
        <w:t xml:space="preserve"> to identify patterns in the data, we will develop a cross-methods matrix that will be used to cross-validate findings, patterns, and conclusions through a process of examining what information diverges and/or converges (Guba, 1978)</w:t>
      </w:r>
      <w:r w:rsidR="00444BA1" w:rsidRPr="00B56AFB">
        <w:rPr>
          <w:rStyle w:val="FootnoteReference"/>
          <w:rFonts w:ascii="Times New Roman" w:hAnsi="Times New Roman" w:cs="Times New Roman"/>
          <w:color w:val="000000"/>
        </w:rPr>
        <w:footnoteReference w:id="5"/>
      </w:r>
      <w:r w:rsidR="00444BA1" w:rsidRPr="00B56AFB">
        <w:rPr>
          <w:rFonts w:ascii="Times New Roman" w:hAnsi="Times New Roman" w:cs="Times New Roman"/>
          <w:color w:val="000000"/>
        </w:rPr>
        <w:t xml:space="preserve">. </w:t>
      </w:r>
      <w:r>
        <w:rPr>
          <w:rFonts w:ascii="Times New Roman" w:hAnsi="Times New Roman" w:cs="Times New Roman"/>
          <w:color w:val="000000"/>
        </w:rPr>
        <w:t xml:space="preserve"> </w:t>
      </w:r>
      <w:r w:rsidR="00444BA1" w:rsidRPr="00B56AFB">
        <w:rPr>
          <w:rFonts w:ascii="Times New Roman" w:hAnsi="Times New Roman" w:cs="Times New Roman"/>
          <w:color w:val="000000"/>
        </w:rPr>
        <w:t>Briefly, as patterns are built upon what is already known, we will identify qualitative information that makes connections among different items, proposes new information that ought to fit within this structure, and verifies the existence of the pat</w:t>
      </w:r>
      <w:r>
        <w:rPr>
          <w:rFonts w:ascii="Times New Roman" w:hAnsi="Times New Roman" w:cs="Times New Roman"/>
          <w:color w:val="000000"/>
        </w:rPr>
        <w:t>tern. Where patterns diverge, CSI</w:t>
      </w:r>
      <w:r w:rsidR="00444BA1" w:rsidRPr="00B56AFB">
        <w:rPr>
          <w:rFonts w:ascii="Times New Roman" w:hAnsi="Times New Roman" w:cs="Times New Roman"/>
          <w:color w:val="000000"/>
        </w:rPr>
        <w:t xml:space="preserve"> will build out categories or patterns through expanding the description of the pattern so that it becomes more widely recognized across different contexts. This dynamic process of refinement will produce sets of categories that become “saturated” so that new sources of information leads to redundancy and clear regularities have emerged that feel robust in their description. </w:t>
      </w:r>
      <w:r>
        <w:rPr>
          <w:rFonts w:ascii="Times New Roman" w:hAnsi="Times New Roman" w:cs="Times New Roman"/>
          <w:color w:val="000000"/>
        </w:rPr>
        <w:t xml:space="preserve"> </w:t>
      </w:r>
      <w:r w:rsidR="00444BA1" w:rsidRPr="00B56AFB">
        <w:rPr>
          <w:rFonts w:ascii="Times New Roman" w:hAnsi="Times New Roman" w:cs="Times New Roman"/>
          <w:color w:val="000000"/>
        </w:rPr>
        <w:t>This critical iterative process will help to identify those practices, complete with rich qualitative detail that will likely want to be retained, shared, and promoted across the network of grantees.</w:t>
      </w:r>
    </w:p>
    <w:p w:rsidR="00EA46A5" w:rsidRDefault="00EA46A5" w:rsidP="00856E71">
      <w:pPr>
        <w:widowControl w:val="0"/>
        <w:autoSpaceDE w:val="0"/>
        <w:autoSpaceDN w:val="0"/>
        <w:adjustRightInd w:val="0"/>
        <w:spacing w:line="480" w:lineRule="auto"/>
        <w:contextualSpacing/>
        <w:rPr>
          <w:rFonts w:ascii="Times New Roman" w:hAnsi="Times New Roman" w:cs="Times New Roman"/>
          <w:color w:val="000000"/>
        </w:rPr>
      </w:pPr>
    </w:p>
    <w:p w:rsidR="00856E71" w:rsidRPr="007A00A3" w:rsidRDefault="00856E71" w:rsidP="00856E71">
      <w:pPr>
        <w:widowControl w:val="0"/>
        <w:autoSpaceDE w:val="0"/>
        <w:autoSpaceDN w:val="0"/>
        <w:adjustRightInd w:val="0"/>
        <w:spacing w:line="480" w:lineRule="auto"/>
        <w:contextualSpacing/>
        <w:rPr>
          <w:rFonts w:ascii="Times New Roman" w:hAnsi="Times New Roman" w:cs="Times New Roman"/>
          <w:i/>
          <w:color w:val="000000"/>
        </w:rPr>
      </w:pPr>
      <w:r w:rsidRPr="007A00A3">
        <w:rPr>
          <w:rFonts w:ascii="Times New Roman" w:hAnsi="Times New Roman" w:cs="Times New Roman"/>
          <w:i/>
          <w:color w:val="000000"/>
        </w:rPr>
        <w:t>Utilization of Information</w:t>
      </w:r>
    </w:p>
    <w:p w:rsidR="00856E71" w:rsidRPr="007A00A3" w:rsidRDefault="006F7347" w:rsidP="00856E71">
      <w:pPr>
        <w:spacing w:line="480" w:lineRule="auto"/>
        <w:contextualSpacing/>
        <w:rPr>
          <w:rFonts w:ascii="Times New Roman" w:hAnsi="Times New Roman" w:cs="Times New Roman"/>
          <w:color w:val="000000"/>
        </w:rPr>
      </w:pPr>
      <w:r w:rsidRPr="00EB5639">
        <w:rPr>
          <w:rFonts w:ascii="Times New Roman" w:hAnsi="Times New Roman" w:cs="Times New Roman"/>
        </w:rPr>
        <w:t xml:space="preserve">Once </w:t>
      </w:r>
      <w:r w:rsidR="00D36120">
        <w:rPr>
          <w:rFonts w:ascii="Times New Roman" w:hAnsi="Times New Roman" w:cs="Times New Roman"/>
        </w:rPr>
        <w:t>CSI has</w:t>
      </w:r>
      <w:r w:rsidRPr="00EB5639">
        <w:rPr>
          <w:rFonts w:ascii="Times New Roman" w:hAnsi="Times New Roman" w:cs="Times New Roman"/>
        </w:rPr>
        <w:t xml:space="preserve"> adequately analyzed the </w:t>
      </w:r>
      <w:r w:rsidR="00D36120">
        <w:rPr>
          <w:rFonts w:ascii="Times New Roman" w:hAnsi="Times New Roman" w:cs="Times New Roman"/>
        </w:rPr>
        <w:t>interview</w:t>
      </w:r>
      <w:r w:rsidRPr="00EB5639">
        <w:rPr>
          <w:rFonts w:ascii="Times New Roman" w:hAnsi="Times New Roman" w:cs="Times New Roman"/>
        </w:rPr>
        <w:t xml:space="preserve"> data, </w:t>
      </w:r>
      <w:r w:rsidR="00D36120">
        <w:rPr>
          <w:rFonts w:ascii="Times New Roman" w:hAnsi="Times New Roman" w:cs="Times New Roman"/>
        </w:rPr>
        <w:t>summaries will be produced and the results will be provided to the NHLBI Proteomic Centers Program management and the program</w:t>
      </w:r>
      <w:r w:rsidRPr="00EB5639">
        <w:rPr>
          <w:rFonts w:ascii="Times New Roman" w:hAnsi="Times New Roman" w:cs="Times New Roman"/>
        </w:rPr>
        <w:t xml:space="preserve"> Advisory Panel for feedback</w:t>
      </w:r>
      <w:r w:rsidR="00D36120">
        <w:rPr>
          <w:rFonts w:ascii="Times New Roman" w:hAnsi="Times New Roman" w:cs="Times New Roman"/>
        </w:rPr>
        <w:t xml:space="preserve"> and input</w:t>
      </w:r>
      <w:r w:rsidRPr="00EB5639">
        <w:rPr>
          <w:rFonts w:ascii="Times New Roman" w:hAnsi="Times New Roman" w:cs="Times New Roman"/>
        </w:rPr>
        <w:t xml:space="preserve">.  </w:t>
      </w:r>
      <w:r w:rsidR="00856E71">
        <w:rPr>
          <w:rFonts w:ascii="Times New Roman" w:hAnsi="Times New Roman" w:cs="Times New Roman"/>
          <w:color w:val="000000"/>
        </w:rPr>
        <w:t>The information derived through this data coll</w:t>
      </w:r>
      <w:r w:rsidR="008E186B">
        <w:rPr>
          <w:rFonts w:ascii="Times New Roman" w:hAnsi="Times New Roman" w:cs="Times New Roman"/>
          <w:color w:val="000000"/>
        </w:rPr>
        <w:t xml:space="preserve">ection effort will be used to </w:t>
      </w:r>
      <w:r w:rsidR="00D36120">
        <w:rPr>
          <w:rFonts w:ascii="Times New Roman" w:hAnsi="Times New Roman" w:cs="Times New Roman"/>
          <w:color w:val="000000"/>
        </w:rPr>
        <w:t>determine the extent to which the Proteomics Centers Program successfully met the program objectives and expectations</w:t>
      </w:r>
      <w:r w:rsidR="008E186B">
        <w:rPr>
          <w:rFonts w:ascii="Times New Roman" w:hAnsi="Times New Roman" w:cs="Times New Roman"/>
          <w:color w:val="000000"/>
        </w:rPr>
        <w:t xml:space="preserve">. </w:t>
      </w:r>
      <w:r w:rsidR="00D36120">
        <w:rPr>
          <w:rFonts w:ascii="Times New Roman" w:hAnsi="Times New Roman" w:cs="Times New Roman"/>
          <w:color w:val="000000"/>
        </w:rPr>
        <w:t xml:space="preserve"> Such information will also enable</w:t>
      </w:r>
      <w:r w:rsidR="00D36120" w:rsidRPr="00D36120">
        <w:rPr>
          <w:rFonts w:ascii="Times New Roman" w:hAnsi="Times New Roman" w:cs="Times New Roman"/>
        </w:rPr>
        <w:t xml:space="preserve"> </w:t>
      </w:r>
      <w:r w:rsidR="00D36120">
        <w:rPr>
          <w:rFonts w:ascii="Times New Roman" w:hAnsi="Times New Roman" w:cs="Times New Roman"/>
        </w:rPr>
        <w:t>NHLBI Proteomic Centers Program</w:t>
      </w:r>
      <w:r w:rsidR="00D36120">
        <w:rPr>
          <w:rFonts w:ascii="Times New Roman" w:hAnsi="Times New Roman" w:cs="Times New Roman"/>
          <w:color w:val="000000"/>
        </w:rPr>
        <w:t xml:space="preserve"> leadership and management </w:t>
      </w:r>
      <w:r w:rsidR="007A00A3">
        <w:rPr>
          <w:rFonts w:ascii="Times New Roman" w:hAnsi="Times New Roman" w:cs="Times New Roman"/>
          <w:color w:val="000000"/>
        </w:rPr>
        <w:t>to determine wh</w:t>
      </w:r>
      <w:r w:rsidR="00FE53DE">
        <w:rPr>
          <w:rFonts w:ascii="Times New Roman" w:hAnsi="Times New Roman" w:cs="Times New Roman"/>
          <w:color w:val="000000"/>
        </w:rPr>
        <w:t>y centers achieved or failed to achieve</w:t>
      </w:r>
      <w:r w:rsidR="007A00A3">
        <w:rPr>
          <w:rFonts w:ascii="Times New Roman" w:hAnsi="Times New Roman" w:cs="Times New Roman"/>
          <w:color w:val="000000"/>
        </w:rPr>
        <w:t xml:space="preserve"> program objectives and expectations. </w:t>
      </w:r>
      <w:r w:rsidR="008E186B">
        <w:rPr>
          <w:rFonts w:ascii="Times New Roman" w:hAnsi="Times New Roman" w:cs="Times New Roman"/>
          <w:color w:val="000000"/>
        </w:rPr>
        <w:t xml:space="preserve">Information will </w:t>
      </w:r>
      <w:r>
        <w:rPr>
          <w:rFonts w:ascii="Times New Roman" w:hAnsi="Times New Roman" w:cs="Times New Roman"/>
          <w:color w:val="000000"/>
        </w:rPr>
        <w:t>also</w:t>
      </w:r>
      <w:r w:rsidR="008E186B">
        <w:rPr>
          <w:rFonts w:ascii="Times New Roman" w:hAnsi="Times New Roman" w:cs="Times New Roman"/>
          <w:color w:val="000000"/>
        </w:rPr>
        <w:t xml:space="preserve"> be used </w:t>
      </w:r>
      <w:r w:rsidR="007A00A3">
        <w:rPr>
          <w:rFonts w:ascii="Times New Roman" w:hAnsi="Times New Roman" w:cs="Times New Roman"/>
          <w:color w:val="000000"/>
        </w:rPr>
        <w:t xml:space="preserve">by </w:t>
      </w:r>
      <w:r w:rsidR="007A00A3">
        <w:rPr>
          <w:rFonts w:ascii="Times New Roman" w:hAnsi="Times New Roman" w:cs="Times New Roman"/>
        </w:rPr>
        <w:t>NHLBI Proteomic Centers Program</w:t>
      </w:r>
      <w:r w:rsidR="007A00A3">
        <w:rPr>
          <w:rFonts w:ascii="Times New Roman" w:hAnsi="Times New Roman" w:cs="Times New Roman"/>
          <w:color w:val="000000"/>
        </w:rPr>
        <w:t xml:space="preserve"> leadership and management </w:t>
      </w:r>
      <w:r w:rsidR="008E186B">
        <w:rPr>
          <w:rFonts w:ascii="Times New Roman" w:hAnsi="Times New Roman" w:cs="Times New Roman"/>
          <w:color w:val="000000"/>
        </w:rPr>
        <w:t>to infor</w:t>
      </w:r>
      <w:r w:rsidR="007A00A3">
        <w:rPr>
          <w:rFonts w:ascii="Times New Roman" w:hAnsi="Times New Roman" w:cs="Times New Roman"/>
          <w:color w:val="000000"/>
        </w:rPr>
        <w:t xml:space="preserve">m future developments in the proteomics research agenda, funding mechanisms, and models for advancing and expediting scientific discovery.  </w:t>
      </w:r>
      <w:r w:rsidR="00856E71" w:rsidRPr="00B56AFB">
        <w:rPr>
          <w:rFonts w:ascii="Times New Roman" w:hAnsi="Times New Roman" w:cs="Times New Roman"/>
        </w:rPr>
        <w:t>In the absence of such data</w:t>
      </w:r>
      <w:r w:rsidR="00856E71">
        <w:rPr>
          <w:rFonts w:ascii="Times New Roman" w:hAnsi="Times New Roman" w:cs="Times New Roman"/>
        </w:rPr>
        <w:t xml:space="preserve">, the </w:t>
      </w:r>
      <w:r w:rsidR="007A00A3">
        <w:rPr>
          <w:rFonts w:ascii="Times New Roman" w:hAnsi="Times New Roman" w:cs="Times New Roman"/>
        </w:rPr>
        <w:t xml:space="preserve">NHLBI Proteomic </w:t>
      </w:r>
      <w:r w:rsidR="007A00A3">
        <w:rPr>
          <w:rFonts w:ascii="Times New Roman" w:hAnsi="Times New Roman" w:cs="Times New Roman"/>
        </w:rPr>
        <w:lastRenderedPageBreak/>
        <w:t>Centers Program</w:t>
      </w:r>
      <w:r w:rsidR="007A00A3">
        <w:rPr>
          <w:rFonts w:ascii="Times New Roman" w:hAnsi="Times New Roman" w:cs="Times New Roman"/>
          <w:color w:val="000000"/>
        </w:rPr>
        <w:t xml:space="preserve"> leadership and management </w:t>
      </w:r>
      <w:r w:rsidR="00FE53DE">
        <w:rPr>
          <w:rFonts w:ascii="Times New Roman" w:hAnsi="Times New Roman" w:cs="Times New Roman"/>
        </w:rPr>
        <w:t>would</w:t>
      </w:r>
      <w:r w:rsidR="00856E71">
        <w:rPr>
          <w:rFonts w:ascii="Times New Roman" w:hAnsi="Times New Roman" w:cs="Times New Roman"/>
        </w:rPr>
        <w:t xml:space="preserve"> have to rely on anecdotal evidence</w:t>
      </w:r>
      <w:r>
        <w:rPr>
          <w:rFonts w:ascii="Times New Roman" w:hAnsi="Times New Roman" w:cs="Times New Roman"/>
        </w:rPr>
        <w:t>, obtained through non-systematic means</w:t>
      </w:r>
      <w:r w:rsidR="00FE53DE">
        <w:rPr>
          <w:rFonts w:ascii="Times New Roman" w:hAnsi="Times New Roman" w:cs="Times New Roman"/>
        </w:rPr>
        <w:t>,</w:t>
      </w:r>
      <w:r w:rsidR="00856E71">
        <w:rPr>
          <w:rFonts w:ascii="Times New Roman" w:hAnsi="Times New Roman" w:cs="Times New Roman"/>
        </w:rPr>
        <w:t xml:space="preserve"> to understand</w:t>
      </w:r>
      <w:r w:rsidR="007A00A3">
        <w:rPr>
          <w:rFonts w:ascii="Times New Roman" w:hAnsi="Times New Roman" w:cs="Times New Roman"/>
        </w:rPr>
        <w:t xml:space="preserve"> the perceived results of center operations.</w:t>
      </w:r>
    </w:p>
    <w:p w:rsidR="007A00A3" w:rsidRDefault="007A00A3" w:rsidP="00A20CD3">
      <w:pPr>
        <w:spacing w:line="480" w:lineRule="auto"/>
        <w:contextualSpacing/>
        <w:rPr>
          <w:rFonts w:ascii="Times New Roman" w:hAnsi="Times New Roman" w:cs="Times New Roman"/>
          <w:color w:val="FF0000"/>
        </w:rPr>
      </w:pPr>
    </w:p>
    <w:p w:rsidR="00262E2F" w:rsidRPr="006F7347" w:rsidRDefault="00262E2F" w:rsidP="00A20CD3">
      <w:pPr>
        <w:spacing w:line="480" w:lineRule="auto"/>
        <w:contextualSpacing/>
        <w:rPr>
          <w:rFonts w:ascii="Times New Roman" w:hAnsi="Times New Roman" w:cs="Times New Roman"/>
          <w:b/>
          <w:color w:val="000000" w:themeColor="text1"/>
        </w:rPr>
      </w:pPr>
      <w:bookmarkStart w:id="6" w:name="A3"/>
      <w:r w:rsidRPr="006F7347">
        <w:rPr>
          <w:rFonts w:ascii="Times New Roman" w:hAnsi="Times New Roman" w:cs="Times New Roman"/>
          <w:b/>
          <w:color w:val="000000" w:themeColor="text1"/>
        </w:rPr>
        <w:t>A3. Use of Information Technology and Burden Reduction</w:t>
      </w:r>
    </w:p>
    <w:bookmarkEnd w:id="6"/>
    <w:p w:rsidR="00A20CD3" w:rsidRPr="00A31A8A" w:rsidRDefault="00A31A8A" w:rsidP="00AC47A0">
      <w:pPr>
        <w:widowControl w:val="0"/>
        <w:tabs>
          <w:tab w:val="left" w:pos="9270"/>
        </w:tabs>
        <w:overflowPunct w:val="0"/>
        <w:autoSpaceDE w:val="0"/>
        <w:autoSpaceDN w:val="0"/>
        <w:adjustRightInd w:val="0"/>
        <w:spacing w:after="0" w:line="480" w:lineRule="auto"/>
        <w:contextualSpacing/>
        <w:rPr>
          <w:rFonts w:ascii="Times New Roman" w:hAnsi="Times New Roman" w:cs="Times New Roman"/>
        </w:rPr>
      </w:pPr>
      <w:r w:rsidRPr="00A31A8A">
        <w:rPr>
          <w:rFonts w:ascii="Times New Roman" w:hAnsi="Times New Roman" w:cs="Times New Roman"/>
        </w:rPr>
        <w:t>Because these are face-to-face interviews, either direct (in person) or indirect (</w:t>
      </w:r>
      <w:r>
        <w:rPr>
          <w:rFonts w:ascii="Times New Roman" w:hAnsi="Times New Roman" w:cs="Times New Roman"/>
        </w:rPr>
        <w:t>videoconferencing</w:t>
      </w:r>
      <w:r w:rsidRPr="00A31A8A">
        <w:rPr>
          <w:rFonts w:ascii="Times New Roman" w:hAnsi="Times New Roman" w:cs="Times New Roman"/>
        </w:rPr>
        <w:t xml:space="preserve"> or telephone) technology is of limited utility in reducing burden.  </w:t>
      </w:r>
      <w:r>
        <w:rPr>
          <w:rFonts w:ascii="Times New Roman" w:hAnsi="Times New Roman" w:cs="Times New Roman"/>
        </w:rPr>
        <w:t>Use of Skype as a platform for facilitating the interviews, rather than telephone, will likely increase the efficiency of the interview process and yield greater responsiv</w:t>
      </w:r>
      <w:r w:rsidR="00FE53DE">
        <w:rPr>
          <w:rFonts w:ascii="Times New Roman" w:hAnsi="Times New Roman" w:cs="Times New Roman"/>
        </w:rPr>
        <w:t>eness</w:t>
      </w:r>
      <w:r>
        <w:rPr>
          <w:rFonts w:ascii="Times New Roman" w:hAnsi="Times New Roman" w:cs="Times New Roman"/>
        </w:rPr>
        <w:t>.  Every effort will be made to use videoconferencing (e.g. Skype) instead of a telephone platform to conduct the indirect interviews.</w:t>
      </w:r>
    </w:p>
    <w:p w:rsidR="00A31A8A" w:rsidRDefault="00A31A8A" w:rsidP="00AC47A0">
      <w:pPr>
        <w:widowControl w:val="0"/>
        <w:tabs>
          <w:tab w:val="left" w:pos="9270"/>
        </w:tabs>
        <w:overflowPunct w:val="0"/>
        <w:autoSpaceDE w:val="0"/>
        <w:autoSpaceDN w:val="0"/>
        <w:adjustRightInd w:val="0"/>
        <w:spacing w:after="0" w:line="480" w:lineRule="auto"/>
        <w:contextualSpacing/>
        <w:rPr>
          <w:rFonts w:ascii="Times New Roman" w:hAnsi="Times New Roman" w:cs="Times New Roman"/>
          <w:b/>
        </w:rPr>
      </w:pPr>
    </w:p>
    <w:p w:rsidR="003A14A7" w:rsidRPr="009253A5" w:rsidRDefault="003D7FF0" w:rsidP="00AC47A0">
      <w:pPr>
        <w:spacing w:line="480" w:lineRule="auto"/>
        <w:contextualSpacing/>
        <w:rPr>
          <w:rFonts w:ascii="Times New Roman" w:hAnsi="Times New Roman" w:cs="Times New Roman"/>
          <w:b/>
        </w:rPr>
      </w:pPr>
      <w:bookmarkStart w:id="7" w:name="A4"/>
      <w:r w:rsidRPr="009253A5">
        <w:rPr>
          <w:rFonts w:ascii="Times New Roman" w:hAnsi="Times New Roman" w:cs="Times New Roman"/>
          <w:b/>
        </w:rPr>
        <w:t>A.4. Effort to Identify Duplication and Use of Similar Information</w:t>
      </w:r>
    </w:p>
    <w:bookmarkEnd w:id="7"/>
    <w:p w:rsidR="009253A5" w:rsidRDefault="009253A5" w:rsidP="00AC47A0">
      <w:pPr>
        <w:spacing w:line="480" w:lineRule="auto"/>
        <w:contextualSpacing/>
        <w:rPr>
          <w:rFonts w:ascii="Times New Roman" w:hAnsi="Times New Roman" w:cs="Times New Roman"/>
        </w:rPr>
      </w:pPr>
      <w:r>
        <w:rPr>
          <w:rFonts w:ascii="Times New Roman" w:hAnsi="Times New Roman" w:cs="Times New Roman"/>
        </w:rPr>
        <w:t xml:space="preserve">In consultation with those managing the program at the Federal level and those coordinating activities among the centers, </w:t>
      </w:r>
      <w:r w:rsidRPr="009253A5">
        <w:rPr>
          <w:rFonts w:ascii="Times New Roman" w:hAnsi="Times New Roman" w:cs="Times New Roman"/>
        </w:rPr>
        <w:t>it has been determined that the information outlined in this data collection effort does not currently exist in a way that would serve the purpose of this information collection</w:t>
      </w:r>
      <w:r>
        <w:rPr>
          <w:rFonts w:ascii="Times New Roman" w:hAnsi="Times New Roman" w:cs="Times New Roman"/>
        </w:rPr>
        <w:t>.</w:t>
      </w:r>
    </w:p>
    <w:p w:rsidR="009253A5" w:rsidRPr="00A20CD3" w:rsidRDefault="009253A5" w:rsidP="00AC47A0">
      <w:pPr>
        <w:spacing w:line="480" w:lineRule="auto"/>
        <w:contextualSpacing/>
        <w:rPr>
          <w:rFonts w:ascii="Times New Roman" w:hAnsi="Times New Roman" w:cs="Times New Roman"/>
        </w:rPr>
      </w:pPr>
    </w:p>
    <w:p w:rsidR="00A20CD3" w:rsidRPr="00A20CD3" w:rsidRDefault="00A20CD3" w:rsidP="00AC47A0">
      <w:pPr>
        <w:spacing w:line="480" w:lineRule="auto"/>
        <w:contextualSpacing/>
        <w:rPr>
          <w:rFonts w:ascii="Times New Roman" w:hAnsi="Times New Roman" w:cs="Times New Roman"/>
          <w:b/>
        </w:rPr>
      </w:pPr>
      <w:bookmarkStart w:id="8" w:name="A5"/>
      <w:r w:rsidRPr="00A20CD3">
        <w:rPr>
          <w:rFonts w:ascii="Times New Roman" w:hAnsi="Times New Roman" w:cs="Times New Roman"/>
          <w:b/>
          <w:noProof/>
        </w:rPr>
        <w:t>A.5</w:t>
      </w:r>
      <w:r w:rsidRPr="00A20CD3">
        <w:rPr>
          <w:rFonts w:ascii="Times New Roman" w:hAnsi="Times New Roman" w:cs="Times New Roman"/>
          <w:b/>
        </w:rPr>
        <w:t>.</w:t>
      </w:r>
      <w:r w:rsidRPr="00A20CD3">
        <w:rPr>
          <w:rFonts w:ascii="Times New Roman" w:hAnsi="Times New Roman" w:cs="Times New Roman"/>
          <w:b/>
          <w:noProof/>
        </w:rPr>
        <w:t xml:space="preserve">  Impact on Small Businesses or Other Small Entities</w:t>
      </w:r>
    </w:p>
    <w:bookmarkEnd w:id="8"/>
    <w:p w:rsidR="00A20CD3" w:rsidRPr="0046375B" w:rsidRDefault="00A20CD3" w:rsidP="00AC47A0">
      <w:pPr>
        <w:spacing w:line="480" w:lineRule="auto"/>
        <w:contextualSpacing/>
        <w:rPr>
          <w:rFonts w:ascii="Times New Roman" w:hAnsi="Times New Roman" w:cs="Times New Roman"/>
          <w:noProof/>
        </w:rPr>
      </w:pPr>
      <w:r w:rsidRPr="0046375B">
        <w:rPr>
          <w:rFonts w:ascii="Times New Roman" w:hAnsi="Times New Roman" w:cs="Times New Roman"/>
        </w:rPr>
        <w:t>No small businesses will be involved in this study</w:t>
      </w:r>
      <w:r w:rsidR="009539E6">
        <w:rPr>
          <w:rFonts w:ascii="Times New Roman" w:hAnsi="Times New Roman" w:cs="Times New Roman"/>
        </w:rPr>
        <w:t>.</w:t>
      </w:r>
    </w:p>
    <w:p w:rsidR="00A20CD3" w:rsidRPr="0046375B" w:rsidRDefault="00A20CD3" w:rsidP="00AC47A0">
      <w:pPr>
        <w:spacing w:line="480" w:lineRule="auto"/>
        <w:contextualSpacing/>
        <w:rPr>
          <w:rFonts w:ascii="Times New Roman" w:hAnsi="Times New Roman" w:cs="Times New Roman"/>
          <w:noProof/>
        </w:rPr>
      </w:pPr>
    </w:p>
    <w:p w:rsidR="00A20CD3" w:rsidRPr="0046375B" w:rsidRDefault="00A20CD3" w:rsidP="00AC47A0">
      <w:pPr>
        <w:spacing w:line="480" w:lineRule="auto"/>
        <w:contextualSpacing/>
        <w:rPr>
          <w:rFonts w:ascii="Times New Roman" w:hAnsi="Times New Roman" w:cs="Times New Roman"/>
          <w:b/>
        </w:rPr>
      </w:pPr>
      <w:bookmarkStart w:id="9" w:name="A6"/>
      <w:r w:rsidRPr="0046375B">
        <w:rPr>
          <w:rFonts w:ascii="Times New Roman" w:hAnsi="Times New Roman" w:cs="Times New Roman"/>
          <w:b/>
          <w:noProof/>
        </w:rPr>
        <w:t>A.6</w:t>
      </w:r>
      <w:r w:rsidRPr="0046375B">
        <w:rPr>
          <w:rFonts w:ascii="Times New Roman" w:hAnsi="Times New Roman" w:cs="Times New Roman"/>
          <w:b/>
        </w:rPr>
        <w:t xml:space="preserve">.  </w:t>
      </w:r>
      <w:r w:rsidRPr="0046375B">
        <w:rPr>
          <w:rFonts w:ascii="Times New Roman" w:hAnsi="Times New Roman" w:cs="Times New Roman"/>
          <w:b/>
          <w:noProof/>
        </w:rPr>
        <w:t xml:space="preserve">Consequences of Collecting </w:t>
      </w:r>
      <w:r w:rsidRPr="0046375B">
        <w:rPr>
          <w:rFonts w:ascii="Times New Roman" w:hAnsi="Times New Roman" w:cs="Times New Roman"/>
          <w:b/>
        </w:rPr>
        <w:t>the Information Less Frequently</w:t>
      </w:r>
    </w:p>
    <w:bookmarkEnd w:id="9"/>
    <w:p w:rsidR="00A20CD3" w:rsidRPr="0046375B" w:rsidRDefault="00A20CD3" w:rsidP="00AC47A0">
      <w:pPr>
        <w:spacing w:line="480" w:lineRule="auto"/>
        <w:contextualSpacing/>
        <w:rPr>
          <w:rFonts w:ascii="Times New Roman" w:hAnsi="Times New Roman" w:cs="Times New Roman"/>
          <w:noProof/>
        </w:rPr>
      </w:pPr>
      <w:r w:rsidRPr="0046375B">
        <w:rPr>
          <w:rFonts w:ascii="Times New Roman" w:hAnsi="Times New Roman" w:cs="Times New Roman"/>
        </w:rPr>
        <w:t>This information request is a "single time" study.  Therefore the infor</w:t>
      </w:r>
      <w:r w:rsidR="0088312E">
        <w:rPr>
          <w:rFonts w:ascii="Times New Roman" w:hAnsi="Times New Roman" w:cs="Times New Roman"/>
        </w:rPr>
        <w:t>m</w:t>
      </w:r>
      <w:r w:rsidRPr="0046375B">
        <w:rPr>
          <w:rFonts w:ascii="Times New Roman" w:hAnsi="Times New Roman" w:cs="Times New Roman"/>
        </w:rPr>
        <w:t xml:space="preserve">ation will only be collected once and there is no need for </w:t>
      </w:r>
      <w:r w:rsidR="0088312E">
        <w:rPr>
          <w:rFonts w:ascii="Times New Roman" w:hAnsi="Times New Roman" w:cs="Times New Roman"/>
        </w:rPr>
        <w:t>multiple</w:t>
      </w:r>
      <w:r w:rsidRPr="0046375B">
        <w:rPr>
          <w:rFonts w:ascii="Times New Roman" w:hAnsi="Times New Roman" w:cs="Times New Roman"/>
        </w:rPr>
        <w:t xml:space="preserve"> responses.</w:t>
      </w:r>
    </w:p>
    <w:p w:rsidR="006F7347" w:rsidRDefault="006F7347" w:rsidP="00AC47A0">
      <w:pPr>
        <w:spacing w:line="480" w:lineRule="auto"/>
        <w:contextualSpacing/>
        <w:rPr>
          <w:rFonts w:ascii="Times New Roman" w:hAnsi="Times New Roman" w:cs="Times New Roman"/>
          <w:b/>
        </w:rPr>
      </w:pPr>
    </w:p>
    <w:p w:rsidR="0046375B" w:rsidRPr="0046375B" w:rsidRDefault="0046375B" w:rsidP="00AC47A0">
      <w:pPr>
        <w:spacing w:line="480" w:lineRule="auto"/>
        <w:contextualSpacing/>
        <w:rPr>
          <w:rFonts w:ascii="Times New Roman" w:hAnsi="Times New Roman" w:cs="Times New Roman"/>
          <w:b/>
        </w:rPr>
      </w:pPr>
      <w:bookmarkStart w:id="10" w:name="A7"/>
      <w:r w:rsidRPr="0046375B">
        <w:rPr>
          <w:rFonts w:ascii="Times New Roman" w:hAnsi="Times New Roman" w:cs="Times New Roman"/>
          <w:b/>
        </w:rPr>
        <w:t xml:space="preserve">A.7. </w:t>
      </w:r>
      <w:r w:rsidR="00A20CD3" w:rsidRPr="0046375B">
        <w:rPr>
          <w:rFonts w:ascii="Times New Roman" w:hAnsi="Times New Roman" w:cs="Times New Roman"/>
          <w:b/>
          <w:noProof/>
        </w:rPr>
        <w:t>Special Circumstances Relating to the Guidelines of 5 CFR 1320.5</w:t>
      </w:r>
    </w:p>
    <w:bookmarkEnd w:id="10"/>
    <w:p w:rsidR="0046375B" w:rsidRPr="0046375B" w:rsidRDefault="0046375B" w:rsidP="00AC47A0">
      <w:pPr>
        <w:spacing w:line="480" w:lineRule="auto"/>
        <w:contextualSpacing/>
        <w:rPr>
          <w:rFonts w:ascii="Times New Roman" w:hAnsi="Times New Roman" w:cs="Times New Roman"/>
        </w:rPr>
      </w:pPr>
      <w:r w:rsidRPr="0046375B">
        <w:rPr>
          <w:rFonts w:ascii="Times New Roman" w:hAnsi="Times New Roman" w:cs="Times New Roman"/>
        </w:rPr>
        <w:t xml:space="preserve">No </w:t>
      </w:r>
      <w:r w:rsidR="00FE53DE">
        <w:rPr>
          <w:rFonts w:ascii="Times New Roman" w:hAnsi="Times New Roman" w:cs="Times New Roman"/>
        </w:rPr>
        <w:t>special</w:t>
      </w:r>
      <w:r w:rsidRPr="0046375B">
        <w:rPr>
          <w:rFonts w:ascii="Times New Roman" w:hAnsi="Times New Roman" w:cs="Times New Roman"/>
        </w:rPr>
        <w:t xml:space="preserve"> circumstances relating to the guidelines of </w:t>
      </w:r>
      <w:r w:rsidRPr="0046375B">
        <w:rPr>
          <w:rFonts w:ascii="Times New Roman" w:hAnsi="Times New Roman" w:cs="Times New Roman"/>
          <w:noProof/>
        </w:rPr>
        <w:t>5 CFR 1320.5</w:t>
      </w:r>
      <w:r w:rsidRPr="0046375B">
        <w:rPr>
          <w:rFonts w:ascii="Times New Roman" w:hAnsi="Times New Roman" w:cs="Times New Roman"/>
        </w:rPr>
        <w:t xml:space="preserve"> are noted in this information request.</w:t>
      </w:r>
    </w:p>
    <w:p w:rsidR="0046375B" w:rsidRPr="0046375B" w:rsidRDefault="0046375B" w:rsidP="00AC47A0">
      <w:pPr>
        <w:spacing w:line="480" w:lineRule="auto"/>
        <w:contextualSpacing/>
        <w:rPr>
          <w:rFonts w:ascii="Times New Roman" w:hAnsi="Times New Roman" w:cs="Times New Roman"/>
        </w:rPr>
      </w:pPr>
      <w:r>
        <w:rPr>
          <w:rFonts w:ascii="Times New Roman" w:hAnsi="Times New Roman" w:cs="Times New Roman"/>
        </w:rPr>
        <w:t>Response tim</w:t>
      </w:r>
      <w:r w:rsidR="00D87DF4">
        <w:rPr>
          <w:rFonts w:ascii="Times New Roman" w:hAnsi="Times New Roman" w:cs="Times New Roman"/>
        </w:rPr>
        <w:t>e will be less than one hour (50</w:t>
      </w:r>
      <w:r>
        <w:rPr>
          <w:rFonts w:ascii="Times New Roman" w:hAnsi="Times New Roman" w:cs="Times New Roman"/>
        </w:rPr>
        <w:t xml:space="preserve"> minutes)</w:t>
      </w:r>
      <w:r w:rsidR="009253A5">
        <w:rPr>
          <w:rFonts w:ascii="Times New Roman" w:hAnsi="Times New Roman" w:cs="Times New Roman"/>
        </w:rPr>
        <w:t xml:space="preserve">. </w:t>
      </w:r>
      <w:r w:rsidR="009253A5" w:rsidRPr="009253A5">
        <w:t xml:space="preserve"> </w:t>
      </w:r>
      <w:r w:rsidR="009253A5" w:rsidRPr="009253A5">
        <w:rPr>
          <w:rFonts w:ascii="Times New Roman" w:hAnsi="Times New Roman" w:cs="Times New Roman"/>
        </w:rPr>
        <w:t>The information collection outlined fully complies all guidelines of 5 CFR 1320.5.</w:t>
      </w:r>
    </w:p>
    <w:p w:rsidR="009253A5" w:rsidRDefault="009253A5" w:rsidP="00AC47A0">
      <w:pPr>
        <w:spacing w:line="480" w:lineRule="auto"/>
        <w:contextualSpacing/>
        <w:rPr>
          <w:rFonts w:ascii="Times New Roman" w:hAnsi="Times New Roman" w:cs="Times New Roman"/>
          <w:b/>
          <w:noProof/>
        </w:rPr>
      </w:pPr>
    </w:p>
    <w:p w:rsidR="0046375B" w:rsidRPr="0046375B" w:rsidRDefault="0046375B" w:rsidP="00AC47A0">
      <w:pPr>
        <w:spacing w:line="480" w:lineRule="auto"/>
        <w:contextualSpacing/>
        <w:rPr>
          <w:rFonts w:ascii="Times New Roman" w:hAnsi="Times New Roman" w:cs="Times New Roman"/>
          <w:b/>
          <w:noProof/>
        </w:rPr>
      </w:pPr>
      <w:bookmarkStart w:id="11" w:name="A8"/>
      <w:r w:rsidRPr="0046375B">
        <w:rPr>
          <w:rFonts w:ascii="Times New Roman" w:hAnsi="Times New Roman" w:cs="Times New Roman"/>
          <w:b/>
          <w:noProof/>
        </w:rPr>
        <w:t>A</w:t>
      </w:r>
      <w:r w:rsidR="00A20CD3" w:rsidRPr="0046375B">
        <w:rPr>
          <w:rFonts w:ascii="Times New Roman" w:hAnsi="Times New Roman" w:cs="Times New Roman"/>
          <w:b/>
          <w:noProof/>
        </w:rPr>
        <w:t>.8</w:t>
      </w:r>
      <w:r w:rsidRPr="0046375B">
        <w:rPr>
          <w:rFonts w:ascii="Times New Roman" w:hAnsi="Times New Roman" w:cs="Times New Roman"/>
          <w:b/>
          <w:noProof/>
        </w:rPr>
        <w:t xml:space="preserve">. </w:t>
      </w:r>
      <w:r w:rsidR="00A20CD3" w:rsidRPr="0046375B">
        <w:rPr>
          <w:rFonts w:ascii="Times New Roman" w:hAnsi="Times New Roman" w:cs="Times New Roman"/>
          <w:b/>
          <w:noProof/>
        </w:rPr>
        <w:t>Comments in Response to the Federal Register Notice and Efforts to Consult Outside Agency</w:t>
      </w:r>
    </w:p>
    <w:bookmarkEnd w:id="11"/>
    <w:p w:rsidR="00A20CD3" w:rsidRDefault="0088312E" w:rsidP="00AC47A0">
      <w:pPr>
        <w:spacing w:line="480" w:lineRule="auto"/>
        <w:contextualSpacing/>
        <w:rPr>
          <w:rFonts w:ascii="Times New Roman" w:hAnsi="Times New Roman" w:cs="Times New Roman"/>
          <w:noProof/>
        </w:rPr>
      </w:pPr>
      <w:r w:rsidRPr="0088312E">
        <w:rPr>
          <w:rFonts w:ascii="Times New Roman" w:hAnsi="Times New Roman" w:cs="Times New Roman"/>
          <w:noProof/>
        </w:rPr>
        <w:t>An announcement was placed in the Federal Register</w:t>
      </w:r>
      <w:r w:rsidR="003D22FD">
        <w:rPr>
          <w:rFonts w:ascii="Times New Roman" w:hAnsi="Times New Roman" w:cs="Times New Roman"/>
          <w:noProof/>
        </w:rPr>
        <w:t xml:space="preserve"> on January 27</w:t>
      </w:r>
      <w:r w:rsidR="003D22FD" w:rsidRPr="003D22FD">
        <w:rPr>
          <w:rFonts w:ascii="Times New Roman" w:hAnsi="Times New Roman" w:cs="Times New Roman"/>
          <w:noProof/>
          <w:vertAlign w:val="superscript"/>
        </w:rPr>
        <w:t>th</w:t>
      </w:r>
      <w:r w:rsidR="003D22FD">
        <w:rPr>
          <w:rFonts w:ascii="Times New Roman" w:hAnsi="Times New Roman" w:cs="Times New Roman"/>
          <w:noProof/>
        </w:rPr>
        <w:t>, 2015</w:t>
      </w:r>
      <w:r w:rsidRPr="0088312E">
        <w:rPr>
          <w:rFonts w:ascii="Times New Roman" w:hAnsi="Times New Roman" w:cs="Times New Roman"/>
          <w:noProof/>
        </w:rPr>
        <w:t xml:space="preserve">, Document Number </w:t>
      </w:r>
      <w:r w:rsidR="00566927" w:rsidRPr="00566927">
        <w:rPr>
          <w:rFonts w:ascii="Times New Roman" w:hAnsi="Times New Roman" w:cs="Times New Roman"/>
          <w:noProof/>
        </w:rPr>
        <w:t>2015-01421</w:t>
      </w:r>
      <w:r w:rsidRPr="0088312E">
        <w:rPr>
          <w:rFonts w:ascii="Times New Roman" w:hAnsi="Times New Roman" w:cs="Times New Roman"/>
          <w:noProof/>
        </w:rPr>
        <w:t xml:space="preserve">, </w:t>
      </w:r>
      <w:r w:rsidR="00566927">
        <w:rPr>
          <w:rFonts w:ascii="Times New Roman" w:hAnsi="Times New Roman" w:cs="Times New Roman"/>
          <w:noProof/>
        </w:rPr>
        <w:t>page 4,291</w:t>
      </w:r>
      <w:r w:rsidRPr="0088312E">
        <w:rPr>
          <w:rFonts w:ascii="Times New Roman" w:hAnsi="Times New Roman" w:cs="Times New Roman"/>
          <w:noProof/>
        </w:rPr>
        <w:t xml:space="preserve"> public comment on this data collection system, thereby providing the research community with the opport</w:t>
      </w:r>
      <w:bookmarkStart w:id="12" w:name="_GoBack"/>
      <w:bookmarkEnd w:id="12"/>
      <w:r w:rsidRPr="0088312E">
        <w:rPr>
          <w:rFonts w:ascii="Times New Roman" w:hAnsi="Times New Roman" w:cs="Times New Roman"/>
          <w:noProof/>
        </w:rPr>
        <w:t xml:space="preserve">unity to provide input into the proposed </w:t>
      </w:r>
      <w:r w:rsidR="00566927">
        <w:rPr>
          <w:rFonts w:ascii="Times New Roman" w:hAnsi="Times New Roman" w:cs="Times New Roman"/>
          <w:noProof/>
        </w:rPr>
        <w:t>project</w:t>
      </w:r>
      <w:r w:rsidRPr="0088312E">
        <w:rPr>
          <w:rFonts w:ascii="Times New Roman" w:hAnsi="Times New Roman" w:cs="Times New Roman"/>
          <w:noProof/>
        </w:rPr>
        <w:t xml:space="preserve">.   </w:t>
      </w:r>
      <w:r w:rsidR="001D0F04">
        <w:rPr>
          <w:rFonts w:ascii="Times New Roman" w:hAnsi="Times New Roman" w:cs="Times New Roman"/>
          <w:noProof/>
        </w:rPr>
        <w:t xml:space="preserve">No </w:t>
      </w:r>
      <w:r w:rsidRPr="0088312E">
        <w:rPr>
          <w:rFonts w:ascii="Times New Roman" w:hAnsi="Times New Roman" w:cs="Times New Roman"/>
          <w:noProof/>
        </w:rPr>
        <w:t>comment</w:t>
      </w:r>
      <w:r w:rsidR="001D0F04">
        <w:rPr>
          <w:rFonts w:ascii="Times New Roman" w:hAnsi="Times New Roman" w:cs="Times New Roman"/>
          <w:noProof/>
        </w:rPr>
        <w:t>s</w:t>
      </w:r>
      <w:r w:rsidRPr="0088312E">
        <w:rPr>
          <w:rFonts w:ascii="Times New Roman" w:hAnsi="Times New Roman" w:cs="Times New Roman"/>
          <w:noProof/>
        </w:rPr>
        <w:t xml:space="preserve"> w</w:t>
      </w:r>
      <w:r w:rsidR="001D0F04">
        <w:rPr>
          <w:rFonts w:ascii="Times New Roman" w:hAnsi="Times New Roman" w:cs="Times New Roman"/>
          <w:noProof/>
        </w:rPr>
        <w:t>ere</w:t>
      </w:r>
      <w:r w:rsidRPr="0088312E">
        <w:rPr>
          <w:rFonts w:ascii="Times New Roman" w:hAnsi="Times New Roman" w:cs="Times New Roman"/>
          <w:noProof/>
        </w:rPr>
        <w:t xml:space="preserve"> received.</w:t>
      </w:r>
      <w:r w:rsidR="00A20CD3" w:rsidRPr="0046375B">
        <w:rPr>
          <w:rFonts w:ascii="Times New Roman" w:hAnsi="Times New Roman" w:cs="Times New Roman"/>
          <w:noProof/>
        </w:rPr>
        <w:tab/>
      </w:r>
    </w:p>
    <w:p w:rsidR="0088312E" w:rsidRPr="0046375B" w:rsidRDefault="0088312E" w:rsidP="00AC47A0">
      <w:pPr>
        <w:spacing w:line="480" w:lineRule="auto"/>
        <w:contextualSpacing/>
        <w:rPr>
          <w:rFonts w:ascii="Times New Roman" w:hAnsi="Times New Roman" w:cs="Times New Roman"/>
          <w:noProof/>
        </w:rPr>
      </w:pPr>
    </w:p>
    <w:p w:rsidR="0046375B" w:rsidRPr="0046375B" w:rsidRDefault="0046375B" w:rsidP="00AC47A0">
      <w:pPr>
        <w:spacing w:line="480" w:lineRule="auto"/>
        <w:contextualSpacing/>
        <w:rPr>
          <w:rFonts w:ascii="Times New Roman" w:hAnsi="Times New Roman" w:cs="Times New Roman"/>
          <w:b/>
        </w:rPr>
      </w:pPr>
      <w:bookmarkStart w:id="13" w:name="A9"/>
      <w:r w:rsidRPr="0046375B">
        <w:rPr>
          <w:rFonts w:ascii="Times New Roman" w:hAnsi="Times New Roman" w:cs="Times New Roman"/>
          <w:b/>
        </w:rPr>
        <w:t xml:space="preserve">A.9. </w:t>
      </w:r>
      <w:r w:rsidR="00A20CD3" w:rsidRPr="0046375B">
        <w:rPr>
          <w:rFonts w:ascii="Times New Roman" w:hAnsi="Times New Roman" w:cs="Times New Roman"/>
          <w:b/>
          <w:noProof/>
        </w:rPr>
        <w:t>Explanation of Any Payment of Gift to Respondents</w:t>
      </w:r>
    </w:p>
    <w:bookmarkEnd w:id="13"/>
    <w:p w:rsidR="0046375B" w:rsidRPr="0046375B" w:rsidRDefault="00543E45" w:rsidP="00AC47A0">
      <w:pPr>
        <w:spacing w:line="480" w:lineRule="auto"/>
        <w:contextualSpacing/>
        <w:rPr>
          <w:rFonts w:ascii="Times New Roman" w:hAnsi="Times New Roman" w:cs="Times New Roman"/>
        </w:rPr>
      </w:pPr>
      <w:r>
        <w:rPr>
          <w:rFonts w:ascii="Times New Roman" w:hAnsi="Times New Roman" w:cs="Times New Roman"/>
        </w:rPr>
        <w:t>No pay</w:t>
      </w:r>
      <w:r w:rsidR="00AD02D2">
        <w:rPr>
          <w:rFonts w:ascii="Times New Roman" w:hAnsi="Times New Roman" w:cs="Times New Roman"/>
        </w:rPr>
        <w:t>ment of gift will be offered or m</w:t>
      </w:r>
      <w:r w:rsidR="0046375B" w:rsidRPr="0046375B">
        <w:rPr>
          <w:rFonts w:ascii="Times New Roman" w:hAnsi="Times New Roman" w:cs="Times New Roman"/>
        </w:rPr>
        <w:t xml:space="preserve">ade to </w:t>
      </w:r>
      <w:r w:rsidR="00AD02D2" w:rsidRPr="0046375B">
        <w:rPr>
          <w:rFonts w:ascii="Times New Roman" w:hAnsi="Times New Roman" w:cs="Times New Roman"/>
        </w:rPr>
        <w:t>respondents</w:t>
      </w:r>
      <w:r w:rsidR="0046375B" w:rsidRPr="0046375B">
        <w:rPr>
          <w:rFonts w:ascii="Times New Roman" w:hAnsi="Times New Roman" w:cs="Times New Roman"/>
        </w:rPr>
        <w:t xml:space="preserve"> for participation in this data collection.  </w:t>
      </w:r>
    </w:p>
    <w:p w:rsidR="009253A5" w:rsidRDefault="009253A5" w:rsidP="0046375B">
      <w:pPr>
        <w:rPr>
          <w:rFonts w:ascii="Times New Roman" w:hAnsi="Times New Roman" w:cs="Times New Roman"/>
          <w:noProof/>
        </w:rPr>
      </w:pPr>
    </w:p>
    <w:p w:rsidR="00A20CD3" w:rsidRPr="00683F47" w:rsidRDefault="00A20CD3" w:rsidP="00FE39AD">
      <w:pPr>
        <w:spacing w:line="480" w:lineRule="auto"/>
        <w:contextualSpacing/>
        <w:rPr>
          <w:rFonts w:ascii="Times New Roman" w:hAnsi="Times New Roman" w:cs="Times New Roman"/>
          <w:b/>
          <w:noProof/>
        </w:rPr>
      </w:pPr>
      <w:bookmarkStart w:id="14" w:name="A10"/>
      <w:r w:rsidRPr="00683F47">
        <w:rPr>
          <w:rFonts w:ascii="Times New Roman" w:hAnsi="Times New Roman" w:cs="Times New Roman"/>
          <w:b/>
          <w:noProof/>
        </w:rPr>
        <w:t>A.10</w:t>
      </w:r>
      <w:r w:rsidR="0046375B" w:rsidRPr="00683F47">
        <w:rPr>
          <w:rFonts w:ascii="Times New Roman" w:hAnsi="Times New Roman" w:cs="Times New Roman"/>
          <w:b/>
        </w:rPr>
        <w:t>.</w:t>
      </w:r>
      <w:r w:rsidR="00543E45" w:rsidRPr="00683F47">
        <w:rPr>
          <w:rFonts w:ascii="Times New Roman" w:hAnsi="Times New Roman" w:cs="Times New Roman"/>
          <w:b/>
        </w:rPr>
        <w:t xml:space="preserve"> </w:t>
      </w:r>
      <w:r w:rsidR="0046375B" w:rsidRPr="00683F47">
        <w:rPr>
          <w:rFonts w:ascii="Times New Roman" w:hAnsi="Times New Roman" w:cs="Times New Roman"/>
          <w:b/>
        </w:rPr>
        <w:t xml:space="preserve"> </w:t>
      </w:r>
      <w:r w:rsidRPr="00683F47">
        <w:rPr>
          <w:rFonts w:ascii="Times New Roman" w:hAnsi="Times New Roman" w:cs="Times New Roman"/>
          <w:b/>
          <w:noProof/>
        </w:rPr>
        <w:t>Assurance</w:t>
      </w:r>
      <w:r w:rsidR="005069DC">
        <w:rPr>
          <w:rFonts w:ascii="Times New Roman" w:hAnsi="Times New Roman" w:cs="Times New Roman"/>
          <w:b/>
          <w:noProof/>
        </w:rPr>
        <w:t xml:space="preserve"> </w:t>
      </w:r>
      <w:r w:rsidRPr="00683F47">
        <w:rPr>
          <w:rFonts w:ascii="Times New Roman" w:hAnsi="Times New Roman" w:cs="Times New Roman"/>
          <w:b/>
          <w:noProof/>
        </w:rPr>
        <w:t xml:space="preserve">of </w:t>
      </w:r>
      <w:r w:rsidR="005069DC">
        <w:rPr>
          <w:rFonts w:ascii="Times New Roman" w:hAnsi="Times New Roman" w:cs="Times New Roman"/>
          <w:b/>
          <w:noProof/>
        </w:rPr>
        <w:t>Privacy</w:t>
      </w:r>
      <w:r w:rsidRPr="00683F47">
        <w:rPr>
          <w:rFonts w:ascii="Times New Roman" w:hAnsi="Times New Roman" w:cs="Times New Roman"/>
          <w:b/>
          <w:noProof/>
        </w:rPr>
        <w:t xml:space="preserve"> Provided to Respondents</w:t>
      </w:r>
    </w:p>
    <w:bookmarkEnd w:id="14"/>
    <w:p w:rsidR="00543E45" w:rsidRPr="00FE39AD" w:rsidRDefault="007328A7" w:rsidP="00FE39AD">
      <w:pPr>
        <w:spacing w:line="480" w:lineRule="auto"/>
        <w:contextualSpacing/>
        <w:rPr>
          <w:rFonts w:ascii="Times New Roman" w:eastAsia="Times New Roman" w:hAnsi="Times New Roman" w:cs="Times New Roman"/>
          <w:color w:val="000000"/>
        </w:rPr>
      </w:pPr>
      <w:r w:rsidRPr="00FE39AD">
        <w:rPr>
          <w:rFonts w:ascii="Times New Roman" w:eastAsia="Times New Roman" w:hAnsi="Times New Roman" w:cs="Times New Roman"/>
          <w:color w:val="000000"/>
        </w:rPr>
        <w:t xml:space="preserve">Because this activity is an evaluation for </w:t>
      </w:r>
      <w:r w:rsidR="00D87DF4">
        <w:rPr>
          <w:rFonts w:ascii="Times New Roman" w:eastAsia="Times New Roman" w:hAnsi="Times New Roman" w:cs="Times New Roman"/>
          <w:color w:val="000000"/>
        </w:rPr>
        <w:t xml:space="preserve">the </w:t>
      </w:r>
      <w:r w:rsidRPr="00FE39AD">
        <w:rPr>
          <w:rFonts w:ascii="Times New Roman" w:eastAsia="Times New Roman" w:hAnsi="Times New Roman" w:cs="Times New Roman"/>
          <w:color w:val="000000"/>
        </w:rPr>
        <w:t>NHLBI</w:t>
      </w:r>
      <w:r w:rsidR="00D87DF4">
        <w:rPr>
          <w:rFonts w:ascii="Times New Roman" w:eastAsia="Times New Roman" w:hAnsi="Times New Roman" w:cs="Times New Roman"/>
          <w:color w:val="000000"/>
        </w:rPr>
        <w:t>'s Proteomics Centers Program specifically,</w:t>
      </w:r>
      <w:r w:rsidRPr="00FE39AD">
        <w:rPr>
          <w:rFonts w:ascii="Times New Roman" w:eastAsia="Times New Roman" w:hAnsi="Times New Roman" w:cs="Times New Roman"/>
          <w:color w:val="000000"/>
        </w:rPr>
        <w:t> and not intended for dissemination or generalization to other agencies or populations, this is not considered human subjects research for the purpose of IRB review.</w:t>
      </w:r>
      <w:r w:rsidR="009253A5" w:rsidRPr="00FE39AD">
        <w:rPr>
          <w:rFonts w:ascii="Times New Roman" w:hAnsi="Times New Roman" w:cs="Times New Roman"/>
        </w:rPr>
        <w:t xml:space="preserve"> </w:t>
      </w:r>
      <w:r w:rsidR="009253A5" w:rsidRPr="00FE39AD">
        <w:rPr>
          <w:rFonts w:ascii="Times New Roman" w:eastAsia="Times New Roman" w:hAnsi="Times New Roman" w:cs="Times New Roman"/>
          <w:color w:val="000000"/>
        </w:rPr>
        <w:t>Consistent with 28 CFR Part 46.102(D), this project is not research and does not require IRB review.</w:t>
      </w:r>
    </w:p>
    <w:p w:rsidR="00FE39AD" w:rsidRDefault="00FE39AD" w:rsidP="00FE39AD">
      <w:pPr>
        <w:spacing w:line="480" w:lineRule="auto"/>
        <w:contextualSpacing/>
        <w:rPr>
          <w:rFonts w:ascii="Times New Roman" w:hAnsi="Times New Roman" w:cs="Times New Roman"/>
          <w:noProof/>
        </w:rPr>
      </w:pPr>
    </w:p>
    <w:p w:rsidR="00FE39AD" w:rsidRPr="00FE39AD" w:rsidRDefault="00FE39AD" w:rsidP="00FE39AD">
      <w:pPr>
        <w:spacing w:line="480" w:lineRule="auto"/>
        <w:contextualSpacing/>
        <w:rPr>
          <w:rFonts w:ascii="Times New Roman" w:eastAsia="Times New Roman" w:hAnsi="Times New Roman" w:cs="Times New Roman"/>
          <w:color w:val="000000"/>
        </w:rPr>
      </w:pPr>
      <w:r w:rsidRPr="00FE39AD">
        <w:rPr>
          <w:rFonts w:ascii="Times New Roman" w:hAnsi="Times New Roman" w:cs="Times New Roman"/>
          <w:noProof/>
        </w:rPr>
        <w:t>CSI will</w:t>
      </w:r>
      <w:r w:rsidR="009253A5" w:rsidRPr="00FE39AD">
        <w:rPr>
          <w:rFonts w:ascii="Times New Roman" w:hAnsi="Times New Roman" w:cs="Times New Roman"/>
          <w:noProof/>
        </w:rPr>
        <w:t xml:space="preserve"> maintain </w:t>
      </w:r>
      <w:r w:rsidR="005069DC">
        <w:rPr>
          <w:rFonts w:ascii="Times New Roman" w:hAnsi="Times New Roman" w:cs="Times New Roman"/>
          <w:noProof/>
        </w:rPr>
        <w:t>Privacy</w:t>
      </w:r>
      <w:r w:rsidR="009253A5" w:rsidRPr="00FE39AD">
        <w:rPr>
          <w:rFonts w:ascii="Times New Roman" w:hAnsi="Times New Roman" w:cs="Times New Roman"/>
          <w:noProof/>
        </w:rPr>
        <w:t xml:space="preserve"> (to the extent permitted by law in the event of a FOIA request) </w:t>
      </w:r>
      <w:r w:rsidR="009539E6">
        <w:rPr>
          <w:rFonts w:ascii="Times New Roman" w:hAnsi="Times New Roman" w:cs="Times New Roman"/>
          <w:noProof/>
        </w:rPr>
        <w:t xml:space="preserve">of all input from </w:t>
      </w:r>
      <w:r w:rsidR="0047575F">
        <w:rPr>
          <w:rFonts w:ascii="Times New Roman" w:hAnsi="Times New Roman" w:cs="Times New Roman"/>
          <w:noProof/>
        </w:rPr>
        <w:t>respondents.  D</w:t>
      </w:r>
      <w:r w:rsidR="009253A5" w:rsidRPr="00FE39AD">
        <w:rPr>
          <w:rFonts w:ascii="Times New Roman" w:hAnsi="Times New Roman" w:cs="Times New Roman"/>
          <w:noProof/>
        </w:rPr>
        <w:t xml:space="preserve">ata elicited from </w:t>
      </w:r>
      <w:r w:rsidR="0047575F">
        <w:rPr>
          <w:rFonts w:ascii="Times New Roman" w:hAnsi="Times New Roman" w:cs="Times New Roman"/>
          <w:noProof/>
        </w:rPr>
        <w:t>respondent</w:t>
      </w:r>
      <w:r w:rsidR="00683F47">
        <w:rPr>
          <w:rFonts w:ascii="Times New Roman" w:hAnsi="Times New Roman" w:cs="Times New Roman"/>
          <w:noProof/>
        </w:rPr>
        <w:t>s</w:t>
      </w:r>
      <w:r w:rsidR="009253A5" w:rsidRPr="00FE39AD">
        <w:rPr>
          <w:rFonts w:ascii="Times New Roman" w:hAnsi="Times New Roman" w:cs="Times New Roman"/>
          <w:noProof/>
        </w:rPr>
        <w:t xml:space="preserve"> will </w:t>
      </w:r>
      <w:r w:rsidR="00683F47">
        <w:rPr>
          <w:rFonts w:ascii="Times New Roman" w:hAnsi="Times New Roman" w:cs="Times New Roman"/>
          <w:noProof/>
        </w:rPr>
        <w:t>not</w:t>
      </w:r>
      <w:r w:rsidR="009253A5" w:rsidRPr="00FE39AD">
        <w:rPr>
          <w:rFonts w:ascii="Times New Roman" w:hAnsi="Times New Roman" w:cs="Times New Roman"/>
          <w:noProof/>
        </w:rPr>
        <w:t xml:space="preserve"> be associated with any individual at any point in the project analysis or reporting. </w:t>
      </w:r>
      <w:r w:rsidR="009539E6">
        <w:rPr>
          <w:rFonts w:ascii="Times New Roman" w:hAnsi="Times New Roman" w:cs="Times New Roman"/>
          <w:noProof/>
        </w:rPr>
        <w:t xml:space="preserve"> </w:t>
      </w:r>
      <w:r w:rsidR="009253A5" w:rsidRPr="00FE39AD">
        <w:rPr>
          <w:rFonts w:ascii="Times New Roman" w:hAnsi="Times New Roman" w:cs="Times New Roman"/>
          <w:noProof/>
        </w:rPr>
        <w:t xml:space="preserve">Participants will be made fully aware of these parameters and </w:t>
      </w:r>
      <w:r w:rsidR="005069DC">
        <w:rPr>
          <w:rFonts w:ascii="Times New Roman" w:hAnsi="Times New Roman" w:cs="Times New Roman"/>
          <w:noProof/>
        </w:rPr>
        <w:t>privacy</w:t>
      </w:r>
      <w:r w:rsidR="009253A5" w:rsidRPr="00FE39AD">
        <w:rPr>
          <w:rFonts w:ascii="Times New Roman" w:hAnsi="Times New Roman" w:cs="Times New Roman"/>
          <w:noProof/>
        </w:rPr>
        <w:t xml:space="preserve"> assurance </w:t>
      </w:r>
      <w:r w:rsidR="00683F47">
        <w:rPr>
          <w:rFonts w:ascii="Times New Roman" w:hAnsi="Times New Roman" w:cs="Times New Roman"/>
          <w:noProof/>
        </w:rPr>
        <w:t xml:space="preserve">will occur </w:t>
      </w:r>
      <w:r w:rsidR="009253A5" w:rsidRPr="00FE39AD">
        <w:rPr>
          <w:rFonts w:ascii="Times New Roman" w:hAnsi="Times New Roman" w:cs="Times New Roman"/>
          <w:noProof/>
        </w:rPr>
        <w:t xml:space="preserve">during the </w:t>
      </w:r>
      <w:r w:rsidRPr="00FE39AD">
        <w:rPr>
          <w:rFonts w:ascii="Times New Roman" w:hAnsi="Times New Roman" w:cs="Times New Roman"/>
          <w:noProof/>
        </w:rPr>
        <w:t xml:space="preserve">facilitaed </w:t>
      </w:r>
      <w:r w:rsidR="009253A5" w:rsidRPr="00FE39AD">
        <w:rPr>
          <w:rFonts w:ascii="Times New Roman" w:hAnsi="Times New Roman" w:cs="Times New Roman"/>
          <w:noProof/>
        </w:rPr>
        <w:t>consent process</w:t>
      </w:r>
      <w:r w:rsidR="00683F47">
        <w:rPr>
          <w:rFonts w:ascii="Times New Roman" w:hAnsi="Times New Roman" w:cs="Times New Roman"/>
          <w:noProof/>
        </w:rPr>
        <w:t>.</w:t>
      </w:r>
      <w:r w:rsidR="009253A5" w:rsidRPr="00FE39AD">
        <w:rPr>
          <w:rFonts w:ascii="Times New Roman" w:hAnsi="Times New Roman" w:cs="Times New Roman"/>
          <w:noProof/>
        </w:rPr>
        <w:t xml:space="preserve"> </w:t>
      </w:r>
      <w:r w:rsidR="00683F47">
        <w:rPr>
          <w:rFonts w:ascii="Times New Roman" w:hAnsi="Times New Roman" w:cs="Times New Roman"/>
          <w:noProof/>
        </w:rPr>
        <w:t xml:space="preserve"> </w:t>
      </w:r>
      <w:r w:rsidRPr="00FE39AD">
        <w:rPr>
          <w:rFonts w:ascii="Times New Roman" w:eastAsia="Times New Roman" w:hAnsi="Times New Roman" w:cs="Times New Roman"/>
          <w:color w:val="000000"/>
        </w:rPr>
        <w:t>Included within the interview</w:t>
      </w:r>
      <w:r w:rsidR="00D87DF4">
        <w:rPr>
          <w:rFonts w:ascii="Times New Roman" w:eastAsia="Times New Roman" w:hAnsi="Times New Roman" w:cs="Times New Roman"/>
          <w:color w:val="000000"/>
        </w:rPr>
        <w:t xml:space="preserve"> guide </w:t>
      </w:r>
      <w:r w:rsidRPr="00FE39AD">
        <w:rPr>
          <w:rFonts w:ascii="Times New Roman" w:eastAsia="Times New Roman" w:hAnsi="Times New Roman" w:cs="Times New Roman"/>
          <w:color w:val="000000"/>
        </w:rPr>
        <w:t xml:space="preserve">administered by CSI interviewers is a statement that will be read to respondents that outlines the assurance to </w:t>
      </w:r>
      <w:r w:rsidR="005069DC">
        <w:rPr>
          <w:rFonts w:ascii="Times New Roman" w:hAnsi="Times New Roman" w:cs="Times New Roman"/>
          <w:noProof/>
        </w:rPr>
        <w:t>privacy</w:t>
      </w:r>
      <w:r w:rsidR="00E06BEE">
        <w:rPr>
          <w:rFonts w:ascii="Times New Roman" w:eastAsia="Times New Roman" w:hAnsi="Times New Roman" w:cs="Times New Roman"/>
          <w:color w:val="000000"/>
        </w:rPr>
        <w:t xml:space="preserve"> </w:t>
      </w:r>
      <w:r w:rsidR="00683F47" w:rsidRPr="00FE39AD">
        <w:rPr>
          <w:rFonts w:ascii="Times New Roman" w:hAnsi="Times New Roman" w:cs="Times New Roman"/>
          <w:noProof/>
        </w:rPr>
        <w:t>(</w:t>
      </w:r>
      <w:r w:rsidR="00E31CE2">
        <w:rPr>
          <w:rFonts w:ascii="Times New Roman" w:hAnsi="Times New Roman" w:cs="Times New Roman"/>
          <w:noProof/>
        </w:rPr>
        <w:t>s</w:t>
      </w:r>
      <w:r w:rsidR="00030389">
        <w:rPr>
          <w:rFonts w:ascii="Times New Roman" w:hAnsi="Times New Roman" w:cs="Times New Roman"/>
          <w:noProof/>
        </w:rPr>
        <w:t>ee Attachments</w:t>
      </w:r>
      <w:r w:rsidR="00C726D9">
        <w:rPr>
          <w:rFonts w:ascii="Times New Roman" w:hAnsi="Times New Roman" w:cs="Times New Roman"/>
          <w:noProof/>
        </w:rPr>
        <w:t xml:space="preserve"> 1-4</w:t>
      </w:r>
      <w:r w:rsidR="00683F47" w:rsidRPr="00FE39AD">
        <w:rPr>
          <w:rFonts w:ascii="Times New Roman" w:hAnsi="Times New Roman" w:cs="Times New Roman"/>
          <w:noProof/>
        </w:rPr>
        <w:t>).</w:t>
      </w:r>
      <w:r w:rsidR="00683F47">
        <w:rPr>
          <w:rFonts w:ascii="Times New Roman" w:hAnsi="Times New Roman" w:cs="Times New Roman"/>
          <w:noProof/>
        </w:rPr>
        <w:t xml:space="preserve">  </w:t>
      </w:r>
      <w:r w:rsidRPr="00FE39AD">
        <w:rPr>
          <w:rFonts w:ascii="Times New Roman" w:eastAsia="Times New Roman" w:hAnsi="Times New Roman" w:cs="Times New Roman"/>
          <w:color w:val="000000"/>
        </w:rPr>
        <w:t>The statement will read as follows</w:t>
      </w:r>
      <w:r w:rsidR="00E31CE2">
        <w:rPr>
          <w:rFonts w:ascii="Times New Roman" w:eastAsia="Times New Roman" w:hAnsi="Times New Roman" w:cs="Times New Roman"/>
          <w:color w:val="000000"/>
        </w:rPr>
        <w:t>:</w:t>
      </w:r>
      <w:r w:rsidRPr="00FE39AD">
        <w:rPr>
          <w:rFonts w:ascii="Times New Roman" w:eastAsia="Times New Roman" w:hAnsi="Times New Roman" w:cs="Times New Roman"/>
          <w:color w:val="000000"/>
        </w:rPr>
        <w:t xml:space="preserve"> </w:t>
      </w:r>
      <w:r w:rsidRPr="00FE39AD">
        <w:rPr>
          <w:rFonts w:ascii="Times New Roman" w:eastAsia="Times New Roman" w:hAnsi="Times New Roman" w:cs="Times New Roman"/>
          <w:i/>
          <w:color w:val="000000"/>
        </w:rPr>
        <w:t xml:space="preserve">The information you provide will be </w:t>
      </w:r>
      <w:r w:rsidR="005069DC">
        <w:rPr>
          <w:rFonts w:ascii="Times New Roman" w:eastAsia="Times New Roman" w:hAnsi="Times New Roman" w:cs="Times New Roman"/>
          <w:i/>
          <w:color w:val="000000"/>
        </w:rPr>
        <w:t>kept private</w:t>
      </w:r>
      <w:r w:rsidRPr="00FE39AD">
        <w:rPr>
          <w:rFonts w:ascii="Times New Roman" w:eastAsia="Times New Roman" w:hAnsi="Times New Roman" w:cs="Times New Roman"/>
          <w:i/>
          <w:color w:val="000000"/>
        </w:rPr>
        <w:t xml:space="preserve">, and will not be disclosed </w:t>
      </w:r>
      <w:r w:rsidR="009B5D54">
        <w:rPr>
          <w:rFonts w:ascii="Times New Roman" w:eastAsia="Times New Roman" w:hAnsi="Times New Roman" w:cs="Times New Roman"/>
          <w:i/>
          <w:color w:val="000000"/>
        </w:rPr>
        <w:t>to</w:t>
      </w:r>
      <w:r w:rsidRPr="00FE39AD">
        <w:rPr>
          <w:rFonts w:ascii="Times New Roman" w:eastAsia="Times New Roman" w:hAnsi="Times New Roman" w:cs="Times New Roman"/>
          <w:i/>
          <w:color w:val="000000"/>
        </w:rPr>
        <w:t xml:space="preserve"> anyone but the researchers conducting the study, except otherwise required by law</w:t>
      </w:r>
      <w:r w:rsidRPr="00FE39AD">
        <w:rPr>
          <w:rFonts w:ascii="Times New Roman" w:eastAsia="Times New Roman" w:hAnsi="Times New Roman" w:cs="Times New Roman"/>
          <w:color w:val="000000"/>
        </w:rPr>
        <w:t xml:space="preserve">.  </w:t>
      </w:r>
    </w:p>
    <w:p w:rsidR="009539E6" w:rsidRDefault="009539E6" w:rsidP="0046375B">
      <w:pPr>
        <w:rPr>
          <w:rFonts w:ascii="Times New Roman" w:hAnsi="Times New Roman" w:cs="Times New Roman"/>
          <w:noProof/>
        </w:rPr>
      </w:pPr>
    </w:p>
    <w:p w:rsidR="00A20CD3" w:rsidRPr="009539E6" w:rsidRDefault="00A20CD3" w:rsidP="009539E6">
      <w:pPr>
        <w:spacing w:line="480" w:lineRule="auto"/>
        <w:contextualSpacing/>
        <w:rPr>
          <w:rFonts w:ascii="Times New Roman" w:hAnsi="Times New Roman" w:cs="Times New Roman"/>
          <w:b/>
          <w:noProof/>
        </w:rPr>
      </w:pPr>
      <w:bookmarkStart w:id="15" w:name="A11"/>
      <w:r w:rsidRPr="009539E6">
        <w:rPr>
          <w:rFonts w:ascii="Times New Roman" w:hAnsi="Times New Roman" w:cs="Times New Roman"/>
          <w:b/>
          <w:noProof/>
        </w:rPr>
        <w:t>A.11</w:t>
      </w:r>
      <w:r w:rsidR="0046375B" w:rsidRPr="009539E6">
        <w:rPr>
          <w:rFonts w:ascii="Times New Roman" w:hAnsi="Times New Roman" w:cs="Times New Roman"/>
          <w:b/>
        </w:rPr>
        <w:t>.</w:t>
      </w:r>
      <w:r w:rsidR="00543E45" w:rsidRPr="009539E6">
        <w:rPr>
          <w:rFonts w:ascii="Times New Roman" w:hAnsi="Times New Roman" w:cs="Times New Roman"/>
          <w:b/>
        </w:rPr>
        <w:t xml:space="preserve"> </w:t>
      </w:r>
      <w:r w:rsidR="0046375B" w:rsidRPr="009539E6">
        <w:rPr>
          <w:rFonts w:ascii="Times New Roman" w:hAnsi="Times New Roman" w:cs="Times New Roman"/>
          <w:b/>
        </w:rPr>
        <w:t xml:space="preserve"> </w:t>
      </w:r>
      <w:r w:rsidRPr="009539E6">
        <w:rPr>
          <w:rFonts w:ascii="Times New Roman" w:hAnsi="Times New Roman" w:cs="Times New Roman"/>
          <w:b/>
          <w:noProof/>
        </w:rPr>
        <w:t>Justification for Sensitive Questions</w:t>
      </w:r>
    </w:p>
    <w:bookmarkEnd w:id="15"/>
    <w:p w:rsidR="00FE39AD" w:rsidRDefault="009539E6" w:rsidP="009539E6">
      <w:pPr>
        <w:spacing w:line="480" w:lineRule="auto"/>
        <w:contextualSpacing/>
        <w:rPr>
          <w:rFonts w:ascii="Times New Roman" w:hAnsi="Times New Roman" w:cs="Times New Roman"/>
          <w:noProof/>
        </w:rPr>
      </w:pPr>
      <w:r>
        <w:rPr>
          <w:rFonts w:ascii="Times New Roman" w:hAnsi="Times New Roman" w:cs="Times New Roman"/>
          <w:noProof/>
        </w:rPr>
        <w:lastRenderedPageBreak/>
        <w:t xml:space="preserve">No Personnally Identifyable Questions (PII) will be collected from respondents.  Questions of a sensitive nature, such as sexual behavior and attitudes, religious belifs, and other matters commonly considered private will NOT be collected.  </w:t>
      </w:r>
    </w:p>
    <w:p w:rsidR="009539E6" w:rsidRDefault="009539E6" w:rsidP="009539E6">
      <w:pPr>
        <w:spacing w:line="480" w:lineRule="auto"/>
        <w:contextualSpacing/>
        <w:rPr>
          <w:rFonts w:ascii="Times New Roman" w:hAnsi="Times New Roman" w:cs="Times New Roman"/>
          <w:noProof/>
        </w:rPr>
      </w:pPr>
    </w:p>
    <w:p w:rsidR="00A20CD3" w:rsidRPr="009539E6" w:rsidRDefault="00A20CD3" w:rsidP="009539E6">
      <w:pPr>
        <w:spacing w:line="480" w:lineRule="auto"/>
        <w:contextualSpacing/>
        <w:rPr>
          <w:rFonts w:ascii="Times New Roman" w:hAnsi="Times New Roman" w:cs="Times New Roman"/>
          <w:b/>
          <w:noProof/>
        </w:rPr>
      </w:pPr>
      <w:bookmarkStart w:id="16" w:name="A12"/>
      <w:r w:rsidRPr="009539E6">
        <w:rPr>
          <w:rFonts w:ascii="Times New Roman" w:hAnsi="Times New Roman" w:cs="Times New Roman"/>
          <w:b/>
          <w:noProof/>
        </w:rPr>
        <w:t>A.12</w:t>
      </w:r>
      <w:r w:rsidR="0046375B" w:rsidRPr="009539E6">
        <w:rPr>
          <w:rFonts w:ascii="Times New Roman" w:hAnsi="Times New Roman" w:cs="Times New Roman"/>
          <w:b/>
        </w:rPr>
        <w:t xml:space="preserve">. </w:t>
      </w:r>
      <w:r w:rsidR="00543E45" w:rsidRPr="009539E6">
        <w:rPr>
          <w:rFonts w:ascii="Times New Roman" w:hAnsi="Times New Roman" w:cs="Times New Roman"/>
          <w:b/>
        </w:rPr>
        <w:t xml:space="preserve"> </w:t>
      </w:r>
      <w:r w:rsidRPr="009539E6">
        <w:rPr>
          <w:rFonts w:ascii="Times New Roman" w:hAnsi="Times New Roman" w:cs="Times New Roman"/>
          <w:b/>
          <w:noProof/>
        </w:rPr>
        <w:t>Estimates of Hour Burden Including Annualized Hourly Costs</w:t>
      </w:r>
      <w:r w:rsidRPr="009539E6">
        <w:rPr>
          <w:rFonts w:ascii="Times New Roman" w:hAnsi="Times New Roman" w:cs="Times New Roman"/>
          <w:b/>
          <w:noProof/>
        </w:rPr>
        <w:tab/>
      </w:r>
    </w:p>
    <w:bookmarkEnd w:id="16"/>
    <w:p w:rsidR="00796E3F" w:rsidRDefault="00E31CE2" w:rsidP="009539E6">
      <w:pPr>
        <w:spacing w:line="480" w:lineRule="auto"/>
        <w:contextualSpacing/>
        <w:rPr>
          <w:rFonts w:ascii="Times New Roman" w:hAnsi="Times New Roman" w:cs="Times New Roman"/>
          <w:noProof/>
        </w:rPr>
      </w:pPr>
      <w:r>
        <w:rPr>
          <w:rFonts w:ascii="Times New Roman" w:hAnsi="Times New Roman" w:cs="Times New Roman"/>
          <w:noProof/>
        </w:rPr>
        <w:t xml:space="preserve">Table </w:t>
      </w:r>
      <w:r w:rsidR="003C2FC1">
        <w:rPr>
          <w:rFonts w:ascii="Times New Roman" w:hAnsi="Times New Roman" w:cs="Times New Roman"/>
          <w:noProof/>
        </w:rPr>
        <w:t>12-1</w:t>
      </w:r>
      <w:r w:rsidR="00A47A2B">
        <w:rPr>
          <w:rFonts w:ascii="Times New Roman" w:hAnsi="Times New Roman" w:cs="Times New Roman"/>
          <w:noProof/>
        </w:rPr>
        <w:t xml:space="preserve"> includes the</w:t>
      </w:r>
      <w:r w:rsidR="00A47A2B" w:rsidRPr="00A47A2B">
        <w:t xml:space="preserve"> </w:t>
      </w:r>
      <w:r w:rsidR="00A47A2B" w:rsidRPr="00A47A2B">
        <w:rPr>
          <w:rFonts w:ascii="Times New Roman" w:hAnsi="Times New Roman" w:cs="Times New Roman"/>
          <w:noProof/>
        </w:rPr>
        <w:t xml:space="preserve">the number of respondents, frequency of response, </w:t>
      </w:r>
      <w:r w:rsidR="00A47A2B">
        <w:rPr>
          <w:rFonts w:ascii="Times New Roman" w:hAnsi="Times New Roman" w:cs="Times New Roman"/>
          <w:noProof/>
        </w:rPr>
        <w:t>the average tim</w:t>
      </w:r>
      <w:r>
        <w:rPr>
          <w:rFonts w:ascii="Times New Roman" w:hAnsi="Times New Roman" w:cs="Times New Roman"/>
          <w:noProof/>
        </w:rPr>
        <w:t>e</w:t>
      </w:r>
      <w:r w:rsidR="00A47A2B">
        <w:rPr>
          <w:rFonts w:ascii="Times New Roman" w:hAnsi="Times New Roman" w:cs="Times New Roman"/>
          <w:noProof/>
        </w:rPr>
        <w:t xml:space="preserve"> per response, and the </w:t>
      </w:r>
      <w:r w:rsidR="00A47A2B" w:rsidRPr="00A47A2B">
        <w:rPr>
          <w:rFonts w:ascii="Times New Roman" w:hAnsi="Times New Roman" w:cs="Times New Roman"/>
          <w:noProof/>
        </w:rPr>
        <w:t>annual hour burden</w:t>
      </w:r>
      <w:r w:rsidR="00A47A2B">
        <w:rPr>
          <w:rFonts w:ascii="Times New Roman" w:hAnsi="Times New Roman" w:cs="Times New Roman"/>
          <w:noProof/>
        </w:rPr>
        <w:t xml:space="preserve">.  The annual burden is based on the estimated average time of response for each interview, in this case approximatelry 50 minutes (.85 of an hour) mutiplied by the number of respondents across groups.  </w:t>
      </w:r>
      <w:r w:rsidR="009539E6">
        <w:rPr>
          <w:rFonts w:ascii="Times New Roman" w:hAnsi="Times New Roman" w:cs="Times New Roman"/>
          <w:noProof/>
        </w:rPr>
        <w:t xml:space="preserve">Bescause CSI will be using a semi-structuted interview guide with slight </w:t>
      </w:r>
      <w:r w:rsidR="00E538DF">
        <w:rPr>
          <w:rFonts w:ascii="Times New Roman" w:hAnsi="Times New Roman" w:cs="Times New Roman"/>
          <w:noProof/>
        </w:rPr>
        <w:t>adjustments</w:t>
      </w:r>
      <w:r w:rsidR="009539E6">
        <w:rPr>
          <w:rFonts w:ascii="Times New Roman" w:hAnsi="Times New Roman" w:cs="Times New Roman"/>
          <w:noProof/>
        </w:rPr>
        <w:t xml:space="preserve"> and tailoring of </w:t>
      </w:r>
      <w:r w:rsidR="00E538DF">
        <w:rPr>
          <w:rFonts w:ascii="Times New Roman" w:hAnsi="Times New Roman" w:cs="Times New Roman"/>
          <w:noProof/>
        </w:rPr>
        <w:t>questions</w:t>
      </w:r>
      <w:r w:rsidR="009539E6">
        <w:rPr>
          <w:rFonts w:ascii="Times New Roman" w:hAnsi="Times New Roman" w:cs="Times New Roman"/>
          <w:noProof/>
        </w:rPr>
        <w:t>, average time per response is not expected to vary.</w:t>
      </w:r>
      <w:r w:rsidR="00A47A2B">
        <w:rPr>
          <w:rFonts w:ascii="Times New Roman" w:hAnsi="Times New Roman" w:cs="Times New Roman"/>
          <w:noProof/>
        </w:rPr>
        <w:t xml:space="preserve">  Respondents are expected to only need to respond to a single interview; multiple interviws are not expected or required.</w:t>
      </w:r>
      <w:r w:rsidR="00D937CB">
        <w:rPr>
          <w:rFonts w:ascii="Times New Roman" w:hAnsi="Times New Roman" w:cs="Times New Roman"/>
          <w:noProof/>
        </w:rPr>
        <w:t xml:space="preserve">  NIH staff are not included in the participant burden.  Total burden hours are estimated to be 17.</w:t>
      </w:r>
    </w:p>
    <w:p w:rsidR="00A47A2B" w:rsidRDefault="00A47A2B" w:rsidP="009539E6">
      <w:pPr>
        <w:spacing w:line="480" w:lineRule="auto"/>
        <w:contextualSpacing/>
        <w:rPr>
          <w:rFonts w:ascii="Times New Roman" w:hAnsi="Times New Roman" w:cs="Times New Roman"/>
          <w:noProof/>
        </w:rPr>
      </w:pPr>
    </w:p>
    <w:p w:rsidR="00796E3F" w:rsidRPr="00A47A2B" w:rsidRDefault="00A47A2B" w:rsidP="00796E3F">
      <w:pPr>
        <w:spacing w:line="240" w:lineRule="auto"/>
        <w:contextualSpacing/>
        <w:rPr>
          <w:rFonts w:ascii="Times New Roman" w:hAnsi="Times New Roman" w:cs="Times New Roman"/>
          <w:b/>
          <w:noProof/>
        </w:rPr>
      </w:pPr>
      <w:r w:rsidRPr="00A47A2B">
        <w:rPr>
          <w:rFonts w:ascii="Times New Roman" w:hAnsi="Times New Roman" w:cs="Times New Roman"/>
          <w:b/>
          <w:noProof/>
        </w:rPr>
        <w:t xml:space="preserve">Table </w:t>
      </w:r>
      <w:r w:rsidR="003C2FC1">
        <w:rPr>
          <w:rFonts w:ascii="Times New Roman" w:hAnsi="Times New Roman" w:cs="Times New Roman"/>
          <w:b/>
          <w:noProof/>
        </w:rPr>
        <w:t>12-1</w:t>
      </w:r>
      <w:r w:rsidRPr="00A47A2B">
        <w:rPr>
          <w:rFonts w:ascii="Times New Roman" w:hAnsi="Times New Roman" w:cs="Times New Roman"/>
          <w:b/>
          <w:noProof/>
        </w:rPr>
        <w:t xml:space="preserve"> Estimates of Hour B</w:t>
      </w:r>
      <w:r w:rsidR="00796E3F" w:rsidRPr="00A47A2B">
        <w:rPr>
          <w:rFonts w:ascii="Times New Roman" w:hAnsi="Times New Roman" w:cs="Times New Roman"/>
          <w:b/>
          <w:noProof/>
        </w:rPr>
        <w:t>urden</w:t>
      </w:r>
    </w:p>
    <w:tbl>
      <w:tblPr>
        <w:tblStyle w:val="TableGrid"/>
        <w:tblW w:w="0" w:type="auto"/>
        <w:tblInd w:w="108" w:type="dxa"/>
        <w:tblLook w:val="04A0" w:firstRow="1" w:lastRow="0" w:firstColumn="1" w:lastColumn="0" w:noHBand="0" w:noVBand="1"/>
      </w:tblPr>
      <w:tblGrid>
        <w:gridCol w:w="2070"/>
        <w:gridCol w:w="1380"/>
        <w:gridCol w:w="1502"/>
        <w:gridCol w:w="1549"/>
        <w:gridCol w:w="1460"/>
        <w:gridCol w:w="1507"/>
      </w:tblGrid>
      <w:tr w:rsidR="00892A88" w:rsidTr="00892A88">
        <w:tc>
          <w:tcPr>
            <w:tcW w:w="2070" w:type="dxa"/>
          </w:tcPr>
          <w:p w:rsidR="00892A88" w:rsidRDefault="00892A88" w:rsidP="0046375B">
            <w:pPr>
              <w:rPr>
                <w:rFonts w:ascii="Times New Roman" w:hAnsi="Times New Roman" w:cs="Times New Roman"/>
                <w:noProof/>
              </w:rPr>
            </w:pPr>
          </w:p>
          <w:p w:rsidR="00892A88" w:rsidRDefault="00892A88" w:rsidP="0046375B">
            <w:pPr>
              <w:rPr>
                <w:rFonts w:ascii="Times New Roman" w:hAnsi="Times New Roman" w:cs="Times New Roman"/>
                <w:noProof/>
              </w:rPr>
            </w:pPr>
            <w:r>
              <w:rPr>
                <w:rFonts w:ascii="Times New Roman" w:hAnsi="Times New Roman" w:cs="Times New Roman"/>
                <w:noProof/>
              </w:rPr>
              <w:t>Form</w:t>
            </w:r>
          </w:p>
        </w:tc>
        <w:tc>
          <w:tcPr>
            <w:tcW w:w="1380" w:type="dxa"/>
          </w:tcPr>
          <w:p w:rsidR="00892A88" w:rsidRDefault="00892A88" w:rsidP="0046375B">
            <w:pPr>
              <w:rPr>
                <w:rFonts w:ascii="Times New Roman" w:hAnsi="Times New Roman" w:cs="Times New Roman"/>
                <w:noProof/>
              </w:rPr>
            </w:pPr>
            <w:r>
              <w:rPr>
                <w:rFonts w:ascii="Times New Roman" w:hAnsi="Times New Roman" w:cs="Times New Roman"/>
                <w:noProof/>
              </w:rPr>
              <w:t>Type of Respondents</w:t>
            </w:r>
          </w:p>
        </w:tc>
        <w:tc>
          <w:tcPr>
            <w:tcW w:w="1502" w:type="dxa"/>
          </w:tcPr>
          <w:p w:rsidR="00892A88" w:rsidRDefault="00892A88" w:rsidP="00796E3F">
            <w:pPr>
              <w:jc w:val="center"/>
              <w:rPr>
                <w:rFonts w:ascii="Times New Roman" w:hAnsi="Times New Roman" w:cs="Times New Roman"/>
                <w:noProof/>
              </w:rPr>
            </w:pPr>
            <w:r>
              <w:rPr>
                <w:rFonts w:ascii="Times New Roman" w:hAnsi="Times New Roman" w:cs="Times New Roman"/>
                <w:noProof/>
              </w:rPr>
              <w:t>Number of Respondents</w:t>
            </w:r>
          </w:p>
        </w:tc>
        <w:tc>
          <w:tcPr>
            <w:tcW w:w="1549" w:type="dxa"/>
          </w:tcPr>
          <w:p w:rsidR="00892A88" w:rsidRDefault="00892A88" w:rsidP="00796E3F">
            <w:pPr>
              <w:jc w:val="center"/>
              <w:rPr>
                <w:rFonts w:ascii="Times New Roman" w:hAnsi="Times New Roman" w:cs="Times New Roman"/>
                <w:noProof/>
              </w:rPr>
            </w:pPr>
            <w:r>
              <w:rPr>
                <w:rFonts w:ascii="Times New Roman" w:hAnsi="Times New Roman" w:cs="Times New Roman"/>
                <w:noProof/>
              </w:rPr>
              <w:t>Frequency of Response</w:t>
            </w:r>
          </w:p>
        </w:tc>
        <w:tc>
          <w:tcPr>
            <w:tcW w:w="1460" w:type="dxa"/>
          </w:tcPr>
          <w:p w:rsidR="00892A88" w:rsidRDefault="00892A88" w:rsidP="00796E3F">
            <w:pPr>
              <w:jc w:val="center"/>
              <w:rPr>
                <w:rFonts w:ascii="Times New Roman" w:hAnsi="Times New Roman" w:cs="Times New Roman"/>
                <w:noProof/>
              </w:rPr>
            </w:pPr>
            <w:r>
              <w:rPr>
                <w:rFonts w:ascii="Times New Roman" w:hAnsi="Times New Roman" w:cs="Times New Roman"/>
                <w:noProof/>
              </w:rPr>
              <w:t>Average Time per Response</w:t>
            </w:r>
          </w:p>
        </w:tc>
        <w:tc>
          <w:tcPr>
            <w:tcW w:w="1507" w:type="dxa"/>
          </w:tcPr>
          <w:p w:rsidR="00892A88" w:rsidRDefault="00892A88" w:rsidP="00796E3F">
            <w:pPr>
              <w:jc w:val="center"/>
              <w:rPr>
                <w:rFonts w:ascii="Times New Roman" w:hAnsi="Times New Roman" w:cs="Times New Roman"/>
                <w:noProof/>
              </w:rPr>
            </w:pPr>
            <w:r>
              <w:rPr>
                <w:rFonts w:ascii="Times New Roman" w:hAnsi="Times New Roman" w:cs="Times New Roman"/>
                <w:noProof/>
              </w:rPr>
              <w:t>Annual Hour Burden</w:t>
            </w:r>
          </w:p>
        </w:tc>
      </w:tr>
      <w:tr w:rsidR="00892A88" w:rsidTr="00892A88">
        <w:tc>
          <w:tcPr>
            <w:tcW w:w="2070" w:type="dxa"/>
          </w:tcPr>
          <w:p w:rsidR="00892A88" w:rsidRDefault="00892A88" w:rsidP="00796E3F">
            <w:pPr>
              <w:contextualSpacing/>
              <w:rPr>
                <w:rFonts w:ascii="Times New Roman" w:hAnsi="Times New Roman" w:cs="Times New Roman"/>
              </w:rPr>
            </w:pPr>
            <w:r w:rsidRPr="00892A88">
              <w:rPr>
                <w:rFonts w:ascii="Times New Roman" w:hAnsi="Times New Roman" w:cs="Times New Roman"/>
              </w:rPr>
              <w:t>Interview Guide – Principle Investigators &amp; Key Personnel</w:t>
            </w:r>
          </w:p>
        </w:tc>
        <w:tc>
          <w:tcPr>
            <w:tcW w:w="1380" w:type="dxa"/>
          </w:tcPr>
          <w:p w:rsidR="00892A88" w:rsidRDefault="00892A88" w:rsidP="00796E3F">
            <w:pPr>
              <w:contextualSpacing/>
              <w:rPr>
                <w:rFonts w:ascii="Times New Roman" w:hAnsi="Times New Roman" w:cs="Times New Roman"/>
              </w:rPr>
            </w:pPr>
            <w:r>
              <w:rPr>
                <w:rFonts w:ascii="Times New Roman" w:hAnsi="Times New Roman" w:cs="Times New Roman"/>
              </w:rPr>
              <w:t>P</w:t>
            </w:r>
            <w:r w:rsidRPr="00D74BBF">
              <w:rPr>
                <w:rFonts w:ascii="Times New Roman" w:hAnsi="Times New Roman" w:cs="Times New Roman"/>
              </w:rPr>
              <w:t xml:space="preserve">rincipal investigators and key personnel </w:t>
            </w:r>
          </w:p>
        </w:tc>
        <w:tc>
          <w:tcPr>
            <w:tcW w:w="1502" w:type="dxa"/>
            <w:vAlign w:val="center"/>
          </w:tcPr>
          <w:p w:rsidR="00892A88" w:rsidRPr="00057AA9" w:rsidRDefault="00892A88" w:rsidP="00796E3F">
            <w:pPr>
              <w:jc w:val="center"/>
              <w:rPr>
                <w:rFonts w:ascii="Times New Roman" w:hAnsi="Times New Roman" w:cs="Times New Roman"/>
                <w:noProof/>
              </w:rPr>
            </w:pPr>
            <w:r w:rsidRPr="00057AA9">
              <w:rPr>
                <w:rFonts w:ascii="Times New Roman" w:hAnsi="Times New Roman" w:cs="Times New Roman"/>
                <w:noProof/>
              </w:rPr>
              <w:t>27</w:t>
            </w:r>
          </w:p>
        </w:tc>
        <w:tc>
          <w:tcPr>
            <w:tcW w:w="1549" w:type="dxa"/>
            <w:vAlign w:val="center"/>
          </w:tcPr>
          <w:p w:rsidR="00892A88" w:rsidRDefault="00892A88" w:rsidP="00796E3F">
            <w:pPr>
              <w:jc w:val="center"/>
              <w:rPr>
                <w:rFonts w:ascii="Times New Roman" w:hAnsi="Times New Roman" w:cs="Times New Roman"/>
                <w:noProof/>
              </w:rPr>
            </w:pPr>
            <w:r>
              <w:rPr>
                <w:rFonts w:ascii="Times New Roman" w:hAnsi="Times New Roman" w:cs="Times New Roman"/>
                <w:noProof/>
              </w:rPr>
              <w:t>1</w:t>
            </w:r>
          </w:p>
        </w:tc>
        <w:tc>
          <w:tcPr>
            <w:tcW w:w="1460" w:type="dxa"/>
            <w:vAlign w:val="center"/>
          </w:tcPr>
          <w:p w:rsidR="00892A88" w:rsidRDefault="00892A88" w:rsidP="00796E3F">
            <w:pPr>
              <w:jc w:val="center"/>
              <w:rPr>
                <w:rFonts w:ascii="Times New Roman" w:hAnsi="Times New Roman" w:cs="Times New Roman"/>
                <w:noProof/>
              </w:rPr>
            </w:pPr>
            <w:r w:rsidRPr="006916CB">
              <w:rPr>
                <w:rFonts w:ascii="Times New Roman" w:hAnsi="Times New Roman" w:cs="Times New Roman"/>
                <w:noProof/>
              </w:rPr>
              <w:t>50/60</w:t>
            </w:r>
          </w:p>
        </w:tc>
        <w:tc>
          <w:tcPr>
            <w:tcW w:w="1507" w:type="dxa"/>
            <w:vAlign w:val="center"/>
          </w:tcPr>
          <w:p w:rsidR="00892A88" w:rsidRDefault="00892A88" w:rsidP="00892A88">
            <w:pPr>
              <w:jc w:val="center"/>
              <w:rPr>
                <w:rFonts w:ascii="Times New Roman" w:hAnsi="Times New Roman" w:cs="Times New Roman"/>
                <w:noProof/>
              </w:rPr>
            </w:pPr>
            <w:r>
              <w:rPr>
                <w:rFonts w:ascii="Times New Roman" w:hAnsi="Times New Roman" w:cs="Times New Roman"/>
                <w:noProof/>
              </w:rPr>
              <w:t>23</w:t>
            </w:r>
          </w:p>
        </w:tc>
      </w:tr>
      <w:tr w:rsidR="00892A88" w:rsidTr="00892A88">
        <w:tc>
          <w:tcPr>
            <w:tcW w:w="2070" w:type="dxa"/>
          </w:tcPr>
          <w:p w:rsidR="00892A88" w:rsidRDefault="00892A88" w:rsidP="00796E3F">
            <w:pPr>
              <w:contextualSpacing/>
              <w:rPr>
                <w:rFonts w:ascii="Times New Roman" w:hAnsi="Times New Roman" w:cs="Times New Roman"/>
              </w:rPr>
            </w:pPr>
            <w:r w:rsidRPr="00892A88">
              <w:rPr>
                <w:rFonts w:ascii="Times New Roman" w:hAnsi="Times New Roman" w:cs="Times New Roman"/>
              </w:rPr>
              <w:t>Interview Guide – External Investigators</w:t>
            </w:r>
          </w:p>
        </w:tc>
        <w:tc>
          <w:tcPr>
            <w:tcW w:w="1380" w:type="dxa"/>
          </w:tcPr>
          <w:p w:rsidR="00892A88" w:rsidRDefault="00892A88" w:rsidP="00796E3F">
            <w:pPr>
              <w:contextualSpacing/>
              <w:rPr>
                <w:rFonts w:ascii="Times New Roman" w:hAnsi="Times New Roman" w:cs="Times New Roman"/>
              </w:rPr>
            </w:pPr>
            <w:r>
              <w:rPr>
                <w:rFonts w:ascii="Times New Roman" w:hAnsi="Times New Roman" w:cs="Times New Roman"/>
              </w:rPr>
              <w:t>E</w:t>
            </w:r>
            <w:r w:rsidRPr="00D74BBF">
              <w:rPr>
                <w:rFonts w:ascii="Times New Roman" w:hAnsi="Times New Roman" w:cs="Times New Roman"/>
              </w:rPr>
              <w:t xml:space="preserve">xternal </w:t>
            </w:r>
            <w:r>
              <w:rPr>
                <w:rFonts w:ascii="Times New Roman" w:hAnsi="Times New Roman" w:cs="Times New Roman"/>
              </w:rPr>
              <w:t>P</w:t>
            </w:r>
            <w:r w:rsidRPr="00D74BBF">
              <w:rPr>
                <w:rFonts w:ascii="Times New Roman" w:hAnsi="Times New Roman" w:cs="Times New Roman"/>
              </w:rPr>
              <w:t>roteomics investigators</w:t>
            </w:r>
            <w:r>
              <w:rPr>
                <w:rFonts w:ascii="Times New Roman" w:hAnsi="Times New Roman" w:cs="Times New Roman"/>
              </w:rPr>
              <w:t xml:space="preserve"> </w:t>
            </w:r>
          </w:p>
        </w:tc>
        <w:tc>
          <w:tcPr>
            <w:tcW w:w="1502" w:type="dxa"/>
            <w:vAlign w:val="center"/>
          </w:tcPr>
          <w:p w:rsidR="00892A88" w:rsidRPr="00057AA9" w:rsidRDefault="00892A88" w:rsidP="00796E3F">
            <w:pPr>
              <w:jc w:val="center"/>
              <w:rPr>
                <w:rFonts w:ascii="Times New Roman" w:hAnsi="Times New Roman" w:cs="Times New Roman"/>
                <w:noProof/>
              </w:rPr>
            </w:pPr>
            <w:r w:rsidRPr="00057AA9">
              <w:rPr>
                <w:rFonts w:ascii="Times New Roman" w:hAnsi="Times New Roman" w:cs="Times New Roman"/>
                <w:noProof/>
              </w:rPr>
              <w:t>9</w:t>
            </w:r>
          </w:p>
        </w:tc>
        <w:tc>
          <w:tcPr>
            <w:tcW w:w="1549" w:type="dxa"/>
            <w:vAlign w:val="center"/>
          </w:tcPr>
          <w:p w:rsidR="00892A88" w:rsidRDefault="00892A88" w:rsidP="00796E3F">
            <w:pPr>
              <w:jc w:val="center"/>
              <w:rPr>
                <w:rFonts w:ascii="Times New Roman" w:hAnsi="Times New Roman" w:cs="Times New Roman"/>
                <w:noProof/>
              </w:rPr>
            </w:pPr>
            <w:r>
              <w:rPr>
                <w:rFonts w:ascii="Times New Roman" w:hAnsi="Times New Roman" w:cs="Times New Roman"/>
                <w:noProof/>
              </w:rPr>
              <w:t>1</w:t>
            </w:r>
          </w:p>
        </w:tc>
        <w:tc>
          <w:tcPr>
            <w:tcW w:w="1460" w:type="dxa"/>
            <w:vAlign w:val="center"/>
          </w:tcPr>
          <w:p w:rsidR="00892A88" w:rsidRDefault="00892A88" w:rsidP="00796E3F">
            <w:pPr>
              <w:jc w:val="center"/>
            </w:pPr>
            <w:r w:rsidRPr="006916CB">
              <w:rPr>
                <w:rFonts w:ascii="Times New Roman" w:hAnsi="Times New Roman" w:cs="Times New Roman"/>
                <w:noProof/>
              </w:rPr>
              <w:t>50/60</w:t>
            </w:r>
          </w:p>
        </w:tc>
        <w:tc>
          <w:tcPr>
            <w:tcW w:w="1507" w:type="dxa"/>
            <w:vAlign w:val="center"/>
          </w:tcPr>
          <w:p w:rsidR="00892A88" w:rsidRDefault="00892A88" w:rsidP="00892A88">
            <w:pPr>
              <w:jc w:val="center"/>
              <w:rPr>
                <w:rFonts w:ascii="Times New Roman" w:hAnsi="Times New Roman" w:cs="Times New Roman"/>
                <w:noProof/>
              </w:rPr>
            </w:pPr>
            <w:r>
              <w:rPr>
                <w:rFonts w:ascii="Times New Roman" w:hAnsi="Times New Roman" w:cs="Times New Roman"/>
                <w:noProof/>
              </w:rPr>
              <w:t>8</w:t>
            </w:r>
          </w:p>
        </w:tc>
      </w:tr>
      <w:tr w:rsidR="00892A88" w:rsidTr="00892A88">
        <w:tc>
          <w:tcPr>
            <w:tcW w:w="2070" w:type="dxa"/>
          </w:tcPr>
          <w:p w:rsidR="00892A88" w:rsidRDefault="00892A88" w:rsidP="00796E3F">
            <w:pPr>
              <w:contextualSpacing/>
              <w:rPr>
                <w:rFonts w:ascii="Times New Roman" w:hAnsi="Times New Roman" w:cs="Times New Roman"/>
              </w:rPr>
            </w:pPr>
            <w:r w:rsidRPr="00892A88">
              <w:rPr>
                <w:rFonts w:ascii="Times New Roman" w:hAnsi="Times New Roman" w:cs="Times New Roman"/>
              </w:rPr>
              <w:t>Interview Guide – Trainees and Junior Investigators</w:t>
            </w:r>
          </w:p>
        </w:tc>
        <w:tc>
          <w:tcPr>
            <w:tcW w:w="1380" w:type="dxa"/>
          </w:tcPr>
          <w:p w:rsidR="00892A88" w:rsidRDefault="00892A88" w:rsidP="00796E3F">
            <w:pPr>
              <w:contextualSpacing/>
              <w:rPr>
                <w:rFonts w:ascii="Times New Roman" w:hAnsi="Times New Roman" w:cs="Times New Roman"/>
              </w:rPr>
            </w:pPr>
            <w:r>
              <w:rPr>
                <w:rFonts w:ascii="Times New Roman" w:hAnsi="Times New Roman" w:cs="Times New Roman"/>
              </w:rPr>
              <w:t>T</w:t>
            </w:r>
            <w:r w:rsidRPr="00D74BBF">
              <w:rPr>
                <w:rFonts w:ascii="Times New Roman" w:hAnsi="Times New Roman" w:cs="Times New Roman"/>
              </w:rPr>
              <w:t>rainees and junior investigators</w:t>
            </w:r>
          </w:p>
        </w:tc>
        <w:tc>
          <w:tcPr>
            <w:tcW w:w="1502" w:type="dxa"/>
            <w:vAlign w:val="center"/>
          </w:tcPr>
          <w:p w:rsidR="00892A88" w:rsidRPr="00057AA9" w:rsidRDefault="00892A88" w:rsidP="00796E3F">
            <w:pPr>
              <w:jc w:val="center"/>
              <w:rPr>
                <w:rFonts w:ascii="Times New Roman" w:hAnsi="Times New Roman" w:cs="Times New Roman"/>
                <w:noProof/>
              </w:rPr>
            </w:pPr>
            <w:r w:rsidRPr="00057AA9">
              <w:rPr>
                <w:rFonts w:ascii="Times New Roman" w:hAnsi="Times New Roman" w:cs="Times New Roman"/>
                <w:noProof/>
              </w:rPr>
              <w:t>20</w:t>
            </w:r>
          </w:p>
        </w:tc>
        <w:tc>
          <w:tcPr>
            <w:tcW w:w="1549" w:type="dxa"/>
            <w:vAlign w:val="center"/>
          </w:tcPr>
          <w:p w:rsidR="00892A88" w:rsidRDefault="00892A88" w:rsidP="00796E3F">
            <w:pPr>
              <w:jc w:val="center"/>
              <w:rPr>
                <w:rFonts w:ascii="Times New Roman" w:hAnsi="Times New Roman" w:cs="Times New Roman"/>
                <w:noProof/>
              </w:rPr>
            </w:pPr>
            <w:r>
              <w:rPr>
                <w:rFonts w:ascii="Times New Roman" w:hAnsi="Times New Roman" w:cs="Times New Roman"/>
                <w:noProof/>
              </w:rPr>
              <w:t>1</w:t>
            </w:r>
          </w:p>
        </w:tc>
        <w:tc>
          <w:tcPr>
            <w:tcW w:w="1460" w:type="dxa"/>
            <w:vAlign w:val="center"/>
          </w:tcPr>
          <w:p w:rsidR="00892A88" w:rsidRDefault="00892A88" w:rsidP="00796E3F">
            <w:pPr>
              <w:jc w:val="center"/>
            </w:pPr>
            <w:r w:rsidRPr="006916CB">
              <w:rPr>
                <w:rFonts w:ascii="Times New Roman" w:hAnsi="Times New Roman" w:cs="Times New Roman"/>
                <w:noProof/>
              </w:rPr>
              <w:t>50/60</w:t>
            </w:r>
          </w:p>
        </w:tc>
        <w:tc>
          <w:tcPr>
            <w:tcW w:w="1507" w:type="dxa"/>
            <w:vAlign w:val="center"/>
          </w:tcPr>
          <w:p w:rsidR="00892A88" w:rsidRDefault="00892A88" w:rsidP="00892A88">
            <w:pPr>
              <w:jc w:val="center"/>
              <w:rPr>
                <w:rFonts w:ascii="Times New Roman" w:hAnsi="Times New Roman" w:cs="Times New Roman"/>
                <w:noProof/>
              </w:rPr>
            </w:pPr>
            <w:r>
              <w:rPr>
                <w:rFonts w:ascii="Times New Roman" w:hAnsi="Times New Roman" w:cs="Times New Roman"/>
                <w:noProof/>
              </w:rPr>
              <w:t>17</w:t>
            </w:r>
          </w:p>
        </w:tc>
      </w:tr>
    </w:tbl>
    <w:p w:rsidR="00796E3F" w:rsidRDefault="00796E3F" w:rsidP="00A47A2B">
      <w:pPr>
        <w:spacing w:line="480" w:lineRule="auto"/>
        <w:contextualSpacing/>
        <w:rPr>
          <w:rFonts w:ascii="Times New Roman" w:hAnsi="Times New Roman" w:cs="Times New Roman"/>
          <w:noProof/>
        </w:rPr>
      </w:pPr>
    </w:p>
    <w:p w:rsidR="008B3A30" w:rsidRDefault="00A47A2B" w:rsidP="00A47A2B">
      <w:pPr>
        <w:spacing w:line="480" w:lineRule="auto"/>
        <w:contextualSpacing/>
        <w:rPr>
          <w:rFonts w:ascii="Times New Roman" w:hAnsi="Times New Roman" w:cs="Times New Roman"/>
          <w:noProof/>
        </w:rPr>
      </w:pPr>
      <w:r>
        <w:rPr>
          <w:rFonts w:ascii="Times New Roman" w:hAnsi="Times New Roman" w:cs="Times New Roman"/>
          <w:noProof/>
        </w:rPr>
        <w:t xml:space="preserve">Table </w:t>
      </w:r>
      <w:r w:rsidR="003C2FC1">
        <w:rPr>
          <w:rFonts w:ascii="Times New Roman" w:hAnsi="Times New Roman" w:cs="Times New Roman"/>
          <w:noProof/>
        </w:rPr>
        <w:t>12-2</w:t>
      </w:r>
      <w:r>
        <w:rPr>
          <w:rFonts w:ascii="Times New Roman" w:hAnsi="Times New Roman" w:cs="Times New Roman"/>
          <w:noProof/>
        </w:rPr>
        <w:t xml:space="preserve"> below displays the </w:t>
      </w:r>
      <w:r w:rsidRPr="00A47A2B">
        <w:rPr>
          <w:rFonts w:ascii="Times New Roman" w:hAnsi="Times New Roman" w:cs="Times New Roman"/>
          <w:noProof/>
        </w:rPr>
        <w:t xml:space="preserve">estimates of annualized cost to respondents for the hour burdens for collections of information, identifying and using appropriate wage rate categories.  </w:t>
      </w:r>
      <w:r>
        <w:rPr>
          <w:rFonts w:ascii="Times New Roman" w:hAnsi="Times New Roman" w:cs="Times New Roman"/>
          <w:noProof/>
        </w:rPr>
        <w:t xml:space="preserve">Based upon estimates of hour burden from Table </w:t>
      </w:r>
      <w:r w:rsidR="003C2FC1">
        <w:rPr>
          <w:rFonts w:ascii="Times New Roman" w:hAnsi="Times New Roman" w:cs="Times New Roman"/>
          <w:noProof/>
        </w:rPr>
        <w:t>12-1</w:t>
      </w:r>
      <w:r>
        <w:rPr>
          <w:rFonts w:ascii="Times New Roman" w:hAnsi="Times New Roman" w:cs="Times New Roman"/>
          <w:noProof/>
        </w:rPr>
        <w:t xml:space="preserve"> above, respondent costs have been caluulated using prevailing hourly wage rates (estimated) for the type of respondents. </w:t>
      </w:r>
    </w:p>
    <w:p w:rsidR="00A47A2B" w:rsidRDefault="00A47A2B" w:rsidP="008B3A30">
      <w:pPr>
        <w:spacing w:line="240" w:lineRule="auto"/>
        <w:contextualSpacing/>
        <w:rPr>
          <w:rFonts w:ascii="Times New Roman" w:hAnsi="Times New Roman" w:cs="Times New Roman"/>
          <w:noProof/>
        </w:rPr>
      </w:pPr>
      <w:bookmarkStart w:id="17" w:name="Table4"/>
    </w:p>
    <w:p w:rsidR="008B3A30" w:rsidRDefault="008B3A30" w:rsidP="008B3A30">
      <w:pPr>
        <w:spacing w:line="240" w:lineRule="auto"/>
        <w:contextualSpacing/>
        <w:rPr>
          <w:rFonts w:ascii="Times New Roman" w:hAnsi="Times New Roman" w:cs="Times New Roman"/>
          <w:b/>
          <w:noProof/>
        </w:rPr>
      </w:pPr>
      <w:r w:rsidRPr="00A47A2B">
        <w:rPr>
          <w:rFonts w:ascii="Times New Roman" w:hAnsi="Times New Roman" w:cs="Times New Roman"/>
          <w:b/>
          <w:noProof/>
        </w:rPr>
        <w:lastRenderedPageBreak/>
        <w:t xml:space="preserve">Table </w:t>
      </w:r>
      <w:r w:rsidR="003C2FC1">
        <w:rPr>
          <w:rFonts w:ascii="Times New Roman" w:hAnsi="Times New Roman" w:cs="Times New Roman"/>
          <w:b/>
          <w:noProof/>
        </w:rPr>
        <w:t>12-2</w:t>
      </w:r>
      <w:r w:rsidRPr="00A47A2B">
        <w:rPr>
          <w:rFonts w:ascii="Times New Roman" w:hAnsi="Times New Roman" w:cs="Times New Roman"/>
          <w:b/>
          <w:noProof/>
        </w:rPr>
        <w:t>. Annualized Cost to Respondents</w:t>
      </w:r>
    </w:p>
    <w:p w:rsidR="00D916DE" w:rsidRDefault="00D916DE" w:rsidP="008B3A30">
      <w:pPr>
        <w:spacing w:line="240" w:lineRule="auto"/>
        <w:contextualSpacing/>
        <w:rPr>
          <w:rFonts w:ascii="Times New Roman" w:hAnsi="Times New Roman" w:cs="Times New Roman"/>
          <w:b/>
          <w:noProof/>
        </w:rPr>
      </w:pPr>
    </w:p>
    <w:p w:rsidR="00D916DE" w:rsidRPr="001D606D" w:rsidRDefault="00D916DE" w:rsidP="008B3A30">
      <w:pPr>
        <w:spacing w:line="240" w:lineRule="auto"/>
        <w:contextualSpacing/>
        <w:rPr>
          <w:rFonts w:ascii="Times New Roman" w:hAnsi="Times New Roman" w:cs="Times New Roman"/>
          <w:noProof/>
        </w:rPr>
      </w:pPr>
      <w:r w:rsidRPr="001D606D">
        <w:rPr>
          <w:rFonts w:ascii="Times New Roman" w:hAnsi="Times New Roman" w:cs="Times New Roman"/>
          <w:noProof/>
        </w:rPr>
        <w:t>Data is from the Bureau of Labor Statistics</w:t>
      </w:r>
      <w:r w:rsidR="001D0F04">
        <w:rPr>
          <w:rFonts w:ascii="Times New Roman" w:hAnsi="Times New Roman" w:cs="Times New Roman"/>
          <w:noProof/>
        </w:rPr>
        <w:t xml:space="preserve"> (</w:t>
      </w:r>
      <w:r w:rsidR="001D0F04" w:rsidRPr="001D0F04">
        <w:rPr>
          <w:rFonts w:ascii="Times New Roman" w:hAnsi="Times New Roman" w:cs="Times New Roman"/>
          <w:noProof/>
        </w:rPr>
        <w:t>http://www.bls.gov/cps/cpsaat39.htm</w:t>
      </w:r>
      <w:r w:rsidR="001D0F04">
        <w:rPr>
          <w:rFonts w:ascii="Times New Roman" w:hAnsi="Times New Roman" w:cs="Times New Roman"/>
          <w:noProof/>
        </w:rPr>
        <w:t>)</w:t>
      </w:r>
      <w:r w:rsidR="001D606D">
        <w:rPr>
          <w:rFonts w:ascii="Times New Roman" w:hAnsi="Times New Roman" w:cs="Times New Roman"/>
          <w:noProof/>
        </w:rPr>
        <w:t xml:space="preserve">.  Participants include Principal Investigators and other study personnel who are at many levels of expertese and function. </w:t>
      </w:r>
    </w:p>
    <w:p w:rsidR="00D916DE" w:rsidRPr="00A47A2B" w:rsidRDefault="00D916DE" w:rsidP="008B3A30">
      <w:pPr>
        <w:spacing w:line="240" w:lineRule="auto"/>
        <w:contextualSpacing/>
        <w:rPr>
          <w:rFonts w:ascii="Times New Roman" w:hAnsi="Times New Roman" w:cs="Times New Roman"/>
          <w:b/>
          <w:noProof/>
        </w:rPr>
      </w:pPr>
    </w:p>
    <w:tbl>
      <w:tblPr>
        <w:tblStyle w:val="TableGrid"/>
        <w:tblW w:w="0" w:type="auto"/>
        <w:tblInd w:w="108" w:type="dxa"/>
        <w:tblLook w:val="04A0" w:firstRow="1" w:lastRow="0" w:firstColumn="1" w:lastColumn="0" w:noHBand="0" w:noVBand="1"/>
      </w:tblPr>
      <w:tblGrid>
        <w:gridCol w:w="1841"/>
        <w:gridCol w:w="1513"/>
        <w:gridCol w:w="1326"/>
        <w:gridCol w:w="1260"/>
        <w:gridCol w:w="1260"/>
        <w:gridCol w:w="1620"/>
      </w:tblGrid>
      <w:tr w:rsidR="008B3A30" w:rsidTr="008B3A30">
        <w:tc>
          <w:tcPr>
            <w:tcW w:w="1841" w:type="dxa"/>
          </w:tcPr>
          <w:bookmarkEnd w:id="17"/>
          <w:p w:rsidR="008B3A30" w:rsidRDefault="008B3A30" w:rsidP="009253A5">
            <w:pPr>
              <w:rPr>
                <w:rFonts w:ascii="Times New Roman" w:hAnsi="Times New Roman" w:cs="Times New Roman"/>
                <w:noProof/>
              </w:rPr>
            </w:pPr>
            <w:r>
              <w:rPr>
                <w:rFonts w:ascii="Times New Roman" w:hAnsi="Times New Roman" w:cs="Times New Roman"/>
                <w:noProof/>
              </w:rPr>
              <w:t>Type of Respondents</w:t>
            </w:r>
          </w:p>
        </w:tc>
        <w:tc>
          <w:tcPr>
            <w:tcW w:w="1513" w:type="dxa"/>
          </w:tcPr>
          <w:p w:rsidR="008B3A30" w:rsidRDefault="008B3A30" w:rsidP="009253A5">
            <w:pPr>
              <w:jc w:val="center"/>
              <w:rPr>
                <w:rFonts w:ascii="Times New Roman" w:hAnsi="Times New Roman" w:cs="Times New Roman"/>
                <w:noProof/>
              </w:rPr>
            </w:pPr>
            <w:r>
              <w:rPr>
                <w:rFonts w:ascii="Times New Roman" w:hAnsi="Times New Roman" w:cs="Times New Roman"/>
                <w:noProof/>
              </w:rPr>
              <w:t>Number of Respondents</w:t>
            </w:r>
          </w:p>
        </w:tc>
        <w:tc>
          <w:tcPr>
            <w:tcW w:w="1326" w:type="dxa"/>
          </w:tcPr>
          <w:p w:rsidR="008B3A30" w:rsidRDefault="008B3A30" w:rsidP="009253A5">
            <w:pPr>
              <w:jc w:val="center"/>
              <w:rPr>
                <w:rFonts w:ascii="Times New Roman" w:hAnsi="Times New Roman" w:cs="Times New Roman"/>
                <w:noProof/>
              </w:rPr>
            </w:pPr>
            <w:r>
              <w:rPr>
                <w:rFonts w:ascii="Times New Roman" w:hAnsi="Times New Roman" w:cs="Times New Roman"/>
                <w:noProof/>
              </w:rPr>
              <w:t>Frequency of Response</w:t>
            </w:r>
          </w:p>
        </w:tc>
        <w:tc>
          <w:tcPr>
            <w:tcW w:w="1260" w:type="dxa"/>
          </w:tcPr>
          <w:p w:rsidR="008B3A30" w:rsidRDefault="008B3A30" w:rsidP="009253A5">
            <w:pPr>
              <w:jc w:val="center"/>
              <w:rPr>
                <w:rFonts w:ascii="Times New Roman" w:hAnsi="Times New Roman" w:cs="Times New Roman"/>
                <w:noProof/>
              </w:rPr>
            </w:pPr>
            <w:r>
              <w:rPr>
                <w:rFonts w:ascii="Times New Roman" w:hAnsi="Times New Roman" w:cs="Times New Roman"/>
                <w:noProof/>
              </w:rPr>
              <w:t>Average Time per Response</w:t>
            </w:r>
          </w:p>
        </w:tc>
        <w:tc>
          <w:tcPr>
            <w:tcW w:w="1260" w:type="dxa"/>
          </w:tcPr>
          <w:p w:rsidR="008B3A30" w:rsidRDefault="008B3A30" w:rsidP="009253A5">
            <w:pPr>
              <w:jc w:val="center"/>
              <w:rPr>
                <w:rFonts w:ascii="Times New Roman" w:hAnsi="Times New Roman" w:cs="Times New Roman"/>
                <w:noProof/>
              </w:rPr>
            </w:pPr>
            <w:r>
              <w:rPr>
                <w:rFonts w:ascii="Times New Roman" w:hAnsi="Times New Roman" w:cs="Times New Roman"/>
                <w:noProof/>
              </w:rPr>
              <w:t>Hourly Wage Rate</w:t>
            </w:r>
          </w:p>
        </w:tc>
        <w:tc>
          <w:tcPr>
            <w:tcW w:w="1620" w:type="dxa"/>
          </w:tcPr>
          <w:p w:rsidR="008B3A30" w:rsidRDefault="008B3A30" w:rsidP="009253A5">
            <w:pPr>
              <w:jc w:val="center"/>
              <w:rPr>
                <w:rFonts w:ascii="Times New Roman" w:hAnsi="Times New Roman" w:cs="Times New Roman"/>
                <w:noProof/>
              </w:rPr>
            </w:pPr>
            <w:r>
              <w:rPr>
                <w:rFonts w:ascii="Times New Roman" w:hAnsi="Times New Roman" w:cs="Times New Roman"/>
                <w:noProof/>
              </w:rPr>
              <w:t>Respondent Costs</w:t>
            </w:r>
          </w:p>
        </w:tc>
      </w:tr>
      <w:tr w:rsidR="00C04BF6" w:rsidTr="008B3A30">
        <w:tc>
          <w:tcPr>
            <w:tcW w:w="1841" w:type="dxa"/>
          </w:tcPr>
          <w:p w:rsidR="00C04BF6" w:rsidRDefault="00C04BF6" w:rsidP="009253A5">
            <w:pPr>
              <w:contextualSpacing/>
              <w:rPr>
                <w:rFonts w:ascii="Times New Roman" w:hAnsi="Times New Roman" w:cs="Times New Roman"/>
              </w:rPr>
            </w:pPr>
            <w:r>
              <w:rPr>
                <w:rFonts w:ascii="Times New Roman" w:hAnsi="Times New Roman" w:cs="Times New Roman"/>
              </w:rPr>
              <w:t>P</w:t>
            </w:r>
            <w:r w:rsidRPr="00D74BBF">
              <w:rPr>
                <w:rFonts w:ascii="Times New Roman" w:hAnsi="Times New Roman" w:cs="Times New Roman"/>
              </w:rPr>
              <w:t xml:space="preserve">rincipal investigators and key personnel </w:t>
            </w:r>
          </w:p>
        </w:tc>
        <w:tc>
          <w:tcPr>
            <w:tcW w:w="1513" w:type="dxa"/>
            <w:vAlign w:val="center"/>
          </w:tcPr>
          <w:p w:rsidR="00C04BF6" w:rsidRPr="00C726D9" w:rsidRDefault="00C04BF6" w:rsidP="00C04BF6">
            <w:pPr>
              <w:jc w:val="center"/>
              <w:rPr>
                <w:rFonts w:ascii="Times New Roman" w:hAnsi="Times New Roman" w:cs="Times New Roman"/>
                <w:noProof/>
              </w:rPr>
            </w:pPr>
            <w:r w:rsidRPr="00C726D9">
              <w:rPr>
                <w:rFonts w:ascii="Times New Roman" w:hAnsi="Times New Roman" w:cs="Times New Roman"/>
                <w:noProof/>
              </w:rPr>
              <w:t>27</w:t>
            </w:r>
          </w:p>
        </w:tc>
        <w:tc>
          <w:tcPr>
            <w:tcW w:w="1326" w:type="dxa"/>
            <w:vAlign w:val="center"/>
          </w:tcPr>
          <w:p w:rsidR="00C04BF6" w:rsidRDefault="00C04BF6" w:rsidP="008B3A30">
            <w:pPr>
              <w:jc w:val="center"/>
              <w:rPr>
                <w:rFonts w:ascii="Times New Roman" w:hAnsi="Times New Roman" w:cs="Times New Roman"/>
                <w:noProof/>
              </w:rPr>
            </w:pPr>
            <w:r>
              <w:rPr>
                <w:rFonts w:ascii="Times New Roman" w:hAnsi="Times New Roman" w:cs="Times New Roman"/>
                <w:noProof/>
              </w:rPr>
              <w:t>1</w:t>
            </w:r>
          </w:p>
        </w:tc>
        <w:tc>
          <w:tcPr>
            <w:tcW w:w="1260" w:type="dxa"/>
            <w:vAlign w:val="center"/>
          </w:tcPr>
          <w:p w:rsidR="00C04BF6" w:rsidRDefault="003C2FC1" w:rsidP="003C2FC1">
            <w:pPr>
              <w:jc w:val="center"/>
              <w:rPr>
                <w:rFonts w:ascii="Times New Roman" w:hAnsi="Times New Roman" w:cs="Times New Roman"/>
                <w:noProof/>
              </w:rPr>
            </w:pPr>
            <w:r>
              <w:rPr>
                <w:rFonts w:ascii="Times New Roman" w:hAnsi="Times New Roman" w:cs="Times New Roman"/>
                <w:noProof/>
              </w:rPr>
              <w:t>50/60</w:t>
            </w:r>
          </w:p>
        </w:tc>
        <w:tc>
          <w:tcPr>
            <w:tcW w:w="1260" w:type="dxa"/>
            <w:vAlign w:val="center"/>
          </w:tcPr>
          <w:p w:rsidR="00C04BF6" w:rsidRDefault="00C04BF6" w:rsidP="0088312E">
            <w:pPr>
              <w:jc w:val="center"/>
              <w:rPr>
                <w:rFonts w:ascii="Times New Roman" w:hAnsi="Times New Roman" w:cs="Times New Roman"/>
                <w:noProof/>
              </w:rPr>
            </w:pPr>
            <w:r>
              <w:rPr>
                <w:rFonts w:ascii="Times New Roman" w:hAnsi="Times New Roman" w:cs="Times New Roman"/>
                <w:noProof/>
              </w:rPr>
              <w:t>$</w:t>
            </w:r>
            <w:r w:rsidR="0088312E">
              <w:rPr>
                <w:rFonts w:ascii="Times New Roman" w:hAnsi="Times New Roman" w:cs="Times New Roman"/>
                <w:noProof/>
              </w:rPr>
              <w:t>50.00</w:t>
            </w:r>
          </w:p>
        </w:tc>
        <w:tc>
          <w:tcPr>
            <w:tcW w:w="1620" w:type="dxa"/>
            <w:vAlign w:val="center"/>
          </w:tcPr>
          <w:p w:rsidR="00C04BF6" w:rsidRDefault="00C04BF6" w:rsidP="0088312E">
            <w:pPr>
              <w:jc w:val="center"/>
              <w:rPr>
                <w:rFonts w:ascii="Times New Roman" w:hAnsi="Times New Roman" w:cs="Times New Roman"/>
                <w:noProof/>
              </w:rPr>
            </w:pPr>
            <w:r>
              <w:rPr>
                <w:rFonts w:ascii="Times New Roman" w:hAnsi="Times New Roman" w:cs="Times New Roman"/>
                <w:noProof/>
              </w:rPr>
              <w:t>$</w:t>
            </w:r>
            <w:r w:rsidR="0088312E">
              <w:rPr>
                <w:rFonts w:ascii="Times New Roman" w:hAnsi="Times New Roman" w:cs="Times New Roman"/>
                <w:noProof/>
              </w:rPr>
              <w:t>1,148</w:t>
            </w:r>
          </w:p>
        </w:tc>
      </w:tr>
      <w:tr w:rsidR="00C04BF6" w:rsidTr="008B3A30">
        <w:tc>
          <w:tcPr>
            <w:tcW w:w="1841" w:type="dxa"/>
          </w:tcPr>
          <w:p w:rsidR="00C04BF6" w:rsidRDefault="00C04BF6" w:rsidP="009253A5">
            <w:pPr>
              <w:contextualSpacing/>
              <w:rPr>
                <w:rFonts w:ascii="Times New Roman" w:hAnsi="Times New Roman" w:cs="Times New Roman"/>
              </w:rPr>
            </w:pPr>
            <w:r>
              <w:rPr>
                <w:rFonts w:ascii="Times New Roman" w:hAnsi="Times New Roman" w:cs="Times New Roman"/>
              </w:rPr>
              <w:t>E</w:t>
            </w:r>
            <w:r w:rsidRPr="00D74BBF">
              <w:rPr>
                <w:rFonts w:ascii="Times New Roman" w:hAnsi="Times New Roman" w:cs="Times New Roman"/>
              </w:rPr>
              <w:t xml:space="preserve">xternal </w:t>
            </w:r>
            <w:r>
              <w:rPr>
                <w:rFonts w:ascii="Times New Roman" w:hAnsi="Times New Roman" w:cs="Times New Roman"/>
              </w:rPr>
              <w:t>P</w:t>
            </w:r>
            <w:r w:rsidRPr="00D74BBF">
              <w:rPr>
                <w:rFonts w:ascii="Times New Roman" w:hAnsi="Times New Roman" w:cs="Times New Roman"/>
              </w:rPr>
              <w:t>roteomics investigators</w:t>
            </w:r>
            <w:r>
              <w:rPr>
                <w:rFonts w:ascii="Times New Roman" w:hAnsi="Times New Roman" w:cs="Times New Roman"/>
              </w:rPr>
              <w:t xml:space="preserve"> </w:t>
            </w:r>
          </w:p>
        </w:tc>
        <w:tc>
          <w:tcPr>
            <w:tcW w:w="1513" w:type="dxa"/>
            <w:vAlign w:val="center"/>
          </w:tcPr>
          <w:p w:rsidR="00C04BF6" w:rsidRPr="00C726D9" w:rsidRDefault="00C04BF6" w:rsidP="00C04BF6">
            <w:pPr>
              <w:jc w:val="center"/>
              <w:rPr>
                <w:rFonts w:ascii="Times New Roman" w:hAnsi="Times New Roman" w:cs="Times New Roman"/>
                <w:noProof/>
              </w:rPr>
            </w:pPr>
            <w:r w:rsidRPr="00C726D9">
              <w:rPr>
                <w:rFonts w:ascii="Times New Roman" w:hAnsi="Times New Roman" w:cs="Times New Roman"/>
                <w:noProof/>
              </w:rPr>
              <w:t>9</w:t>
            </w:r>
          </w:p>
        </w:tc>
        <w:tc>
          <w:tcPr>
            <w:tcW w:w="1326" w:type="dxa"/>
            <w:vAlign w:val="center"/>
          </w:tcPr>
          <w:p w:rsidR="00C04BF6" w:rsidRDefault="00C04BF6" w:rsidP="008B3A30">
            <w:pPr>
              <w:jc w:val="center"/>
              <w:rPr>
                <w:rFonts w:ascii="Times New Roman" w:hAnsi="Times New Roman" w:cs="Times New Roman"/>
                <w:noProof/>
              </w:rPr>
            </w:pPr>
            <w:r>
              <w:rPr>
                <w:rFonts w:ascii="Times New Roman" w:hAnsi="Times New Roman" w:cs="Times New Roman"/>
                <w:noProof/>
              </w:rPr>
              <w:t>1</w:t>
            </w:r>
          </w:p>
        </w:tc>
        <w:tc>
          <w:tcPr>
            <w:tcW w:w="1260" w:type="dxa"/>
            <w:vAlign w:val="center"/>
          </w:tcPr>
          <w:p w:rsidR="00C04BF6" w:rsidRDefault="003C2FC1" w:rsidP="00C04BF6">
            <w:pPr>
              <w:jc w:val="center"/>
            </w:pPr>
            <w:r>
              <w:rPr>
                <w:rFonts w:ascii="Times New Roman" w:hAnsi="Times New Roman" w:cs="Times New Roman"/>
                <w:noProof/>
              </w:rPr>
              <w:t>50/60</w:t>
            </w:r>
          </w:p>
        </w:tc>
        <w:tc>
          <w:tcPr>
            <w:tcW w:w="1260" w:type="dxa"/>
            <w:vAlign w:val="center"/>
          </w:tcPr>
          <w:p w:rsidR="00C04BF6" w:rsidRDefault="00C04BF6" w:rsidP="0088312E">
            <w:pPr>
              <w:jc w:val="center"/>
              <w:rPr>
                <w:rFonts w:ascii="Times New Roman" w:hAnsi="Times New Roman" w:cs="Times New Roman"/>
                <w:noProof/>
              </w:rPr>
            </w:pPr>
            <w:r>
              <w:rPr>
                <w:rFonts w:ascii="Times New Roman" w:hAnsi="Times New Roman" w:cs="Times New Roman"/>
                <w:noProof/>
              </w:rPr>
              <w:t>$</w:t>
            </w:r>
            <w:r w:rsidR="0088312E">
              <w:rPr>
                <w:rFonts w:ascii="Times New Roman" w:hAnsi="Times New Roman" w:cs="Times New Roman"/>
                <w:noProof/>
              </w:rPr>
              <w:t>50.00</w:t>
            </w:r>
          </w:p>
        </w:tc>
        <w:tc>
          <w:tcPr>
            <w:tcW w:w="1620" w:type="dxa"/>
            <w:vAlign w:val="center"/>
          </w:tcPr>
          <w:p w:rsidR="00C04BF6" w:rsidRDefault="00C04BF6" w:rsidP="0088312E">
            <w:pPr>
              <w:jc w:val="center"/>
              <w:rPr>
                <w:rFonts w:ascii="Times New Roman" w:hAnsi="Times New Roman" w:cs="Times New Roman"/>
                <w:noProof/>
              </w:rPr>
            </w:pPr>
            <w:r>
              <w:rPr>
                <w:rFonts w:ascii="Times New Roman" w:hAnsi="Times New Roman" w:cs="Times New Roman"/>
                <w:noProof/>
              </w:rPr>
              <w:t>$</w:t>
            </w:r>
            <w:r w:rsidR="0088312E">
              <w:rPr>
                <w:rFonts w:ascii="Times New Roman" w:hAnsi="Times New Roman" w:cs="Times New Roman"/>
                <w:noProof/>
              </w:rPr>
              <w:t>383</w:t>
            </w:r>
          </w:p>
        </w:tc>
      </w:tr>
      <w:tr w:rsidR="00C04BF6" w:rsidTr="008B3A30">
        <w:tc>
          <w:tcPr>
            <w:tcW w:w="1841" w:type="dxa"/>
          </w:tcPr>
          <w:p w:rsidR="00C04BF6" w:rsidRDefault="00C04BF6" w:rsidP="009253A5">
            <w:pPr>
              <w:contextualSpacing/>
              <w:rPr>
                <w:rFonts w:ascii="Times New Roman" w:hAnsi="Times New Roman" w:cs="Times New Roman"/>
              </w:rPr>
            </w:pPr>
            <w:r>
              <w:rPr>
                <w:rFonts w:ascii="Times New Roman" w:hAnsi="Times New Roman" w:cs="Times New Roman"/>
              </w:rPr>
              <w:t>T</w:t>
            </w:r>
            <w:r w:rsidRPr="00D74BBF">
              <w:rPr>
                <w:rFonts w:ascii="Times New Roman" w:hAnsi="Times New Roman" w:cs="Times New Roman"/>
              </w:rPr>
              <w:t>rainees and junior investigators</w:t>
            </w:r>
          </w:p>
        </w:tc>
        <w:tc>
          <w:tcPr>
            <w:tcW w:w="1513" w:type="dxa"/>
            <w:vAlign w:val="center"/>
          </w:tcPr>
          <w:p w:rsidR="00C04BF6" w:rsidRPr="00C726D9" w:rsidRDefault="00C04BF6" w:rsidP="00C04BF6">
            <w:pPr>
              <w:jc w:val="center"/>
              <w:rPr>
                <w:rFonts w:ascii="Times New Roman" w:hAnsi="Times New Roman" w:cs="Times New Roman"/>
                <w:noProof/>
              </w:rPr>
            </w:pPr>
            <w:r w:rsidRPr="00C726D9">
              <w:rPr>
                <w:rFonts w:ascii="Times New Roman" w:hAnsi="Times New Roman" w:cs="Times New Roman"/>
                <w:noProof/>
              </w:rPr>
              <w:t>20</w:t>
            </w:r>
          </w:p>
        </w:tc>
        <w:tc>
          <w:tcPr>
            <w:tcW w:w="1326" w:type="dxa"/>
            <w:vAlign w:val="center"/>
          </w:tcPr>
          <w:p w:rsidR="00C04BF6" w:rsidRDefault="00C04BF6" w:rsidP="008B3A30">
            <w:pPr>
              <w:jc w:val="center"/>
              <w:rPr>
                <w:rFonts w:ascii="Times New Roman" w:hAnsi="Times New Roman" w:cs="Times New Roman"/>
                <w:noProof/>
              </w:rPr>
            </w:pPr>
            <w:r>
              <w:rPr>
                <w:rFonts w:ascii="Times New Roman" w:hAnsi="Times New Roman" w:cs="Times New Roman"/>
                <w:noProof/>
              </w:rPr>
              <w:t>1</w:t>
            </w:r>
          </w:p>
        </w:tc>
        <w:tc>
          <w:tcPr>
            <w:tcW w:w="1260" w:type="dxa"/>
            <w:vAlign w:val="center"/>
          </w:tcPr>
          <w:p w:rsidR="00C04BF6" w:rsidRDefault="003C2FC1" w:rsidP="003C2FC1">
            <w:pPr>
              <w:jc w:val="center"/>
            </w:pPr>
            <w:r>
              <w:rPr>
                <w:rFonts w:ascii="Times New Roman" w:hAnsi="Times New Roman" w:cs="Times New Roman"/>
                <w:noProof/>
              </w:rPr>
              <w:t>50/60</w:t>
            </w:r>
          </w:p>
        </w:tc>
        <w:tc>
          <w:tcPr>
            <w:tcW w:w="1260" w:type="dxa"/>
            <w:vAlign w:val="center"/>
          </w:tcPr>
          <w:p w:rsidR="00C04BF6" w:rsidRDefault="00C04BF6" w:rsidP="00956BA0">
            <w:pPr>
              <w:jc w:val="center"/>
              <w:rPr>
                <w:rFonts w:ascii="Times New Roman" w:hAnsi="Times New Roman" w:cs="Times New Roman"/>
                <w:noProof/>
              </w:rPr>
            </w:pPr>
            <w:r>
              <w:rPr>
                <w:rFonts w:ascii="Times New Roman" w:hAnsi="Times New Roman" w:cs="Times New Roman"/>
                <w:noProof/>
              </w:rPr>
              <w:t>$</w:t>
            </w:r>
            <w:r w:rsidR="00956BA0">
              <w:rPr>
                <w:rFonts w:ascii="Times New Roman" w:hAnsi="Times New Roman" w:cs="Times New Roman"/>
                <w:noProof/>
              </w:rPr>
              <w:t>25</w:t>
            </w:r>
            <w:r w:rsidR="0088312E">
              <w:rPr>
                <w:rFonts w:ascii="Times New Roman" w:hAnsi="Times New Roman" w:cs="Times New Roman"/>
                <w:noProof/>
              </w:rPr>
              <w:t>.00</w:t>
            </w:r>
          </w:p>
        </w:tc>
        <w:tc>
          <w:tcPr>
            <w:tcW w:w="1620" w:type="dxa"/>
            <w:vAlign w:val="center"/>
          </w:tcPr>
          <w:p w:rsidR="00C04BF6" w:rsidRDefault="00C04BF6" w:rsidP="00956BA0">
            <w:pPr>
              <w:jc w:val="center"/>
              <w:rPr>
                <w:rFonts w:ascii="Times New Roman" w:hAnsi="Times New Roman" w:cs="Times New Roman"/>
                <w:noProof/>
              </w:rPr>
            </w:pPr>
            <w:r>
              <w:rPr>
                <w:rFonts w:ascii="Times New Roman" w:hAnsi="Times New Roman" w:cs="Times New Roman"/>
                <w:noProof/>
              </w:rPr>
              <w:t>$</w:t>
            </w:r>
            <w:r w:rsidR="00956BA0">
              <w:rPr>
                <w:rFonts w:ascii="Times New Roman" w:hAnsi="Times New Roman" w:cs="Times New Roman"/>
                <w:noProof/>
              </w:rPr>
              <w:t>425</w:t>
            </w:r>
          </w:p>
        </w:tc>
      </w:tr>
      <w:tr w:rsidR="00C04BF6" w:rsidTr="008B3A30">
        <w:trPr>
          <w:trHeight w:val="432"/>
        </w:trPr>
        <w:tc>
          <w:tcPr>
            <w:tcW w:w="1841" w:type="dxa"/>
          </w:tcPr>
          <w:p w:rsidR="00C04BF6" w:rsidRDefault="00C04BF6" w:rsidP="009253A5">
            <w:pPr>
              <w:contextualSpacing/>
              <w:rPr>
                <w:rFonts w:ascii="Times New Roman" w:hAnsi="Times New Roman" w:cs="Times New Roman"/>
              </w:rPr>
            </w:pPr>
            <w:r>
              <w:rPr>
                <w:rFonts w:ascii="Times New Roman" w:hAnsi="Times New Roman" w:cs="Times New Roman"/>
              </w:rPr>
              <w:t>Totals</w:t>
            </w:r>
          </w:p>
        </w:tc>
        <w:tc>
          <w:tcPr>
            <w:tcW w:w="1513" w:type="dxa"/>
            <w:vAlign w:val="center"/>
          </w:tcPr>
          <w:p w:rsidR="00C04BF6" w:rsidRPr="00C726D9" w:rsidRDefault="006916CB" w:rsidP="00C04BF6">
            <w:pPr>
              <w:jc w:val="center"/>
              <w:rPr>
                <w:rFonts w:ascii="Times New Roman" w:hAnsi="Times New Roman" w:cs="Times New Roman"/>
                <w:noProof/>
              </w:rPr>
            </w:pPr>
            <w:r>
              <w:rPr>
                <w:rFonts w:ascii="Times New Roman" w:hAnsi="Times New Roman" w:cs="Times New Roman"/>
                <w:noProof/>
              </w:rPr>
              <w:t>56</w:t>
            </w:r>
          </w:p>
        </w:tc>
        <w:tc>
          <w:tcPr>
            <w:tcW w:w="1326" w:type="dxa"/>
            <w:shd w:val="clear" w:color="auto" w:fill="808080" w:themeFill="background1" w:themeFillShade="80"/>
            <w:vAlign w:val="center"/>
          </w:tcPr>
          <w:p w:rsidR="00C04BF6" w:rsidRDefault="00C04BF6" w:rsidP="008B3A30">
            <w:pPr>
              <w:jc w:val="center"/>
              <w:rPr>
                <w:rFonts w:ascii="Times New Roman" w:hAnsi="Times New Roman" w:cs="Times New Roman"/>
                <w:noProof/>
              </w:rPr>
            </w:pPr>
          </w:p>
        </w:tc>
        <w:tc>
          <w:tcPr>
            <w:tcW w:w="1260" w:type="dxa"/>
            <w:shd w:val="clear" w:color="auto" w:fill="808080" w:themeFill="background1" w:themeFillShade="80"/>
            <w:vAlign w:val="center"/>
          </w:tcPr>
          <w:p w:rsidR="00C04BF6" w:rsidRPr="00EA67EB" w:rsidRDefault="00C04BF6" w:rsidP="008B3A30">
            <w:pPr>
              <w:jc w:val="center"/>
              <w:rPr>
                <w:rFonts w:ascii="Times New Roman" w:hAnsi="Times New Roman" w:cs="Times New Roman"/>
                <w:noProof/>
              </w:rPr>
            </w:pPr>
          </w:p>
        </w:tc>
        <w:tc>
          <w:tcPr>
            <w:tcW w:w="1260" w:type="dxa"/>
            <w:shd w:val="clear" w:color="auto" w:fill="808080" w:themeFill="background1" w:themeFillShade="80"/>
            <w:vAlign w:val="center"/>
          </w:tcPr>
          <w:p w:rsidR="00C04BF6" w:rsidRDefault="00C04BF6" w:rsidP="008B3A30">
            <w:pPr>
              <w:jc w:val="center"/>
              <w:rPr>
                <w:rFonts w:ascii="Times New Roman" w:hAnsi="Times New Roman" w:cs="Times New Roman"/>
                <w:noProof/>
              </w:rPr>
            </w:pPr>
          </w:p>
        </w:tc>
        <w:tc>
          <w:tcPr>
            <w:tcW w:w="1620" w:type="dxa"/>
            <w:vAlign w:val="center"/>
          </w:tcPr>
          <w:p w:rsidR="00C04BF6" w:rsidRDefault="00165696" w:rsidP="00956BA0">
            <w:pPr>
              <w:jc w:val="center"/>
              <w:rPr>
                <w:rFonts w:ascii="Times New Roman" w:hAnsi="Times New Roman" w:cs="Times New Roman"/>
                <w:noProof/>
              </w:rPr>
            </w:pPr>
            <w:r>
              <w:rPr>
                <w:rFonts w:ascii="Times New Roman" w:hAnsi="Times New Roman" w:cs="Times New Roman"/>
                <w:noProof/>
              </w:rPr>
              <w:t>$</w:t>
            </w:r>
            <w:r w:rsidR="00956BA0">
              <w:rPr>
                <w:rFonts w:ascii="Times New Roman" w:hAnsi="Times New Roman" w:cs="Times New Roman"/>
                <w:noProof/>
              </w:rPr>
              <w:t>1,956</w:t>
            </w:r>
          </w:p>
        </w:tc>
      </w:tr>
    </w:tbl>
    <w:p w:rsidR="008B3A30" w:rsidRPr="0046375B" w:rsidRDefault="008B3A30" w:rsidP="008B3A30">
      <w:pPr>
        <w:rPr>
          <w:rFonts w:ascii="Times New Roman" w:hAnsi="Times New Roman" w:cs="Times New Roman"/>
          <w:noProof/>
        </w:rPr>
      </w:pPr>
    </w:p>
    <w:p w:rsidR="008B3A30" w:rsidRPr="0046375B" w:rsidRDefault="008B3A30" w:rsidP="0046375B">
      <w:pPr>
        <w:rPr>
          <w:rFonts w:ascii="Times New Roman" w:hAnsi="Times New Roman" w:cs="Times New Roman"/>
          <w:noProof/>
        </w:rPr>
      </w:pPr>
    </w:p>
    <w:p w:rsidR="00A47A2B" w:rsidRPr="00A47A2B" w:rsidRDefault="00543E45" w:rsidP="0046375B">
      <w:pPr>
        <w:rPr>
          <w:rFonts w:ascii="Times New Roman" w:hAnsi="Times New Roman" w:cs="Times New Roman"/>
          <w:b/>
          <w:noProof/>
        </w:rPr>
      </w:pPr>
      <w:bookmarkStart w:id="18" w:name="A13"/>
      <w:r w:rsidRPr="00A47A2B">
        <w:rPr>
          <w:rFonts w:ascii="Times New Roman" w:hAnsi="Times New Roman" w:cs="Times New Roman"/>
          <w:b/>
          <w:noProof/>
        </w:rPr>
        <w:t xml:space="preserve">A.13.  </w:t>
      </w:r>
      <w:r w:rsidR="00A20CD3" w:rsidRPr="00A47A2B">
        <w:rPr>
          <w:rFonts w:ascii="Times New Roman" w:hAnsi="Times New Roman" w:cs="Times New Roman"/>
          <w:b/>
          <w:noProof/>
        </w:rPr>
        <w:t xml:space="preserve">Estimate of Other Total Annual Cost </w:t>
      </w:r>
      <w:r w:rsidR="000C4642" w:rsidRPr="00A47A2B">
        <w:rPr>
          <w:rFonts w:ascii="Times New Roman" w:hAnsi="Times New Roman" w:cs="Times New Roman"/>
          <w:b/>
          <w:noProof/>
        </w:rPr>
        <w:t>Burden to Respondents or Record</w:t>
      </w:r>
      <w:r w:rsidR="00A20CD3" w:rsidRPr="00A47A2B">
        <w:rPr>
          <w:rFonts w:ascii="Times New Roman" w:hAnsi="Times New Roman" w:cs="Times New Roman"/>
          <w:b/>
          <w:noProof/>
        </w:rPr>
        <w:t>keepers</w:t>
      </w:r>
    </w:p>
    <w:bookmarkEnd w:id="18"/>
    <w:p w:rsidR="00A47A2B" w:rsidRDefault="002815A3" w:rsidP="00A47A2B">
      <w:pPr>
        <w:spacing w:line="480" w:lineRule="auto"/>
        <w:contextualSpacing/>
        <w:rPr>
          <w:rFonts w:ascii="Times New Roman" w:hAnsi="Times New Roman" w:cs="Times New Roman"/>
          <w:noProof/>
        </w:rPr>
      </w:pPr>
      <w:r>
        <w:rPr>
          <w:rFonts w:ascii="Times New Roman" w:hAnsi="Times New Roman" w:cs="Times New Roman"/>
          <w:noProof/>
        </w:rPr>
        <w:t xml:space="preserve">As shown in Table </w:t>
      </w:r>
      <w:r w:rsidR="005F3DA4">
        <w:rPr>
          <w:rFonts w:ascii="Times New Roman" w:hAnsi="Times New Roman" w:cs="Times New Roman"/>
          <w:noProof/>
        </w:rPr>
        <w:t>13</w:t>
      </w:r>
      <w:r>
        <w:rPr>
          <w:rFonts w:ascii="Times New Roman" w:hAnsi="Times New Roman" w:cs="Times New Roman"/>
          <w:noProof/>
        </w:rPr>
        <w:t xml:space="preserve"> below, th</w:t>
      </w:r>
      <w:r w:rsidR="00A47A2B" w:rsidRPr="00A47A2B">
        <w:rPr>
          <w:rFonts w:ascii="Times New Roman" w:hAnsi="Times New Roman" w:cs="Times New Roman"/>
          <w:noProof/>
        </w:rPr>
        <w:t xml:space="preserve">e cost estimate </w:t>
      </w:r>
      <w:r>
        <w:rPr>
          <w:rFonts w:ascii="Times New Roman" w:hAnsi="Times New Roman" w:cs="Times New Roman"/>
          <w:noProof/>
        </w:rPr>
        <w:t xml:space="preserve">has been divided into </w:t>
      </w:r>
      <w:r w:rsidR="00A47A2B" w:rsidRPr="00A47A2B">
        <w:rPr>
          <w:rFonts w:ascii="Times New Roman" w:hAnsi="Times New Roman" w:cs="Times New Roman"/>
          <w:noProof/>
        </w:rPr>
        <w:t>two components: (a) a total capital and start-up cost component (annualized over its expected useful life); and (b) a total operation and maintenance and purchase of services c</w:t>
      </w:r>
      <w:r>
        <w:rPr>
          <w:rFonts w:ascii="Times New Roman" w:hAnsi="Times New Roman" w:cs="Times New Roman"/>
          <w:noProof/>
        </w:rPr>
        <w:t xml:space="preserve">omponent.  The estimates </w:t>
      </w:r>
      <w:r w:rsidR="00A47A2B" w:rsidRPr="00A47A2B">
        <w:rPr>
          <w:rFonts w:ascii="Times New Roman" w:hAnsi="Times New Roman" w:cs="Times New Roman"/>
          <w:noProof/>
        </w:rPr>
        <w:t>take</w:t>
      </w:r>
      <w:r>
        <w:rPr>
          <w:rFonts w:ascii="Times New Roman" w:hAnsi="Times New Roman" w:cs="Times New Roman"/>
          <w:noProof/>
        </w:rPr>
        <w:t>s</w:t>
      </w:r>
      <w:r w:rsidR="00A47A2B" w:rsidRPr="00A47A2B">
        <w:rPr>
          <w:rFonts w:ascii="Times New Roman" w:hAnsi="Times New Roman" w:cs="Times New Roman"/>
          <w:noProof/>
        </w:rPr>
        <w:t xml:space="preserve"> into account costs associated with generating, maintaining, and disclosing or providing the information.  </w:t>
      </w:r>
      <w:r>
        <w:rPr>
          <w:rFonts w:ascii="Times New Roman" w:hAnsi="Times New Roman" w:cs="Times New Roman"/>
          <w:noProof/>
        </w:rPr>
        <w:t>For this information collection request, the annual cost</w:t>
      </w:r>
      <w:r w:rsidR="001975BC">
        <w:rPr>
          <w:rFonts w:ascii="Times New Roman" w:hAnsi="Times New Roman" w:cs="Times New Roman"/>
          <w:noProof/>
        </w:rPr>
        <w:t xml:space="preserve"> burden is incurred</w:t>
      </w:r>
      <w:r>
        <w:rPr>
          <w:rFonts w:ascii="Times New Roman" w:hAnsi="Times New Roman" w:cs="Times New Roman"/>
          <w:noProof/>
        </w:rPr>
        <w:t xml:space="preserve"> in the operation/maintence and purchase of services component (column B).  The estimated costs reflected in column B are based on the approved budget between NHLBI and its contractor</w:t>
      </w:r>
      <w:r w:rsidR="001975BC">
        <w:rPr>
          <w:rFonts w:ascii="Times New Roman" w:hAnsi="Times New Roman" w:cs="Times New Roman"/>
          <w:noProof/>
        </w:rPr>
        <w:t>,</w:t>
      </w:r>
      <w:r>
        <w:rPr>
          <w:rFonts w:ascii="Times New Roman" w:hAnsi="Times New Roman" w:cs="Times New Roman"/>
          <w:noProof/>
        </w:rPr>
        <w:t xml:space="preserve"> Concept</w:t>
      </w:r>
      <w:r w:rsidR="007B1BC2">
        <w:rPr>
          <w:rFonts w:ascii="Times New Roman" w:hAnsi="Times New Roman" w:cs="Times New Roman"/>
          <w:noProof/>
        </w:rPr>
        <w:t xml:space="preserve"> Systems, Inc,.</w:t>
      </w:r>
      <w:r w:rsidR="000421EA">
        <w:rPr>
          <w:rFonts w:ascii="Times New Roman" w:hAnsi="Times New Roman" w:cs="Times New Roman"/>
          <w:noProof/>
        </w:rPr>
        <w:t xml:space="preserve">  </w:t>
      </w:r>
      <w:r w:rsidR="00CA6E74">
        <w:rPr>
          <w:rFonts w:ascii="Times New Roman" w:hAnsi="Times New Roman" w:cs="Times New Roman"/>
          <w:noProof/>
        </w:rPr>
        <w:t xml:space="preserve"> </w:t>
      </w:r>
    </w:p>
    <w:p w:rsidR="00CA6E74" w:rsidRDefault="00CA6E74" w:rsidP="00A47A2B">
      <w:pPr>
        <w:spacing w:line="240" w:lineRule="auto"/>
        <w:contextualSpacing/>
        <w:rPr>
          <w:rFonts w:ascii="Times New Roman" w:hAnsi="Times New Roman" w:cs="Times New Roman"/>
          <w:b/>
          <w:noProof/>
        </w:rPr>
      </w:pPr>
    </w:p>
    <w:p w:rsidR="00A20CD3" w:rsidRDefault="00A47A2B" w:rsidP="00A47A2B">
      <w:pPr>
        <w:spacing w:line="240" w:lineRule="auto"/>
        <w:contextualSpacing/>
        <w:rPr>
          <w:rFonts w:ascii="Times New Roman" w:hAnsi="Times New Roman" w:cs="Times New Roman"/>
          <w:b/>
          <w:noProof/>
        </w:rPr>
      </w:pPr>
      <w:bookmarkStart w:id="19" w:name="Table5"/>
      <w:r w:rsidRPr="00A47A2B">
        <w:rPr>
          <w:rFonts w:ascii="Times New Roman" w:hAnsi="Times New Roman" w:cs="Times New Roman"/>
          <w:b/>
          <w:noProof/>
        </w:rPr>
        <w:t xml:space="preserve">Table </w:t>
      </w:r>
      <w:r w:rsidR="005F3DA4">
        <w:rPr>
          <w:rFonts w:ascii="Times New Roman" w:hAnsi="Times New Roman" w:cs="Times New Roman"/>
          <w:b/>
          <w:noProof/>
        </w:rPr>
        <w:t>13</w:t>
      </w:r>
      <w:r w:rsidRPr="00A47A2B">
        <w:rPr>
          <w:rFonts w:ascii="Times New Roman" w:hAnsi="Times New Roman" w:cs="Times New Roman"/>
          <w:b/>
          <w:noProof/>
        </w:rPr>
        <w:t xml:space="preserve"> Estimate of Other Total Annual Cost Burden to Respondents or Recordkeepers</w:t>
      </w:r>
      <w:bookmarkEnd w:id="19"/>
      <w:r w:rsidR="00A20CD3" w:rsidRPr="00A47A2B">
        <w:rPr>
          <w:rFonts w:ascii="Times New Roman" w:hAnsi="Times New Roman" w:cs="Times New Roman"/>
          <w:b/>
          <w:noProof/>
        </w:rPr>
        <w:tab/>
      </w:r>
    </w:p>
    <w:p w:rsidR="002F6B38" w:rsidRPr="00A47A2B" w:rsidRDefault="002F6B38" w:rsidP="00A47A2B">
      <w:pPr>
        <w:spacing w:line="240" w:lineRule="auto"/>
        <w:contextualSpacing/>
        <w:rPr>
          <w:rFonts w:ascii="Times New Roman" w:hAnsi="Times New Roman" w:cs="Times New Roman"/>
          <w:b/>
          <w:noProof/>
        </w:rPr>
      </w:pPr>
    </w:p>
    <w:tbl>
      <w:tblPr>
        <w:tblStyle w:val="TableGrid"/>
        <w:tblW w:w="0" w:type="auto"/>
        <w:tblInd w:w="108" w:type="dxa"/>
        <w:tblLook w:val="04A0" w:firstRow="1" w:lastRow="0" w:firstColumn="1" w:lastColumn="0" w:noHBand="0" w:noVBand="1"/>
      </w:tblPr>
      <w:tblGrid>
        <w:gridCol w:w="2880"/>
        <w:gridCol w:w="1316"/>
      </w:tblGrid>
      <w:tr w:rsidR="002F6B38" w:rsidTr="002815A3">
        <w:trPr>
          <w:trHeight w:val="288"/>
        </w:trPr>
        <w:tc>
          <w:tcPr>
            <w:tcW w:w="2880" w:type="dxa"/>
          </w:tcPr>
          <w:p w:rsidR="002F6B38" w:rsidRDefault="002F6B38" w:rsidP="002815A3">
            <w:pPr>
              <w:rPr>
                <w:rFonts w:ascii="Times New Roman" w:hAnsi="Times New Roman" w:cs="Times New Roman"/>
                <w:noProof/>
              </w:rPr>
            </w:pPr>
            <w:r>
              <w:rPr>
                <w:rFonts w:ascii="Times New Roman" w:hAnsi="Times New Roman" w:cs="Times New Roman"/>
                <w:noProof/>
              </w:rPr>
              <w:t xml:space="preserve">Operational/Maintence and Purchase </w:t>
            </w:r>
          </w:p>
        </w:tc>
        <w:tc>
          <w:tcPr>
            <w:tcW w:w="1316" w:type="dxa"/>
          </w:tcPr>
          <w:p w:rsidR="002F6B38" w:rsidRDefault="002F6B38" w:rsidP="0046375B">
            <w:pPr>
              <w:rPr>
                <w:rFonts w:ascii="Times New Roman" w:hAnsi="Times New Roman" w:cs="Times New Roman"/>
                <w:noProof/>
              </w:rPr>
            </w:pPr>
            <w:r>
              <w:rPr>
                <w:rFonts w:ascii="Times New Roman" w:hAnsi="Times New Roman" w:cs="Times New Roman"/>
                <w:noProof/>
              </w:rPr>
              <w:t>Amount</w:t>
            </w:r>
          </w:p>
        </w:tc>
      </w:tr>
      <w:tr w:rsidR="002F6B38" w:rsidTr="002815A3">
        <w:trPr>
          <w:trHeight w:val="432"/>
        </w:trPr>
        <w:tc>
          <w:tcPr>
            <w:tcW w:w="2880" w:type="dxa"/>
            <w:vAlign w:val="center"/>
          </w:tcPr>
          <w:p w:rsidR="002F6B38" w:rsidRDefault="002F6B38" w:rsidP="0027733A">
            <w:pPr>
              <w:rPr>
                <w:rFonts w:ascii="Times New Roman" w:hAnsi="Times New Roman" w:cs="Times New Roman"/>
                <w:noProof/>
              </w:rPr>
            </w:pPr>
            <w:r>
              <w:rPr>
                <w:rFonts w:ascii="Times New Roman" w:hAnsi="Times New Roman" w:cs="Times New Roman"/>
                <w:noProof/>
              </w:rPr>
              <w:t>Transcription services</w:t>
            </w:r>
          </w:p>
        </w:tc>
        <w:tc>
          <w:tcPr>
            <w:tcW w:w="1316" w:type="dxa"/>
            <w:vAlign w:val="center"/>
          </w:tcPr>
          <w:p w:rsidR="002F6B38" w:rsidRDefault="002F6B38" w:rsidP="0027733A">
            <w:pPr>
              <w:jc w:val="right"/>
              <w:rPr>
                <w:rFonts w:ascii="Times New Roman" w:hAnsi="Times New Roman" w:cs="Times New Roman"/>
                <w:noProof/>
              </w:rPr>
            </w:pPr>
            <w:r>
              <w:rPr>
                <w:rFonts w:ascii="Times New Roman" w:hAnsi="Times New Roman" w:cs="Times New Roman"/>
                <w:noProof/>
              </w:rPr>
              <w:t>$6,800.00</w:t>
            </w:r>
          </w:p>
        </w:tc>
      </w:tr>
      <w:tr w:rsidR="002F6B38" w:rsidTr="002815A3">
        <w:trPr>
          <w:trHeight w:val="432"/>
        </w:trPr>
        <w:tc>
          <w:tcPr>
            <w:tcW w:w="2880" w:type="dxa"/>
            <w:vAlign w:val="center"/>
          </w:tcPr>
          <w:p w:rsidR="002F6B38" w:rsidRDefault="002F6B38" w:rsidP="0027733A">
            <w:pPr>
              <w:rPr>
                <w:rFonts w:ascii="Times New Roman" w:hAnsi="Times New Roman" w:cs="Times New Roman"/>
                <w:noProof/>
              </w:rPr>
            </w:pPr>
            <w:r>
              <w:rPr>
                <w:rFonts w:ascii="Times New Roman" w:hAnsi="Times New Roman" w:cs="Times New Roman"/>
                <w:noProof/>
              </w:rPr>
              <w:t>Telecomunications fees</w:t>
            </w:r>
          </w:p>
        </w:tc>
        <w:tc>
          <w:tcPr>
            <w:tcW w:w="1316" w:type="dxa"/>
            <w:vAlign w:val="center"/>
          </w:tcPr>
          <w:p w:rsidR="002F6B38" w:rsidRDefault="002F6B38" w:rsidP="0027733A">
            <w:pPr>
              <w:jc w:val="right"/>
              <w:rPr>
                <w:rFonts w:ascii="Times New Roman" w:hAnsi="Times New Roman" w:cs="Times New Roman"/>
                <w:noProof/>
              </w:rPr>
            </w:pPr>
            <w:r>
              <w:rPr>
                <w:rFonts w:ascii="Times New Roman" w:hAnsi="Times New Roman" w:cs="Times New Roman"/>
                <w:noProof/>
              </w:rPr>
              <w:t>$750.00</w:t>
            </w:r>
          </w:p>
        </w:tc>
      </w:tr>
      <w:tr w:rsidR="002F6B38" w:rsidTr="002815A3">
        <w:trPr>
          <w:trHeight w:val="432"/>
        </w:trPr>
        <w:tc>
          <w:tcPr>
            <w:tcW w:w="2880" w:type="dxa"/>
            <w:vAlign w:val="center"/>
          </w:tcPr>
          <w:p w:rsidR="002F6B38" w:rsidRDefault="002F6B38" w:rsidP="0027733A">
            <w:pPr>
              <w:rPr>
                <w:rFonts w:ascii="Times New Roman" w:hAnsi="Times New Roman" w:cs="Times New Roman"/>
                <w:noProof/>
              </w:rPr>
            </w:pPr>
            <w:r>
              <w:rPr>
                <w:rFonts w:ascii="Times New Roman" w:hAnsi="Times New Roman" w:cs="Times New Roman"/>
                <w:noProof/>
              </w:rPr>
              <w:t>Contractor Travel</w:t>
            </w:r>
          </w:p>
        </w:tc>
        <w:tc>
          <w:tcPr>
            <w:tcW w:w="1316" w:type="dxa"/>
            <w:vAlign w:val="center"/>
          </w:tcPr>
          <w:p w:rsidR="002F6B38" w:rsidRDefault="002F6B38" w:rsidP="0027733A">
            <w:pPr>
              <w:jc w:val="right"/>
              <w:rPr>
                <w:rFonts w:ascii="Times New Roman" w:hAnsi="Times New Roman" w:cs="Times New Roman"/>
                <w:noProof/>
              </w:rPr>
            </w:pPr>
            <w:r>
              <w:rPr>
                <w:rFonts w:ascii="Times New Roman" w:hAnsi="Times New Roman" w:cs="Times New Roman"/>
                <w:noProof/>
              </w:rPr>
              <w:t>$6,633.60</w:t>
            </w:r>
          </w:p>
        </w:tc>
      </w:tr>
      <w:tr w:rsidR="002F6B38" w:rsidTr="002815A3">
        <w:trPr>
          <w:trHeight w:val="432"/>
        </w:trPr>
        <w:tc>
          <w:tcPr>
            <w:tcW w:w="2880" w:type="dxa"/>
            <w:vAlign w:val="center"/>
          </w:tcPr>
          <w:p w:rsidR="002F6B38" w:rsidRDefault="002F6B38" w:rsidP="0027733A">
            <w:pPr>
              <w:rPr>
                <w:rFonts w:ascii="Times New Roman" w:hAnsi="Times New Roman" w:cs="Times New Roman"/>
                <w:noProof/>
              </w:rPr>
            </w:pPr>
            <w:r>
              <w:rPr>
                <w:rFonts w:ascii="Times New Roman" w:hAnsi="Times New Roman" w:cs="Times New Roman"/>
                <w:noProof/>
              </w:rPr>
              <w:t>Venue Costs</w:t>
            </w:r>
          </w:p>
        </w:tc>
        <w:tc>
          <w:tcPr>
            <w:tcW w:w="1316" w:type="dxa"/>
            <w:vAlign w:val="center"/>
          </w:tcPr>
          <w:p w:rsidR="002F6B38" w:rsidRDefault="002F6B38" w:rsidP="0027733A">
            <w:pPr>
              <w:jc w:val="right"/>
              <w:rPr>
                <w:rFonts w:ascii="Times New Roman" w:hAnsi="Times New Roman" w:cs="Times New Roman"/>
                <w:noProof/>
              </w:rPr>
            </w:pPr>
            <w:r>
              <w:rPr>
                <w:rFonts w:ascii="Times New Roman" w:hAnsi="Times New Roman" w:cs="Times New Roman"/>
                <w:noProof/>
              </w:rPr>
              <w:t>$5,000.00</w:t>
            </w:r>
          </w:p>
        </w:tc>
      </w:tr>
      <w:tr w:rsidR="002F6B38" w:rsidTr="002815A3">
        <w:trPr>
          <w:trHeight w:val="432"/>
        </w:trPr>
        <w:tc>
          <w:tcPr>
            <w:tcW w:w="2880" w:type="dxa"/>
            <w:vAlign w:val="center"/>
          </w:tcPr>
          <w:p w:rsidR="002F6B38" w:rsidRPr="00075C91" w:rsidRDefault="002F6B38" w:rsidP="0027733A">
            <w:pPr>
              <w:rPr>
                <w:rFonts w:ascii="Times New Roman" w:hAnsi="Times New Roman" w:cs="Times New Roman"/>
                <w:b/>
                <w:noProof/>
              </w:rPr>
            </w:pPr>
          </w:p>
        </w:tc>
        <w:tc>
          <w:tcPr>
            <w:tcW w:w="1316" w:type="dxa"/>
            <w:vAlign w:val="center"/>
          </w:tcPr>
          <w:p w:rsidR="002F6B38" w:rsidRPr="00075C91" w:rsidRDefault="002F6B38" w:rsidP="004F2395">
            <w:pPr>
              <w:jc w:val="right"/>
              <w:rPr>
                <w:rFonts w:ascii="Times New Roman" w:hAnsi="Times New Roman" w:cs="Times New Roman"/>
                <w:b/>
                <w:noProof/>
              </w:rPr>
            </w:pPr>
            <w:r w:rsidRPr="00075C91">
              <w:rPr>
                <w:rFonts w:ascii="Times New Roman" w:hAnsi="Times New Roman" w:cs="Times New Roman"/>
                <w:b/>
                <w:noProof/>
              </w:rPr>
              <w:t>$</w:t>
            </w:r>
            <w:r>
              <w:rPr>
                <w:rFonts w:ascii="Times New Roman" w:hAnsi="Times New Roman" w:cs="Times New Roman"/>
                <w:b/>
                <w:noProof/>
              </w:rPr>
              <w:t>19,138.60</w:t>
            </w:r>
          </w:p>
        </w:tc>
      </w:tr>
    </w:tbl>
    <w:p w:rsidR="000C4642" w:rsidRDefault="000C4642" w:rsidP="0046375B">
      <w:pPr>
        <w:rPr>
          <w:rFonts w:ascii="Times New Roman" w:hAnsi="Times New Roman" w:cs="Times New Roman"/>
          <w:noProof/>
        </w:rPr>
      </w:pPr>
    </w:p>
    <w:p w:rsidR="00E82C2E" w:rsidRDefault="00E82C2E" w:rsidP="0046375B">
      <w:pPr>
        <w:rPr>
          <w:rFonts w:ascii="Times New Roman" w:hAnsi="Times New Roman" w:cs="Times New Roman"/>
          <w:noProof/>
        </w:rPr>
      </w:pPr>
    </w:p>
    <w:p w:rsidR="00E82C2E" w:rsidRDefault="00E82C2E" w:rsidP="0046375B">
      <w:pPr>
        <w:rPr>
          <w:rFonts w:ascii="Times New Roman" w:hAnsi="Times New Roman" w:cs="Times New Roman"/>
          <w:noProof/>
        </w:rPr>
      </w:pPr>
    </w:p>
    <w:p w:rsidR="00E82C2E" w:rsidRDefault="00E82C2E" w:rsidP="0046375B">
      <w:pPr>
        <w:rPr>
          <w:rFonts w:ascii="Times New Roman" w:hAnsi="Times New Roman" w:cs="Times New Roman"/>
          <w:noProof/>
        </w:rPr>
      </w:pPr>
    </w:p>
    <w:p w:rsidR="00A20CD3" w:rsidRPr="000421EA" w:rsidRDefault="00543E45" w:rsidP="0046375B">
      <w:pPr>
        <w:rPr>
          <w:rFonts w:ascii="Times New Roman" w:hAnsi="Times New Roman" w:cs="Times New Roman"/>
          <w:b/>
          <w:noProof/>
        </w:rPr>
      </w:pPr>
      <w:bookmarkStart w:id="20" w:name="A14"/>
      <w:r w:rsidRPr="000421EA">
        <w:rPr>
          <w:rFonts w:ascii="Times New Roman" w:hAnsi="Times New Roman" w:cs="Times New Roman"/>
          <w:b/>
          <w:noProof/>
        </w:rPr>
        <w:t xml:space="preserve">A.14.  </w:t>
      </w:r>
      <w:r w:rsidR="00A20CD3" w:rsidRPr="000421EA">
        <w:rPr>
          <w:rFonts w:ascii="Times New Roman" w:hAnsi="Times New Roman" w:cs="Times New Roman"/>
          <w:b/>
          <w:noProof/>
        </w:rPr>
        <w:t>Annualized Cost to the Federal Government</w:t>
      </w:r>
      <w:bookmarkEnd w:id="20"/>
      <w:r w:rsidR="00A20CD3" w:rsidRPr="000421EA">
        <w:rPr>
          <w:rFonts w:ascii="Times New Roman" w:hAnsi="Times New Roman" w:cs="Times New Roman"/>
          <w:b/>
          <w:noProof/>
        </w:rPr>
        <w:tab/>
      </w:r>
    </w:p>
    <w:p w:rsidR="000421EA" w:rsidRDefault="000421EA" w:rsidP="004F2395">
      <w:pPr>
        <w:spacing w:line="480" w:lineRule="auto"/>
        <w:contextualSpacing/>
        <w:rPr>
          <w:rFonts w:ascii="Times New Roman" w:hAnsi="Times New Roman" w:cs="Times New Roman"/>
          <w:noProof/>
        </w:rPr>
      </w:pPr>
      <w:r w:rsidRPr="004F2395">
        <w:rPr>
          <w:rFonts w:ascii="Times New Roman" w:hAnsi="Times New Roman" w:cs="Times New Roman"/>
          <w:noProof/>
        </w:rPr>
        <w:t>The annual cost to the Federal Government for this data collection request will be $</w:t>
      </w:r>
      <w:r w:rsidR="005844AD">
        <w:rPr>
          <w:rFonts w:ascii="Times New Roman" w:hAnsi="Times New Roman" w:cs="Times New Roman"/>
          <w:noProof/>
        </w:rPr>
        <w:t>1</w:t>
      </w:r>
      <w:r w:rsidR="001D606D">
        <w:rPr>
          <w:rFonts w:ascii="Times New Roman" w:hAnsi="Times New Roman" w:cs="Times New Roman"/>
          <w:noProof/>
        </w:rPr>
        <w:t>10,470</w:t>
      </w:r>
      <w:r w:rsidRPr="004F2395">
        <w:rPr>
          <w:rFonts w:ascii="Times New Roman" w:hAnsi="Times New Roman" w:cs="Times New Roman"/>
          <w:noProof/>
        </w:rPr>
        <w:t xml:space="preserve">, </w:t>
      </w:r>
      <w:r w:rsidR="004F2395" w:rsidRPr="004F2395">
        <w:rPr>
          <w:rFonts w:ascii="Times New Roman" w:hAnsi="Times New Roman" w:cs="Times New Roman"/>
          <w:noProof/>
        </w:rPr>
        <w:t xml:space="preserve">of which the </w:t>
      </w:r>
      <w:r w:rsidRPr="004F2395">
        <w:rPr>
          <w:rFonts w:ascii="Times New Roman" w:hAnsi="Times New Roman" w:cs="Times New Roman"/>
          <w:noProof/>
        </w:rPr>
        <w:t>brea</w:t>
      </w:r>
      <w:r w:rsidR="004F2395" w:rsidRPr="004F2395">
        <w:rPr>
          <w:rFonts w:ascii="Times New Roman" w:hAnsi="Times New Roman" w:cs="Times New Roman"/>
          <w:noProof/>
        </w:rPr>
        <w:t>k</w:t>
      </w:r>
      <w:r w:rsidRPr="004F2395">
        <w:rPr>
          <w:rFonts w:ascii="Times New Roman" w:hAnsi="Times New Roman" w:cs="Times New Roman"/>
          <w:noProof/>
        </w:rPr>
        <w:t>down</w:t>
      </w:r>
      <w:r w:rsidR="004F2395" w:rsidRPr="004F2395">
        <w:rPr>
          <w:rFonts w:ascii="Times New Roman" w:hAnsi="Times New Roman" w:cs="Times New Roman"/>
          <w:noProof/>
        </w:rPr>
        <w:t xml:space="preserve"> of these costs</w:t>
      </w:r>
      <w:r w:rsidRPr="004F2395">
        <w:rPr>
          <w:rFonts w:ascii="Times New Roman" w:hAnsi="Times New Roman" w:cs="Times New Roman"/>
          <w:noProof/>
        </w:rPr>
        <w:t xml:space="preserve"> is listed in Table </w:t>
      </w:r>
      <w:r w:rsidR="005F3DA4">
        <w:rPr>
          <w:rFonts w:ascii="Times New Roman" w:hAnsi="Times New Roman" w:cs="Times New Roman"/>
          <w:noProof/>
        </w:rPr>
        <w:t>14</w:t>
      </w:r>
      <w:r w:rsidRPr="004F2395">
        <w:rPr>
          <w:rFonts w:ascii="Times New Roman" w:hAnsi="Times New Roman" w:cs="Times New Roman"/>
          <w:noProof/>
        </w:rPr>
        <w:t xml:space="preserve"> below.  </w:t>
      </w:r>
      <w:r w:rsidR="004F2395" w:rsidRPr="004F2395">
        <w:rPr>
          <w:rFonts w:ascii="Times New Roman" w:hAnsi="Times New Roman" w:cs="Times New Roman"/>
          <w:noProof/>
        </w:rPr>
        <w:t xml:space="preserve">The contractor's professional fees for the </w:t>
      </w:r>
      <w:r w:rsidR="005F3DA4">
        <w:rPr>
          <w:rFonts w:ascii="Times New Roman" w:hAnsi="Times New Roman" w:cs="Times New Roman"/>
          <w:noProof/>
        </w:rPr>
        <w:t xml:space="preserve">data </w:t>
      </w:r>
      <w:r w:rsidR="004F2395" w:rsidRPr="004F2395">
        <w:rPr>
          <w:rFonts w:ascii="Times New Roman" w:hAnsi="Times New Roman" w:cs="Times New Roman"/>
          <w:noProof/>
        </w:rPr>
        <w:t>collection reflects</w:t>
      </w:r>
      <w:r w:rsidRPr="004F2395">
        <w:rPr>
          <w:rFonts w:ascii="Times New Roman" w:hAnsi="Times New Roman" w:cs="Times New Roman"/>
          <w:noProof/>
        </w:rPr>
        <w:t xml:space="preserve"> a 7% discount on the standard professional rates for projects of similar scope and size.</w:t>
      </w:r>
    </w:p>
    <w:p w:rsidR="00D84445" w:rsidRDefault="005F3DA4" w:rsidP="00D84445">
      <w:pPr>
        <w:autoSpaceDE w:val="0"/>
        <w:autoSpaceDN w:val="0"/>
        <w:ind w:firstLine="720"/>
      </w:pPr>
      <w:bookmarkStart w:id="21" w:name="Table6"/>
      <w:r>
        <w:rPr>
          <w:rFonts w:ascii="Times New Roman" w:hAnsi="Times New Roman" w:cs="Times New Roman"/>
          <w:b/>
          <w:noProof/>
        </w:rPr>
        <w:t>Table 14</w:t>
      </w:r>
      <w:r w:rsidR="004F2395" w:rsidRPr="004F2395">
        <w:rPr>
          <w:rFonts w:ascii="Times New Roman" w:hAnsi="Times New Roman" w:cs="Times New Roman"/>
          <w:b/>
          <w:noProof/>
        </w:rPr>
        <w:t>. T</w:t>
      </w:r>
      <w:r w:rsidR="008B4CB9">
        <w:rPr>
          <w:rFonts w:ascii="Times New Roman" w:hAnsi="Times New Roman" w:cs="Times New Roman"/>
          <w:b/>
          <w:noProof/>
        </w:rPr>
        <w:t>oal Costs to the Federal Govern</w:t>
      </w:r>
      <w:r w:rsidR="004F2395" w:rsidRPr="004F2395">
        <w:rPr>
          <w:rFonts w:ascii="Times New Roman" w:hAnsi="Times New Roman" w:cs="Times New Roman"/>
          <w:b/>
          <w:noProof/>
        </w:rPr>
        <w:t>ment</w:t>
      </w:r>
      <w:bookmarkStart w:id="22" w:name="A15"/>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54"/>
        <w:gridCol w:w="2236"/>
        <w:gridCol w:w="1306"/>
        <w:gridCol w:w="1772"/>
      </w:tblGrid>
      <w:tr w:rsidR="00D84445" w:rsidTr="00DB58D4">
        <w:tc>
          <w:tcPr>
            <w:tcW w:w="2088" w:type="dxa"/>
            <w:shd w:val="clear" w:color="auto" w:fill="auto"/>
          </w:tcPr>
          <w:p w:rsidR="00D84445" w:rsidRDefault="00D84445" w:rsidP="00DB58D4">
            <w:pPr>
              <w:autoSpaceDE w:val="0"/>
              <w:autoSpaceDN w:val="0"/>
            </w:pPr>
            <w:r>
              <w:t>Personnel</w:t>
            </w:r>
          </w:p>
        </w:tc>
        <w:tc>
          <w:tcPr>
            <w:tcW w:w="1454" w:type="dxa"/>
            <w:shd w:val="clear" w:color="auto" w:fill="auto"/>
          </w:tcPr>
          <w:p w:rsidR="00D84445" w:rsidRDefault="00D84445" w:rsidP="00DB58D4">
            <w:pPr>
              <w:autoSpaceDE w:val="0"/>
              <w:autoSpaceDN w:val="0"/>
            </w:pPr>
            <w:r>
              <w:t>Amount</w:t>
            </w:r>
          </w:p>
        </w:tc>
        <w:tc>
          <w:tcPr>
            <w:tcW w:w="2236" w:type="dxa"/>
            <w:shd w:val="clear" w:color="auto" w:fill="auto"/>
          </w:tcPr>
          <w:p w:rsidR="00D84445" w:rsidRDefault="00D84445" w:rsidP="00DB58D4">
            <w:pPr>
              <w:autoSpaceDE w:val="0"/>
              <w:autoSpaceDN w:val="0"/>
            </w:pPr>
            <w:r>
              <w:t>GS Grade and Step</w:t>
            </w:r>
            <w:r w:rsidR="005F3DA4">
              <w:t xml:space="preserve"> or Salary</w:t>
            </w:r>
          </w:p>
        </w:tc>
        <w:tc>
          <w:tcPr>
            <w:tcW w:w="1306" w:type="dxa"/>
            <w:shd w:val="clear" w:color="auto" w:fill="auto"/>
          </w:tcPr>
          <w:p w:rsidR="00D84445" w:rsidRDefault="00D84445" w:rsidP="00DB58D4">
            <w:pPr>
              <w:autoSpaceDE w:val="0"/>
              <w:autoSpaceDN w:val="0"/>
            </w:pPr>
            <w:r>
              <w:t>% Time</w:t>
            </w:r>
          </w:p>
        </w:tc>
        <w:tc>
          <w:tcPr>
            <w:tcW w:w="1772" w:type="dxa"/>
            <w:shd w:val="clear" w:color="auto" w:fill="auto"/>
          </w:tcPr>
          <w:p w:rsidR="00D84445" w:rsidRDefault="00D84445" w:rsidP="00DB58D4">
            <w:pPr>
              <w:autoSpaceDE w:val="0"/>
              <w:autoSpaceDN w:val="0"/>
            </w:pPr>
            <w:r>
              <w:t>Cost</w:t>
            </w:r>
          </w:p>
        </w:tc>
      </w:tr>
      <w:tr w:rsidR="00D84445" w:rsidTr="00DB58D4">
        <w:tc>
          <w:tcPr>
            <w:tcW w:w="2088" w:type="dxa"/>
            <w:shd w:val="clear" w:color="auto" w:fill="auto"/>
          </w:tcPr>
          <w:p w:rsidR="00D84445" w:rsidRDefault="00D84445" w:rsidP="00D84445">
            <w:pPr>
              <w:autoSpaceDE w:val="0"/>
              <w:autoSpaceDN w:val="0"/>
            </w:pPr>
            <w:r>
              <w:t>Scientific Program Specialist</w:t>
            </w:r>
          </w:p>
        </w:tc>
        <w:tc>
          <w:tcPr>
            <w:tcW w:w="1454" w:type="dxa"/>
            <w:shd w:val="clear" w:color="auto" w:fill="auto"/>
          </w:tcPr>
          <w:p w:rsidR="00D84445" w:rsidRDefault="00D84445" w:rsidP="00DB58D4">
            <w:pPr>
              <w:autoSpaceDE w:val="0"/>
              <w:autoSpaceDN w:val="0"/>
            </w:pPr>
            <w:r>
              <w:t xml:space="preserve">        1</w:t>
            </w:r>
          </w:p>
        </w:tc>
        <w:tc>
          <w:tcPr>
            <w:tcW w:w="2236" w:type="dxa"/>
            <w:shd w:val="clear" w:color="auto" w:fill="auto"/>
          </w:tcPr>
          <w:p w:rsidR="00D84445" w:rsidRDefault="00D84445" w:rsidP="00D84445">
            <w:pPr>
              <w:autoSpaceDE w:val="0"/>
              <w:autoSpaceDN w:val="0"/>
            </w:pPr>
            <w:r>
              <w:t xml:space="preserve"> </w:t>
            </w:r>
            <w:r w:rsidR="006C42EE">
              <w:t xml:space="preserve">GS </w:t>
            </w:r>
            <w:r>
              <w:t>13-3</w:t>
            </w:r>
          </w:p>
        </w:tc>
        <w:tc>
          <w:tcPr>
            <w:tcW w:w="1306" w:type="dxa"/>
            <w:shd w:val="clear" w:color="auto" w:fill="auto"/>
          </w:tcPr>
          <w:p w:rsidR="00D84445" w:rsidRDefault="00D84445" w:rsidP="001D606D">
            <w:pPr>
              <w:autoSpaceDE w:val="0"/>
              <w:autoSpaceDN w:val="0"/>
            </w:pPr>
            <w:r>
              <w:t xml:space="preserve">  </w:t>
            </w:r>
            <w:r w:rsidR="001D606D">
              <w:t>1%</w:t>
            </w:r>
          </w:p>
        </w:tc>
        <w:tc>
          <w:tcPr>
            <w:tcW w:w="1772" w:type="dxa"/>
            <w:shd w:val="clear" w:color="auto" w:fill="auto"/>
          </w:tcPr>
          <w:p w:rsidR="00D84445" w:rsidRDefault="00D84445" w:rsidP="001D606D">
            <w:pPr>
              <w:autoSpaceDE w:val="0"/>
              <w:autoSpaceDN w:val="0"/>
            </w:pPr>
            <w:r>
              <w:t>$</w:t>
            </w:r>
            <w:r w:rsidR="001D606D">
              <w:t>970</w:t>
            </w:r>
            <w:r>
              <w:t xml:space="preserve"> </w:t>
            </w:r>
          </w:p>
        </w:tc>
      </w:tr>
      <w:tr w:rsidR="00D84445" w:rsidTr="00DB58D4">
        <w:tc>
          <w:tcPr>
            <w:tcW w:w="2088" w:type="dxa"/>
            <w:shd w:val="clear" w:color="auto" w:fill="auto"/>
          </w:tcPr>
          <w:p w:rsidR="00D84445" w:rsidRDefault="00D84445" w:rsidP="00D84445">
            <w:pPr>
              <w:autoSpaceDE w:val="0"/>
              <w:autoSpaceDN w:val="0"/>
            </w:pPr>
            <w:r>
              <w:t>Program Official</w:t>
            </w:r>
          </w:p>
        </w:tc>
        <w:tc>
          <w:tcPr>
            <w:tcW w:w="1454" w:type="dxa"/>
            <w:shd w:val="clear" w:color="auto" w:fill="auto"/>
          </w:tcPr>
          <w:p w:rsidR="00D84445" w:rsidRDefault="00D84445" w:rsidP="00D84445">
            <w:pPr>
              <w:autoSpaceDE w:val="0"/>
              <w:autoSpaceDN w:val="0"/>
            </w:pPr>
            <w:r>
              <w:t xml:space="preserve">        1</w:t>
            </w:r>
          </w:p>
        </w:tc>
        <w:tc>
          <w:tcPr>
            <w:tcW w:w="2236" w:type="dxa"/>
            <w:shd w:val="clear" w:color="auto" w:fill="auto"/>
          </w:tcPr>
          <w:p w:rsidR="00D84445" w:rsidRDefault="005B77D4" w:rsidP="00D84445">
            <w:pPr>
              <w:autoSpaceDE w:val="0"/>
              <w:autoSpaceDN w:val="0"/>
            </w:pPr>
            <w:r>
              <w:t xml:space="preserve"> </w:t>
            </w:r>
            <w:r w:rsidR="006C42EE">
              <w:t xml:space="preserve">GS </w:t>
            </w:r>
            <w:r w:rsidR="00D84445">
              <w:t>15-10</w:t>
            </w:r>
          </w:p>
        </w:tc>
        <w:tc>
          <w:tcPr>
            <w:tcW w:w="1306" w:type="dxa"/>
            <w:shd w:val="clear" w:color="auto" w:fill="auto"/>
          </w:tcPr>
          <w:p w:rsidR="00D84445" w:rsidRDefault="00D84445" w:rsidP="001D606D">
            <w:pPr>
              <w:autoSpaceDE w:val="0"/>
              <w:autoSpaceDN w:val="0"/>
            </w:pPr>
            <w:r>
              <w:t xml:space="preserve">  </w:t>
            </w:r>
            <w:r w:rsidR="001D606D">
              <w:t>1%</w:t>
            </w:r>
          </w:p>
        </w:tc>
        <w:tc>
          <w:tcPr>
            <w:tcW w:w="1772" w:type="dxa"/>
            <w:shd w:val="clear" w:color="auto" w:fill="auto"/>
          </w:tcPr>
          <w:p w:rsidR="00D84445" w:rsidRDefault="00D84445" w:rsidP="001D606D">
            <w:pPr>
              <w:autoSpaceDE w:val="0"/>
              <w:autoSpaceDN w:val="0"/>
            </w:pPr>
            <w:r>
              <w:t>$</w:t>
            </w:r>
            <w:r w:rsidR="001D606D">
              <w:t>1,500</w:t>
            </w:r>
          </w:p>
        </w:tc>
      </w:tr>
      <w:tr w:rsidR="005F3DA4" w:rsidTr="00DB58D4">
        <w:tc>
          <w:tcPr>
            <w:tcW w:w="2088" w:type="dxa"/>
            <w:shd w:val="clear" w:color="auto" w:fill="auto"/>
          </w:tcPr>
          <w:p w:rsidR="005F3DA4" w:rsidRDefault="005F3DA4" w:rsidP="00D84445">
            <w:pPr>
              <w:autoSpaceDE w:val="0"/>
              <w:autoSpaceDN w:val="0"/>
            </w:pPr>
            <w:r>
              <w:t>Contractor</w:t>
            </w:r>
          </w:p>
        </w:tc>
        <w:tc>
          <w:tcPr>
            <w:tcW w:w="1454" w:type="dxa"/>
            <w:shd w:val="clear" w:color="auto" w:fill="auto"/>
          </w:tcPr>
          <w:p w:rsidR="005F3DA4" w:rsidRDefault="001D606D" w:rsidP="005F3DA4">
            <w:pPr>
              <w:autoSpaceDE w:val="0"/>
              <w:autoSpaceDN w:val="0"/>
            </w:pPr>
            <w:r>
              <w:t xml:space="preserve">        </w:t>
            </w:r>
            <w:r w:rsidR="005F3DA4">
              <w:t>5</w:t>
            </w:r>
          </w:p>
        </w:tc>
        <w:tc>
          <w:tcPr>
            <w:tcW w:w="2236" w:type="dxa"/>
            <w:shd w:val="clear" w:color="auto" w:fill="auto"/>
          </w:tcPr>
          <w:p w:rsidR="005F3DA4" w:rsidRDefault="006C42EE" w:rsidP="006C42EE">
            <w:pPr>
              <w:autoSpaceDE w:val="0"/>
              <w:autoSpaceDN w:val="0"/>
            </w:pPr>
            <w:r>
              <w:t>$21,600</w:t>
            </w:r>
          </w:p>
        </w:tc>
        <w:tc>
          <w:tcPr>
            <w:tcW w:w="1306" w:type="dxa"/>
            <w:shd w:val="clear" w:color="auto" w:fill="auto"/>
          </w:tcPr>
          <w:p w:rsidR="005F3DA4" w:rsidRDefault="001D606D" w:rsidP="00D84445">
            <w:pPr>
              <w:autoSpaceDE w:val="0"/>
              <w:autoSpaceDN w:val="0"/>
            </w:pPr>
            <w:r>
              <w:t>100%</w:t>
            </w:r>
          </w:p>
        </w:tc>
        <w:tc>
          <w:tcPr>
            <w:tcW w:w="1772" w:type="dxa"/>
            <w:shd w:val="clear" w:color="auto" w:fill="auto"/>
          </w:tcPr>
          <w:p w:rsidR="005F3DA4" w:rsidRDefault="006C42EE" w:rsidP="00D84445">
            <w:pPr>
              <w:autoSpaceDE w:val="0"/>
              <w:autoSpaceDN w:val="0"/>
            </w:pPr>
            <w:r>
              <w:t>$108,000</w:t>
            </w:r>
          </w:p>
        </w:tc>
      </w:tr>
    </w:tbl>
    <w:p w:rsidR="00D84445" w:rsidRDefault="00D84445" w:rsidP="00D84445">
      <w:pPr>
        <w:autoSpaceDE w:val="0"/>
        <w:autoSpaceDN w:val="0"/>
        <w:ind w:firstLine="720"/>
      </w:pPr>
    </w:p>
    <w:p w:rsidR="00D36120" w:rsidRDefault="00D36120" w:rsidP="00D84445">
      <w:pPr>
        <w:spacing w:line="240" w:lineRule="auto"/>
        <w:contextualSpacing/>
        <w:rPr>
          <w:rFonts w:ascii="Times New Roman" w:hAnsi="Times New Roman" w:cs="Times New Roman"/>
          <w:b/>
          <w:noProof/>
        </w:rPr>
      </w:pPr>
    </w:p>
    <w:p w:rsidR="00A20CD3" w:rsidRPr="00553059" w:rsidRDefault="00A20CD3" w:rsidP="0046375B">
      <w:pPr>
        <w:rPr>
          <w:rFonts w:ascii="Times New Roman" w:hAnsi="Times New Roman" w:cs="Times New Roman"/>
          <w:b/>
          <w:noProof/>
        </w:rPr>
      </w:pPr>
      <w:r w:rsidRPr="00553059">
        <w:rPr>
          <w:rFonts w:ascii="Times New Roman" w:hAnsi="Times New Roman" w:cs="Times New Roman"/>
          <w:b/>
          <w:noProof/>
        </w:rPr>
        <w:t>A.15</w:t>
      </w:r>
      <w:r w:rsidR="00553059" w:rsidRPr="00553059">
        <w:rPr>
          <w:rFonts w:ascii="Times New Roman" w:hAnsi="Times New Roman" w:cs="Times New Roman"/>
          <w:b/>
          <w:noProof/>
        </w:rPr>
        <w:t xml:space="preserve">.  </w:t>
      </w:r>
      <w:r w:rsidRPr="00553059">
        <w:rPr>
          <w:rFonts w:ascii="Times New Roman" w:hAnsi="Times New Roman" w:cs="Times New Roman"/>
          <w:b/>
          <w:noProof/>
        </w:rPr>
        <w:t>Explanation for Program Changes or Adjustments</w:t>
      </w:r>
      <w:r w:rsidRPr="00553059">
        <w:rPr>
          <w:rFonts w:ascii="Times New Roman" w:hAnsi="Times New Roman" w:cs="Times New Roman"/>
          <w:b/>
          <w:noProof/>
        </w:rPr>
        <w:tab/>
      </w:r>
    </w:p>
    <w:bookmarkEnd w:id="22"/>
    <w:p w:rsidR="00553059" w:rsidRPr="0046375B" w:rsidRDefault="00553059" w:rsidP="0046375B">
      <w:pPr>
        <w:rPr>
          <w:rFonts w:ascii="Times New Roman" w:hAnsi="Times New Roman" w:cs="Times New Roman"/>
          <w:noProof/>
        </w:rPr>
      </w:pPr>
      <w:r>
        <w:rPr>
          <w:rFonts w:ascii="Times New Roman" w:hAnsi="Times New Roman" w:cs="Times New Roman"/>
          <w:noProof/>
        </w:rPr>
        <w:t>This is a new collection of information.</w:t>
      </w:r>
    </w:p>
    <w:p w:rsidR="00553059" w:rsidRDefault="00553059" w:rsidP="00553059">
      <w:pPr>
        <w:spacing w:line="480" w:lineRule="auto"/>
        <w:contextualSpacing/>
        <w:rPr>
          <w:rFonts w:ascii="Times New Roman" w:hAnsi="Times New Roman" w:cs="Times New Roman"/>
          <w:b/>
          <w:noProof/>
        </w:rPr>
      </w:pPr>
    </w:p>
    <w:p w:rsidR="0046375B" w:rsidRPr="00553059" w:rsidRDefault="0046375B" w:rsidP="00553059">
      <w:pPr>
        <w:spacing w:line="480" w:lineRule="auto"/>
        <w:contextualSpacing/>
        <w:rPr>
          <w:rFonts w:ascii="Times New Roman" w:hAnsi="Times New Roman" w:cs="Times New Roman"/>
          <w:b/>
        </w:rPr>
      </w:pPr>
      <w:bookmarkStart w:id="23" w:name="A16"/>
      <w:r w:rsidRPr="00553059">
        <w:rPr>
          <w:rFonts w:ascii="Times New Roman" w:hAnsi="Times New Roman" w:cs="Times New Roman"/>
          <w:b/>
          <w:noProof/>
        </w:rPr>
        <w:t xml:space="preserve">A.16.  </w:t>
      </w:r>
      <w:r w:rsidR="00A20CD3" w:rsidRPr="00553059">
        <w:rPr>
          <w:rFonts w:ascii="Times New Roman" w:hAnsi="Times New Roman" w:cs="Times New Roman"/>
          <w:b/>
          <w:noProof/>
        </w:rPr>
        <w:t>Plans for Tabulation and Publication and Project Time Schedule</w:t>
      </w:r>
    </w:p>
    <w:bookmarkEnd w:id="23"/>
    <w:p w:rsidR="0046375B" w:rsidRDefault="0046375B" w:rsidP="00553059">
      <w:pPr>
        <w:spacing w:line="480" w:lineRule="auto"/>
        <w:contextualSpacing/>
        <w:rPr>
          <w:rFonts w:ascii="Times New Roman" w:hAnsi="Times New Roman" w:cs="Times New Roman"/>
        </w:rPr>
      </w:pPr>
      <w:r w:rsidRPr="0046375B">
        <w:rPr>
          <w:rFonts w:ascii="Times New Roman" w:hAnsi="Times New Roman" w:cs="Times New Roman"/>
        </w:rPr>
        <w:t>There are no plans for statistical analysis with this information collection</w:t>
      </w:r>
      <w:r w:rsidR="00553059">
        <w:rPr>
          <w:rFonts w:ascii="Times New Roman" w:hAnsi="Times New Roman" w:cs="Times New Roman"/>
        </w:rPr>
        <w:t xml:space="preserve"> and </w:t>
      </w:r>
      <w:r w:rsidR="00075C91">
        <w:rPr>
          <w:rFonts w:ascii="Times New Roman" w:hAnsi="Times New Roman" w:cs="Times New Roman"/>
        </w:rPr>
        <w:t xml:space="preserve">the information collected </w:t>
      </w:r>
      <w:r w:rsidR="00553059">
        <w:rPr>
          <w:rFonts w:ascii="Times New Roman" w:hAnsi="Times New Roman" w:cs="Times New Roman"/>
        </w:rPr>
        <w:t>is not intended to be published</w:t>
      </w:r>
      <w:r w:rsidRPr="0046375B">
        <w:rPr>
          <w:rFonts w:ascii="Times New Roman" w:hAnsi="Times New Roman" w:cs="Times New Roman"/>
        </w:rPr>
        <w:t>.</w:t>
      </w:r>
      <w:r w:rsidR="00553059">
        <w:rPr>
          <w:rFonts w:ascii="Times New Roman" w:hAnsi="Times New Roman" w:cs="Times New Roman"/>
        </w:rPr>
        <w:t xml:space="preserve">  It is strictly a qualitative data collection</w:t>
      </w:r>
      <w:r w:rsidR="00075C91">
        <w:rPr>
          <w:rFonts w:ascii="Times New Roman" w:hAnsi="Times New Roman" w:cs="Times New Roman"/>
        </w:rPr>
        <w:t xml:space="preserve"> by means of key informant interviews</w:t>
      </w:r>
      <w:r w:rsidR="00553059">
        <w:rPr>
          <w:rFonts w:ascii="Times New Roman" w:hAnsi="Times New Roman" w:cs="Times New Roman"/>
        </w:rPr>
        <w:t>.  Consequently</w:t>
      </w:r>
      <w:r w:rsidR="00075C91">
        <w:rPr>
          <w:rFonts w:ascii="Times New Roman" w:hAnsi="Times New Roman" w:cs="Times New Roman"/>
        </w:rPr>
        <w:t>,</w:t>
      </w:r>
      <w:r w:rsidR="00553059">
        <w:rPr>
          <w:rFonts w:ascii="Times New Roman" w:hAnsi="Times New Roman" w:cs="Times New Roman"/>
        </w:rPr>
        <w:t xml:space="preserve"> the data analysis plan will be consistent with generally accepted qualitative data reduction and coding procedures.   </w:t>
      </w:r>
    </w:p>
    <w:p w:rsidR="00553059" w:rsidRPr="0046375B" w:rsidRDefault="00553059" w:rsidP="00553059">
      <w:pPr>
        <w:spacing w:line="480" w:lineRule="auto"/>
        <w:contextualSpacing/>
        <w:rPr>
          <w:rFonts w:ascii="Times New Roman" w:hAnsi="Times New Roman" w:cs="Times New Roman"/>
        </w:rPr>
      </w:pPr>
    </w:p>
    <w:p w:rsidR="00553059" w:rsidRPr="00553059" w:rsidRDefault="0046375B" w:rsidP="00553059">
      <w:pPr>
        <w:spacing w:line="480" w:lineRule="auto"/>
        <w:contextualSpacing/>
        <w:rPr>
          <w:rFonts w:ascii="Times New Roman" w:hAnsi="Times New Roman" w:cs="Times New Roman"/>
          <w:b/>
          <w:noProof/>
        </w:rPr>
      </w:pPr>
      <w:bookmarkStart w:id="24" w:name="A17"/>
      <w:r w:rsidRPr="00553059">
        <w:rPr>
          <w:rFonts w:ascii="Times New Roman" w:hAnsi="Times New Roman" w:cs="Times New Roman"/>
          <w:b/>
        </w:rPr>
        <w:lastRenderedPageBreak/>
        <w:t>A</w:t>
      </w:r>
      <w:r w:rsidR="00553059" w:rsidRPr="00553059">
        <w:rPr>
          <w:rFonts w:ascii="Times New Roman" w:hAnsi="Times New Roman" w:cs="Times New Roman"/>
          <w:b/>
          <w:noProof/>
        </w:rPr>
        <w:t xml:space="preserve">.17.  </w:t>
      </w:r>
      <w:r w:rsidR="00A20CD3" w:rsidRPr="00553059">
        <w:rPr>
          <w:rFonts w:ascii="Times New Roman" w:hAnsi="Times New Roman" w:cs="Times New Roman"/>
          <w:b/>
          <w:noProof/>
        </w:rPr>
        <w:t>Reason(s) Display of OMB Expiration Date is Inappropriate</w:t>
      </w:r>
    </w:p>
    <w:bookmarkEnd w:id="24"/>
    <w:p w:rsidR="00A20CD3" w:rsidRPr="0046375B" w:rsidRDefault="00553059" w:rsidP="00553059">
      <w:pPr>
        <w:spacing w:line="480" w:lineRule="auto"/>
        <w:contextualSpacing/>
        <w:rPr>
          <w:rFonts w:ascii="Times New Roman" w:hAnsi="Times New Roman" w:cs="Times New Roman"/>
          <w:noProof/>
        </w:rPr>
      </w:pPr>
      <w:r>
        <w:rPr>
          <w:rFonts w:ascii="Times New Roman" w:hAnsi="Times New Roman" w:cs="Times New Roman"/>
          <w:noProof/>
        </w:rPr>
        <w:t>Not applicable.  We are not s</w:t>
      </w:r>
      <w:r w:rsidR="003F49DE">
        <w:rPr>
          <w:rFonts w:ascii="Times New Roman" w:hAnsi="Times New Roman" w:cs="Times New Roman"/>
          <w:noProof/>
        </w:rPr>
        <w:t>e</w:t>
      </w:r>
      <w:r>
        <w:rPr>
          <w:rFonts w:ascii="Times New Roman" w:hAnsi="Times New Roman" w:cs="Times New Roman"/>
          <w:noProof/>
        </w:rPr>
        <w:t xml:space="preserve">eking an exemption to </w:t>
      </w:r>
      <w:r w:rsidR="00FA288B">
        <w:rPr>
          <w:rFonts w:ascii="Times New Roman" w:hAnsi="Times New Roman" w:cs="Times New Roman"/>
          <w:noProof/>
        </w:rPr>
        <w:t>display</w:t>
      </w:r>
      <w:r>
        <w:rPr>
          <w:rFonts w:ascii="Times New Roman" w:hAnsi="Times New Roman" w:cs="Times New Roman"/>
          <w:noProof/>
        </w:rPr>
        <w:t xml:space="preserve"> the OMB Expiratin Date.</w:t>
      </w:r>
      <w:r w:rsidR="00A20CD3" w:rsidRPr="0046375B">
        <w:rPr>
          <w:rFonts w:ascii="Times New Roman" w:hAnsi="Times New Roman" w:cs="Times New Roman"/>
          <w:noProof/>
        </w:rPr>
        <w:tab/>
      </w:r>
    </w:p>
    <w:p w:rsidR="00553059" w:rsidRDefault="00553059" w:rsidP="00553059">
      <w:pPr>
        <w:spacing w:line="480" w:lineRule="auto"/>
        <w:contextualSpacing/>
        <w:rPr>
          <w:rFonts w:ascii="Times New Roman" w:hAnsi="Times New Roman" w:cs="Times New Roman"/>
          <w:b/>
          <w:noProof/>
        </w:rPr>
      </w:pPr>
    </w:p>
    <w:p w:rsidR="003A14A7" w:rsidRPr="00553059" w:rsidRDefault="00A20CD3" w:rsidP="00553059">
      <w:pPr>
        <w:spacing w:line="480" w:lineRule="auto"/>
        <w:contextualSpacing/>
        <w:rPr>
          <w:rFonts w:ascii="Times New Roman" w:hAnsi="Times New Roman" w:cs="Times New Roman"/>
          <w:b/>
          <w:noProof/>
        </w:rPr>
      </w:pPr>
      <w:bookmarkStart w:id="25" w:name="A18"/>
      <w:r w:rsidRPr="00553059">
        <w:rPr>
          <w:rFonts w:ascii="Times New Roman" w:hAnsi="Times New Roman" w:cs="Times New Roman"/>
          <w:b/>
          <w:noProof/>
        </w:rPr>
        <w:t>A.18</w:t>
      </w:r>
      <w:r w:rsidR="00553059" w:rsidRPr="00553059">
        <w:rPr>
          <w:rFonts w:ascii="Times New Roman" w:hAnsi="Times New Roman" w:cs="Times New Roman"/>
          <w:b/>
          <w:noProof/>
        </w:rPr>
        <w:t xml:space="preserve">.  </w:t>
      </w:r>
      <w:r w:rsidRPr="00553059">
        <w:rPr>
          <w:rFonts w:ascii="Times New Roman" w:hAnsi="Times New Roman" w:cs="Times New Roman"/>
          <w:b/>
          <w:noProof/>
        </w:rPr>
        <w:t>Exceptions to Certification for Paperwork Reduction Act Submissions</w:t>
      </w:r>
      <w:bookmarkEnd w:id="25"/>
    </w:p>
    <w:p w:rsidR="001E1612" w:rsidRPr="001E1612" w:rsidRDefault="00553059" w:rsidP="00536C41">
      <w:pPr>
        <w:spacing w:line="480" w:lineRule="auto"/>
        <w:contextualSpacing/>
        <w:rPr>
          <w:rFonts w:ascii="Times New Roman" w:hAnsi="Times New Roman" w:cs="Times New Roman"/>
          <w:b/>
        </w:rPr>
      </w:pPr>
      <w:r>
        <w:rPr>
          <w:rFonts w:ascii="Times New Roman" w:hAnsi="Times New Roman" w:cs="Times New Roman"/>
          <w:noProof/>
        </w:rPr>
        <w:t>Not applicable.  We are not s</w:t>
      </w:r>
      <w:r w:rsidR="003F49DE">
        <w:rPr>
          <w:rFonts w:ascii="Times New Roman" w:hAnsi="Times New Roman" w:cs="Times New Roman"/>
          <w:noProof/>
        </w:rPr>
        <w:t>e</w:t>
      </w:r>
      <w:r>
        <w:rPr>
          <w:rFonts w:ascii="Times New Roman" w:hAnsi="Times New Roman" w:cs="Times New Roman"/>
          <w:noProof/>
        </w:rPr>
        <w:t xml:space="preserve">eking an exception to </w:t>
      </w:r>
      <w:r w:rsidRPr="0046375B">
        <w:rPr>
          <w:rFonts w:ascii="Times New Roman" w:hAnsi="Times New Roman" w:cs="Times New Roman"/>
          <w:noProof/>
        </w:rPr>
        <w:t>Certification for Paperwork Reduction Act Submissions</w:t>
      </w:r>
    </w:p>
    <w:sectPr w:rsidR="001E1612" w:rsidRPr="001E1612" w:rsidSect="003A14A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743" w:rsidRDefault="00630743" w:rsidP="00FA1CEC">
      <w:pPr>
        <w:spacing w:after="0" w:line="240" w:lineRule="auto"/>
      </w:pPr>
      <w:r>
        <w:separator/>
      </w:r>
    </w:p>
  </w:endnote>
  <w:endnote w:type="continuationSeparator" w:id="0">
    <w:p w:rsidR="00630743" w:rsidRDefault="00630743" w:rsidP="00FA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1910"/>
      <w:docPartObj>
        <w:docPartGallery w:val="Page Numbers (Bottom of Page)"/>
        <w:docPartUnique/>
      </w:docPartObj>
    </w:sdtPr>
    <w:sdtEndPr/>
    <w:sdtContent>
      <w:p w:rsidR="0088312E" w:rsidRDefault="0088312E">
        <w:pPr>
          <w:pStyle w:val="Footer"/>
        </w:pPr>
        <w:r>
          <w:fldChar w:fldCharType="begin"/>
        </w:r>
        <w:r>
          <w:instrText xml:space="preserve"> PAGE   \* MERGEFORMAT </w:instrText>
        </w:r>
        <w:r>
          <w:fldChar w:fldCharType="separate"/>
        </w:r>
        <w:r w:rsidR="003D22FD">
          <w:rPr>
            <w:noProof/>
          </w:rPr>
          <w:t>16</w:t>
        </w:r>
        <w:r>
          <w:rPr>
            <w:noProof/>
          </w:rPr>
          <w:fldChar w:fldCharType="end"/>
        </w:r>
      </w:p>
    </w:sdtContent>
  </w:sdt>
  <w:p w:rsidR="0088312E" w:rsidRDefault="00883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743" w:rsidRDefault="00630743" w:rsidP="00FA1CEC">
      <w:pPr>
        <w:spacing w:after="0" w:line="240" w:lineRule="auto"/>
      </w:pPr>
      <w:r>
        <w:separator/>
      </w:r>
    </w:p>
  </w:footnote>
  <w:footnote w:type="continuationSeparator" w:id="0">
    <w:p w:rsidR="00630743" w:rsidRDefault="00630743" w:rsidP="00FA1CEC">
      <w:pPr>
        <w:spacing w:after="0" w:line="240" w:lineRule="auto"/>
      </w:pPr>
      <w:r>
        <w:continuationSeparator/>
      </w:r>
    </w:p>
  </w:footnote>
  <w:footnote w:id="1">
    <w:p w:rsidR="0088312E" w:rsidRPr="00D87DF4" w:rsidRDefault="0088312E">
      <w:pPr>
        <w:pStyle w:val="FootnoteText"/>
        <w:rPr>
          <w:rFonts w:ascii="Times New Roman" w:hAnsi="Times New Roman"/>
          <w:sz w:val="16"/>
          <w:szCs w:val="16"/>
        </w:rPr>
      </w:pPr>
      <w:r w:rsidRPr="00D87DF4">
        <w:rPr>
          <w:rStyle w:val="FootnoteReference"/>
          <w:rFonts w:ascii="Times New Roman" w:hAnsi="Times New Roman"/>
          <w:sz w:val="16"/>
          <w:szCs w:val="16"/>
        </w:rPr>
        <w:footnoteRef/>
      </w:r>
      <w:r w:rsidRPr="00D87DF4">
        <w:rPr>
          <w:rFonts w:ascii="Times New Roman" w:hAnsi="Times New Roman"/>
          <w:sz w:val="16"/>
          <w:szCs w:val="16"/>
        </w:rPr>
        <w:t xml:space="preserve"> Boston University Cardiovascular Proteomics Center; Johns Hopkins University Proteomic Innovation Center in Heart Failure; Harvard-Broad Proteomics Center; UT Health Center at San Antonio Cardiovascular Proteomics Center; Stanford University Proteomics Center; University of Texas Medical Branch NHLBI Proteomics Center at Galveston; UCLA Proteomics Center- Global Proteomic Initiative of Cardiovascular Medicine</w:t>
      </w:r>
    </w:p>
  </w:footnote>
  <w:footnote w:id="2">
    <w:p w:rsidR="0088312E" w:rsidRDefault="0088312E">
      <w:pPr>
        <w:pStyle w:val="FootnoteText"/>
      </w:pPr>
      <w:r w:rsidRPr="00D87DF4">
        <w:rPr>
          <w:rStyle w:val="FootnoteReference"/>
          <w:rFonts w:ascii="Times New Roman" w:hAnsi="Times New Roman"/>
          <w:sz w:val="16"/>
          <w:szCs w:val="16"/>
        </w:rPr>
        <w:footnoteRef/>
      </w:r>
      <w:r w:rsidRPr="00D87DF4">
        <w:rPr>
          <w:rFonts w:ascii="Times New Roman" w:hAnsi="Times New Roman"/>
          <w:sz w:val="16"/>
          <w:szCs w:val="16"/>
        </w:rPr>
        <w:t xml:space="preserve"> NHLBI Proteomics Coordinating and Administrative Center - UCLA</w:t>
      </w:r>
    </w:p>
  </w:footnote>
  <w:footnote w:id="3">
    <w:p w:rsidR="0088312E" w:rsidRPr="00D87DF4" w:rsidRDefault="0088312E" w:rsidP="00444BA1">
      <w:pPr>
        <w:pStyle w:val="FootnoteText"/>
        <w:rPr>
          <w:rFonts w:ascii="Times New Roman" w:hAnsi="Times New Roman"/>
          <w:sz w:val="16"/>
          <w:szCs w:val="16"/>
        </w:rPr>
      </w:pPr>
      <w:r w:rsidRPr="00D87DF4">
        <w:rPr>
          <w:rStyle w:val="FootnoteReference"/>
          <w:rFonts w:ascii="Times New Roman" w:hAnsi="Times New Roman"/>
          <w:sz w:val="16"/>
          <w:szCs w:val="16"/>
        </w:rPr>
        <w:footnoteRef/>
      </w:r>
      <w:r w:rsidRPr="00D87DF4">
        <w:rPr>
          <w:rFonts w:ascii="Times New Roman" w:hAnsi="Times New Roman"/>
          <w:sz w:val="16"/>
          <w:szCs w:val="16"/>
        </w:rPr>
        <w:t xml:space="preserve"> Guba, E. G., &amp; Lincoln, Y. S. (1990). Fourth-generation evaluation. Newbury Park: Sage. </w:t>
      </w:r>
    </w:p>
    <w:p w:rsidR="0088312E" w:rsidRPr="00543E45" w:rsidRDefault="0088312E" w:rsidP="00444BA1">
      <w:pPr>
        <w:pStyle w:val="FootnoteText"/>
        <w:rPr>
          <w:rFonts w:asciiTheme="majorHAnsi" w:hAnsiTheme="majorHAnsi"/>
        </w:rPr>
      </w:pPr>
    </w:p>
  </w:footnote>
  <w:footnote w:id="4">
    <w:p w:rsidR="0088312E" w:rsidRPr="00543E45" w:rsidRDefault="0088312E" w:rsidP="00444BA1">
      <w:pPr>
        <w:pStyle w:val="FootnoteText"/>
        <w:rPr>
          <w:rFonts w:ascii="Times New Roman" w:hAnsi="Times New Roman"/>
          <w:sz w:val="18"/>
          <w:szCs w:val="18"/>
        </w:rPr>
      </w:pPr>
      <w:r w:rsidRPr="00D87DF4">
        <w:rPr>
          <w:rStyle w:val="FootnoteReference"/>
          <w:rFonts w:ascii="Times New Roman" w:hAnsi="Times New Roman"/>
          <w:sz w:val="16"/>
          <w:szCs w:val="16"/>
        </w:rPr>
        <w:footnoteRef/>
      </w:r>
      <w:r w:rsidRPr="00D87DF4">
        <w:rPr>
          <w:rFonts w:ascii="Times New Roman" w:hAnsi="Times New Roman"/>
          <w:sz w:val="16"/>
          <w:szCs w:val="16"/>
        </w:rPr>
        <w:t xml:space="preserve"> Krippendorf, K. (2004). Content analysis: A introduction to its methodology (2nd ed.). Newbury Park, CA: Sage</w:t>
      </w:r>
      <w:r>
        <w:rPr>
          <w:rFonts w:ascii="Times New Roman" w:hAnsi="Times New Roman"/>
          <w:sz w:val="18"/>
          <w:szCs w:val="18"/>
        </w:rPr>
        <w:t>.</w:t>
      </w:r>
    </w:p>
  </w:footnote>
  <w:footnote w:id="5">
    <w:p w:rsidR="0088312E" w:rsidRDefault="0088312E" w:rsidP="00444BA1">
      <w:pPr>
        <w:pStyle w:val="FootnoteText"/>
      </w:pPr>
      <w:r w:rsidRPr="00D87DF4">
        <w:rPr>
          <w:rStyle w:val="FootnoteReference"/>
          <w:rFonts w:ascii="Times New Roman" w:hAnsi="Times New Roman"/>
          <w:sz w:val="16"/>
          <w:szCs w:val="16"/>
        </w:rPr>
        <w:footnoteRef/>
      </w:r>
      <w:r w:rsidRPr="00D87DF4">
        <w:rPr>
          <w:rFonts w:ascii="Times New Roman" w:hAnsi="Times New Roman"/>
          <w:sz w:val="16"/>
          <w:szCs w:val="16"/>
        </w:rPr>
        <w:t xml:space="preserve"> Guba, E. C. (1978). Toward a Methodology of Naturalistic Inquiry in Educational Evaluation. CSE Monograph Series in Evaluation no. 8. Los Angeles: University of California, Los Angeles, Center for the Study of Evaluation.</w:t>
      </w:r>
      <w:r w:rsidRPr="00E3403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12E" w:rsidRDefault="00883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E39"/>
    <w:multiLevelType w:val="hybridMultilevel"/>
    <w:tmpl w:val="00006DA6"/>
    <w:lvl w:ilvl="0" w:tplc="00001D3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512"/>
    <w:multiLevelType w:val="hybridMultilevel"/>
    <w:tmpl w:val="00005F34"/>
    <w:lvl w:ilvl="0" w:tplc="00004E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4C02B40"/>
    <w:multiLevelType w:val="hybridMultilevel"/>
    <w:tmpl w:val="4FDE7320"/>
    <w:lvl w:ilvl="0" w:tplc="07DE200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676D24"/>
    <w:multiLevelType w:val="hybridMultilevel"/>
    <w:tmpl w:val="94DC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C72C4"/>
    <w:multiLevelType w:val="hybridMultilevel"/>
    <w:tmpl w:val="E67CE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F5852"/>
    <w:multiLevelType w:val="hybridMultilevel"/>
    <w:tmpl w:val="2CCA99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B95645"/>
    <w:multiLevelType w:val="hybridMultilevel"/>
    <w:tmpl w:val="A5EA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72F06"/>
    <w:multiLevelType w:val="hybridMultilevel"/>
    <w:tmpl w:val="56A0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27A84"/>
    <w:multiLevelType w:val="hybridMultilevel"/>
    <w:tmpl w:val="E030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904B8"/>
    <w:multiLevelType w:val="hybridMultilevel"/>
    <w:tmpl w:val="626C2B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732FBB"/>
    <w:multiLevelType w:val="hybridMultilevel"/>
    <w:tmpl w:val="CB34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C645D9"/>
    <w:multiLevelType w:val="hybridMultilevel"/>
    <w:tmpl w:val="AA0E82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91714C1"/>
    <w:multiLevelType w:val="hybridMultilevel"/>
    <w:tmpl w:val="7E62E5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C51922"/>
    <w:multiLevelType w:val="hybridMultilevel"/>
    <w:tmpl w:val="D708F7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04B9B"/>
    <w:multiLevelType w:val="hybridMultilevel"/>
    <w:tmpl w:val="6706C08C"/>
    <w:lvl w:ilvl="0" w:tplc="50822480">
      <w:start w:val="1"/>
      <w:numFmt w:val="decimal"/>
      <w:lvlText w:val="%1."/>
      <w:lvlJc w:val="left"/>
      <w:pPr>
        <w:ind w:left="720" w:hanging="360"/>
      </w:pPr>
      <w:rPr>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097B78"/>
    <w:multiLevelType w:val="hybridMultilevel"/>
    <w:tmpl w:val="DA0C8C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5E640D"/>
    <w:multiLevelType w:val="hybridMultilevel"/>
    <w:tmpl w:val="1474F9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F2C4651"/>
    <w:multiLevelType w:val="hybridMultilevel"/>
    <w:tmpl w:val="AA3AE6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8802B58"/>
    <w:multiLevelType w:val="hybridMultilevel"/>
    <w:tmpl w:val="375A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556A10"/>
    <w:multiLevelType w:val="hybridMultilevel"/>
    <w:tmpl w:val="4666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9"/>
  </w:num>
  <w:num w:numId="5">
    <w:abstractNumId w:val="10"/>
  </w:num>
  <w:num w:numId="6">
    <w:abstractNumId w:val="8"/>
  </w:num>
  <w:num w:numId="7">
    <w:abstractNumId w:val="18"/>
  </w:num>
  <w:num w:numId="8">
    <w:abstractNumId w:val="2"/>
  </w:num>
  <w:num w:numId="9">
    <w:abstractNumId w:val="7"/>
  </w:num>
  <w:num w:numId="10">
    <w:abstractNumId w:val="14"/>
  </w:num>
  <w:num w:numId="11">
    <w:abstractNumId w:val="11"/>
  </w:num>
  <w:num w:numId="12">
    <w:abstractNumId w:val="16"/>
  </w:num>
  <w:num w:numId="13">
    <w:abstractNumId w:val="12"/>
  </w:num>
  <w:num w:numId="14">
    <w:abstractNumId w:val="17"/>
  </w:num>
  <w:num w:numId="15">
    <w:abstractNumId w:val="9"/>
  </w:num>
  <w:num w:numId="16">
    <w:abstractNumId w:val="5"/>
  </w:num>
  <w:num w:numId="17">
    <w:abstractNumId w:val="15"/>
  </w:num>
  <w:num w:numId="18">
    <w:abstractNumId w:val="13"/>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CEC"/>
    <w:rsid w:val="00030389"/>
    <w:rsid w:val="000338AA"/>
    <w:rsid w:val="000421EA"/>
    <w:rsid w:val="00043A70"/>
    <w:rsid w:val="00057AA9"/>
    <w:rsid w:val="000720BC"/>
    <w:rsid w:val="0007279D"/>
    <w:rsid w:val="00075C91"/>
    <w:rsid w:val="000A6287"/>
    <w:rsid w:val="000C4642"/>
    <w:rsid w:val="000C7A15"/>
    <w:rsid w:val="000D145B"/>
    <w:rsid w:val="000D5E39"/>
    <w:rsid w:val="000F71DC"/>
    <w:rsid w:val="00103633"/>
    <w:rsid w:val="00153949"/>
    <w:rsid w:val="00160D37"/>
    <w:rsid w:val="00165696"/>
    <w:rsid w:val="00167782"/>
    <w:rsid w:val="001727F1"/>
    <w:rsid w:val="001975BC"/>
    <w:rsid w:val="001D0F04"/>
    <w:rsid w:val="001D606D"/>
    <w:rsid w:val="001E1612"/>
    <w:rsid w:val="001F7997"/>
    <w:rsid w:val="00206097"/>
    <w:rsid w:val="00220192"/>
    <w:rsid w:val="002272AA"/>
    <w:rsid w:val="00241735"/>
    <w:rsid w:val="00262E2F"/>
    <w:rsid w:val="0027733A"/>
    <w:rsid w:val="002815A3"/>
    <w:rsid w:val="002939A2"/>
    <w:rsid w:val="002A2BDB"/>
    <w:rsid w:val="002C2CC3"/>
    <w:rsid w:val="002D288D"/>
    <w:rsid w:val="002E0FFC"/>
    <w:rsid w:val="002E1F4D"/>
    <w:rsid w:val="002E535F"/>
    <w:rsid w:val="002F6B38"/>
    <w:rsid w:val="002F7F52"/>
    <w:rsid w:val="00335342"/>
    <w:rsid w:val="003A14A7"/>
    <w:rsid w:val="003B47F5"/>
    <w:rsid w:val="003C2FC1"/>
    <w:rsid w:val="003D22FD"/>
    <w:rsid w:val="003D2EEA"/>
    <w:rsid w:val="003D7FF0"/>
    <w:rsid w:val="003F49DE"/>
    <w:rsid w:val="0040426B"/>
    <w:rsid w:val="00432B66"/>
    <w:rsid w:val="00441206"/>
    <w:rsid w:val="00444BA1"/>
    <w:rsid w:val="0046375B"/>
    <w:rsid w:val="0047575F"/>
    <w:rsid w:val="004A7F11"/>
    <w:rsid w:val="004B4949"/>
    <w:rsid w:val="004C1201"/>
    <w:rsid w:val="004F2395"/>
    <w:rsid w:val="004F25E4"/>
    <w:rsid w:val="005027D1"/>
    <w:rsid w:val="00506864"/>
    <w:rsid w:val="005069DC"/>
    <w:rsid w:val="00525F6C"/>
    <w:rsid w:val="00536C41"/>
    <w:rsid w:val="00543E45"/>
    <w:rsid w:val="00553059"/>
    <w:rsid w:val="00566927"/>
    <w:rsid w:val="005844AD"/>
    <w:rsid w:val="005A0304"/>
    <w:rsid w:val="005B77D4"/>
    <w:rsid w:val="005C2C6A"/>
    <w:rsid w:val="005E1433"/>
    <w:rsid w:val="005F3DA4"/>
    <w:rsid w:val="00607924"/>
    <w:rsid w:val="00630743"/>
    <w:rsid w:val="00640600"/>
    <w:rsid w:val="006670F0"/>
    <w:rsid w:val="00683F47"/>
    <w:rsid w:val="006916CB"/>
    <w:rsid w:val="00694960"/>
    <w:rsid w:val="00696A5C"/>
    <w:rsid w:val="00696F6C"/>
    <w:rsid w:val="006C42EE"/>
    <w:rsid w:val="006C67D5"/>
    <w:rsid w:val="006E60C4"/>
    <w:rsid w:val="006F7347"/>
    <w:rsid w:val="00700334"/>
    <w:rsid w:val="007328A7"/>
    <w:rsid w:val="00732946"/>
    <w:rsid w:val="00732C74"/>
    <w:rsid w:val="00775E9D"/>
    <w:rsid w:val="00790FBF"/>
    <w:rsid w:val="007963E8"/>
    <w:rsid w:val="00796E3F"/>
    <w:rsid w:val="007A00A3"/>
    <w:rsid w:val="007B1BC2"/>
    <w:rsid w:val="007D0643"/>
    <w:rsid w:val="00801FCC"/>
    <w:rsid w:val="00824224"/>
    <w:rsid w:val="00825D16"/>
    <w:rsid w:val="0083007C"/>
    <w:rsid w:val="008411D5"/>
    <w:rsid w:val="008433AC"/>
    <w:rsid w:val="008472F9"/>
    <w:rsid w:val="0085025E"/>
    <w:rsid w:val="00853FCF"/>
    <w:rsid w:val="00856E71"/>
    <w:rsid w:val="008679EE"/>
    <w:rsid w:val="00882C1D"/>
    <w:rsid w:val="0088312E"/>
    <w:rsid w:val="00887632"/>
    <w:rsid w:val="00892A88"/>
    <w:rsid w:val="008A2ABE"/>
    <w:rsid w:val="008B0530"/>
    <w:rsid w:val="008B3A30"/>
    <w:rsid w:val="008B4CB9"/>
    <w:rsid w:val="008E186B"/>
    <w:rsid w:val="009253A5"/>
    <w:rsid w:val="00926730"/>
    <w:rsid w:val="00931B5F"/>
    <w:rsid w:val="009539E6"/>
    <w:rsid w:val="00956BA0"/>
    <w:rsid w:val="009A17D3"/>
    <w:rsid w:val="009B5D54"/>
    <w:rsid w:val="009C5673"/>
    <w:rsid w:val="00A07DB2"/>
    <w:rsid w:val="00A07E30"/>
    <w:rsid w:val="00A20CD3"/>
    <w:rsid w:val="00A31A8A"/>
    <w:rsid w:val="00A47A2B"/>
    <w:rsid w:val="00A5332E"/>
    <w:rsid w:val="00A87563"/>
    <w:rsid w:val="00AA593F"/>
    <w:rsid w:val="00AB5AB8"/>
    <w:rsid w:val="00AC2E3D"/>
    <w:rsid w:val="00AC47A0"/>
    <w:rsid w:val="00AD02D2"/>
    <w:rsid w:val="00AE4B08"/>
    <w:rsid w:val="00AF6C62"/>
    <w:rsid w:val="00B0024B"/>
    <w:rsid w:val="00B10669"/>
    <w:rsid w:val="00B2505D"/>
    <w:rsid w:val="00B2666E"/>
    <w:rsid w:val="00B45812"/>
    <w:rsid w:val="00B56AFB"/>
    <w:rsid w:val="00B57374"/>
    <w:rsid w:val="00B85ED8"/>
    <w:rsid w:val="00B969ED"/>
    <w:rsid w:val="00BC3718"/>
    <w:rsid w:val="00C04BF6"/>
    <w:rsid w:val="00C106F6"/>
    <w:rsid w:val="00C21B9B"/>
    <w:rsid w:val="00C44691"/>
    <w:rsid w:val="00C54499"/>
    <w:rsid w:val="00C726D9"/>
    <w:rsid w:val="00CA6E74"/>
    <w:rsid w:val="00D21101"/>
    <w:rsid w:val="00D23376"/>
    <w:rsid w:val="00D253BD"/>
    <w:rsid w:val="00D36120"/>
    <w:rsid w:val="00D47D4F"/>
    <w:rsid w:val="00D74BBF"/>
    <w:rsid w:val="00D80DE8"/>
    <w:rsid w:val="00D84445"/>
    <w:rsid w:val="00D87DF4"/>
    <w:rsid w:val="00D916DE"/>
    <w:rsid w:val="00D937CB"/>
    <w:rsid w:val="00DB0B3E"/>
    <w:rsid w:val="00DC3DDE"/>
    <w:rsid w:val="00DD051F"/>
    <w:rsid w:val="00DF253A"/>
    <w:rsid w:val="00E03B34"/>
    <w:rsid w:val="00E064A1"/>
    <w:rsid w:val="00E06BEE"/>
    <w:rsid w:val="00E25E0C"/>
    <w:rsid w:val="00E31CE2"/>
    <w:rsid w:val="00E419DB"/>
    <w:rsid w:val="00E538DF"/>
    <w:rsid w:val="00E82C2E"/>
    <w:rsid w:val="00EA46A5"/>
    <w:rsid w:val="00EB5639"/>
    <w:rsid w:val="00EC647E"/>
    <w:rsid w:val="00ED3387"/>
    <w:rsid w:val="00EE0F32"/>
    <w:rsid w:val="00F03B46"/>
    <w:rsid w:val="00F61F7B"/>
    <w:rsid w:val="00F65F9A"/>
    <w:rsid w:val="00F75DFC"/>
    <w:rsid w:val="00F814D8"/>
    <w:rsid w:val="00F91011"/>
    <w:rsid w:val="00FA1CEC"/>
    <w:rsid w:val="00FA288B"/>
    <w:rsid w:val="00FA6BCE"/>
    <w:rsid w:val="00FD52ED"/>
    <w:rsid w:val="00FE0752"/>
    <w:rsid w:val="00FE39AD"/>
    <w:rsid w:val="00FE53DE"/>
    <w:rsid w:val="00FF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19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CEC"/>
  </w:style>
  <w:style w:type="paragraph" w:styleId="Footer">
    <w:name w:val="footer"/>
    <w:basedOn w:val="Normal"/>
    <w:link w:val="FooterChar"/>
    <w:uiPriority w:val="99"/>
    <w:unhideWhenUsed/>
    <w:rsid w:val="00FA1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EC"/>
  </w:style>
  <w:style w:type="paragraph" w:styleId="BalloonText">
    <w:name w:val="Balloon Text"/>
    <w:basedOn w:val="Normal"/>
    <w:link w:val="BalloonTextChar"/>
    <w:uiPriority w:val="99"/>
    <w:semiHidden/>
    <w:unhideWhenUsed/>
    <w:rsid w:val="00FA1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EC"/>
    <w:rPr>
      <w:rFonts w:ascii="Tahoma" w:hAnsi="Tahoma" w:cs="Tahoma"/>
      <w:sz w:val="16"/>
      <w:szCs w:val="16"/>
    </w:rPr>
  </w:style>
  <w:style w:type="character" w:styleId="Hyperlink">
    <w:name w:val="Hyperlink"/>
    <w:basedOn w:val="DefaultParagraphFont"/>
    <w:uiPriority w:val="99"/>
    <w:unhideWhenUsed/>
    <w:rsid w:val="008472F9"/>
    <w:rPr>
      <w:color w:val="0000FF" w:themeColor="hyperlink"/>
      <w:u w:val="single"/>
    </w:rPr>
  </w:style>
  <w:style w:type="paragraph" w:styleId="TOC1">
    <w:name w:val="toc 1"/>
    <w:autoRedefine/>
    <w:uiPriority w:val="39"/>
    <w:qFormat/>
    <w:rsid w:val="00543E45"/>
    <w:pPr>
      <w:tabs>
        <w:tab w:val="left" w:pos="0"/>
        <w:tab w:val="left" w:pos="720"/>
        <w:tab w:val="right" w:leader="dot" w:pos="9494"/>
      </w:tabs>
      <w:spacing w:before="120" w:after="120" w:line="480" w:lineRule="auto"/>
    </w:pPr>
    <w:rPr>
      <w:rFonts w:ascii="Times New Roman" w:eastAsia="Times New Roman" w:hAnsi="Times New Roman" w:cs="Times New Roman"/>
      <w:b/>
      <w:caps/>
      <w:noProof/>
      <w:sz w:val="24"/>
      <w:szCs w:val="24"/>
    </w:rPr>
  </w:style>
  <w:style w:type="paragraph" w:styleId="TOC2">
    <w:name w:val="toc 2"/>
    <w:autoRedefine/>
    <w:uiPriority w:val="39"/>
    <w:semiHidden/>
    <w:qFormat/>
    <w:rsid w:val="0046375B"/>
    <w:pPr>
      <w:tabs>
        <w:tab w:val="left" w:pos="0"/>
        <w:tab w:val="right" w:leader="dot" w:pos="9494"/>
      </w:tabs>
      <w:spacing w:before="120" w:after="120" w:line="480" w:lineRule="auto"/>
      <w:contextualSpacing/>
    </w:pPr>
    <w:rPr>
      <w:rFonts w:ascii="Times New Roman" w:eastAsia="Times New Roman" w:hAnsi="Times New Roman" w:cs="Times New Roman"/>
      <w:b/>
      <w:noProof/>
    </w:rPr>
  </w:style>
  <w:style w:type="paragraph" w:styleId="ListParagraph">
    <w:name w:val="List Paragraph"/>
    <w:basedOn w:val="Normal"/>
    <w:uiPriority w:val="34"/>
    <w:qFormat/>
    <w:rsid w:val="003A14A7"/>
    <w:pPr>
      <w:ind w:left="720"/>
      <w:contextualSpacing/>
    </w:pPr>
  </w:style>
  <w:style w:type="character" w:customStyle="1" w:styleId="Heading1Char">
    <w:name w:val="Heading 1 Char"/>
    <w:basedOn w:val="DefaultParagraphFont"/>
    <w:link w:val="Heading1"/>
    <w:uiPriority w:val="9"/>
    <w:rsid w:val="00E419D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E419DB"/>
    <w:rPr>
      <w:sz w:val="16"/>
      <w:szCs w:val="16"/>
    </w:rPr>
  </w:style>
  <w:style w:type="paragraph" w:styleId="CommentText">
    <w:name w:val="annotation text"/>
    <w:basedOn w:val="Normal"/>
    <w:link w:val="CommentTextChar"/>
    <w:uiPriority w:val="99"/>
    <w:semiHidden/>
    <w:unhideWhenUsed/>
    <w:rsid w:val="00E419DB"/>
    <w:pPr>
      <w:spacing w:line="240" w:lineRule="auto"/>
    </w:pPr>
    <w:rPr>
      <w:sz w:val="20"/>
      <w:szCs w:val="20"/>
    </w:rPr>
  </w:style>
  <w:style w:type="character" w:customStyle="1" w:styleId="CommentTextChar">
    <w:name w:val="Comment Text Char"/>
    <w:basedOn w:val="DefaultParagraphFont"/>
    <w:link w:val="CommentText"/>
    <w:uiPriority w:val="99"/>
    <w:semiHidden/>
    <w:rsid w:val="00E419DB"/>
    <w:rPr>
      <w:sz w:val="20"/>
      <w:szCs w:val="20"/>
    </w:rPr>
  </w:style>
  <w:style w:type="paragraph" w:styleId="CommentSubject">
    <w:name w:val="annotation subject"/>
    <w:basedOn w:val="CommentText"/>
    <w:next w:val="CommentText"/>
    <w:link w:val="CommentSubjectChar"/>
    <w:uiPriority w:val="99"/>
    <w:semiHidden/>
    <w:unhideWhenUsed/>
    <w:rsid w:val="00E419DB"/>
    <w:rPr>
      <w:b/>
      <w:bCs/>
    </w:rPr>
  </w:style>
  <w:style w:type="character" w:customStyle="1" w:styleId="CommentSubjectChar">
    <w:name w:val="Comment Subject Char"/>
    <w:basedOn w:val="CommentTextChar"/>
    <w:link w:val="CommentSubject"/>
    <w:uiPriority w:val="99"/>
    <w:semiHidden/>
    <w:rsid w:val="00E419DB"/>
    <w:rPr>
      <w:b/>
      <w:bCs/>
      <w:sz w:val="20"/>
      <w:szCs w:val="20"/>
    </w:rPr>
  </w:style>
  <w:style w:type="character" w:styleId="FollowedHyperlink">
    <w:name w:val="FollowedHyperlink"/>
    <w:basedOn w:val="DefaultParagraphFont"/>
    <w:uiPriority w:val="99"/>
    <w:semiHidden/>
    <w:unhideWhenUsed/>
    <w:rsid w:val="00E419DB"/>
    <w:rPr>
      <w:color w:val="800080" w:themeColor="followedHyperlink"/>
      <w:u w:val="single"/>
    </w:rPr>
  </w:style>
  <w:style w:type="paragraph" w:styleId="FootnoteText">
    <w:name w:val="footnote text"/>
    <w:basedOn w:val="Normal"/>
    <w:link w:val="FootnoteTextChar"/>
    <w:uiPriority w:val="99"/>
    <w:semiHidden/>
    <w:unhideWhenUsed/>
    <w:rsid w:val="00444BA1"/>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444BA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44BA1"/>
    <w:rPr>
      <w:vertAlign w:val="superscript"/>
    </w:rPr>
  </w:style>
  <w:style w:type="table" w:styleId="TableGrid">
    <w:name w:val="Table Grid"/>
    <w:basedOn w:val="TableNormal"/>
    <w:uiPriority w:val="59"/>
    <w:rsid w:val="00B5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06F6"/>
    <w:pPr>
      <w:spacing w:after="0" w:line="240" w:lineRule="auto"/>
    </w:pPr>
  </w:style>
  <w:style w:type="paragraph" w:styleId="TOCHeading">
    <w:name w:val="TOC Heading"/>
    <w:basedOn w:val="Heading1"/>
    <w:next w:val="Normal"/>
    <w:uiPriority w:val="39"/>
    <w:semiHidden/>
    <w:unhideWhenUsed/>
    <w:qFormat/>
    <w:rsid w:val="00EE0F3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semiHidden/>
    <w:unhideWhenUsed/>
    <w:qFormat/>
    <w:rsid w:val="00EE0F32"/>
    <w:pPr>
      <w:spacing w:after="100"/>
      <w:ind w:left="440"/>
    </w:pPr>
  </w:style>
  <w:style w:type="paragraph" w:styleId="BodyText2">
    <w:name w:val="Body Text 2"/>
    <w:basedOn w:val="Normal"/>
    <w:link w:val="BodyText2Char"/>
    <w:semiHidden/>
    <w:rsid w:val="001E1612"/>
    <w:pPr>
      <w:spacing w:after="0" w:line="240" w:lineRule="auto"/>
    </w:pPr>
    <w:rPr>
      <w:rFonts w:ascii="Tahoma" w:eastAsia="Times New Roman" w:hAnsi="Tahoma" w:cs="Times New Roman"/>
      <w:bCs/>
      <w:sz w:val="18"/>
      <w:szCs w:val="20"/>
    </w:rPr>
  </w:style>
  <w:style w:type="character" w:customStyle="1" w:styleId="BodyText2Char">
    <w:name w:val="Body Text 2 Char"/>
    <w:basedOn w:val="DefaultParagraphFont"/>
    <w:link w:val="BodyText2"/>
    <w:semiHidden/>
    <w:rsid w:val="001E1612"/>
    <w:rPr>
      <w:rFonts w:ascii="Tahoma" w:eastAsia="Times New Roman" w:hAnsi="Tahoma" w:cs="Times New Roman"/>
      <w:bCs/>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19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CEC"/>
  </w:style>
  <w:style w:type="paragraph" w:styleId="Footer">
    <w:name w:val="footer"/>
    <w:basedOn w:val="Normal"/>
    <w:link w:val="FooterChar"/>
    <w:uiPriority w:val="99"/>
    <w:unhideWhenUsed/>
    <w:rsid w:val="00FA1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EC"/>
  </w:style>
  <w:style w:type="paragraph" w:styleId="BalloonText">
    <w:name w:val="Balloon Text"/>
    <w:basedOn w:val="Normal"/>
    <w:link w:val="BalloonTextChar"/>
    <w:uiPriority w:val="99"/>
    <w:semiHidden/>
    <w:unhideWhenUsed/>
    <w:rsid w:val="00FA1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EC"/>
    <w:rPr>
      <w:rFonts w:ascii="Tahoma" w:hAnsi="Tahoma" w:cs="Tahoma"/>
      <w:sz w:val="16"/>
      <w:szCs w:val="16"/>
    </w:rPr>
  </w:style>
  <w:style w:type="character" w:styleId="Hyperlink">
    <w:name w:val="Hyperlink"/>
    <w:basedOn w:val="DefaultParagraphFont"/>
    <w:uiPriority w:val="99"/>
    <w:unhideWhenUsed/>
    <w:rsid w:val="008472F9"/>
    <w:rPr>
      <w:color w:val="0000FF" w:themeColor="hyperlink"/>
      <w:u w:val="single"/>
    </w:rPr>
  </w:style>
  <w:style w:type="paragraph" w:styleId="TOC1">
    <w:name w:val="toc 1"/>
    <w:autoRedefine/>
    <w:uiPriority w:val="39"/>
    <w:qFormat/>
    <w:rsid w:val="00543E45"/>
    <w:pPr>
      <w:tabs>
        <w:tab w:val="left" w:pos="0"/>
        <w:tab w:val="left" w:pos="720"/>
        <w:tab w:val="right" w:leader="dot" w:pos="9494"/>
      </w:tabs>
      <w:spacing w:before="120" w:after="120" w:line="480" w:lineRule="auto"/>
    </w:pPr>
    <w:rPr>
      <w:rFonts w:ascii="Times New Roman" w:eastAsia="Times New Roman" w:hAnsi="Times New Roman" w:cs="Times New Roman"/>
      <w:b/>
      <w:caps/>
      <w:noProof/>
      <w:sz w:val="24"/>
      <w:szCs w:val="24"/>
    </w:rPr>
  </w:style>
  <w:style w:type="paragraph" w:styleId="TOC2">
    <w:name w:val="toc 2"/>
    <w:autoRedefine/>
    <w:uiPriority w:val="39"/>
    <w:semiHidden/>
    <w:qFormat/>
    <w:rsid w:val="0046375B"/>
    <w:pPr>
      <w:tabs>
        <w:tab w:val="left" w:pos="0"/>
        <w:tab w:val="right" w:leader="dot" w:pos="9494"/>
      </w:tabs>
      <w:spacing w:before="120" w:after="120" w:line="480" w:lineRule="auto"/>
      <w:contextualSpacing/>
    </w:pPr>
    <w:rPr>
      <w:rFonts w:ascii="Times New Roman" w:eastAsia="Times New Roman" w:hAnsi="Times New Roman" w:cs="Times New Roman"/>
      <w:b/>
      <w:noProof/>
    </w:rPr>
  </w:style>
  <w:style w:type="paragraph" w:styleId="ListParagraph">
    <w:name w:val="List Paragraph"/>
    <w:basedOn w:val="Normal"/>
    <w:uiPriority w:val="34"/>
    <w:qFormat/>
    <w:rsid w:val="003A14A7"/>
    <w:pPr>
      <w:ind w:left="720"/>
      <w:contextualSpacing/>
    </w:pPr>
  </w:style>
  <w:style w:type="character" w:customStyle="1" w:styleId="Heading1Char">
    <w:name w:val="Heading 1 Char"/>
    <w:basedOn w:val="DefaultParagraphFont"/>
    <w:link w:val="Heading1"/>
    <w:uiPriority w:val="9"/>
    <w:rsid w:val="00E419D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E419DB"/>
    <w:rPr>
      <w:sz w:val="16"/>
      <w:szCs w:val="16"/>
    </w:rPr>
  </w:style>
  <w:style w:type="paragraph" w:styleId="CommentText">
    <w:name w:val="annotation text"/>
    <w:basedOn w:val="Normal"/>
    <w:link w:val="CommentTextChar"/>
    <w:uiPriority w:val="99"/>
    <w:semiHidden/>
    <w:unhideWhenUsed/>
    <w:rsid w:val="00E419DB"/>
    <w:pPr>
      <w:spacing w:line="240" w:lineRule="auto"/>
    </w:pPr>
    <w:rPr>
      <w:sz w:val="20"/>
      <w:szCs w:val="20"/>
    </w:rPr>
  </w:style>
  <w:style w:type="character" w:customStyle="1" w:styleId="CommentTextChar">
    <w:name w:val="Comment Text Char"/>
    <w:basedOn w:val="DefaultParagraphFont"/>
    <w:link w:val="CommentText"/>
    <w:uiPriority w:val="99"/>
    <w:semiHidden/>
    <w:rsid w:val="00E419DB"/>
    <w:rPr>
      <w:sz w:val="20"/>
      <w:szCs w:val="20"/>
    </w:rPr>
  </w:style>
  <w:style w:type="paragraph" w:styleId="CommentSubject">
    <w:name w:val="annotation subject"/>
    <w:basedOn w:val="CommentText"/>
    <w:next w:val="CommentText"/>
    <w:link w:val="CommentSubjectChar"/>
    <w:uiPriority w:val="99"/>
    <w:semiHidden/>
    <w:unhideWhenUsed/>
    <w:rsid w:val="00E419DB"/>
    <w:rPr>
      <w:b/>
      <w:bCs/>
    </w:rPr>
  </w:style>
  <w:style w:type="character" w:customStyle="1" w:styleId="CommentSubjectChar">
    <w:name w:val="Comment Subject Char"/>
    <w:basedOn w:val="CommentTextChar"/>
    <w:link w:val="CommentSubject"/>
    <w:uiPriority w:val="99"/>
    <w:semiHidden/>
    <w:rsid w:val="00E419DB"/>
    <w:rPr>
      <w:b/>
      <w:bCs/>
      <w:sz w:val="20"/>
      <w:szCs w:val="20"/>
    </w:rPr>
  </w:style>
  <w:style w:type="character" w:styleId="FollowedHyperlink">
    <w:name w:val="FollowedHyperlink"/>
    <w:basedOn w:val="DefaultParagraphFont"/>
    <w:uiPriority w:val="99"/>
    <w:semiHidden/>
    <w:unhideWhenUsed/>
    <w:rsid w:val="00E419DB"/>
    <w:rPr>
      <w:color w:val="800080" w:themeColor="followedHyperlink"/>
      <w:u w:val="single"/>
    </w:rPr>
  </w:style>
  <w:style w:type="paragraph" w:styleId="FootnoteText">
    <w:name w:val="footnote text"/>
    <w:basedOn w:val="Normal"/>
    <w:link w:val="FootnoteTextChar"/>
    <w:uiPriority w:val="99"/>
    <w:semiHidden/>
    <w:unhideWhenUsed/>
    <w:rsid w:val="00444BA1"/>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444BA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44BA1"/>
    <w:rPr>
      <w:vertAlign w:val="superscript"/>
    </w:rPr>
  </w:style>
  <w:style w:type="table" w:styleId="TableGrid">
    <w:name w:val="Table Grid"/>
    <w:basedOn w:val="TableNormal"/>
    <w:uiPriority w:val="59"/>
    <w:rsid w:val="00B5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06F6"/>
    <w:pPr>
      <w:spacing w:after="0" w:line="240" w:lineRule="auto"/>
    </w:pPr>
  </w:style>
  <w:style w:type="paragraph" w:styleId="TOCHeading">
    <w:name w:val="TOC Heading"/>
    <w:basedOn w:val="Heading1"/>
    <w:next w:val="Normal"/>
    <w:uiPriority w:val="39"/>
    <w:semiHidden/>
    <w:unhideWhenUsed/>
    <w:qFormat/>
    <w:rsid w:val="00EE0F3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semiHidden/>
    <w:unhideWhenUsed/>
    <w:qFormat/>
    <w:rsid w:val="00EE0F32"/>
    <w:pPr>
      <w:spacing w:after="100"/>
      <w:ind w:left="440"/>
    </w:pPr>
  </w:style>
  <w:style w:type="paragraph" w:styleId="BodyText2">
    <w:name w:val="Body Text 2"/>
    <w:basedOn w:val="Normal"/>
    <w:link w:val="BodyText2Char"/>
    <w:semiHidden/>
    <w:rsid w:val="001E1612"/>
    <w:pPr>
      <w:spacing w:after="0" w:line="240" w:lineRule="auto"/>
    </w:pPr>
    <w:rPr>
      <w:rFonts w:ascii="Tahoma" w:eastAsia="Times New Roman" w:hAnsi="Tahoma" w:cs="Times New Roman"/>
      <w:bCs/>
      <w:sz w:val="18"/>
      <w:szCs w:val="20"/>
    </w:rPr>
  </w:style>
  <w:style w:type="character" w:customStyle="1" w:styleId="BodyText2Char">
    <w:name w:val="Body Text 2 Char"/>
    <w:basedOn w:val="DefaultParagraphFont"/>
    <w:link w:val="BodyText2"/>
    <w:semiHidden/>
    <w:rsid w:val="001E1612"/>
    <w:rPr>
      <w:rFonts w:ascii="Tahoma" w:eastAsia="Times New Roman" w:hAnsi="Tahoma" w:cs="Times New Roman"/>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rinivap@nhlbi.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23F3A-0FC7-48B3-AEBA-8AAB3562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5367</Words>
  <Characters>30596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Currie, Mikia (NIH/OD) [E]</cp:lastModifiedBy>
  <cp:revision>2</cp:revision>
  <cp:lastPrinted>2015-02-10T16:57:00Z</cp:lastPrinted>
  <dcterms:created xsi:type="dcterms:W3CDTF">2015-04-08T13:50:00Z</dcterms:created>
  <dcterms:modified xsi:type="dcterms:W3CDTF">2015-04-08T13:50:00Z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