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469AB" w14:textId="77777777" w:rsidR="000F6DD7" w:rsidRPr="00154254" w:rsidRDefault="00416604" w:rsidP="00154254">
      <w:pPr>
        <w:pStyle w:val="Body"/>
        <w:spacing w:line="240" w:lineRule="auto"/>
      </w:pPr>
      <w:bookmarkStart w:id="0" w:name="_GoBack"/>
      <w:bookmarkEnd w:id="0"/>
      <w:r w:rsidRPr="00154254">
        <w:t xml:space="preserve"> </w:t>
      </w:r>
    </w:p>
    <w:p w14:paraId="6E5686E8" w14:textId="77777777" w:rsidR="006F5CDB" w:rsidRPr="00154254" w:rsidRDefault="00330E3E" w:rsidP="00154254">
      <w:pPr>
        <w:spacing w:line="240" w:lineRule="auto"/>
        <w:jc w:val="center"/>
      </w:pPr>
      <w:r w:rsidRPr="00154254">
        <w:rPr>
          <w:bCs/>
          <w:iCs/>
        </w:rPr>
        <w:t>“</w:t>
      </w:r>
      <w:r w:rsidR="007675A8" w:rsidRPr="00154254">
        <w:rPr>
          <w:bCs/>
          <w:iCs/>
        </w:rPr>
        <w:t>Assessing</w:t>
      </w:r>
      <w:r w:rsidR="00AB6F04" w:rsidRPr="00154254">
        <w:rPr>
          <w:bCs/>
          <w:iCs/>
        </w:rPr>
        <w:t xml:space="preserve"> Community-Based Organizations</w:t>
      </w:r>
      <w:r w:rsidR="00D677A6" w:rsidRPr="00154254">
        <w:rPr>
          <w:bCs/>
          <w:iCs/>
        </w:rPr>
        <w:t>’</w:t>
      </w:r>
      <w:r w:rsidR="00AB6F04" w:rsidRPr="00154254">
        <w:rPr>
          <w:bCs/>
          <w:iCs/>
        </w:rPr>
        <w:t xml:space="preserve"> </w:t>
      </w:r>
      <w:r w:rsidR="00AD6447" w:rsidRPr="00154254">
        <w:rPr>
          <w:bCs/>
          <w:iCs/>
        </w:rPr>
        <w:t xml:space="preserve">Partnerships with </w:t>
      </w:r>
      <w:r w:rsidR="00CB2C26" w:rsidRPr="00154254">
        <w:rPr>
          <w:bCs/>
          <w:iCs/>
        </w:rPr>
        <w:t>Schools for the Prevention of HIV/STDs</w:t>
      </w:r>
      <w:r w:rsidRPr="00154254">
        <w:rPr>
          <w:bCs/>
          <w:iCs/>
        </w:rPr>
        <w:t>”</w:t>
      </w:r>
    </w:p>
    <w:p w14:paraId="08825E8E" w14:textId="77777777" w:rsidR="006F5CDB" w:rsidRPr="00154254" w:rsidRDefault="006F5CDB" w:rsidP="00154254">
      <w:pPr>
        <w:spacing w:line="240" w:lineRule="auto"/>
      </w:pPr>
    </w:p>
    <w:p w14:paraId="0C723333" w14:textId="77777777" w:rsidR="000E4EE5" w:rsidRPr="00154254" w:rsidRDefault="000E4EE5" w:rsidP="00154254">
      <w:pPr>
        <w:spacing w:line="240" w:lineRule="auto"/>
        <w:jc w:val="center"/>
      </w:pPr>
    </w:p>
    <w:p w14:paraId="1422D531" w14:textId="77777777" w:rsidR="000E4EE5" w:rsidRPr="00154254" w:rsidRDefault="000E4EE5" w:rsidP="00154254">
      <w:pPr>
        <w:spacing w:line="240" w:lineRule="auto"/>
        <w:jc w:val="center"/>
        <w:rPr>
          <w:bCs/>
          <w:iCs/>
        </w:rPr>
      </w:pPr>
    </w:p>
    <w:p w14:paraId="17596BFB" w14:textId="77777777" w:rsidR="000E4EE5" w:rsidRPr="00154254" w:rsidRDefault="000E4EE5" w:rsidP="00154254">
      <w:pPr>
        <w:spacing w:line="240" w:lineRule="auto"/>
        <w:jc w:val="center"/>
        <w:rPr>
          <w:bCs/>
          <w:iCs/>
        </w:rPr>
      </w:pPr>
    </w:p>
    <w:p w14:paraId="5C9031FB" w14:textId="77777777" w:rsidR="006F5CDB" w:rsidRPr="00154254" w:rsidRDefault="000E4EE5" w:rsidP="00154254">
      <w:pPr>
        <w:spacing w:line="240" w:lineRule="auto"/>
        <w:jc w:val="center"/>
        <w:rPr>
          <w:bCs/>
          <w:iCs/>
        </w:rPr>
      </w:pPr>
      <w:r w:rsidRPr="00154254">
        <w:rPr>
          <w:bCs/>
          <w:iCs/>
        </w:rPr>
        <w:t>OMB #</w:t>
      </w:r>
      <w:r w:rsidR="00265858">
        <w:rPr>
          <w:bCs/>
          <w:iCs/>
        </w:rPr>
        <w:t>0920</w:t>
      </w:r>
      <w:r w:rsidR="00330E3E" w:rsidRPr="00154254">
        <w:rPr>
          <w:bCs/>
          <w:iCs/>
        </w:rPr>
        <w:t>-new</w:t>
      </w:r>
    </w:p>
    <w:p w14:paraId="22DA540F" w14:textId="77777777" w:rsidR="000E4EE5" w:rsidRPr="00154254" w:rsidRDefault="000E4EE5" w:rsidP="00154254">
      <w:pPr>
        <w:spacing w:line="240" w:lineRule="auto"/>
        <w:jc w:val="center"/>
        <w:rPr>
          <w:bCs/>
          <w:iCs/>
        </w:rPr>
      </w:pPr>
    </w:p>
    <w:p w14:paraId="2CD7902D" w14:textId="77777777" w:rsidR="00083F51" w:rsidRPr="00154254" w:rsidRDefault="000E4EE5" w:rsidP="00154254">
      <w:pPr>
        <w:spacing w:line="240" w:lineRule="auto"/>
        <w:jc w:val="center"/>
        <w:rPr>
          <w:bCs/>
          <w:iCs/>
        </w:rPr>
      </w:pPr>
      <w:r w:rsidRPr="00154254">
        <w:rPr>
          <w:bCs/>
          <w:iCs/>
        </w:rPr>
        <w:t xml:space="preserve">Supporting </w:t>
      </w:r>
      <w:r w:rsidR="00082D49" w:rsidRPr="00154254">
        <w:rPr>
          <w:bCs/>
          <w:iCs/>
        </w:rPr>
        <w:t xml:space="preserve">Statement </w:t>
      </w:r>
      <w:r w:rsidRPr="00154254">
        <w:rPr>
          <w:bCs/>
          <w:iCs/>
        </w:rPr>
        <w:t xml:space="preserve">Part </w:t>
      </w:r>
      <w:r w:rsidR="00082D49" w:rsidRPr="00154254">
        <w:rPr>
          <w:bCs/>
          <w:iCs/>
        </w:rPr>
        <w:t>A</w:t>
      </w:r>
    </w:p>
    <w:p w14:paraId="64C2E82F" w14:textId="77777777" w:rsidR="00082D49" w:rsidRPr="00154254" w:rsidRDefault="00082D49" w:rsidP="00154254">
      <w:pPr>
        <w:spacing w:line="240" w:lineRule="auto"/>
        <w:jc w:val="center"/>
        <w:rPr>
          <w:bCs/>
          <w:iCs/>
        </w:rPr>
      </w:pPr>
    </w:p>
    <w:p w14:paraId="24524B1D" w14:textId="77777777" w:rsidR="00082D49" w:rsidRPr="00154254" w:rsidRDefault="00082D49" w:rsidP="00154254">
      <w:pPr>
        <w:spacing w:line="240" w:lineRule="auto"/>
      </w:pPr>
    </w:p>
    <w:p w14:paraId="04184A91" w14:textId="77777777" w:rsidR="00082D49" w:rsidRPr="00154254" w:rsidRDefault="00082D49" w:rsidP="00154254">
      <w:pPr>
        <w:spacing w:line="240" w:lineRule="auto"/>
      </w:pPr>
    </w:p>
    <w:p w14:paraId="32F1448A" w14:textId="77777777" w:rsidR="00330E3E" w:rsidRPr="00154254" w:rsidRDefault="00330E3E" w:rsidP="00154254">
      <w:pPr>
        <w:spacing w:line="240" w:lineRule="auto"/>
      </w:pPr>
    </w:p>
    <w:p w14:paraId="6CDF2DE2" w14:textId="77777777" w:rsidR="00330E3E" w:rsidRPr="00154254" w:rsidRDefault="00265858" w:rsidP="00154254">
      <w:pPr>
        <w:spacing w:line="240" w:lineRule="auto"/>
        <w:jc w:val="center"/>
      </w:pPr>
      <w:r>
        <w:t>March 23, 2015</w:t>
      </w:r>
    </w:p>
    <w:p w14:paraId="48F02971" w14:textId="77777777" w:rsidR="00330E3E" w:rsidRPr="00154254" w:rsidRDefault="00330E3E" w:rsidP="00154254">
      <w:pPr>
        <w:spacing w:line="240" w:lineRule="auto"/>
      </w:pPr>
    </w:p>
    <w:p w14:paraId="4072B515" w14:textId="77777777" w:rsidR="00330E3E" w:rsidRPr="00154254" w:rsidRDefault="00330E3E" w:rsidP="00154254">
      <w:pPr>
        <w:spacing w:line="240" w:lineRule="auto"/>
      </w:pPr>
    </w:p>
    <w:p w14:paraId="0B99C917" w14:textId="77777777" w:rsidR="00082D49" w:rsidRPr="00154254" w:rsidRDefault="00082D49" w:rsidP="00154254">
      <w:pPr>
        <w:spacing w:line="240" w:lineRule="auto"/>
      </w:pPr>
    </w:p>
    <w:p w14:paraId="25C41E65" w14:textId="77777777" w:rsidR="000E4EE5" w:rsidRPr="00154254" w:rsidRDefault="000E4EE5" w:rsidP="00154254">
      <w:pPr>
        <w:spacing w:line="240" w:lineRule="auto"/>
        <w:jc w:val="center"/>
      </w:pPr>
      <w:r w:rsidRPr="00154254">
        <w:t>Supported by:</w:t>
      </w:r>
    </w:p>
    <w:p w14:paraId="6FCED484" w14:textId="77777777" w:rsidR="000E4EE5" w:rsidRPr="00154254" w:rsidRDefault="000E4EE5" w:rsidP="00154254">
      <w:pPr>
        <w:spacing w:line="240" w:lineRule="auto"/>
        <w:jc w:val="center"/>
      </w:pPr>
    </w:p>
    <w:p w14:paraId="6CBBC542" w14:textId="77777777" w:rsidR="000E4EE5" w:rsidRPr="00154254" w:rsidRDefault="000E4EE5" w:rsidP="00154254">
      <w:pPr>
        <w:spacing w:line="240" w:lineRule="auto"/>
        <w:jc w:val="center"/>
      </w:pPr>
      <w:r w:rsidRPr="00154254">
        <w:t>Division of Adolescent and School Health</w:t>
      </w:r>
    </w:p>
    <w:p w14:paraId="7A8B782C" w14:textId="77777777" w:rsidR="000E4EE5" w:rsidRPr="00154254" w:rsidRDefault="000E4EE5" w:rsidP="00154254">
      <w:pPr>
        <w:spacing w:line="240" w:lineRule="auto"/>
        <w:jc w:val="center"/>
      </w:pPr>
      <w:r w:rsidRPr="00154254">
        <w:t>Centers for Disease Control and Prevention</w:t>
      </w:r>
    </w:p>
    <w:p w14:paraId="538E3249" w14:textId="77777777" w:rsidR="00082D49" w:rsidRPr="00154254" w:rsidRDefault="00082D49" w:rsidP="00154254">
      <w:pPr>
        <w:spacing w:line="240" w:lineRule="auto"/>
        <w:jc w:val="center"/>
      </w:pPr>
    </w:p>
    <w:p w14:paraId="112BEF91" w14:textId="77777777" w:rsidR="00ED558A" w:rsidRPr="00154254" w:rsidRDefault="00ED558A" w:rsidP="00154254">
      <w:pPr>
        <w:tabs>
          <w:tab w:val="left" w:leader="dot" w:pos="7200"/>
        </w:tabs>
        <w:spacing w:line="240" w:lineRule="auto"/>
        <w:jc w:val="center"/>
      </w:pPr>
      <w:r w:rsidRPr="00154254">
        <w:t>Catherine Rasberry, PhD</w:t>
      </w:r>
    </w:p>
    <w:p w14:paraId="5D92475E" w14:textId="77777777" w:rsidR="00ED558A" w:rsidRPr="00154254" w:rsidRDefault="00ED558A" w:rsidP="00154254">
      <w:pPr>
        <w:tabs>
          <w:tab w:val="left" w:leader="dot" w:pos="7200"/>
        </w:tabs>
        <w:spacing w:line="240" w:lineRule="auto"/>
        <w:jc w:val="center"/>
      </w:pPr>
      <w:r w:rsidRPr="00154254">
        <w:t>CDC/OID/NCHHSTP, Health Scientist</w:t>
      </w:r>
    </w:p>
    <w:p w14:paraId="4FC8DC1B" w14:textId="77777777" w:rsidR="00ED558A" w:rsidRPr="00154254" w:rsidRDefault="00ED558A" w:rsidP="00154254">
      <w:pPr>
        <w:tabs>
          <w:tab w:val="left" w:leader="dot" w:pos="7200"/>
        </w:tabs>
        <w:spacing w:line="240" w:lineRule="auto"/>
        <w:jc w:val="center"/>
      </w:pPr>
      <w:r w:rsidRPr="00154254">
        <w:t>(404) 718-8170</w:t>
      </w:r>
    </w:p>
    <w:p w14:paraId="67B0D46B" w14:textId="77777777" w:rsidR="00ED558A" w:rsidRPr="00154254" w:rsidRDefault="00BB188E" w:rsidP="00154254">
      <w:pPr>
        <w:tabs>
          <w:tab w:val="left" w:leader="dot" w:pos="7200"/>
        </w:tabs>
        <w:spacing w:line="240" w:lineRule="auto"/>
        <w:jc w:val="center"/>
      </w:pPr>
      <w:hyperlink r:id="rId11" w:history="1">
        <w:r w:rsidR="00ED558A" w:rsidRPr="00154254">
          <w:rPr>
            <w:rStyle w:val="Hyperlink"/>
          </w:rPr>
          <w:t>fhh6@cdc.gov</w:t>
        </w:r>
      </w:hyperlink>
    </w:p>
    <w:p w14:paraId="05D1FA32" w14:textId="77777777" w:rsidR="00ED558A" w:rsidRPr="00154254" w:rsidRDefault="00ED558A" w:rsidP="00154254">
      <w:pPr>
        <w:tabs>
          <w:tab w:val="left" w:leader="dot" w:pos="7200"/>
        </w:tabs>
        <w:spacing w:line="240" w:lineRule="auto"/>
        <w:jc w:val="center"/>
      </w:pPr>
    </w:p>
    <w:p w14:paraId="6378042A" w14:textId="77777777" w:rsidR="00CC43F0" w:rsidRPr="00154254" w:rsidRDefault="00CC43F0" w:rsidP="00154254">
      <w:pPr>
        <w:tabs>
          <w:tab w:val="left" w:leader="dot" w:pos="7200"/>
        </w:tabs>
        <w:spacing w:line="240" w:lineRule="auto"/>
        <w:jc w:val="center"/>
      </w:pPr>
      <w:r w:rsidRPr="00154254">
        <w:t>Elana Morris, MPH</w:t>
      </w:r>
    </w:p>
    <w:p w14:paraId="0E449B59" w14:textId="77777777" w:rsidR="00CC43F0" w:rsidRPr="00154254" w:rsidRDefault="00CC43F0" w:rsidP="00154254">
      <w:pPr>
        <w:tabs>
          <w:tab w:val="left" w:leader="dot" w:pos="7200"/>
        </w:tabs>
        <w:spacing w:line="240" w:lineRule="auto"/>
        <w:jc w:val="center"/>
      </w:pPr>
      <w:r w:rsidRPr="00154254">
        <w:t>CDC/OID/NCHHSTP, Health Scientist</w:t>
      </w:r>
    </w:p>
    <w:p w14:paraId="790861DF" w14:textId="77777777" w:rsidR="00CC43F0" w:rsidRPr="00154254" w:rsidRDefault="00CC43F0" w:rsidP="00154254">
      <w:pPr>
        <w:tabs>
          <w:tab w:val="left" w:leader="dot" w:pos="7200"/>
        </w:tabs>
        <w:spacing w:line="240" w:lineRule="auto"/>
        <w:jc w:val="center"/>
      </w:pPr>
      <w:r w:rsidRPr="00154254">
        <w:t>(404) 718-8193</w:t>
      </w:r>
    </w:p>
    <w:p w14:paraId="519F9F39" w14:textId="77777777" w:rsidR="00CC43F0" w:rsidRPr="00154254" w:rsidRDefault="00BB188E" w:rsidP="0015425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pPr>
      <w:hyperlink r:id="rId12" w:history="1">
        <w:r w:rsidR="00CC43F0" w:rsidRPr="00154254">
          <w:rPr>
            <w:rStyle w:val="Hyperlink"/>
          </w:rPr>
          <w:t>efm9@cdc.gov</w:t>
        </w:r>
      </w:hyperlink>
    </w:p>
    <w:p w14:paraId="73AC273E" w14:textId="77777777" w:rsidR="00CC43F0" w:rsidRPr="00154254" w:rsidRDefault="00CC43F0" w:rsidP="0015425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pPr>
    </w:p>
    <w:p w14:paraId="2E6A780D" w14:textId="77777777" w:rsidR="00CC43F0" w:rsidRPr="00154254" w:rsidRDefault="00CC43F0" w:rsidP="0015425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pPr>
    </w:p>
    <w:p w14:paraId="458C4E62" w14:textId="77777777" w:rsidR="00CC43F0" w:rsidRPr="00154254" w:rsidRDefault="00CC43F0" w:rsidP="0015425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1080"/>
      </w:pPr>
    </w:p>
    <w:p w14:paraId="32A7E044" w14:textId="77777777" w:rsidR="00FB76A1" w:rsidRPr="00154254" w:rsidRDefault="006F5CDB" w:rsidP="00154254">
      <w:pPr>
        <w:spacing w:line="240" w:lineRule="auto"/>
      </w:pPr>
      <w:r w:rsidRPr="00154254">
        <w:br w:type="page"/>
      </w:r>
      <w:bookmarkStart w:id="1" w:name="_Toc227033740"/>
    </w:p>
    <w:bookmarkStart w:id="2" w:name="_Toc352670576" w:displacedByCustomXml="next"/>
    <w:sdt>
      <w:sdtPr>
        <w:rPr>
          <w:bCs/>
        </w:rPr>
        <w:id w:val="1550837655"/>
        <w:docPartObj>
          <w:docPartGallery w:val="Table of Contents"/>
          <w:docPartUnique/>
        </w:docPartObj>
      </w:sdtPr>
      <w:sdtEndPr>
        <w:rPr>
          <w:bCs w:val="0"/>
        </w:rPr>
      </w:sdtEndPr>
      <w:sdtContent>
        <w:p w14:paraId="6D53624C" w14:textId="77777777" w:rsidR="000E4EE5" w:rsidRPr="0029365B" w:rsidRDefault="000E4EE5" w:rsidP="00154254">
          <w:pPr>
            <w:spacing w:line="240" w:lineRule="auto"/>
            <w:jc w:val="center"/>
          </w:pPr>
          <w:r w:rsidRPr="0029365B">
            <w:rPr>
              <w:bCs/>
            </w:rPr>
            <w:t xml:space="preserve">Table of </w:t>
          </w:r>
          <w:r w:rsidR="00FB76A1" w:rsidRPr="0029365B">
            <w:t>Contents</w:t>
          </w:r>
        </w:p>
        <w:p w14:paraId="32EEF665" w14:textId="77777777" w:rsidR="00BE0AF6" w:rsidRPr="0029365B" w:rsidRDefault="00BE0AF6" w:rsidP="00154254">
          <w:pPr>
            <w:spacing w:line="240" w:lineRule="auto"/>
            <w:jc w:val="center"/>
            <w:rPr>
              <w:rFonts w:eastAsiaTheme="majorEastAsia"/>
              <w:bCs/>
              <w:color w:val="365F91" w:themeColor="accent1" w:themeShade="BF"/>
            </w:rPr>
          </w:pPr>
        </w:p>
        <w:p w14:paraId="146F530A" w14:textId="77777777" w:rsidR="00085A3E" w:rsidRPr="0029365B" w:rsidRDefault="00B97639" w:rsidP="00154254">
          <w:pPr>
            <w:pStyle w:val="TOC1"/>
            <w:spacing w:after="0" w:line="240" w:lineRule="auto"/>
            <w:rPr>
              <w:rFonts w:eastAsiaTheme="minorEastAsia"/>
              <w:b w:val="0"/>
            </w:rPr>
          </w:pPr>
          <w:r w:rsidRPr="0029365B">
            <w:rPr>
              <w:rFonts w:eastAsiaTheme="majorEastAsia"/>
              <w:b w:val="0"/>
              <w:bCs/>
              <w:color w:val="365F91" w:themeColor="accent1" w:themeShade="BF"/>
            </w:rPr>
            <w:fldChar w:fldCharType="begin"/>
          </w:r>
          <w:r w:rsidR="00FB76A1" w:rsidRPr="0029365B">
            <w:rPr>
              <w:b w:val="0"/>
            </w:rPr>
            <w:instrText xml:space="preserve"> TOC \o "1-3" \h \z \u </w:instrText>
          </w:r>
          <w:r w:rsidRPr="0029365B">
            <w:rPr>
              <w:rFonts w:eastAsiaTheme="majorEastAsia"/>
              <w:b w:val="0"/>
              <w:bCs/>
              <w:color w:val="365F91" w:themeColor="accent1" w:themeShade="BF"/>
            </w:rPr>
            <w:fldChar w:fldCharType="separate"/>
          </w:r>
          <w:hyperlink w:anchor="_Toc386703696" w:history="1">
            <w:r w:rsidR="00085A3E" w:rsidRPr="0029365B">
              <w:rPr>
                <w:rStyle w:val="Hyperlink"/>
                <w:b w:val="0"/>
              </w:rPr>
              <w:t>A. 1</w:t>
            </w:r>
            <w:r w:rsidR="00085A3E" w:rsidRPr="0029365B">
              <w:rPr>
                <w:rFonts w:eastAsiaTheme="minorEastAsia"/>
                <w:b w:val="0"/>
              </w:rPr>
              <w:tab/>
            </w:r>
            <w:r w:rsidR="00085A3E" w:rsidRPr="0029365B">
              <w:rPr>
                <w:rStyle w:val="Hyperlink"/>
                <w:b w:val="0"/>
              </w:rPr>
              <w:t>Circumstances Making the Collection of Information Necessary</w:t>
            </w:r>
            <w:r w:rsidR="00085A3E" w:rsidRPr="0029365B">
              <w:rPr>
                <w:b w:val="0"/>
                <w:webHidden/>
              </w:rPr>
              <w:tab/>
            </w:r>
          </w:hyperlink>
        </w:p>
        <w:p w14:paraId="0DD17204" w14:textId="77777777" w:rsidR="00085A3E" w:rsidRPr="0029365B" w:rsidRDefault="00BB188E" w:rsidP="00154254">
          <w:pPr>
            <w:pStyle w:val="TOC1"/>
            <w:spacing w:after="0" w:line="240" w:lineRule="auto"/>
            <w:rPr>
              <w:rFonts w:eastAsiaTheme="minorEastAsia"/>
              <w:b w:val="0"/>
            </w:rPr>
          </w:pPr>
          <w:hyperlink w:anchor="_Toc386703697" w:history="1">
            <w:r w:rsidR="00085A3E" w:rsidRPr="0029365B">
              <w:rPr>
                <w:rStyle w:val="Hyperlink"/>
                <w:b w:val="0"/>
              </w:rPr>
              <w:t>A. 2</w:t>
            </w:r>
            <w:r w:rsidR="00085A3E" w:rsidRPr="0029365B">
              <w:rPr>
                <w:rFonts w:eastAsiaTheme="minorEastAsia"/>
                <w:b w:val="0"/>
              </w:rPr>
              <w:tab/>
            </w:r>
            <w:r w:rsidR="00085A3E" w:rsidRPr="0029365B">
              <w:rPr>
                <w:rStyle w:val="Hyperlink"/>
                <w:b w:val="0"/>
              </w:rPr>
              <w:t>Purpose and Use of Information Collection</w:t>
            </w:r>
            <w:r w:rsidR="00085A3E" w:rsidRPr="0029365B">
              <w:rPr>
                <w:b w:val="0"/>
                <w:webHidden/>
              </w:rPr>
              <w:tab/>
            </w:r>
          </w:hyperlink>
        </w:p>
        <w:p w14:paraId="370FAC97" w14:textId="77777777" w:rsidR="00085A3E" w:rsidRPr="0029365B" w:rsidRDefault="00BB188E" w:rsidP="00154254">
          <w:pPr>
            <w:pStyle w:val="TOC1"/>
            <w:spacing w:after="0" w:line="240" w:lineRule="auto"/>
            <w:rPr>
              <w:rFonts w:eastAsiaTheme="minorEastAsia"/>
              <w:b w:val="0"/>
            </w:rPr>
          </w:pPr>
          <w:hyperlink w:anchor="_Toc386703698" w:history="1">
            <w:r w:rsidR="00085A3E" w:rsidRPr="0029365B">
              <w:rPr>
                <w:rStyle w:val="Hyperlink"/>
                <w:b w:val="0"/>
              </w:rPr>
              <w:t>A. 3</w:t>
            </w:r>
            <w:r w:rsidR="00085A3E" w:rsidRPr="0029365B">
              <w:rPr>
                <w:rFonts w:eastAsiaTheme="minorEastAsia"/>
                <w:b w:val="0"/>
              </w:rPr>
              <w:tab/>
            </w:r>
            <w:r w:rsidR="00085A3E" w:rsidRPr="0029365B">
              <w:rPr>
                <w:rStyle w:val="Hyperlink"/>
                <w:b w:val="0"/>
              </w:rPr>
              <w:t>Use of Improved Information Technology and Burden Reduction</w:t>
            </w:r>
            <w:r w:rsidR="00085A3E" w:rsidRPr="0029365B">
              <w:rPr>
                <w:b w:val="0"/>
                <w:webHidden/>
              </w:rPr>
              <w:tab/>
            </w:r>
          </w:hyperlink>
        </w:p>
        <w:p w14:paraId="6F5CEBFA" w14:textId="77777777" w:rsidR="00085A3E" w:rsidRPr="0029365B" w:rsidRDefault="00BB188E" w:rsidP="00154254">
          <w:pPr>
            <w:pStyle w:val="TOC1"/>
            <w:spacing w:after="0" w:line="240" w:lineRule="auto"/>
            <w:rPr>
              <w:rFonts w:eastAsiaTheme="minorEastAsia"/>
              <w:b w:val="0"/>
            </w:rPr>
          </w:pPr>
          <w:hyperlink w:anchor="_Toc386703699" w:history="1">
            <w:r w:rsidR="00085A3E" w:rsidRPr="0029365B">
              <w:rPr>
                <w:rStyle w:val="Hyperlink"/>
                <w:b w:val="0"/>
              </w:rPr>
              <w:t>A. 4</w:t>
            </w:r>
            <w:r w:rsidR="00085A3E" w:rsidRPr="0029365B">
              <w:rPr>
                <w:rFonts w:eastAsiaTheme="minorEastAsia"/>
                <w:b w:val="0"/>
              </w:rPr>
              <w:tab/>
            </w:r>
            <w:r w:rsidR="00085A3E" w:rsidRPr="0029365B">
              <w:rPr>
                <w:rStyle w:val="Hyperlink"/>
                <w:b w:val="0"/>
              </w:rPr>
              <w:t>Efforts to Identify and Use of Similar Information</w:t>
            </w:r>
            <w:r w:rsidR="00085A3E" w:rsidRPr="0029365B">
              <w:rPr>
                <w:b w:val="0"/>
                <w:webHidden/>
              </w:rPr>
              <w:tab/>
            </w:r>
          </w:hyperlink>
        </w:p>
        <w:p w14:paraId="5AD5CED4" w14:textId="77777777" w:rsidR="00085A3E" w:rsidRPr="0029365B" w:rsidRDefault="00BB188E" w:rsidP="00154254">
          <w:pPr>
            <w:pStyle w:val="TOC1"/>
            <w:spacing w:after="0" w:line="240" w:lineRule="auto"/>
            <w:rPr>
              <w:rFonts w:eastAsiaTheme="minorEastAsia"/>
              <w:b w:val="0"/>
            </w:rPr>
          </w:pPr>
          <w:hyperlink w:anchor="_Toc386703700" w:history="1">
            <w:r w:rsidR="00085A3E" w:rsidRPr="0029365B">
              <w:rPr>
                <w:rStyle w:val="Hyperlink"/>
                <w:b w:val="0"/>
              </w:rPr>
              <w:t>A. 5</w:t>
            </w:r>
            <w:r w:rsidR="00085A3E" w:rsidRPr="0029365B">
              <w:rPr>
                <w:rFonts w:eastAsiaTheme="minorEastAsia"/>
                <w:b w:val="0"/>
              </w:rPr>
              <w:tab/>
            </w:r>
            <w:r w:rsidR="00085A3E" w:rsidRPr="0029365B">
              <w:rPr>
                <w:rStyle w:val="Hyperlink"/>
                <w:b w:val="0"/>
              </w:rPr>
              <w:t>Impact of Small Businesses or Other Small Entities</w:t>
            </w:r>
            <w:r w:rsidR="00085A3E" w:rsidRPr="0029365B">
              <w:rPr>
                <w:b w:val="0"/>
                <w:webHidden/>
              </w:rPr>
              <w:tab/>
            </w:r>
          </w:hyperlink>
        </w:p>
        <w:p w14:paraId="576C8257" w14:textId="77777777" w:rsidR="00085A3E" w:rsidRPr="0029365B" w:rsidRDefault="00BB188E" w:rsidP="00154254">
          <w:pPr>
            <w:pStyle w:val="TOC1"/>
            <w:spacing w:after="0" w:line="240" w:lineRule="auto"/>
            <w:rPr>
              <w:rFonts w:eastAsiaTheme="minorEastAsia"/>
              <w:b w:val="0"/>
            </w:rPr>
          </w:pPr>
          <w:hyperlink w:anchor="_Toc386703701" w:history="1">
            <w:r w:rsidR="00085A3E" w:rsidRPr="0029365B">
              <w:rPr>
                <w:rStyle w:val="Hyperlink"/>
                <w:b w:val="0"/>
              </w:rPr>
              <w:t>A. 6</w:t>
            </w:r>
            <w:r w:rsidR="00085A3E" w:rsidRPr="0029365B">
              <w:rPr>
                <w:rFonts w:eastAsiaTheme="minorEastAsia"/>
                <w:b w:val="0"/>
              </w:rPr>
              <w:tab/>
            </w:r>
            <w:r w:rsidR="00085A3E" w:rsidRPr="0029365B">
              <w:rPr>
                <w:rStyle w:val="Hyperlink"/>
                <w:b w:val="0"/>
              </w:rPr>
              <w:t>Consequences of Collecting the Information Less Frequently</w:t>
            </w:r>
            <w:r w:rsidR="00085A3E" w:rsidRPr="0029365B">
              <w:rPr>
                <w:b w:val="0"/>
                <w:webHidden/>
              </w:rPr>
              <w:tab/>
            </w:r>
          </w:hyperlink>
        </w:p>
        <w:p w14:paraId="78D12FF3" w14:textId="77777777" w:rsidR="00085A3E" w:rsidRPr="0029365B" w:rsidRDefault="00BB188E" w:rsidP="00154254">
          <w:pPr>
            <w:pStyle w:val="TOC1"/>
            <w:spacing w:after="0" w:line="240" w:lineRule="auto"/>
            <w:rPr>
              <w:rFonts w:eastAsiaTheme="minorEastAsia"/>
              <w:b w:val="0"/>
            </w:rPr>
          </w:pPr>
          <w:hyperlink w:anchor="_Toc386703702" w:history="1">
            <w:r w:rsidR="00085A3E" w:rsidRPr="0029365B">
              <w:rPr>
                <w:rStyle w:val="Hyperlink"/>
                <w:b w:val="0"/>
              </w:rPr>
              <w:t>A. 7</w:t>
            </w:r>
            <w:r w:rsidR="00085A3E" w:rsidRPr="0029365B">
              <w:rPr>
                <w:rFonts w:eastAsiaTheme="minorEastAsia"/>
                <w:b w:val="0"/>
              </w:rPr>
              <w:tab/>
            </w:r>
            <w:r w:rsidR="00085A3E" w:rsidRPr="0029365B">
              <w:rPr>
                <w:rStyle w:val="Hyperlink"/>
                <w:b w:val="0"/>
              </w:rPr>
              <w:t>Special Circumstances Relating to the Guidelines of 5 CFR 1320.5</w:t>
            </w:r>
            <w:r w:rsidR="00085A3E" w:rsidRPr="0029365B">
              <w:rPr>
                <w:b w:val="0"/>
                <w:webHidden/>
              </w:rPr>
              <w:tab/>
            </w:r>
          </w:hyperlink>
        </w:p>
        <w:p w14:paraId="0C297025" w14:textId="77777777" w:rsidR="00085A3E" w:rsidRPr="0029365B" w:rsidRDefault="00BB188E" w:rsidP="00154254">
          <w:pPr>
            <w:pStyle w:val="TOC1"/>
            <w:spacing w:after="0" w:line="240" w:lineRule="auto"/>
            <w:rPr>
              <w:rFonts w:eastAsiaTheme="minorEastAsia"/>
              <w:b w:val="0"/>
            </w:rPr>
          </w:pPr>
          <w:hyperlink w:anchor="_Toc386703703" w:history="1">
            <w:r w:rsidR="00085A3E" w:rsidRPr="0029365B">
              <w:rPr>
                <w:rStyle w:val="Hyperlink"/>
                <w:b w:val="0"/>
              </w:rPr>
              <w:t>A. 8</w:t>
            </w:r>
            <w:r w:rsidR="00085A3E" w:rsidRPr="0029365B">
              <w:rPr>
                <w:rFonts w:eastAsiaTheme="minorEastAsia"/>
                <w:b w:val="0"/>
              </w:rPr>
              <w:tab/>
            </w:r>
            <w:r w:rsidR="00085A3E" w:rsidRPr="0029365B">
              <w:rPr>
                <w:rStyle w:val="Hyperlink"/>
                <w:b w:val="0"/>
              </w:rPr>
              <w:t>Comments in Response to the Federal Register Notice and Efforts to Consult Outside the Agency</w:t>
            </w:r>
            <w:r w:rsidR="00085A3E" w:rsidRPr="0029365B">
              <w:rPr>
                <w:b w:val="0"/>
                <w:webHidden/>
              </w:rPr>
              <w:tab/>
            </w:r>
          </w:hyperlink>
        </w:p>
        <w:p w14:paraId="2CC00074" w14:textId="77777777" w:rsidR="00085A3E" w:rsidRPr="0029365B" w:rsidRDefault="00BB188E" w:rsidP="00154254">
          <w:pPr>
            <w:pStyle w:val="TOC1"/>
            <w:spacing w:after="0" w:line="240" w:lineRule="auto"/>
            <w:rPr>
              <w:rFonts w:eastAsiaTheme="minorEastAsia"/>
              <w:b w:val="0"/>
            </w:rPr>
          </w:pPr>
          <w:hyperlink w:anchor="_Toc386703704" w:history="1">
            <w:r w:rsidR="00085A3E" w:rsidRPr="0029365B">
              <w:rPr>
                <w:rStyle w:val="Hyperlink"/>
                <w:b w:val="0"/>
              </w:rPr>
              <w:t>A. 9</w:t>
            </w:r>
            <w:r w:rsidR="00085A3E" w:rsidRPr="0029365B">
              <w:rPr>
                <w:rFonts w:eastAsiaTheme="minorEastAsia"/>
                <w:b w:val="0"/>
              </w:rPr>
              <w:tab/>
            </w:r>
            <w:r w:rsidR="00085A3E" w:rsidRPr="0029365B">
              <w:rPr>
                <w:rStyle w:val="Hyperlink"/>
                <w:b w:val="0"/>
              </w:rPr>
              <w:t>Explanation of Any Payment or Gift to Respondents</w:t>
            </w:r>
            <w:r w:rsidR="00085A3E" w:rsidRPr="0029365B">
              <w:rPr>
                <w:b w:val="0"/>
                <w:webHidden/>
              </w:rPr>
              <w:tab/>
            </w:r>
          </w:hyperlink>
        </w:p>
        <w:p w14:paraId="5CDE20C7" w14:textId="77777777" w:rsidR="00085A3E" w:rsidRPr="0029365B" w:rsidRDefault="00BB188E" w:rsidP="00154254">
          <w:pPr>
            <w:pStyle w:val="TOC1"/>
            <w:spacing w:after="0" w:line="240" w:lineRule="auto"/>
            <w:rPr>
              <w:rFonts w:eastAsiaTheme="minorEastAsia"/>
              <w:b w:val="0"/>
            </w:rPr>
          </w:pPr>
          <w:hyperlink w:anchor="_Toc386703705" w:history="1">
            <w:r w:rsidR="00085A3E" w:rsidRPr="0029365B">
              <w:rPr>
                <w:rStyle w:val="Hyperlink"/>
                <w:b w:val="0"/>
              </w:rPr>
              <w:t>A. 10</w:t>
            </w:r>
            <w:r w:rsidR="00085A3E" w:rsidRPr="0029365B">
              <w:rPr>
                <w:rFonts w:eastAsiaTheme="minorEastAsia"/>
                <w:b w:val="0"/>
              </w:rPr>
              <w:tab/>
            </w:r>
            <w:r w:rsidR="00085A3E" w:rsidRPr="0029365B">
              <w:rPr>
                <w:rStyle w:val="Hyperlink"/>
                <w:b w:val="0"/>
              </w:rPr>
              <w:t>Assurance of Confidentiality Provided to Respondents</w:t>
            </w:r>
            <w:r w:rsidR="00085A3E" w:rsidRPr="0029365B">
              <w:rPr>
                <w:b w:val="0"/>
                <w:webHidden/>
              </w:rPr>
              <w:tab/>
            </w:r>
          </w:hyperlink>
        </w:p>
        <w:p w14:paraId="509C6CCD" w14:textId="77777777" w:rsidR="00085A3E" w:rsidRPr="0029365B" w:rsidRDefault="00BB188E" w:rsidP="00154254">
          <w:pPr>
            <w:pStyle w:val="TOC1"/>
            <w:spacing w:after="0" w:line="240" w:lineRule="auto"/>
            <w:rPr>
              <w:rFonts w:eastAsiaTheme="minorEastAsia"/>
              <w:b w:val="0"/>
            </w:rPr>
          </w:pPr>
          <w:hyperlink w:anchor="_Toc386703706" w:history="1">
            <w:r w:rsidR="00085A3E" w:rsidRPr="0029365B">
              <w:rPr>
                <w:rStyle w:val="Hyperlink"/>
                <w:b w:val="0"/>
              </w:rPr>
              <w:t>A. 11</w:t>
            </w:r>
            <w:r w:rsidR="00085A3E" w:rsidRPr="0029365B">
              <w:rPr>
                <w:rFonts w:eastAsiaTheme="minorEastAsia"/>
                <w:b w:val="0"/>
              </w:rPr>
              <w:tab/>
            </w:r>
            <w:r w:rsidR="00085A3E" w:rsidRPr="0029365B">
              <w:rPr>
                <w:rStyle w:val="Hyperlink"/>
                <w:b w:val="0"/>
              </w:rPr>
              <w:t>Justification for Sensitive Questions</w:t>
            </w:r>
            <w:r w:rsidR="00085A3E" w:rsidRPr="0029365B">
              <w:rPr>
                <w:b w:val="0"/>
                <w:webHidden/>
              </w:rPr>
              <w:tab/>
            </w:r>
          </w:hyperlink>
        </w:p>
        <w:p w14:paraId="1C06CDA4" w14:textId="77777777" w:rsidR="00085A3E" w:rsidRPr="0029365B" w:rsidRDefault="00BB188E" w:rsidP="00154254">
          <w:pPr>
            <w:pStyle w:val="TOC1"/>
            <w:spacing w:after="0" w:line="240" w:lineRule="auto"/>
            <w:rPr>
              <w:rFonts w:eastAsiaTheme="minorEastAsia"/>
              <w:b w:val="0"/>
            </w:rPr>
          </w:pPr>
          <w:hyperlink w:anchor="_Toc386703707" w:history="1">
            <w:r w:rsidR="00085A3E" w:rsidRPr="0029365B">
              <w:rPr>
                <w:rStyle w:val="Hyperlink"/>
                <w:b w:val="0"/>
              </w:rPr>
              <w:t>A. 12</w:t>
            </w:r>
            <w:r w:rsidR="00085A3E" w:rsidRPr="0029365B">
              <w:rPr>
                <w:rFonts w:eastAsiaTheme="minorEastAsia"/>
                <w:b w:val="0"/>
              </w:rPr>
              <w:tab/>
            </w:r>
            <w:r w:rsidR="00085A3E" w:rsidRPr="0029365B">
              <w:rPr>
                <w:rStyle w:val="Hyperlink"/>
                <w:b w:val="0"/>
              </w:rPr>
              <w:t>Estimates of Annualized Burden Hours and Costs</w:t>
            </w:r>
            <w:r w:rsidR="00085A3E" w:rsidRPr="0029365B">
              <w:rPr>
                <w:b w:val="0"/>
                <w:webHidden/>
              </w:rPr>
              <w:tab/>
            </w:r>
          </w:hyperlink>
        </w:p>
        <w:p w14:paraId="4C0BC5E6" w14:textId="77777777" w:rsidR="00085A3E" w:rsidRPr="0029365B" w:rsidRDefault="00BB188E" w:rsidP="00154254">
          <w:pPr>
            <w:pStyle w:val="TOC1"/>
            <w:spacing w:after="0" w:line="240" w:lineRule="auto"/>
            <w:rPr>
              <w:rFonts w:eastAsiaTheme="minorEastAsia"/>
              <w:b w:val="0"/>
            </w:rPr>
          </w:pPr>
          <w:hyperlink w:anchor="_Toc386703708" w:history="1">
            <w:r w:rsidR="00085A3E" w:rsidRPr="0029365B">
              <w:rPr>
                <w:rStyle w:val="Hyperlink"/>
                <w:b w:val="0"/>
              </w:rPr>
              <w:t>A. 13</w:t>
            </w:r>
            <w:r w:rsidR="00085A3E" w:rsidRPr="0029365B">
              <w:rPr>
                <w:rFonts w:eastAsiaTheme="minorEastAsia"/>
                <w:b w:val="0"/>
              </w:rPr>
              <w:tab/>
            </w:r>
            <w:r w:rsidR="00085A3E" w:rsidRPr="0029365B">
              <w:rPr>
                <w:rStyle w:val="Hyperlink"/>
                <w:b w:val="0"/>
              </w:rPr>
              <w:t>Estimates of Other Annual Cost Burden to Respondents or Record Keepers</w:t>
            </w:r>
            <w:r w:rsidR="00085A3E" w:rsidRPr="0029365B">
              <w:rPr>
                <w:b w:val="0"/>
                <w:webHidden/>
              </w:rPr>
              <w:tab/>
            </w:r>
          </w:hyperlink>
        </w:p>
        <w:p w14:paraId="7AB3E0AB" w14:textId="77777777" w:rsidR="00085A3E" w:rsidRPr="0029365B" w:rsidRDefault="00BB188E" w:rsidP="00154254">
          <w:pPr>
            <w:pStyle w:val="TOC1"/>
            <w:spacing w:after="0" w:line="240" w:lineRule="auto"/>
            <w:rPr>
              <w:rFonts w:eastAsiaTheme="minorEastAsia"/>
              <w:b w:val="0"/>
            </w:rPr>
          </w:pPr>
          <w:hyperlink w:anchor="_Toc386703709" w:history="1">
            <w:r w:rsidR="00085A3E" w:rsidRPr="0029365B">
              <w:rPr>
                <w:rStyle w:val="Hyperlink"/>
                <w:b w:val="0"/>
              </w:rPr>
              <w:t>A. 14</w:t>
            </w:r>
            <w:r w:rsidR="00085A3E" w:rsidRPr="0029365B">
              <w:rPr>
                <w:rFonts w:eastAsiaTheme="minorEastAsia"/>
                <w:b w:val="0"/>
              </w:rPr>
              <w:tab/>
            </w:r>
            <w:r w:rsidR="00085A3E" w:rsidRPr="0029365B">
              <w:rPr>
                <w:rStyle w:val="Hyperlink"/>
                <w:b w:val="0"/>
              </w:rPr>
              <w:t>Annualized Cost to Federal Government</w:t>
            </w:r>
            <w:r w:rsidR="00085A3E" w:rsidRPr="0029365B">
              <w:rPr>
                <w:b w:val="0"/>
                <w:webHidden/>
              </w:rPr>
              <w:tab/>
            </w:r>
          </w:hyperlink>
        </w:p>
        <w:p w14:paraId="61BEF156" w14:textId="77777777" w:rsidR="00085A3E" w:rsidRPr="0029365B" w:rsidRDefault="00BB188E" w:rsidP="00154254">
          <w:pPr>
            <w:pStyle w:val="TOC1"/>
            <w:spacing w:after="0" w:line="240" w:lineRule="auto"/>
            <w:rPr>
              <w:rFonts w:eastAsiaTheme="minorEastAsia"/>
              <w:b w:val="0"/>
            </w:rPr>
          </w:pPr>
          <w:hyperlink w:anchor="_Toc386703710" w:history="1">
            <w:r w:rsidR="00085A3E" w:rsidRPr="0029365B">
              <w:rPr>
                <w:rStyle w:val="Hyperlink"/>
                <w:b w:val="0"/>
              </w:rPr>
              <w:t>A. 15</w:t>
            </w:r>
            <w:r w:rsidR="00085A3E" w:rsidRPr="0029365B">
              <w:rPr>
                <w:rFonts w:eastAsiaTheme="minorEastAsia"/>
                <w:b w:val="0"/>
              </w:rPr>
              <w:tab/>
            </w:r>
            <w:r w:rsidR="00085A3E" w:rsidRPr="0029365B">
              <w:rPr>
                <w:rStyle w:val="Hyperlink"/>
                <w:b w:val="0"/>
              </w:rPr>
              <w:t>Explanation for Program Changes or Adjustments</w:t>
            </w:r>
            <w:r w:rsidR="00085A3E" w:rsidRPr="0029365B">
              <w:rPr>
                <w:b w:val="0"/>
                <w:webHidden/>
              </w:rPr>
              <w:tab/>
            </w:r>
          </w:hyperlink>
        </w:p>
        <w:p w14:paraId="753D5BC3" w14:textId="77777777" w:rsidR="00085A3E" w:rsidRPr="0029365B" w:rsidRDefault="00BB188E" w:rsidP="00154254">
          <w:pPr>
            <w:pStyle w:val="TOC1"/>
            <w:spacing w:after="0" w:line="240" w:lineRule="auto"/>
            <w:rPr>
              <w:rFonts w:eastAsiaTheme="minorEastAsia"/>
              <w:b w:val="0"/>
            </w:rPr>
          </w:pPr>
          <w:hyperlink w:anchor="_Toc386703711" w:history="1">
            <w:r w:rsidR="00085A3E" w:rsidRPr="0029365B">
              <w:rPr>
                <w:rStyle w:val="Hyperlink"/>
                <w:b w:val="0"/>
              </w:rPr>
              <w:t>A. 16</w:t>
            </w:r>
            <w:r w:rsidR="00085A3E" w:rsidRPr="0029365B">
              <w:rPr>
                <w:rFonts w:eastAsiaTheme="minorEastAsia"/>
                <w:b w:val="0"/>
              </w:rPr>
              <w:tab/>
            </w:r>
            <w:r w:rsidR="00085A3E" w:rsidRPr="0029365B">
              <w:rPr>
                <w:rStyle w:val="Hyperlink"/>
                <w:b w:val="0"/>
              </w:rPr>
              <w:t>Plans for Tabulation and Publication and Project Time Schedule</w:t>
            </w:r>
            <w:r w:rsidR="00085A3E" w:rsidRPr="0029365B">
              <w:rPr>
                <w:b w:val="0"/>
                <w:webHidden/>
              </w:rPr>
              <w:tab/>
            </w:r>
          </w:hyperlink>
        </w:p>
        <w:p w14:paraId="4DF63AC8" w14:textId="77777777" w:rsidR="00085A3E" w:rsidRPr="0029365B" w:rsidRDefault="00BB188E" w:rsidP="00154254">
          <w:pPr>
            <w:pStyle w:val="TOC1"/>
            <w:spacing w:after="0" w:line="240" w:lineRule="auto"/>
            <w:rPr>
              <w:rFonts w:eastAsiaTheme="minorEastAsia"/>
              <w:b w:val="0"/>
            </w:rPr>
          </w:pPr>
          <w:hyperlink w:anchor="_Toc386703712" w:history="1">
            <w:r w:rsidR="00085A3E" w:rsidRPr="0029365B">
              <w:rPr>
                <w:rStyle w:val="Hyperlink"/>
                <w:b w:val="0"/>
              </w:rPr>
              <w:t>A. 17</w:t>
            </w:r>
            <w:r w:rsidR="00085A3E" w:rsidRPr="0029365B">
              <w:rPr>
                <w:rFonts w:eastAsiaTheme="minorEastAsia"/>
                <w:b w:val="0"/>
              </w:rPr>
              <w:tab/>
            </w:r>
            <w:r w:rsidR="00085A3E" w:rsidRPr="0029365B">
              <w:rPr>
                <w:rStyle w:val="Hyperlink"/>
                <w:b w:val="0"/>
              </w:rPr>
              <w:t>Reason(s) Display of OMB Expiration Date is Inappropriate</w:t>
            </w:r>
            <w:r w:rsidR="00085A3E" w:rsidRPr="0029365B">
              <w:rPr>
                <w:b w:val="0"/>
                <w:webHidden/>
              </w:rPr>
              <w:tab/>
            </w:r>
          </w:hyperlink>
        </w:p>
        <w:p w14:paraId="7A39D6B5" w14:textId="77777777" w:rsidR="00085A3E" w:rsidRPr="0029365B" w:rsidRDefault="00BB188E" w:rsidP="00154254">
          <w:pPr>
            <w:pStyle w:val="TOC1"/>
            <w:spacing w:after="0" w:line="240" w:lineRule="auto"/>
            <w:rPr>
              <w:b w:val="0"/>
            </w:rPr>
          </w:pPr>
          <w:hyperlink w:anchor="_Toc386703713" w:history="1">
            <w:r w:rsidR="00085A3E" w:rsidRPr="0029365B">
              <w:rPr>
                <w:rStyle w:val="Hyperlink"/>
                <w:b w:val="0"/>
              </w:rPr>
              <w:t>A. 18</w:t>
            </w:r>
            <w:r w:rsidR="00085A3E" w:rsidRPr="0029365B">
              <w:rPr>
                <w:rFonts w:eastAsiaTheme="minorEastAsia"/>
                <w:b w:val="0"/>
              </w:rPr>
              <w:tab/>
            </w:r>
            <w:r w:rsidR="00085A3E" w:rsidRPr="0029365B">
              <w:rPr>
                <w:rStyle w:val="Hyperlink"/>
                <w:b w:val="0"/>
              </w:rPr>
              <w:t>Exceptions to Certification for Paperwork Reduction Act Submissions</w:t>
            </w:r>
            <w:r w:rsidR="00085A3E" w:rsidRPr="0029365B">
              <w:rPr>
                <w:b w:val="0"/>
                <w:webHidden/>
              </w:rPr>
              <w:tab/>
            </w:r>
          </w:hyperlink>
        </w:p>
        <w:p w14:paraId="17EEC59B" w14:textId="77777777" w:rsidR="000344C8" w:rsidRPr="0029365B" w:rsidRDefault="00BB188E" w:rsidP="000344C8">
          <w:pPr>
            <w:pStyle w:val="TOC1"/>
            <w:rPr>
              <w:rFonts w:eastAsiaTheme="minorEastAsia"/>
              <w:b w:val="0"/>
              <w:color w:val="000000" w:themeColor="text1"/>
            </w:rPr>
          </w:pPr>
          <w:hyperlink w:anchor="_Toc387668758" w:history="1">
            <w:r w:rsidR="000344C8" w:rsidRPr="0029365B">
              <w:rPr>
                <w:rStyle w:val="Hyperlink"/>
                <w:b w:val="0"/>
                <w:color w:val="000000" w:themeColor="text1"/>
              </w:rPr>
              <w:t>B.1</w:t>
            </w:r>
            <w:r w:rsidR="000344C8" w:rsidRPr="0029365B">
              <w:rPr>
                <w:rFonts w:eastAsiaTheme="minorEastAsia"/>
                <w:b w:val="0"/>
                <w:color w:val="000000" w:themeColor="text1"/>
              </w:rPr>
              <w:tab/>
            </w:r>
            <w:r w:rsidR="000344C8" w:rsidRPr="0029365B">
              <w:rPr>
                <w:rStyle w:val="Hyperlink"/>
                <w:b w:val="0"/>
                <w:color w:val="000000" w:themeColor="text1"/>
              </w:rPr>
              <w:t>Respondent Universe and Sampling Methods</w:t>
            </w:r>
            <w:r w:rsidR="000344C8" w:rsidRPr="0029365B">
              <w:rPr>
                <w:b w:val="0"/>
                <w:webHidden/>
                <w:color w:val="000000" w:themeColor="text1"/>
              </w:rPr>
              <w:tab/>
            </w:r>
          </w:hyperlink>
        </w:p>
        <w:p w14:paraId="3E1F9BDB" w14:textId="77777777" w:rsidR="000344C8" w:rsidRPr="0029365B" w:rsidRDefault="00BB188E" w:rsidP="000344C8">
          <w:pPr>
            <w:pStyle w:val="TOC1"/>
            <w:rPr>
              <w:rFonts w:eastAsiaTheme="minorEastAsia"/>
              <w:b w:val="0"/>
              <w:color w:val="000000" w:themeColor="text1"/>
            </w:rPr>
          </w:pPr>
          <w:hyperlink w:anchor="_Toc387668759" w:history="1">
            <w:r w:rsidR="000344C8" w:rsidRPr="0029365B">
              <w:rPr>
                <w:rStyle w:val="Hyperlink"/>
                <w:b w:val="0"/>
                <w:color w:val="000000" w:themeColor="text1"/>
              </w:rPr>
              <w:t>B.2</w:t>
            </w:r>
            <w:r w:rsidR="000344C8" w:rsidRPr="0029365B">
              <w:rPr>
                <w:rFonts w:eastAsiaTheme="minorEastAsia"/>
                <w:b w:val="0"/>
                <w:color w:val="000000" w:themeColor="text1"/>
              </w:rPr>
              <w:tab/>
            </w:r>
            <w:r w:rsidR="000344C8" w:rsidRPr="0029365B">
              <w:rPr>
                <w:rStyle w:val="Hyperlink"/>
                <w:b w:val="0"/>
                <w:color w:val="000000" w:themeColor="text1"/>
              </w:rPr>
              <w:t>Procedures for the Collection of Information</w:t>
            </w:r>
            <w:r w:rsidR="000344C8" w:rsidRPr="0029365B">
              <w:rPr>
                <w:b w:val="0"/>
                <w:webHidden/>
                <w:color w:val="000000" w:themeColor="text1"/>
              </w:rPr>
              <w:tab/>
            </w:r>
          </w:hyperlink>
        </w:p>
        <w:p w14:paraId="5DAB0483" w14:textId="77777777" w:rsidR="000344C8" w:rsidRPr="0029365B" w:rsidRDefault="00BB188E" w:rsidP="000344C8">
          <w:pPr>
            <w:pStyle w:val="TOC1"/>
            <w:rPr>
              <w:rFonts w:eastAsiaTheme="minorEastAsia"/>
              <w:b w:val="0"/>
              <w:color w:val="000000" w:themeColor="text1"/>
            </w:rPr>
          </w:pPr>
          <w:hyperlink w:anchor="_Toc387668760" w:history="1">
            <w:r w:rsidR="000344C8" w:rsidRPr="0029365B">
              <w:rPr>
                <w:rStyle w:val="Hyperlink"/>
                <w:b w:val="0"/>
                <w:color w:val="000000" w:themeColor="text1"/>
              </w:rPr>
              <w:t>B.3</w:t>
            </w:r>
            <w:r w:rsidR="000344C8" w:rsidRPr="0029365B">
              <w:rPr>
                <w:rFonts w:eastAsiaTheme="minorEastAsia"/>
                <w:b w:val="0"/>
                <w:color w:val="000000" w:themeColor="text1"/>
              </w:rPr>
              <w:tab/>
            </w:r>
            <w:r w:rsidR="000344C8" w:rsidRPr="0029365B">
              <w:rPr>
                <w:rStyle w:val="Hyperlink"/>
                <w:b w:val="0"/>
                <w:color w:val="000000" w:themeColor="text1"/>
              </w:rPr>
              <w:t>Methods to Maximize Response Rates and Deal with No Response</w:t>
            </w:r>
            <w:r w:rsidR="000344C8" w:rsidRPr="0029365B">
              <w:rPr>
                <w:b w:val="0"/>
                <w:webHidden/>
                <w:color w:val="000000" w:themeColor="text1"/>
              </w:rPr>
              <w:tab/>
            </w:r>
          </w:hyperlink>
        </w:p>
        <w:p w14:paraId="04D8FB45" w14:textId="77777777" w:rsidR="000344C8" w:rsidRPr="0029365B" w:rsidRDefault="00BB188E" w:rsidP="000344C8">
          <w:pPr>
            <w:pStyle w:val="TOC1"/>
            <w:rPr>
              <w:b w:val="0"/>
              <w:color w:val="000000" w:themeColor="text1"/>
            </w:rPr>
          </w:pPr>
          <w:hyperlink w:anchor="_Toc387668761" w:history="1">
            <w:r w:rsidR="000344C8" w:rsidRPr="0029365B">
              <w:rPr>
                <w:rStyle w:val="Hyperlink"/>
                <w:b w:val="0"/>
                <w:color w:val="000000" w:themeColor="text1"/>
              </w:rPr>
              <w:t>B.4</w:t>
            </w:r>
            <w:r w:rsidR="000344C8" w:rsidRPr="0029365B">
              <w:rPr>
                <w:rFonts w:eastAsiaTheme="minorEastAsia"/>
                <w:b w:val="0"/>
                <w:color w:val="000000" w:themeColor="text1"/>
              </w:rPr>
              <w:tab/>
            </w:r>
            <w:r w:rsidR="000344C8" w:rsidRPr="0029365B">
              <w:rPr>
                <w:rStyle w:val="Hyperlink"/>
                <w:b w:val="0"/>
                <w:color w:val="000000" w:themeColor="text1"/>
              </w:rPr>
              <w:t>Tests of Procedures or Methods to be Undertaken</w:t>
            </w:r>
            <w:r w:rsidR="000344C8" w:rsidRPr="0029365B">
              <w:rPr>
                <w:b w:val="0"/>
                <w:webHidden/>
                <w:color w:val="000000" w:themeColor="text1"/>
              </w:rPr>
              <w:tab/>
            </w:r>
          </w:hyperlink>
        </w:p>
        <w:p w14:paraId="132C4C34" w14:textId="77777777" w:rsidR="000344C8" w:rsidRPr="0029365B" w:rsidRDefault="00BB188E" w:rsidP="000344C8">
          <w:pPr>
            <w:pStyle w:val="TOC1"/>
            <w:rPr>
              <w:rFonts w:eastAsiaTheme="minorEastAsia"/>
              <w:b w:val="0"/>
              <w:color w:val="000000" w:themeColor="text1"/>
            </w:rPr>
          </w:pPr>
          <w:hyperlink w:anchor="_Toc387668762" w:history="1">
            <w:r w:rsidR="000344C8" w:rsidRPr="0029365B">
              <w:rPr>
                <w:rStyle w:val="Hyperlink"/>
                <w:b w:val="0"/>
                <w:color w:val="000000" w:themeColor="text1"/>
              </w:rPr>
              <w:t>B.5</w:t>
            </w:r>
            <w:r w:rsidR="000344C8" w:rsidRPr="0029365B">
              <w:rPr>
                <w:rFonts w:eastAsiaTheme="minorEastAsia"/>
                <w:b w:val="0"/>
                <w:color w:val="000000" w:themeColor="text1"/>
              </w:rPr>
              <w:tab/>
            </w:r>
            <w:r w:rsidR="000344C8" w:rsidRPr="0029365B">
              <w:rPr>
                <w:rStyle w:val="Hyperlink"/>
                <w:b w:val="0"/>
                <w:color w:val="000000" w:themeColor="text1"/>
              </w:rPr>
              <w:t>Individuals Consulted on Statistical Aspects and Individuals Collecting and/or Analyzing Data</w:t>
            </w:r>
            <w:r w:rsidR="000344C8" w:rsidRPr="0029365B">
              <w:rPr>
                <w:b w:val="0"/>
                <w:webHidden/>
                <w:color w:val="000000" w:themeColor="text1"/>
              </w:rPr>
              <w:tab/>
            </w:r>
          </w:hyperlink>
        </w:p>
        <w:p w14:paraId="25741AF8" w14:textId="77777777" w:rsidR="00FB76A1" w:rsidRPr="0029365B" w:rsidRDefault="00B97639" w:rsidP="00154254">
          <w:pPr>
            <w:spacing w:line="240" w:lineRule="auto"/>
          </w:pPr>
          <w:r w:rsidRPr="0029365B">
            <w:fldChar w:fldCharType="end"/>
          </w:r>
        </w:p>
      </w:sdtContent>
    </w:sdt>
    <w:p w14:paraId="723B58C8" w14:textId="77777777" w:rsidR="00330E3E" w:rsidRPr="0029365B" w:rsidRDefault="00BE0AF6" w:rsidP="00154254">
      <w:pPr>
        <w:spacing w:line="240" w:lineRule="auto"/>
        <w:jc w:val="center"/>
      </w:pPr>
      <w:r w:rsidRPr="0029365B">
        <w:t>List of Attachments</w:t>
      </w:r>
    </w:p>
    <w:tbl>
      <w:tblPr>
        <w:tblW w:w="9630" w:type="dxa"/>
        <w:tblInd w:w="198" w:type="dxa"/>
        <w:tblLook w:val="0000" w:firstRow="0" w:lastRow="0" w:firstColumn="0" w:lastColumn="0" w:noHBand="0" w:noVBand="0"/>
      </w:tblPr>
      <w:tblGrid>
        <w:gridCol w:w="1440"/>
        <w:gridCol w:w="8190"/>
      </w:tblGrid>
      <w:tr w:rsidR="00B01E1B" w:rsidRPr="00BC6542" w14:paraId="6A834243" w14:textId="77777777" w:rsidTr="007A32A7">
        <w:trPr>
          <w:trHeight w:val="255"/>
        </w:trPr>
        <w:tc>
          <w:tcPr>
            <w:tcW w:w="1440" w:type="dxa"/>
            <w:tcBorders>
              <w:top w:val="nil"/>
              <w:left w:val="nil"/>
              <w:bottom w:val="nil"/>
              <w:right w:val="nil"/>
            </w:tcBorders>
            <w:noWrap/>
            <w:vAlign w:val="bottom"/>
          </w:tcPr>
          <w:p w14:paraId="69C9F5CD" w14:textId="77777777" w:rsidR="00B01E1B" w:rsidRPr="00154254" w:rsidRDefault="00B01E1B" w:rsidP="00154254">
            <w:pPr>
              <w:spacing w:before="120" w:line="240" w:lineRule="auto"/>
              <w:jc w:val="center"/>
              <w:rPr>
                <w:rFonts w:eastAsia="SimSun"/>
                <w:bCs/>
                <w:lang w:eastAsia="zh-CN"/>
              </w:rPr>
            </w:pPr>
            <w:r w:rsidRPr="00154254">
              <w:rPr>
                <w:rFonts w:eastAsia="SimSun"/>
                <w:bCs/>
                <w:lang w:eastAsia="zh-CN"/>
              </w:rPr>
              <w:t>Attachment Number</w:t>
            </w:r>
          </w:p>
        </w:tc>
        <w:tc>
          <w:tcPr>
            <w:tcW w:w="8190" w:type="dxa"/>
            <w:tcBorders>
              <w:top w:val="nil"/>
              <w:left w:val="nil"/>
              <w:bottom w:val="nil"/>
              <w:right w:val="nil"/>
            </w:tcBorders>
            <w:noWrap/>
            <w:vAlign w:val="bottom"/>
          </w:tcPr>
          <w:p w14:paraId="03E7B123" w14:textId="77777777" w:rsidR="00B01E1B" w:rsidRPr="00154254" w:rsidRDefault="00B01E1B" w:rsidP="00154254">
            <w:pPr>
              <w:spacing w:before="120" w:line="240" w:lineRule="auto"/>
              <w:rPr>
                <w:rFonts w:eastAsia="SimSun"/>
                <w:bCs/>
                <w:lang w:eastAsia="zh-CN"/>
              </w:rPr>
            </w:pPr>
            <w:r w:rsidRPr="00154254">
              <w:rPr>
                <w:rFonts w:eastAsia="SimSun"/>
                <w:bCs/>
                <w:lang w:eastAsia="zh-CN"/>
              </w:rPr>
              <w:t>Document Description</w:t>
            </w:r>
          </w:p>
        </w:tc>
      </w:tr>
      <w:tr w:rsidR="00B01E1B" w:rsidRPr="00BC6542" w14:paraId="5CB797DF"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891E72C" w14:textId="77777777" w:rsidR="00B01E1B" w:rsidRPr="00154254" w:rsidRDefault="00B01E1B" w:rsidP="00154254">
            <w:pPr>
              <w:spacing w:before="120" w:line="240" w:lineRule="auto"/>
              <w:jc w:val="center"/>
              <w:rPr>
                <w:rFonts w:eastAsia="SimSun"/>
                <w:lang w:eastAsia="zh-CN"/>
              </w:rPr>
            </w:pPr>
            <w:r w:rsidRPr="00154254">
              <w:rPr>
                <w:rFonts w:eastAsia="SimSun"/>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14:paraId="205E4CDE" w14:textId="77777777" w:rsidR="00B01E1B" w:rsidRPr="00154254" w:rsidRDefault="00B01E1B" w:rsidP="00154254">
            <w:pPr>
              <w:spacing w:before="120" w:line="240" w:lineRule="auto"/>
            </w:pPr>
            <w:r w:rsidRPr="00154254">
              <w:rPr>
                <w:rFonts w:eastAsia="SimSun"/>
                <w:lang w:eastAsia="zh-CN"/>
              </w:rPr>
              <w:t>Public Health Service Act</w:t>
            </w:r>
            <w:r w:rsidRPr="00154254">
              <w:t xml:space="preserve"> Legislation</w:t>
            </w:r>
          </w:p>
        </w:tc>
      </w:tr>
      <w:tr w:rsidR="004823F3" w:rsidRPr="00BC6542" w14:paraId="4CC3CA5D"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A4A1AD6" w14:textId="77777777" w:rsidR="004823F3" w:rsidRPr="004823F3" w:rsidRDefault="004823F3" w:rsidP="00BC6542">
            <w:pPr>
              <w:spacing w:before="120" w:line="240" w:lineRule="auto"/>
              <w:jc w:val="center"/>
              <w:rPr>
                <w:rFonts w:eastAsia="SimSun"/>
                <w:lang w:eastAsia="zh-CN"/>
              </w:rPr>
            </w:pPr>
            <w:r>
              <w:rPr>
                <w:rFonts w:eastAsia="SimSun"/>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57F42888" w14:textId="77777777" w:rsidR="004823F3" w:rsidRPr="004823F3" w:rsidRDefault="004823F3" w:rsidP="00BC6542">
            <w:pPr>
              <w:spacing w:before="120" w:line="240" w:lineRule="auto"/>
            </w:pPr>
            <w:r>
              <w:t>60 Day FRN</w:t>
            </w:r>
          </w:p>
        </w:tc>
      </w:tr>
      <w:tr w:rsidR="00B01E1B" w:rsidRPr="00BC6542" w14:paraId="60C80717"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E372D47" w14:textId="77777777" w:rsidR="00B01E1B" w:rsidRPr="00154254" w:rsidRDefault="004823F3" w:rsidP="00154254">
            <w:pPr>
              <w:spacing w:before="120" w:line="240" w:lineRule="auto"/>
              <w:jc w:val="center"/>
              <w:rPr>
                <w:rFonts w:eastAsia="SimSun"/>
                <w:lang w:eastAsia="zh-CN"/>
              </w:rPr>
            </w:pPr>
            <w:r>
              <w:rPr>
                <w:rFonts w:eastAsia="SimSun"/>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75D0A7F3" w14:textId="77777777" w:rsidR="00B01E1B" w:rsidRPr="00154254" w:rsidRDefault="00B01E1B" w:rsidP="00154254">
            <w:pPr>
              <w:spacing w:before="120" w:line="240" w:lineRule="auto"/>
            </w:pPr>
            <w:r w:rsidRPr="00154254">
              <w:t xml:space="preserve">CBO Assessment Questionnaire </w:t>
            </w:r>
          </w:p>
        </w:tc>
      </w:tr>
      <w:tr w:rsidR="004823F3" w:rsidRPr="00BC6542" w14:paraId="7849021C"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4C4FA42" w14:textId="77777777" w:rsidR="004823F3" w:rsidRPr="004823F3" w:rsidDel="004823F3" w:rsidRDefault="004823F3" w:rsidP="00BC6542">
            <w:pPr>
              <w:spacing w:before="120" w:line="240" w:lineRule="auto"/>
              <w:jc w:val="center"/>
              <w:rPr>
                <w:rFonts w:eastAsia="SimSun"/>
                <w:lang w:eastAsia="zh-CN"/>
              </w:rPr>
            </w:pPr>
            <w:r>
              <w:rPr>
                <w:rFonts w:eastAsia="SimSun"/>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14:paraId="43C1AE50" w14:textId="77777777" w:rsidR="004823F3" w:rsidRPr="004823F3" w:rsidRDefault="00C10D41" w:rsidP="004823F3">
            <w:pPr>
              <w:spacing w:before="120" w:line="240" w:lineRule="auto"/>
            </w:pPr>
            <w:r>
              <w:t xml:space="preserve">HWC </w:t>
            </w:r>
            <w:r w:rsidR="004823F3">
              <w:t>Assessment Questionnaire</w:t>
            </w:r>
          </w:p>
        </w:tc>
      </w:tr>
      <w:tr w:rsidR="004120A8" w:rsidRPr="00BC6542" w14:paraId="5D2C96A7"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3E2DE37" w14:textId="77777777" w:rsidR="004120A8" w:rsidRDefault="004120A8" w:rsidP="00154254">
            <w:pPr>
              <w:spacing w:before="120" w:line="240" w:lineRule="auto"/>
              <w:jc w:val="center"/>
              <w:rPr>
                <w:rFonts w:eastAsia="SimSun"/>
                <w:lang w:eastAsia="zh-CN"/>
              </w:rPr>
            </w:pPr>
            <w:r>
              <w:rPr>
                <w:rFonts w:eastAsia="SimSun"/>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14:paraId="5173A923" w14:textId="77777777" w:rsidR="004120A8" w:rsidRPr="00154254" w:rsidRDefault="004120A8" w:rsidP="00154254">
            <w:pPr>
              <w:spacing w:before="120" w:line="240" w:lineRule="auto"/>
            </w:pPr>
            <w:r>
              <w:t>Web-based CBO Assessment Questionnaire</w:t>
            </w:r>
          </w:p>
        </w:tc>
      </w:tr>
      <w:tr w:rsidR="004120A8" w:rsidRPr="00BC6542" w14:paraId="5F09934C"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129C76F0" w14:textId="77777777" w:rsidR="004120A8" w:rsidRDefault="004120A8" w:rsidP="00154254">
            <w:pPr>
              <w:spacing w:before="120" w:line="240" w:lineRule="auto"/>
              <w:jc w:val="center"/>
              <w:rPr>
                <w:rFonts w:eastAsia="SimSun"/>
                <w:lang w:eastAsia="zh-CN"/>
              </w:rPr>
            </w:pPr>
            <w:r>
              <w:rPr>
                <w:rFonts w:eastAsia="SimSun"/>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14:paraId="178B88BE" w14:textId="77777777" w:rsidR="004120A8" w:rsidRPr="00154254" w:rsidRDefault="004120A8" w:rsidP="00154254">
            <w:pPr>
              <w:spacing w:before="120" w:line="240" w:lineRule="auto"/>
            </w:pPr>
            <w:r>
              <w:t>Web-based HWC Assessment Questionnaire</w:t>
            </w:r>
          </w:p>
        </w:tc>
      </w:tr>
      <w:tr w:rsidR="00B01E1B" w:rsidRPr="00BC6542" w14:paraId="5E1C1EDB"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0D64C63F" w14:textId="77777777" w:rsidR="00B01E1B" w:rsidRPr="00154254" w:rsidRDefault="004120A8" w:rsidP="00154254">
            <w:pPr>
              <w:spacing w:before="120" w:line="240" w:lineRule="auto"/>
              <w:jc w:val="center"/>
              <w:rPr>
                <w:rFonts w:eastAsia="SimSun"/>
                <w:lang w:eastAsia="zh-CN"/>
              </w:rPr>
            </w:pPr>
            <w:r>
              <w:rPr>
                <w:rFonts w:eastAsia="SimSun"/>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14:paraId="6E16071F" w14:textId="77777777" w:rsidR="00B01E1B" w:rsidRPr="00154254" w:rsidRDefault="00B01E1B" w:rsidP="00154254">
            <w:pPr>
              <w:spacing w:before="120" w:line="240" w:lineRule="auto"/>
            </w:pPr>
            <w:r w:rsidRPr="00154254">
              <w:t xml:space="preserve">Introductory Email / Study Information Sheet </w:t>
            </w:r>
          </w:p>
        </w:tc>
      </w:tr>
      <w:tr w:rsidR="00B01E1B" w:rsidRPr="00BC6542" w14:paraId="319E866D"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77D8954A" w14:textId="77777777" w:rsidR="00B01E1B" w:rsidRPr="00154254" w:rsidRDefault="004120A8" w:rsidP="00154254">
            <w:pPr>
              <w:spacing w:before="120" w:line="240" w:lineRule="auto"/>
              <w:jc w:val="center"/>
              <w:rPr>
                <w:rFonts w:eastAsia="SimSun"/>
                <w:lang w:eastAsia="zh-CN"/>
              </w:rPr>
            </w:pPr>
            <w:r>
              <w:rPr>
                <w:rFonts w:eastAsia="SimSun"/>
                <w:lang w:eastAsia="zh-CN"/>
              </w:rPr>
              <w:lastRenderedPageBreak/>
              <w:t>8</w:t>
            </w:r>
          </w:p>
        </w:tc>
        <w:tc>
          <w:tcPr>
            <w:tcW w:w="8190" w:type="dxa"/>
            <w:tcBorders>
              <w:top w:val="single" w:sz="4" w:space="0" w:color="auto"/>
              <w:left w:val="single" w:sz="4" w:space="0" w:color="auto"/>
              <w:bottom w:val="single" w:sz="4" w:space="0" w:color="auto"/>
              <w:right w:val="single" w:sz="4" w:space="0" w:color="auto"/>
            </w:tcBorders>
            <w:noWrap/>
            <w:vAlign w:val="bottom"/>
          </w:tcPr>
          <w:p w14:paraId="4AE44100" w14:textId="77777777" w:rsidR="00B01E1B" w:rsidRPr="00154254" w:rsidRDefault="00B01E1B" w:rsidP="004120A8">
            <w:pPr>
              <w:spacing w:before="120" w:line="240" w:lineRule="auto"/>
            </w:pPr>
            <w:r w:rsidRPr="00154254">
              <w:t>Web-based Informed Consent Form</w:t>
            </w:r>
            <w:r w:rsidR="00702800">
              <w:t xml:space="preserve"> for </w:t>
            </w:r>
            <w:r w:rsidR="004120A8">
              <w:t xml:space="preserve">the </w:t>
            </w:r>
            <w:r w:rsidR="00702800">
              <w:t xml:space="preserve">CBO </w:t>
            </w:r>
            <w:r w:rsidR="00C10D41">
              <w:t>Questionnaire</w:t>
            </w:r>
          </w:p>
        </w:tc>
      </w:tr>
      <w:tr w:rsidR="00B01E1B" w:rsidRPr="00BC6542" w14:paraId="5053AFF9"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997CCE1" w14:textId="77777777" w:rsidR="00B01E1B" w:rsidRPr="00154254" w:rsidRDefault="004120A8" w:rsidP="00154254">
            <w:pPr>
              <w:spacing w:before="120" w:line="240" w:lineRule="auto"/>
              <w:jc w:val="center"/>
              <w:rPr>
                <w:rFonts w:eastAsia="SimSun"/>
                <w:lang w:eastAsia="zh-CN"/>
              </w:rPr>
            </w:pPr>
            <w:r>
              <w:rPr>
                <w:rFonts w:eastAsia="SimSun"/>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14:paraId="3F9B9FF1" w14:textId="77777777" w:rsidR="00B01E1B" w:rsidRPr="00154254" w:rsidRDefault="004120A8" w:rsidP="004120A8">
            <w:pPr>
              <w:spacing w:before="120" w:line="240" w:lineRule="auto"/>
            </w:pPr>
            <w:r w:rsidRPr="00154254">
              <w:t>Web-based Informed Consent Form</w:t>
            </w:r>
            <w:r>
              <w:t xml:space="preserve"> for the HWC Questionnaire</w:t>
            </w:r>
          </w:p>
        </w:tc>
      </w:tr>
      <w:tr w:rsidR="004120A8" w:rsidRPr="00BC6542" w14:paraId="576A735E"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592D1FA" w14:textId="77777777" w:rsidR="004120A8" w:rsidRDefault="004120A8" w:rsidP="00154254">
            <w:pPr>
              <w:spacing w:before="120" w:line="240" w:lineRule="auto"/>
              <w:jc w:val="center"/>
              <w:rPr>
                <w:rFonts w:eastAsia="SimSun"/>
                <w:lang w:eastAsia="zh-CN"/>
              </w:rPr>
            </w:pPr>
            <w:r>
              <w:rPr>
                <w:rFonts w:eastAsia="SimSun"/>
                <w:lang w:eastAsia="zh-CN"/>
              </w:rPr>
              <w:t>10</w:t>
            </w:r>
          </w:p>
        </w:tc>
        <w:tc>
          <w:tcPr>
            <w:tcW w:w="8190" w:type="dxa"/>
            <w:tcBorders>
              <w:top w:val="single" w:sz="4" w:space="0" w:color="auto"/>
              <w:left w:val="single" w:sz="4" w:space="0" w:color="auto"/>
              <w:bottom w:val="single" w:sz="4" w:space="0" w:color="auto"/>
              <w:right w:val="single" w:sz="4" w:space="0" w:color="auto"/>
            </w:tcBorders>
            <w:noWrap/>
            <w:vAlign w:val="bottom"/>
          </w:tcPr>
          <w:p w14:paraId="5C8E3A96" w14:textId="77777777" w:rsidR="004120A8" w:rsidRPr="00154254" w:rsidRDefault="004120A8" w:rsidP="00154254">
            <w:pPr>
              <w:spacing w:before="120" w:line="240" w:lineRule="auto"/>
            </w:pPr>
            <w:r w:rsidRPr="00154254">
              <w:t>Organizations and Individuals Providing Consultation on the Information Collection</w:t>
            </w:r>
          </w:p>
        </w:tc>
      </w:tr>
      <w:tr w:rsidR="00083539" w:rsidRPr="00BC6542" w14:paraId="3D21268B"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9D8C60D" w14:textId="77777777" w:rsidR="00083539" w:rsidRDefault="00083539" w:rsidP="00154254">
            <w:pPr>
              <w:spacing w:before="120" w:line="240" w:lineRule="auto"/>
              <w:jc w:val="center"/>
              <w:rPr>
                <w:rFonts w:eastAsia="SimSun"/>
                <w:lang w:eastAsia="zh-CN"/>
              </w:rPr>
            </w:pPr>
            <w:r>
              <w:rPr>
                <w:rFonts w:eastAsia="SimSun"/>
                <w:lang w:eastAsia="zh-CN"/>
              </w:rPr>
              <w:t>11</w:t>
            </w:r>
          </w:p>
        </w:tc>
        <w:tc>
          <w:tcPr>
            <w:tcW w:w="8190" w:type="dxa"/>
            <w:tcBorders>
              <w:top w:val="single" w:sz="4" w:space="0" w:color="auto"/>
              <w:left w:val="single" w:sz="4" w:space="0" w:color="auto"/>
              <w:bottom w:val="single" w:sz="4" w:space="0" w:color="auto"/>
              <w:right w:val="single" w:sz="4" w:space="0" w:color="auto"/>
            </w:tcBorders>
            <w:noWrap/>
            <w:vAlign w:val="bottom"/>
          </w:tcPr>
          <w:p w14:paraId="7C329F96" w14:textId="77777777" w:rsidR="00083539" w:rsidRPr="00154254" w:rsidRDefault="00083539" w:rsidP="00154254">
            <w:pPr>
              <w:spacing w:before="120" w:line="240" w:lineRule="auto"/>
            </w:pPr>
            <w:r>
              <w:t>Public Comment</w:t>
            </w:r>
          </w:p>
        </w:tc>
      </w:tr>
      <w:tr w:rsidR="00B01E1B" w:rsidRPr="00BC6542" w14:paraId="132C8535"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BD06F73" w14:textId="77777777" w:rsidR="00B01E1B" w:rsidRPr="00154254" w:rsidRDefault="004120A8" w:rsidP="00083539">
            <w:pPr>
              <w:spacing w:before="120" w:line="240" w:lineRule="auto"/>
              <w:jc w:val="center"/>
              <w:rPr>
                <w:rFonts w:eastAsia="SimSun"/>
                <w:lang w:eastAsia="zh-CN"/>
              </w:rPr>
            </w:pPr>
            <w:r>
              <w:rPr>
                <w:rFonts w:eastAsia="SimSun"/>
                <w:lang w:eastAsia="zh-CN"/>
              </w:rPr>
              <w:t>1</w:t>
            </w:r>
            <w:r w:rsidR="00083539">
              <w:rPr>
                <w:rFonts w:eastAsia="SimSun"/>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46505728" w14:textId="77777777" w:rsidR="00B01E1B" w:rsidRPr="00154254" w:rsidRDefault="004823F3" w:rsidP="00154254">
            <w:pPr>
              <w:spacing w:before="120" w:line="240" w:lineRule="auto"/>
            </w:pPr>
            <w:r>
              <w:t>Contractor’s IRB Approval</w:t>
            </w:r>
          </w:p>
        </w:tc>
      </w:tr>
      <w:tr w:rsidR="00B01E1B" w:rsidRPr="00BC6542" w14:paraId="0C6D44B8" w14:textId="77777777" w:rsidTr="007A32A7">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DFEF668" w14:textId="77777777" w:rsidR="00B01E1B" w:rsidRPr="00154254" w:rsidRDefault="004120A8" w:rsidP="00083539">
            <w:pPr>
              <w:spacing w:before="120" w:line="240" w:lineRule="auto"/>
              <w:jc w:val="center"/>
              <w:rPr>
                <w:rFonts w:eastAsia="SimSun"/>
                <w:lang w:eastAsia="zh-CN"/>
              </w:rPr>
            </w:pPr>
            <w:r>
              <w:rPr>
                <w:rFonts w:eastAsia="SimSun"/>
                <w:lang w:eastAsia="zh-CN"/>
              </w:rPr>
              <w:t>1</w:t>
            </w:r>
            <w:r w:rsidR="00083539">
              <w:rPr>
                <w:rFonts w:eastAsia="SimSun"/>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293FB771" w14:textId="77777777" w:rsidR="00B01E1B" w:rsidRPr="00154254" w:rsidRDefault="00B01E1B" w:rsidP="00154254">
            <w:pPr>
              <w:spacing w:before="120" w:line="240" w:lineRule="auto"/>
            </w:pPr>
            <w:r w:rsidRPr="00154254">
              <w:t>Example Data Analysis Table Shells</w:t>
            </w:r>
          </w:p>
        </w:tc>
      </w:tr>
    </w:tbl>
    <w:p w14:paraId="56F1F214" w14:textId="77777777" w:rsidR="00BC6542" w:rsidRDefault="00BC6542" w:rsidP="00BC6542">
      <w:pPr>
        <w:spacing w:line="240" w:lineRule="auto"/>
        <w:rPr>
          <w:b/>
        </w:rPr>
      </w:pPr>
      <w:bookmarkStart w:id="3" w:name="_Toc352670664"/>
    </w:p>
    <w:p w14:paraId="1AE0BBB0" w14:textId="77777777" w:rsidR="00BC6542" w:rsidRDefault="00BC6542">
      <w:pPr>
        <w:widowControl/>
        <w:autoSpaceDE/>
        <w:autoSpaceDN/>
        <w:adjustRightInd/>
        <w:spacing w:line="240" w:lineRule="auto"/>
        <w:rPr>
          <w:b/>
        </w:rPr>
      </w:pPr>
      <w:r>
        <w:rPr>
          <w:b/>
        </w:rPr>
        <w:br w:type="page"/>
      </w:r>
    </w:p>
    <w:p w14:paraId="3A8D2149" w14:textId="77777777" w:rsidR="002A4B64" w:rsidRDefault="002A4B64" w:rsidP="0041024B">
      <w:pPr>
        <w:spacing w:before="120" w:line="240" w:lineRule="auto"/>
        <w:rPr>
          <w:b/>
        </w:rPr>
      </w:pPr>
      <w:r w:rsidRPr="0041024B">
        <w:rPr>
          <w:b/>
        </w:rPr>
        <w:lastRenderedPageBreak/>
        <w:t>Section A: Justification for Information Collection</w:t>
      </w:r>
    </w:p>
    <w:p w14:paraId="5342B8E6" w14:textId="77777777" w:rsidR="00265858" w:rsidRDefault="00265858" w:rsidP="00265858">
      <w:pPr>
        <w:spacing w:line="240" w:lineRule="auto"/>
        <w:rPr>
          <w:b/>
        </w:rPr>
      </w:pPr>
    </w:p>
    <w:p w14:paraId="41BC1F0E" w14:textId="77777777" w:rsidR="00446712" w:rsidRDefault="00446712" w:rsidP="00265858">
      <w:pPr>
        <w:spacing w:line="240" w:lineRule="auto"/>
      </w:pPr>
    </w:p>
    <w:p w14:paraId="69002B35" w14:textId="77777777" w:rsidR="00265858" w:rsidRDefault="007F7F52" w:rsidP="00265858">
      <w:r>
        <w:rPr>
          <w:noProof/>
        </w:rPr>
        <mc:AlternateContent>
          <mc:Choice Requires="wps">
            <w:drawing>
              <wp:anchor distT="0" distB="0" distL="114300" distR="114300" simplePos="0" relativeHeight="251658240" behindDoc="0" locked="0" layoutInCell="1" allowOverlap="1" wp14:anchorId="4BBD74A9" wp14:editId="3E314CAA">
                <wp:simplePos x="0" y="0"/>
                <wp:positionH relativeFrom="column">
                  <wp:posOffset>-10633</wp:posOffset>
                </wp:positionH>
                <wp:positionV relativeFrom="paragraph">
                  <wp:posOffset>88427</wp:posOffset>
                </wp:positionV>
                <wp:extent cx="6162675" cy="5699052"/>
                <wp:effectExtent l="0" t="0" r="28575" b="165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699052"/>
                        </a:xfrm>
                        <a:prstGeom prst="rect">
                          <a:avLst/>
                        </a:prstGeom>
                        <a:solidFill>
                          <a:srgbClr val="FFFFFF"/>
                        </a:solidFill>
                        <a:ln w="9525">
                          <a:solidFill>
                            <a:srgbClr val="000000"/>
                          </a:solidFill>
                          <a:miter lim="800000"/>
                          <a:headEnd/>
                          <a:tailEnd/>
                        </a:ln>
                      </wps:spPr>
                      <wps:txbx>
                        <w:txbxContent>
                          <w:p w14:paraId="1ECF9568" w14:textId="77777777" w:rsidR="007F7F52" w:rsidRDefault="007F7F52" w:rsidP="00265858">
                            <w:pPr>
                              <w:widowControl/>
                              <w:autoSpaceDE/>
                              <w:autoSpaceDN/>
                              <w:adjustRightInd/>
                              <w:spacing w:after="200"/>
                            </w:pPr>
                            <w:r w:rsidRPr="00446712">
                              <w:rPr>
                                <w:b/>
                              </w:rPr>
                              <w:t>Goal:</w:t>
                            </w:r>
                            <w:r>
                              <w:t xml:space="preserve"> The goal of this study is to learn about areas of partnerships between the three local education agencies (LEAs) funded under strategy 4 of cooperative agreement </w:t>
                            </w:r>
                            <w:r w:rsidR="005D28C8">
                              <w:t>PS13-</w:t>
                            </w:r>
                            <w:r>
                              <w:t>1308 and the community-based organizations (CBOs) and health and/or wellness centers (HWCs) those LEAs collaborate with to conduct HIV prevention activities for youth. The study will assess services offered by partner CBOs and HWCs, and the relationships between the LEAs (and their schools) and the partner CBOs and HWCs.</w:t>
                            </w:r>
                          </w:p>
                          <w:p w14:paraId="1CA3865C" w14:textId="77777777" w:rsidR="007F7F52" w:rsidRPr="007F7F52" w:rsidRDefault="007F7F52" w:rsidP="00446712">
                            <w:r w:rsidRPr="00446712">
                              <w:rPr>
                                <w:b/>
                              </w:rPr>
                              <w:t>Intended use of resulting dat</w:t>
                            </w:r>
                            <w:r w:rsidRPr="007F7F52">
                              <w:rPr>
                                <w:b/>
                              </w:rPr>
                              <w:t xml:space="preserve">a: </w:t>
                            </w:r>
                            <w:r>
                              <w:t>The data will be used to identify areas of partnership that are working well and other areas that will need improvement. The data also will allow the CDC to determine the potential impact of currently recommended strategies and make changes to those recommendations if necessary.</w:t>
                            </w:r>
                          </w:p>
                          <w:p w14:paraId="48662727" w14:textId="77777777" w:rsidR="007F7F52" w:rsidRDefault="007F7F52" w:rsidP="00446712"/>
                          <w:p w14:paraId="11F8D1B2" w14:textId="537254E9" w:rsidR="007F7F52" w:rsidRDefault="007F7F52" w:rsidP="00446712">
                            <w:r w:rsidRPr="00446712">
                              <w:rPr>
                                <w:b/>
                              </w:rPr>
                              <w:t xml:space="preserve">Methods: </w:t>
                            </w:r>
                            <w:r>
                              <w:t xml:space="preserve">The information collection will use two versions of a self-administered web-based questionnaire—the Community-based Organization (CBO) Assessment Questionnaire and the Health and/or Wellness Center (HWC) Assessment Questionnaire. </w:t>
                            </w:r>
                            <w:r w:rsidR="005D28C8">
                              <w:t xml:space="preserve">Representatives from up to </w:t>
                            </w:r>
                            <w:r w:rsidR="008C5139">
                              <w:t xml:space="preserve">10 CBOs and 10 HWCs partnering with each of the three LEAs (for a total of up to </w:t>
                            </w:r>
                            <w:r w:rsidR="005D28C8">
                              <w:t>60 organizations</w:t>
                            </w:r>
                            <w:r w:rsidR="008C5139">
                              <w:t>—30 CBOs and 30 HWCs</w:t>
                            </w:r>
                            <w:r w:rsidR="005D28C8">
                              <w:t xml:space="preserve">) will receive the questionnaires in 2015, fall of 2016, and spring of 2018.  Samples will be cross-sectional and treated independently. </w:t>
                            </w:r>
                          </w:p>
                          <w:p w14:paraId="11915AEE" w14:textId="77777777" w:rsidR="007F7F52" w:rsidRDefault="007F7F52" w:rsidP="00446712"/>
                          <w:p w14:paraId="105A17F5" w14:textId="77777777" w:rsidR="007F7F52" w:rsidRDefault="007F7F52" w:rsidP="00446712">
                            <w:r w:rsidRPr="00446712">
                              <w:rPr>
                                <w:b/>
                              </w:rPr>
                              <w:t>Subpopulation to be studied:</w:t>
                            </w:r>
                            <w:r>
                              <w:t xml:space="preserve"> The questionnaire will be administered to selected staff members from CBOs and HWCs (which include both school wellness centers and school-based health centers) collaborating with the three funded LEAs. </w:t>
                            </w:r>
                          </w:p>
                          <w:p w14:paraId="6B55CE05" w14:textId="77777777" w:rsidR="007F7F52" w:rsidRDefault="007F7F52" w:rsidP="00446712"/>
                          <w:p w14:paraId="55CD829C" w14:textId="77777777" w:rsidR="005D28C8" w:rsidRDefault="007F7F52" w:rsidP="005D28C8">
                            <w:r w:rsidRPr="00446712">
                              <w:rPr>
                                <w:b/>
                              </w:rPr>
                              <w:t>Data analysis:</w:t>
                            </w:r>
                            <w:r>
                              <w:t xml:space="preserve"> </w:t>
                            </w:r>
                            <w:r w:rsidR="005D28C8">
                              <w:t xml:space="preserve">Data will be analyzed using both descriptive and inferential statistics. </w:t>
                            </w:r>
                            <w:r w:rsidR="00446712">
                              <w:t xml:space="preserve"> D</w:t>
                            </w:r>
                            <w:r w:rsidR="005D28C8">
                              <w:t>ata reduction techniques/factor analyses and item correlation analyses will be used to develop scales as needed. T tests and chi-square analyses will be used to assess differences between years; linear or logistic regression will be used to examine predictors of outcomes of interest (such as successful partnerships).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D74A9" id="_x0000_t202" coordsize="21600,21600" o:spt="202" path="m,l,21600r21600,l21600,xe">
                <v:stroke joinstyle="miter"/>
                <v:path gradientshapeok="t" o:connecttype="rect"/>
              </v:shapetype>
              <v:shape id="Text Box 2" o:spid="_x0000_s1026" type="#_x0000_t202" style="position:absolute;margin-left:-.85pt;margin-top:6.95pt;width:485.25pt;height:4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">
                <v:textbox>
                  <w:txbxContent>
                    <w:p w14:paraId="1ECF9568" w14:textId="77777777" w:rsidR="007F7F52" w:rsidRDefault="007F7F52" w:rsidP="00265858">
                      <w:pPr>
                        <w:widowControl/>
                        <w:autoSpaceDE/>
                        <w:autoSpaceDN/>
                        <w:adjustRightInd/>
                        <w:spacing w:after="200"/>
                      </w:pPr>
                      <w:r w:rsidRPr="00446712">
                        <w:rPr>
                          <w:b/>
                        </w:rPr>
                        <w:t>Goal:</w:t>
                      </w:r>
                      <w:r>
                        <w:t xml:space="preserve"> The goal of this study is to learn about areas of partnerships between the three local education agencies (LEAs) funded under strategy 4 of cooperative agreement </w:t>
                      </w:r>
                      <w:r w:rsidR="005D28C8">
                        <w:t>PS13-</w:t>
                      </w:r>
                      <w:r>
                        <w:t>1308 and the community-based organizations (CBOs) and health and/or wellness centers (HWCs) those LEAs collaborate with to conduct HIV prevention activities for youth. The study will assess services offered by partner CBOs and HWCs, and the relationships between the LEAs (and their schools) and the partner CBOs and HWCs.</w:t>
                      </w:r>
                    </w:p>
                    <w:p w14:paraId="1CA3865C" w14:textId="77777777" w:rsidR="007F7F52" w:rsidRPr="007F7F52" w:rsidRDefault="007F7F52" w:rsidP="00446712">
                      <w:r w:rsidRPr="00446712">
                        <w:rPr>
                          <w:b/>
                        </w:rPr>
                        <w:t>Intended use of resulting dat</w:t>
                      </w:r>
                      <w:r w:rsidRPr="007F7F52">
                        <w:rPr>
                          <w:b/>
                        </w:rPr>
                        <w:t xml:space="preserve">a: </w:t>
                      </w:r>
                      <w:r>
                        <w:t>The data will be used to identify areas of partnership that are working well and other areas that will need improvement. The data also will allow the CDC to determine the potential impact of currently recommended strategies and make changes to those recommendations if necessary.</w:t>
                      </w:r>
                    </w:p>
                    <w:p w14:paraId="48662727" w14:textId="77777777" w:rsidR="007F7F52" w:rsidRDefault="007F7F52" w:rsidP="00446712"/>
                    <w:p w14:paraId="11F8D1B2" w14:textId="537254E9" w:rsidR="007F7F52" w:rsidRDefault="007F7F52" w:rsidP="00446712">
                      <w:r w:rsidRPr="00446712">
                        <w:rPr>
                          <w:b/>
                        </w:rPr>
                        <w:t xml:space="preserve">Methods: </w:t>
                      </w:r>
                      <w:r>
                        <w:t xml:space="preserve">The information collection will use two versions of a self-administered web-based questionnaire—the Community-based Organization (CBO) Assessment Questionnaire and the Health and/or Wellness Center (HWC) Assessment Questionnaire. </w:t>
                      </w:r>
                      <w:r w:rsidR="005D28C8">
                        <w:t xml:space="preserve">Representatives from up to </w:t>
                      </w:r>
                      <w:r w:rsidR="008C5139">
                        <w:t xml:space="preserve">10 CBOs and 10 HWCs partnering with each of the three LEAs (for a total of up to </w:t>
                      </w:r>
                      <w:r w:rsidR="005D28C8">
                        <w:t>60 organizations</w:t>
                      </w:r>
                      <w:r w:rsidR="008C5139">
                        <w:t>—30 CBOs and 30 HWCs</w:t>
                      </w:r>
                      <w:r w:rsidR="005D28C8">
                        <w:t xml:space="preserve">) will receive the questionnaires in 2015, fall of 2016, and spring of 2018.  Samples will be cross-sectional and treated independently. </w:t>
                      </w:r>
                    </w:p>
                    <w:p w14:paraId="11915AEE" w14:textId="77777777" w:rsidR="007F7F52" w:rsidRDefault="007F7F52" w:rsidP="00446712"/>
                    <w:p w14:paraId="105A17F5" w14:textId="77777777" w:rsidR="007F7F52" w:rsidRDefault="007F7F52" w:rsidP="00446712">
                      <w:r w:rsidRPr="00446712">
                        <w:rPr>
                          <w:b/>
                        </w:rPr>
                        <w:t>Subpopulation to be studied:</w:t>
                      </w:r>
                      <w:r>
                        <w:t xml:space="preserve"> The questionnaire will be administered to selected staff members from CBOs and HWCs (which include both school wellness centers and school-based health centers) collaborating with the three funded LEAs. </w:t>
                      </w:r>
                    </w:p>
                    <w:p w14:paraId="6B55CE05" w14:textId="77777777" w:rsidR="007F7F52" w:rsidRDefault="007F7F52" w:rsidP="00446712"/>
                    <w:p w14:paraId="55CD829C" w14:textId="77777777" w:rsidR="005D28C8" w:rsidRDefault="007F7F52" w:rsidP="005D28C8">
                      <w:r w:rsidRPr="00446712">
                        <w:rPr>
                          <w:b/>
                        </w:rPr>
                        <w:t>Data analysis:</w:t>
                      </w:r>
                      <w:r>
                        <w:t xml:space="preserve"> </w:t>
                      </w:r>
                      <w:r w:rsidR="005D28C8">
                        <w:t xml:space="preserve">Data will be analyzed using both descriptive and inferential statistics. </w:t>
                      </w:r>
                      <w:r w:rsidR="00446712">
                        <w:t xml:space="preserve"> D</w:t>
                      </w:r>
                      <w:r w:rsidR="005D28C8">
                        <w:t>ata reduction techniques/factor analyses and item correlation analyses will be used to develop scales as needed. T tests and chi-square analyses will be used to assess differences between years; linear or logistic regression will be used to examine predictors of outcomes of interest (such as successful partnerships).</w:t>
                      </w:r>
                    </w:p>
                  </w:txbxContent>
                </v:textbox>
              </v:shape>
            </w:pict>
          </mc:Fallback>
        </mc:AlternateContent>
      </w:r>
    </w:p>
    <w:p w14:paraId="46868943" w14:textId="77777777" w:rsidR="00265858" w:rsidRDefault="00265858" w:rsidP="00265858"/>
    <w:p w14:paraId="324CB698" w14:textId="77777777" w:rsidR="00265858" w:rsidRDefault="00265858" w:rsidP="00265858"/>
    <w:p w14:paraId="4405A43C" w14:textId="77777777" w:rsidR="00265858" w:rsidRDefault="00265858" w:rsidP="00265858"/>
    <w:p w14:paraId="277A626C" w14:textId="77777777" w:rsidR="00265858" w:rsidRDefault="00265858" w:rsidP="00265858"/>
    <w:p w14:paraId="1D1E8DCC" w14:textId="77777777" w:rsidR="00265858" w:rsidRDefault="00265858" w:rsidP="00265858"/>
    <w:p w14:paraId="3832864E" w14:textId="77777777" w:rsidR="00265858" w:rsidRDefault="00265858" w:rsidP="00265858"/>
    <w:p w14:paraId="055724D9" w14:textId="77777777" w:rsidR="00265858" w:rsidRDefault="00265858" w:rsidP="00265858"/>
    <w:p w14:paraId="7B2D4962" w14:textId="77777777" w:rsidR="00265858" w:rsidRDefault="00265858" w:rsidP="00265858">
      <w:pPr>
        <w:spacing w:line="240" w:lineRule="auto"/>
      </w:pPr>
      <w:r>
        <w:t xml:space="preserve">Responses for each </w:t>
      </w:r>
      <w:r w:rsidRPr="00C73EE0">
        <w:rPr>
          <w:b/>
        </w:rPr>
        <w:t>should be no more than 2 or 3 sentences</w:t>
      </w:r>
      <w:r>
        <w:t xml:space="preserve"> to orient the reviewer to the contents of the package.  The information collection request must show a clear link between the methods, the goal, and the use of the data.</w:t>
      </w:r>
    </w:p>
    <w:p w14:paraId="1365296B" w14:textId="77777777" w:rsidR="00265858" w:rsidRDefault="00265858" w:rsidP="0041024B">
      <w:pPr>
        <w:spacing w:before="120" w:line="240" w:lineRule="auto"/>
        <w:rPr>
          <w:b/>
        </w:rPr>
      </w:pPr>
    </w:p>
    <w:p w14:paraId="2AF2A83E" w14:textId="77777777" w:rsidR="00265858" w:rsidRDefault="00265858" w:rsidP="0041024B">
      <w:pPr>
        <w:spacing w:before="120" w:line="240" w:lineRule="auto"/>
        <w:rPr>
          <w:b/>
        </w:rPr>
      </w:pPr>
    </w:p>
    <w:p w14:paraId="3A2D191B" w14:textId="77777777" w:rsidR="00265858" w:rsidRDefault="00265858" w:rsidP="0041024B">
      <w:pPr>
        <w:spacing w:before="120" w:line="240" w:lineRule="auto"/>
        <w:rPr>
          <w:b/>
        </w:rPr>
      </w:pPr>
    </w:p>
    <w:p w14:paraId="6F28FEB1" w14:textId="77777777" w:rsidR="007F7F52" w:rsidRDefault="007F7F52" w:rsidP="0041024B">
      <w:pPr>
        <w:spacing w:before="120" w:line="240" w:lineRule="auto"/>
      </w:pPr>
    </w:p>
    <w:p w14:paraId="12BFBCFF" w14:textId="77777777" w:rsidR="007F7F52" w:rsidRDefault="007F7F52" w:rsidP="0041024B">
      <w:pPr>
        <w:spacing w:before="120" w:line="240" w:lineRule="auto"/>
      </w:pPr>
    </w:p>
    <w:p w14:paraId="60C23D4E" w14:textId="77777777" w:rsidR="007F7F52" w:rsidRDefault="007F7F52" w:rsidP="0041024B">
      <w:pPr>
        <w:spacing w:before="120" w:line="240" w:lineRule="auto"/>
      </w:pPr>
    </w:p>
    <w:p w14:paraId="16B6BBCB" w14:textId="77777777" w:rsidR="007F7F52" w:rsidRDefault="007F7F52" w:rsidP="0041024B">
      <w:pPr>
        <w:spacing w:before="120" w:line="240" w:lineRule="auto"/>
      </w:pPr>
    </w:p>
    <w:p w14:paraId="7B4F2825" w14:textId="77777777" w:rsidR="007F7F52" w:rsidRDefault="007F7F52" w:rsidP="0041024B">
      <w:pPr>
        <w:spacing w:before="120" w:line="240" w:lineRule="auto"/>
      </w:pPr>
    </w:p>
    <w:p w14:paraId="26C405A2" w14:textId="77777777" w:rsidR="007F7F52" w:rsidRDefault="007F7F52" w:rsidP="0041024B">
      <w:pPr>
        <w:spacing w:before="120" w:line="240" w:lineRule="auto"/>
      </w:pPr>
    </w:p>
    <w:p w14:paraId="4918EACC" w14:textId="77777777" w:rsidR="007F7F52" w:rsidRDefault="007F7F52" w:rsidP="0041024B">
      <w:pPr>
        <w:spacing w:before="120" w:line="240" w:lineRule="auto"/>
      </w:pPr>
    </w:p>
    <w:p w14:paraId="5BF470DF" w14:textId="77777777" w:rsidR="00446712" w:rsidRDefault="00446712" w:rsidP="0041024B">
      <w:pPr>
        <w:spacing w:before="120" w:line="240" w:lineRule="auto"/>
      </w:pPr>
    </w:p>
    <w:p w14:paraId="4B9AEFE8" w14:textId="77777777" w:rsidR="00446712" w:rsidRDefault="00446712" w:rsidP="0041024B">
      <w:pPr>
        <w:spacing w:before="120" w:line="240" w:lineRule="auto"/>
      </w:pPr>
    </w:p>
    <w:p w14:paraId="11F26968" w14:textId="77777777" w:rsidR="007F7F52" w:rsidRDefault="007F7F52" w:rsidP="0041024B">
      <w:pPr>
        <w:spacing w:before="120" w:line="240" w:lineRule="auto"/>
      </w:pPr>
    </w:p>
    <w:p w14:paraId="1BC27142" w14:textId="77777777" w:rsidR="007F7F52" w:rsidRDefault="007F7F52" w:rsidP="0041024B">
      <w:pPr>
        <w:spacing w:before="120" w:line="240" w:lineRule="auto"/>
      </w:pPr>
    </w:p>
    <w:p w14:paraId="0D7FA67B" w14:textId="77777777" w:rsidR="007F7F52" w:rsidRDefault="007F7F52" w:rsidP="0041024B">
      <w:pPr>
        <w:spacing w:before="120" w:line="240" w:lineRule="auto"/>
      </w:pPr>
    </w:p>
    <w:p w14:paraId="75226451" w14:textId="77777777" w:rsidR="00265858" w:rsidRDefault="00265858" w:rsidP="0041024B">
      <w:pPr>
        <w:spacing w:before="120" w:line="240" w:lineRule="auto"/>
        <w:rPr>
          <w:b/>
        </w:rPr>
      </w:pPr>
    </w:p>
    <w:p w14:paraId="436F7B00" w14:textId="77777777" w:rsidR="00B6728A" w:rsidRPr="0041024B" w:rsidRDefault="00F17675" w:rsidP="0041024B">
      <w:pPr>
        <w:pStyle w:val="Heading1"/>
        <w:spacing w:before="120" w:after="0" w:line="240" w:lineRule="auto"/>
        <w:rPr>
          <w:rFonts w:cs="Times New Roman"/>
          <w:szCs w:val="24"/>
        </w:rPr>
      </w:pPr>
      <w:bookmarkStart w:id="4" w:name="_Toc386703696"/>
      <w:bookmarkEnd w:id="1"/>
      <w:bookmarkEnd w:id="3"/>
      <w:bookmarkEnd w:id="2"/>
      <w:r w:rsidRPr="0041024B">
        <w:rPr>
          <w:rFonts w:cs="Times New Roman"/>
          <w:szCs w:val="24"/>
        </w:rPr>
        <w:t>Circumstances Making the Collection of Information Necessary</w:t>
      </w:r>
      <w:bookmarkEnd w:id="4"/>
    </w:p>
    <w:p w14:paraId="26CE8758" w14:textId="77777777" w:rsidR="00082D49" w:rsidRPr="0069778E" w:rsidRDefault="00554729" w:rsidP="0069778E">
      <w:pPr>
        <w:pStyle w:val="Body"/>
        <w:spacing w:before="120" w:line="240" w:lineRule="auto"/>
        <w:rPr>
          <w:u w:val="single"/>
        </w:rPr>
      </w:pPr>
      <w:r w:rsidRPr="0069778E">
        <w:rPr>
          <w:u w:val="single"/>
        </w:rPr>
        <w:t>Background</w:t>
      </w:r>
    </w:p>
    <w:p w14:paraId="5C2AF45D" w14:textId="77777777" w:rsidR="00B14A39" w:rsidRDefault="00330E3E" w:rsidP="0069778E">
      <w:pPr>
        <w:spacing w:before="120" w:line="240" w:lineRule="auto"/>
        <w:ind w:firstLine="720"/>
      </w:pPr>
      <w:r w:rsidRPr="0069778E">
        <w:t>The Centers for Disease Control and Prevention (CDC) requests a 3-year OMB approval to conduct a new information collection entitled, “</w:t>
      </w:r>
      <w:r w:rsidR="00376568" w:rsidRPr="0069778E">
        <w:t>Assessing</w:t>
      </w:r>
      <w:r w:rsidR="00AB6F04" w:rsidRPr="0069778E">
        <w:t xml:space="preserve"> Community-Based Organizations</w:t>
      </w:r>
      <w:r w:rsidR="00D677A6" w:rsidRPr="0069778E">
        <w:t>’</w:t>
      </w:r>
      <w:r w:rsidR="00AB6F04" w:rsidRPr="0069778E">
        <w:t xml:space="preserve"> </w:t>
      </w:r>
      <w:r w:rsidR="00AD6447" w:rsidRPr="0069778E">
        <w:t xml:space="preserve">Partnerships with </w:t>
      </w:r>
      <w:r w:rsidR="00376568" w:rsidRPr="0069778E">
        <w:t>Schools for the Prevention of HIV/STDs</w:t>
      </w:r>
      <w:r w:rsidR="00D4768C">
        <w:t>.</w:t>
      </w:r>
      <w:r w:rsidR="00376568" w:rsidRPr="0069778E">
        <w:t>”</w:t>
      </w:r>
      <w:r w:rsidRPr="0069778E">
        <w:rPr>
          <w:bCs/>
          <w:iCs/>
        </w:rPr>
        <w:t xml:space="preserve"> The information collection </w:t>
      </w:r>
      <w:r w:rsidR="00082C63" w:rsidRPr="0069778E">
        <w:t>us</w:t>
      </w:r>
      <w:r w:rsidRPr="0069778E">
        <w:t>es</w:t>
      </w:r>
      <w:r w:rsidR="00082C63" w:rsidRPr="0069778E">
        <w:t xml:space="preserve"> </w:t>
      </w:r>
      <w:r w:rsidR="00AD6447" w:rsidRPr="0069778E">
        <w:t xml:space="preserve">two versions of </w:t>
      </w:r>
      <w:r w:rsidR="00082C63" w:rsidRPr="0069778E">
        <w:t xml:space="preserve">a </w:t>
      </w:r>
      <w:r w:rsidR="008C396D" w:rsidRPr="0069778E">
        <w:t xml:space="preserve">self-administered </w:t>
      </w:r>
      <w:r w:rsidR="00CB2C26" w:rsidRPr="0069778E">
        <w:t xml:space="preserve">web-based </w:t>
      </w:r>
      <w:r w:rsidR="00ED558A" w:rsidRPr="0069778E">
        <w:t>questionnaire</w:t>
      </w:r>
      <w:r w:rsidR="00C10D41">
        <w:t xml:space="preserve">—the Community-based organization </w:t>
      </w:r>
      <w:r w:rsidR="00AD6447" w:rsidRPr="0069778E">
        <w:t>(</w:t>
      </w:r>
      <w:r w:rsidR="00CB2C26" w:rsidRPr="0069778E">
        <w:t>CBO</w:t>
      </w:r>
      <w:r w:rsidR="00C10D41">
        <w:t>)</w:t>
      </w:r>
      <w:r w:rsidR="00CB2C26" w:rsidRPr="0069778E">
        <w:t xml:space="preserve"> Assessment</w:t>
      </w:r>
      <w:r w:rsidR="00ED558A" w:rsidRPr="0069778E">
        <w:t xml:space="preserve"> </w:t>
      </w:r>
      <w:r w:rsidR="00436D01" w:rsidRPr="0069778E">
        <w:t>Questionnaire</w:t>
      </w:r>
      <w:r w:rsidR="00AD6447" w:rsidRPr="0069778E">
        <w:t xml:space="preserve"> and the </w:t>
      </w:r>
      <w:r w:rsidR="00C10D41">
        <w:t>Health and/or Wellness Center (HWC)</w:t>
      </w:r>
      <w:r w:rsidR="00C10D41" w:rsidRPr="0069778E">
        <w:t xml:space="preserve"> </w:t>
      </w:r>
      <w:r w:rsidR="00AD6447" w:rsidRPr="0069778E">
        <w:t xml:space="preserve">Assessment </w:t>
      </w:r>
      <w:r w:rsidR="00AD6447" w:rsidRPr="0069778E">
        <w:lastRenderedPageBreak/>
        <w:t>Questionnaire</w:t>
      </w:r>
      <w:r w:rsidR="00C10D41">
        <w:t>—</w:t>
      </w:r>
      <w:r w:rsidR="00ED558A" w:rsidRPr="0069778E">
        <w:t xml:space="preserve">to </w:t>
      </w:r>
      <w:r w:rsidR="00CB64AC" w:rsidRPr="0069778E">
        <w:t xml:space="preserve">conduct </w:t>
      </w:r>
      <w:r w:rsidR="00AB6F04" w:rsidRPr="0069778E">
        <w:t xml:space="preserve">an </w:t>
      </w:r>
      <w:r w:rsidR="00CB64AC" w:rsidRPr="0069778E">
        <w:t xml:space="preserve">in-depth </w:t>
      </w:r>
      <w:r w:rsidR="007675A8" w:rsidRPr="0069778E">
        <w:t>assessment</w:t>
      </w:r>
      <w:r w:rsidR="00CB64AC" w:rsidRPr="0069778E">
        <w:t xml:space="preserve"> of</w:t>
      </w:r>
      <w:r w:rsidR="00ED558A" w:rsidRPr="0069778E">
        <w:t xml:space="preserve"> </w:t>
      </w:r>
      <w:r w:rsidR="00C75AFC" w:rsidRPr="0069778E">
        <w:t xml:space="preserve">selected staff from </w:t>
      </w:r>
      <w:r w:rsidR="00EE76AC" w:rsidRPr="0069778E">
        <w:t>CBOs</w:t>
      </w:r>
      <w:r w:rsidR="00C10D41">
        <w:t xml:space="preserve"> and </w:t>
      </w:r>
      <w:r w:rsidR="00293630">
        <w:t>HWCs</w:t>
      </w:r>
      <w:r w:rsidR="00C10D41">
        <w:t xml:space="preserve">, which include school </w:t>
      </w:r>
      <w:r w:rsidR="000B67A3">
        <w:t>wellness centers</w:t>
      </w:r>
      <w:r w:rsidR="00C10D41">
        <w:t xml:space="preserve"> and school-based health centers.  The assessment will ask about </w:t>
      </w:r>
      <w:r w:rsidR="00ED558A" w:rsidRPr="0069778E">
        <w:t xml:space="preserve">HIV and STD prevention efforts that </w:t>
      </w:r>
      <w:r w:rsidR="008C396D" w:rsidRPr="0069778E">
        <w:t>are taking</w:t>
      </w:r>
      <w:r w:rsidR="00ED558A" w:rsidRPr="0069778E">
        <w:t xml:space="preserve"> place in </w:t>
      </w:r>
      <w:r w:rsidR="00C75AFC" w:rsidRPr="0069778E">
        <w:t xml:space="preserve">conjunction with </w:t>
      </w:r>
      <w:r w:rsidR="00C10D41">
        <w:t xml:space="preserve">the three </w:t>
      </w:r>
      <w:r w:rsidR="00ED558A" w:rsidRPr="0069778E">
        <w:t>local education agenc</w:t>
      </w:r>
      <w:r w:rsidR="003B48D3" w:rsidRPr="0069778E">
        <w:t>ies</w:t>
      </w:r>
      <w:r w:rsidR="00ED558A" w:rsidRPr="0069778E">
        <w:t xml:space="preserve"> (LEA</w:t>
      </w:r>
      <w:r w:rsidR="003B48D3" w:rsidRPr="0069778E">
        <w:t>s</w:t>
      </w:r>
      <w:r w:rsidR="00ED558A" w:rsidRPr="0069778E">
        <w:t xml:space="preserve">) funded by the Centers for Disease Control and Prevention (CDC), Division of Adolescent and School Health (DASH) under </w:t>
      </w:r>
      <w:r w:rsidR="00984BCB" w:rsidRPr="0069778E">
        <w:t>strategy 4</w:t>
      </w:r>
      <w:r w:rsidR="0026128B" w:rsidRPr="0069778E">
        <w:t xml:space="preserve"> (School-Centered HIV/STD Prevention for Young Men Who Have Sex with Men</w:t>
      </w:r>
      <w:r w:rsidR="00376568" w:rsidRPr="0069778E">
        <w:t xml:space="preserve"> </w:t>
      </w:r>
      <w:r w:rsidR="0026128B" w:rsidRPr="0069778E">
        <w:t>)</w:t>
      </w:r>
      <w:r w:rsidR="00984BCB" w:rsidRPr="0069778E">
        <w:t xml:space="preserve"> of </w:t>
      </w:r>
      <w:r w:rsidR="00ED558A" w:rsidRPr="0069778E">
        <w:t>PS13-1308</w:t>
      </w:r>
      <w:r w:rsidR="0026128B" w:rsidRPr="0069778E">
        <w:t xml:space="preserve">: </w:t>
      </w:r>
      <w:r w:rsidR="0026128B" w:rsidRPr="0069778E">
        <w:rPr>
          <w:i/>
        </w:rPr>
        <w:t>Promoting Adolescent Health through School-Based HIV/STD Prevention and School-Based</w:t>
      </w:r>
      <w:r w:rsidR="0026128B" w:rsidRPr="0069778E">
        <w:t xml:space="preserve"> </w:t>
      </w:r>
      <w:r w:rsidR="0026128B" w:rsidRPr="0069778E">
        <w:rPr>
          <w:i/>
        </w:rPr>
        <w:t>Surveillance</w:t>
      </w:r>
      <w:r w:rsidR="00AB6F04" w:rsidRPr="0069778E">
        <w:t xml:space="preserve">.  </w:t>
      </w:r>
    </w:p>
    <w:p w14:paraId="76ED72DE" w14:textId="2D0C1913" w:rsidR="00ED558A" w:rsidRDefault="00AB6F04" w:rsidP="0069778E">
      <w:pPr>
        <w:spacing w:before="120" w:line="240" w:lineRule="auto"/>
        <w:ind w:firstLine="720"/>
      </w:pPr>
      <w:r w:rsidRPr="0069778E">
        <w:t>This information</w:t>
      </w:r>
      <w:r w:rsidR="00ED558A" w:rsidRPr="0069778E">
        <w:t xml:space="preserve"> collection will provide data and reports for the </w:t>
      </w:r>
      <w:r w:rsidR="00FF4672" w:rsidRPr="0069778E">
        <w:t xml:space="preserve">three </w:t>
      </w:r>
      <w:r w:rsidR="00ED558A" w:rsidRPr="0069778E">
        <w:t>funded LEA</w:t>
      </w:r>
      <w:r w:rsidR="00FF4672" w:rsidRPr="0069778E">
        <w:t>s, and will allow each</w:t>
      </w:r>
      <w:r w:rsidR="00ED558A" w:rsidRPr="0069778E">
        <w:t xml:space="preserve"> LEA to identify areas of the </w:t>
      </w:r>
      <w:r w:rsidR="00FF4672" w:rsidRPr="0069778E">
        <w:t xml:space="preserve">partnerships with CBOs and </w:t>
      </w:r>
      <w:r w:rsidR="00C10D41">
        <w:t>HW</w:t>
      </w:r>
      <w:r w:rsidR="00C10D41" w:rsidRPr="0069778E">
        <w:t xml:space="preserve">Cs </w:t>
      </w:r>
      <w:r w:rsidR="00ED558A" w:rsidRPr="0069778E">
        <w:t xml:space="preserve">that are working well and other areas that will need additional improvement.  </w:t>
      </w:r>
      <w:r w:rsidR="003E1D6A" w:rsidRPr="0069778E">
        <w:t xml:space="preserve">In addition, the findings will allow CDC to determine the potential impact of currently recommended strategies and make changes to those recommendations if necessary.  </w:t>
      </w:r>
      <w:r w:rsidR="00B14A39">
        <w:t xml:space="preserve">Data will be collected from </w:t>
      </w:r>
      <w:r w:rsidR="00385219">
        <w:t xml:space="preserve">up to </w:t>
      </w:r>
      <w:r w:rsidR="008C5139">
        <w:t xml:space="preserve">10 CBOs and 10 HWCs partnering with each of the three LEAs (for a total of up to 60 organizations—30 CBOs and 30 HWCs) </w:t>
      </w:r>
      <w:r w:rsidR="00B14A39">
        <w:t>in 2015</w:t>
      </w:r>
      <w:r w:rsidR="00385219">
        <w:t>, fall of 2016, and spring of 2018</w:t>
      </w:r>
      <w:r w:rsidR="00B14A39">
        <w:t xml:space="preserve">.  </w:t>
      </w:r>
      <w:r w:rsidR="008C5139">
        <w:t xml:space="preserve">It is expected that any organization participating in data collection will be asked to participate in subsequent data collection rounds. In addition, if LEAs add new organizations to their current group of partners, representatives from those new organizations may be asked to complete questionnaires in the 2016 or 2018 round of data collection, providing that the maximum number of respondents had not already been reached. </w:t>
      </w:r>
      <w:r w:rsidR="00ED558A" w:rsidRPr="0069778E">
        <w:t>The questionnaire</w:t>
      </w:r>
      <w:r w:rsidR="00B14A39">
        <w:t>s</w:t>
      </w:r>
      <w:r w:rsidR="00ED558A" w:rsidRPr="0069778E">
        <w:t xml:space="preserve"> will include questions on the following topics: </w:t>
      </w:r>
      <w:r w:rsidR="00CC0927" w:rsidRPr="0069778E">
        <w:t>services offered by the organization; the respondent’s role within the organization</w:t>
      </w:r>
      <w:r w:rsidR="00EE76AC" w:rsidRPr="0069778E">
        <w:t>;</w:t>
      </w:r>
      <w:r w:rsidR="00CC0927" w:rsidRPr="0069778E">
        <w:t xml:space="preserve"> and the organization’s relationships with the school district and participating schools</w:t>
      </w:r>
      <w:r w:rsidR="0030318A" w:rsidRPr="0069778E">
        <w:t xml:space="preserve"> in the LEA</w:t>
      </w:r>
      <w:r w:rsidR="00ED558A" w:rsidRPr="0069778E">
        <w:t>.</w:t>
      </w:r>
      <w:r w:rsidR="00B14A39" w:rsidRPr="00B14A39">
        <w:t xml:space="preserve"> </w:t>
      </w:r>
      <w:r w:rsidR="008C5139">
        <w:t xml:space="preserve">The same questionnaires will be used for each round of data collection.  </w:t>
      </w:r>
      <w:r w:rsidR="00B14A39">
        <w:t xml:space="preserve">CDC’s role in this information collection is that it is helping provide technical assistance and support for the LEAs to conduct this evaluation of their CDC-funded programmatic work.  </w:t>
      </w:r>
    </w:p>
    <w:p w14:paraId="0E5C9BBF" w14:textId="77777777" w:rsidR="0026183C" w:rsidRPr="0069778E" w:rsidRDefault="00D800D8" w:rsidP="0069778E">
      <w:pPr>
        <w:spacing w:before="120" w:line="240" w:lineRule="auto"/>
        <w:ind w:firstLine="720"/>
      </w:pPr>
      <w:r w:rsidRPr="0069778E">
        <w:t xml:space="preserve"> </w:t>
      </w:r>
      <w:r w:rsidR="0026183C" w:rsidRPr="0069778E">
        <w:t>HIV infections remain high among young men who have sex with men</w:t>
      </w:r>
      <w:r w:rsidR="00AB6F04" w:rsidRPr="0069778E">
        <w:t xml:space="preserve"> (YMSM)</w:t>
      </w:r>
      <w:r w:rsidRPr="0069778E">
        <w:t>.</w:t>
      </w:r>
      <w:r w:rsidR="004A6988" w:rsidRPr="0069778E">
        <w:rPr>
          <w:vertAlign w:val="superscript"/>
        </w:rPr>
        <w:t>1</w:t>
      </w:r>
      <w:r w:rsidR="0026183C" w:rsidRPr="0069778E">
        <w:t xml:space="preserve"> </w:t>
      </w:r>
      <w:r w:rsidR="00F46E77" w:rsidRPr="0069778E">
        <w:t>The e</w:t>
      </w:r>
      <w:r w:rsidR="0026183C" w:rsidRPr="0069778E">
        <w:t xml:space="preserve">stimated number of new HIV infections increased </w:t>
      </w:r>
      <w:r w:rsidR="00F46E77" w:rsidRPr="0069778E">
        <w:t xml:space="preserve">between 2008 and 2010 both </w:t>
      </w:r>
      <w:r w:rsidR="0026183C" w:rsidRPr="0069778E">
        <w:t>overall and among MSM ages 13 to 24</w:t>
      </w:r>
      <w:r w:rsidR="0093068D" w:rsidRPr="0069778E">
        <w:t>.</w:t>
      </w:r>
      <w:r w:rsidR="004A6988" w:rsidRPr="0069778E">
        <w:rPr>
          <w:vertAlign w:val="superscript"/>
        </w:rPr>
        <w:t>2</w:t>
      </w:r>
      <w:r w:rsidR="0026183C" w:rsidRPr="0069778E">
        <w:rPr>
          <w:vertAlign w:val="superscript"/>
        </w:rPr>
        <w:t xml:space="preserve"> </w:t>
      </w:r>
      <w:r w:rsidR="0026183C" w:rsidRPr="0069778E">
        <w:t xml:space="preserve"> </w:t>
      </w:r>
      <w:r w:rsidR="00672C7C" w:rsidRPr="0069778E">
        <w:t xml:space="preserve"> </w:t>
      </w:r>
      <w:r w:rsidR="0026183C" w:rsidRPr="0069778E">
        <w:t>Furthermore, sexual risk behaviors associated with HIV, other sexually transmitted disease</w:t>
      </w:r>
      <w:r w:rsidR="00EE76AC" w:rsidRPr="0069778E">
        <w:t>s</w:t>
      </w:r>
      <w:r w:rsidR="0026183C" w:rsidRPr="0069778E">
        <w:t xml:space="preserve"> (STD), and pregnancy often emerge in adolescence. For example, 2011 Youth Risk Behavior Surveillance System (YRBSS) data revealed 47.4% of U.S. high school students reported having had sex, and among those who had sex in the previous three months, 39.8% reported having not used a condom during last sexual intercourse.</w:t>
      </w:r>
      <w:r w:rsidR="004A6988" w:rsidRPr="0069778E">
        <w:rPr>
          <w:vertAlign w:val="superscript"/>
        </w:rPr>
        <w:t>3</w:t>
      </w:r>
      <w:r w:rsidR="0026183C" w:rsidRPr="0069778E">
        <w:rPr>
          <w:vertAlign w:val="superscript"/>
        </w:rPr>
        <w:t xml:space="preserve"> </w:t>
      </w:r>
      <w:r w:rsidR="0026183C" w:rsidRPr="0069778E">
        <w:t xml:space="preserve"> In addition, </w:t>
      </w:r>
      <w:r w:rsidR="00F46E77" w:rsidRPr="0069778E">
        <w:t xml:space="preserve">2001-2009 </w:t>
      </w:r>
      <w:r w:rsidR="0026183C" w:rsidRPr="0069778E">
        <w:t xml:space="preserve">YRBSS data </w:t>
      </w:r>
      <w:r w:rsidR="00F46E77" w:rsidRPr="0069778E">
        <w:t xml:space="preserve">revealed </w:t>
      </w:r>
      <w:r w:rsidR="0026183C" w:rsidRPr="0069778E">
        <w:t>high school students identifying as gay, lesbian, and bisexual and those reporting sexual contact with both males and females were more likely to engage in sexual risk-taking behaviors than heterosexual students.</w:t>
      </w:r>
      <w:r w:rsidR="004A6988" w:rsidRPr="0069778E">
        <w:rPr>
          <w:vertAlign w:val="superscript"/>
        </w:rPr>
        <w:t>4</w:t>
      </w:r>
    </w:p>
    <w:p w14:paraId="11CFB3D9" w14:textId="77777777" w:rsidR="00984BCB" w:rsidRPr="0069778E" w:rsidRDefault="0026183C" w:rsidP="0069778E">
      <w:pPr>
        <w:spacing w:before="120" w:line="240" w:lineRule="auto"/>
        <w:ind w:firstLine="720"/>
      </w:pPr>
      <w:r w:rsidRPr="0069778E">
        <w:t xml:space="preserve">Given the disproportionate risk for HIV among YMSM ages 13-24, it is important to find ways to reach the younger youth (i.e., ages 13-19) in this range to decrease sexual risk behaviors and increase health-promoting behaviors such as routine HIV testing.  </w:t>
      </w:r>
      <w:r w:rsidR="00F46E77" w:rsidRPr="0069778E">
        <w:t>Schools provide o</w:t>
      </w:r>
      <w:r w:rsidRPr="0069778E">
        <w:t xml:space="preserve">ne opportunity for this.  Because schools </w:t>
      </w:r>
      <w:r w:rsidR="00F46E77" w:rsidRPr="0069778E">
        <w:t>enroll</w:t>
      </w:r>
      <w:r w:rsidRPr="0069778E">
        <w:t xml:space="preserve"> more than 22 million teens (ages 14-19)</w:t>
      </w:r>
      <w:r w:rsidR="004A6988" w:rsidRPr="0069778E">
        <w:rPr>
          <w:vertAlign w:val="superscript"/>
        </w:rPr>
        <w:t>5</w:t>
      </w:r>
      <w:r w:rsidRPr="0069778E">
        <w:fldChar w:fldCharType="begin"/>
      </w:r>
      <w:r w:rsidRPr="0069778E">
        <w:instrText xml:space="preserve"> ADDIN EN.CITE &lt;EndNote&gt;&lt;Cite&gt;&lt;Author&gt;United States Census Bureau&lt;/Author&gt;&lt;Year&gt;2013&lt;/Year&gt;&lt;RecNum&gt;24&lt;/RecNum&gt;&lt;DisplayText&gt;(United States Census Bureau, 2013)&lt;/DisplayText&gt;&lt;record&gt;&lt;rec-number&gt;24&lt;/rec-number&gt;&lt;foreign-keys&gt;&lt;key app="EN" db-id="s5ex99zxl9zzp8edrtlxzwprawfffatrfpf0"&gt;24&lt;/key&gt;&lt;/foreign-keys&gt;&lt;ref-type name="Web Page"&gt;12&lt;/ref-type&gt;&lt;contributors&gt;&lt;authors&gt;&lt;author&gt;United States Census Bureau,&lt;/author&gt;&lt;/authors&gt;&lt;/contributors&gt;&lt;titles&gt;&lt;title&gt;School enrollment: CPS October 2012--Detailed Tables&lt;/title&gt;&lt;/titles&gt;&lt;volume&gt;2014&lt;/volume&gt;&lt;number&gt;March 7&lt;/number&gt;&lt;dates&gt;&lt;year&gt;2013&lt;/year&gt;&lt;pub-dates&gt;&lt;date&gt;September 3, 2013&lt;/date&gt;&lt;/pub-dates&gt;&lt;/dates&gt;&lt;publisher&gt;U.S. Department of Commerce, Census Bureau Web site&lt;/publisher&gt;&lt;urls&gt;&lt;related-urls&gt;&lt;url&gt;http://www.census.gov/hhes/school/&lt;/url&gt;&lt;/related-urls&gt;&lt;/urls&gt;&lt;/record&gt;&lt;/Cite&gt;&lt;/EndNote&gt;</w:instrText>
      </w:r>
      <w:r w:rsidRPr="0069778E">
        <w:fldChar w:fldCharType="end"/>
      </w:r>
      <w:r w:rsidRPr="0069778E">
        <w:t xml:space="preserve"> and often have existing health and social services infrastructure, schools and their staff members are well-positioned to connect youth to a wide range of needed services, including housing assistance, support groups, and sexual health services such as HIV testing.</w:t>
      </w:r>
      <w:r w:rsidR="00F46E77" w:rsidRPr="0069778E">
        <w:t xml:space="preserve">  As a result, CDC’s DASH has focused a number of HIV and STD prevention efforts on strategies that can be implemented in</w:t>
      </w:r>
      <w:r w:rsidR="00376568" w:rsidRPr="0069778E">
        <w:t>,</w:t>
      </w:r>
      <w:r w:rsidR="00F46E77" w:rsidRPr="0069778E">
        <w:t xml:space="preserve"> or centered around</w:t>
      </w:r>
      <w:r w:rsidR="00376568" w:rsidRPr="0069778E">
        <w:t>,</w:t>
      </w:r>
      <w:r w:rsidR="00F46E77" w:rsidRPr="0069778E">
        <w:t xml:space="preserve"> schools.</w:t>
      </w:r>
    </w:p>
    <w:p w14:paraId="68334DEB" w14:textId="3726C23E" w:rsidR="00376568" w:rsidRPr="0069778E" w:rsidRDefault="00376568" w:rsidP="0069778E">
      <w:pPr>
        <w:spacing w:before="120" w:line="240" w:lineRule="auto"/>
        <w:ind w:firstLine="720"/>
      </w:pPr>
      <w:r w:rsidRPr="0069778E">
        <w:t xml:space="preserve">DASH in the National Center for HIV/AIDS, Viral Hepatitis, STD, and TB Prevention (NCHHSTP) awarded funds to implement PS13-1308: </w:t>
      </w:r>
      <w:r w:rsidRPr="0069778E">
        <w:rPr>
          <w:i/>
        </w:rPr>
        <w:t xml:space="preserve">Promoting Adolescent Health through </w:t>
      </w:r>
      <w:r w:rsidRPr="0069778E">
        <w:rPr>
          <w:i/>
        </w:rPr>
        <w:lastRenderedPageBreak/>
        <w:t>School-Based HIV/STD Prevention and School-Based</w:t>
      </w:r>
      <w:r w:rsidRPr="0069778E">
        <w:t xml:space="preserve"> </w:t>
      </w:r>
      <w:r w:rsidRPr="0069778E">
        <w:rPr>
          <w:i/>
        </w:rPr>
        <w:t>Surveillance</w:t>
      </w:r>
      <w:r w:rsidRPr="0069778E">
        <w:t xml:space="preserve"> in order to build the capacity of state </w:t>
      </w:r>
      <w:r w:rsidR="00515C78" w:rsidRPr="0069778E">
        <w:t>education agencies (SEAs) and LEAs</w:t>
      </w:r>
      <w:r w:rsidRPr="0069778E">
        <w:t xml:space="preserve"> and support the efforts of national, non-governmental organizations (NGOs) to help priority school districts and schools develop and implement sustainable adolescent-focused program activities.  Within that cooperative agreement, three </w:t>
      </w:r>
      <w:r w:rsidR="00AD0540">
        <w:t>local education agencies</w:t>
      </w:r>
      <w:r w:rsidR="00515C78" w:rsidRPr="0069778E">
        <w:t xml:space="preserve"> </w:t>
      </w:r>
      <w:r w:rsidRPr="0069778E">
        <w:t xml:space="preserve">and one </w:t>
      </w:r>
      <w:r w:rsidR="00515C78" w:rsidRPr="0069778E">
        <w:t xml:space="preserve">NGO </w:t>
      </w:r>
      <w:r w:rsidRPr="0069778E">
        <w:t>were funded under strategy 4 for specific HIV and STD prevention work focused on reaching 1</w:t>
      </w:r>
      <w:r w:rsidR="00515C78" w:rsidRPr="0069778E">
        <w:t>3-19 year old black and Latino YMSM</w:t>
      </w:r>
      <w:r w:rsidRPr="0069778E">
        <w:t xml:space="preserve">. In this project, YMSM are defined to include young men who report sexual activity with other males, attraction to other males, or who identify as gay or bisexual.  The distal </w:t>
      </w:r>
      <w:r w:rsidR="008C5139">
        <w:t xml:space="preserve">program </w:t>
      </w:r>
      <w:r w:rsidRPr="0069778E">
        <w:t>goals</w:t>
      </w:r>
      <w:r w:rsidR="008C5139">
        <w:t xml:space="preserve"> for the project funded by strategy 4 of the cooperative agreement </w:t>
      </w:r>
      <w:r w:rsidRPr="0069778E">
        <w:t>are to:</w:t>
      </w:r>
    </w:p>
    <w:p w14:paraId="13411228" w14:textId="77777777" w:rsidR="00376568" w:rsidRPr="0069778E" w:rsidRDefault="00376568" w:rsidP="0069778E">
      <w:pPr>
        <w:numPr>
          <w:ilvl w:val="0"/>
          <w:numId w:val="15"/>
        </w:numPr>
        <w:spacing w:before="120" w:line="240" w:lineRule="auto"/>
      </w:pPr>
      <w:r w:rsidRPr="0069778E">
        <w:t>Increase the number of teen YMSM who are tested and treated for HIV/STDs;</w:t>
      </w:r>
    </w:p>
    <w:p w14:paraId="42623D95" w14:textId="77777777" w:rsidR="00376568" w:rsidRPr="0069778E" w:rsidRDefault="00376568" w:rsidP="0069778E">
      <w:pPr>
        <w:numPr>
          <w:ilvl w:val="0"/>
          <w:numId w:val="15"/>
        </w:numPr>
        <w:spacing w:before="120" w:line="240" w:lineRule="auto"/>
      </w:pPr>
      <w:r w:rsidRPr="0069778E">
        <w:t>Decrease sexual risk behaviors among teen YMSM; and</w:t>
      </w:r>
    </w:p>
    <w:p w14:paraId="4DE147AF" w14:textId="77777777" w:rsidR="00AD0540" w:rsidRDefault="00376568" w:rsidP="00247F8A">
      <w:pPr>
        <w:numPr>
          <w:ilvl w:val="0"/>
          <w:numId w:val="15"/>
        </w:numPr>
        <w:spacing w:before="120" w:line="240" w:lineRule="auto"/>
      </w:pPr>
      <w:r w:rsidRPr="0069778E">
        <w:t>Reduce rates of absenteeism and school dropout among teen YMSM.</w:t>
      </w:r>
    </w:p>
    <w:p w14:paraId="5687D426" w14:textId="77777777" w:rsidR="00AD0540" w:rsidRDefault="00AD0540" w:rsidP="00247F8A">
      <w:pPr>
        <w:spacing w:before="120" w:line="240" w:lineRule="auto"/>
        <w:ind w:firstLine="720"/>
      </w:pPr>
      <w:r>
        <w:t xml:space="preserve">Program activities funded by the cooperative agreement will focus on impacting short-term and intermediate outcomes believed to lead to the prevention of HIV and STDs.  Of specific interest, are increasing access of students (particularly YMSM) to key sexual health services and making the school environment safer and more supportive for YMSM.  In order to achieve these outcomes, funded LEAs are working to build and strengthen relationships with a variety of community partners, including CBOs and HWCs.  These increased and improved relationships are a key outcome of the funded LEAs’ work, and it is this outcome that will be assessed by the proposed information collection.  </w:t>
      </w:r>
    </w:p>
    <w:p w14:paraId="33E28BE6" w14:textId="60BF2EA4" w:rsidR="00984BCB" w:rsidRPr="0069778E" w:rsidRDefault="00515C78" w:rsidP="0069778E">
      <w:pPr>
        <w:spacing w:before="120" w:line="240" w:lineRule="auto"/>
        <w:ind w:firstLine="720"/>
      </w:pPr>
      <w:r w:rsidRPr="0069778E">
        <w:t>The proposed information</w:t>
      </w:r>
      <w:r w:rsidR="00984BCB" w:rsidRPr="0069778E">
        <w:t xml:space="preserve"> collection </w:t>
      </w:r>
      <w:r w:rsidR="0026128B" w:rsidRPr="0069778E">
        <w:t xml:space="preserve">applies to only strategy 4 of PS13-1308, and it </w:t>
      </w:r>
      <w:r w:rsidR="00984BCB" w:rsidRPr="0069778E">
        <w:t xml:space="preserve">is part of a multi-component </w:t>
      </w:r>
      <w:r w:rsidR="007675A8" w:rsidRPr="0069778E">
        <w:t>assessment</w:t>
      </w:r>
      <w:r w:rsidR="00984BCB" w:rsidRPr="0069778E">
        <w:t xml:space="preserve"> of the HIV and STD prevention work conducted by the three LEAs funded for strategy 4.  </w:t>
      </w:r>
      <w:r w:rsidR="004C46D2" w:rsidRPr="0069778E">
        <w:t>The selected schools in each of the 3 LEAs are working to develop new or improved systems for referring teen YMSM to school-based or school-linked health and social service providers in the community; improv</w:t>
      </w:r>
      <w:r w:rsidR="00D677A6" w:rsidRPr="0069778E">
        <w:t>e</w:t>
      </w:r>
      <w:r w:rsidR="004C46D2" w:rsidRPr="0069778E">
        <w:t xml:space="preserve"> the school climate for lesbian, gay, bisexual, transgender, and queer or questioning (LGBTQ) youth (specifically YMSM); us</w:t>
      </w:r>
      <w:r w:rsidR="00D677A6" w:rsidRPr="0069778E">
        <w:t>e</w:t>
      </w:r>
      <w:r w:rsidR="004C46D2" w:rsidRPr="0069778E">
        <w:t xml:space="preserve"> LGBTQ-inclusive social marketing promotion of sexual health and related services; and creat</w:t>
      </w:r>
      <w:r w:rsidR="00D677A6" w:rsidRPr="0069778E">
        <w:t>e</w:t>
      </w:r>
      <w:r w:rsidR="004C46D2" w:rsidRPr="0069778E">
        <w:t xml:space="preserve"> procedures for school staff to provide YMSM referrals for HIV/STD testing.</w:t>
      </w:r>
      <w:r w:rsidR="0057510D" w:rsidRPr="0069778E">
        <w:t xml:space="preserve"> </w:t>
      </w:r>
      <w:r w:rsidR="005E1C1D" w:rsidRPr="0069778E">
        <w:t xml:space="preserve">The proposed </w:t>
      </w:r>
      <w:r w:rsidRPr="0069778E">
        <w:t>information</w:t>
      </w:r>
      <w:r w:rsidR="005E1C1D" w:rsidRPr="0069778E">
        <w:t xml:space="preserve"> collection will involve administration of web-based questionnaires to </w:t>
      </w:r>
      <w:r w:rsidR="00AD0540">
        <w:t xml:space="preserve">representatives from </w:t>
      </w:r>
      <w:r w:rsidR="005E1C1D" w:rsidRPr="0069778E">
        <w:t xml:space="preserve">CBOs and </w:t>
      </w:r>
      <w:r w:rsidR="00AD0540">
        <w:t>HWC</w:t>
      </w:r>
      <w:r w:rsidR="005E1C1D" w:rsidRPr="0069778E">
        <w:t xml:space="preserve">s working with the schools in Strategy 4. </w:t>
      </w:r>
      <w:r w:rsidR="0026128B" w:rsidRPr="0069778E">
        <w:t xml:space="preserve">This component of the </w:t>
      </w:r>
      <w:r w:rsidR="007675A8" w:rsidRPr="0069778E">
        <w:t>assessment</w:t>
      </w:r>
      <w:r w:rsidR="0026128B" w:rsidRPr="0069778E">
        <w:t xml:space="preserve"> is designed to provide in-depth </w:t>
      </w:r>
      <w:r w:rsidR="007675A8" w:rsidRPr="0069778E">
        <w:t>assessment findings</w:t>
      </w:r>
      <w:r w:rsidR="0026128B" w:rsidRPr="0069778E">
        <w:t xml:space="preserve"> for </w:t>
      </w:r>
      <w:r w:rsidR="004C46D2" w:rsidRPr="0069778E">
        <w:t xml:space="preserve">the </w:t>
      </w:r>
      <w:r w:rsidR="00AD6447" w:rsidRPr="0069778E">
        <w:t xml:space="preserve">baseline level of </w:t>
      </w:r>
      <w:r w:rsidR="00D677A6" w:rsidRPr="0069778E">
        <w:t xml:space="preserve">partnerships </w:t>
      </w:r>
      <w:r w:rsidR="00AD0540">
        <w:t xml:space="preserve">(and later, follow-up assessments of partnerships) </w:t>
      </w:r>
      <w:r w:rsidR="00D677A6" w:rsidRPr="0069778E">
        <w:t>between the schools and districts and the</w:t>
      </w:r>
      <w:r w:rsidR="004C46D2" w:rsidRPr="0069778E">
        <w:t xml:space="preserve"> CBOs and </w:t>
      </w:r>
      <w:r w:rsidR="00AD0540">
        <w:t>HW</w:t>
      </w:r>
      <w:r w:rsidR="00AD0540" w:rsidRPr="0069778E">
        <w:t xml:space="preserve">Cs </w:t>
      </w:r>
      <w:r w:rsidR="004C46D2" w:rsidRPr="0069778E">
        <w:t>working with schools at each of the three</w:t>
      </w:r>
      <w:r w:rsidR="0026128B" w:rsidRPr="0069778E">
        <w:t xml:space="preserve"> LEA</w:t>
      </w:r>
      <w:r w:rsidR="004C46D2" w:rsidRPr="0069778E">
        <w:t>s</w:t>
      </w:r>
      <w:r w:rsidR="0026128B" w:rsidRPr="0069778E">
        <w:t xml:space="preserve">.  </w:t>
      </w:r>
      <w:r w:rsidR="0057510D" w:rsidRPr="0069778E">
        <w:t xml:space="preserve">The </w:t>
      </w:r>
      <w:r w:rsidR="00AD6447" w:rsidRPr="0069778E">
        <w:t xml:space="preserve">questionnaire (either the CBO Assessment Questionnaire or the </w:t>
      </w:r>
      <w:r w:rsidR="00AD0540">
        <w:t>HWC</w:t>
      </w:r>
      <w:r w:rsidR="00AD0540" w:rsidRPr="0069778E">
        <w:t xml:space="preserve"> </w:t>
      </w:r>
      <w:r w:rsidR="00AD6447" w:rsidRPr="0069778E">
        <w:t xml:space="preserve">Assessment Questionnaire) </w:t>
      </w:r>
      <w:r w:rsidR="0057510D" w:rsidRPr="0069778E">
        <w:t xml:space="preserve">will be sent to one representative from each CBO or </w:t>
      </w:r>
      <w:r w:rsidR="00AD0540">
        <w:t>HWC</w:t>
      </w:r>
      <w:r w:rsidR="00EE76AC" w:rsidRPr="0069778E">
        <w:t>, who</w:t>
      </w:r>
      <w:r w:rsidR="0057510D" w:rsidRPr="0069778E">
        <w:t xml:space="preserve"> will be encouraged to consult with </w:t>
      </w:r>
      <w:r w:rsidR="005E1C1D" w:rsidRPr="0069778E">
        <w:t xml:space="preserve">up to two additional </w:t>
      </w:r>
      <w:r w:rsidR="0057510D" w:rsidRPr="0069778E">
        <w:t xml:space="preserve">staff, as needed, to complete the </w:t>
      </w:r>
      <w:r w:rsidR="004D3C9C">
        <w:t>questionnaire</w:t>
      </w:r>
      <w:r w:rsidR="0057510D" w:rsidRPr="0069778E">
        <w:t xml:space="preserve">. </w:t>
      </w:r>
    </w:p>
    <w:p w14:paraId="151DC515" w14:textId="77777777" w:rsidR="008D4791" w:rsidRPr="0069778E" w:rsidRDefault="001D0212" w:rsidP="0069778E">
      <w:pPr>
        <w:spacing w:before="120" w:line="240" w:lineRule="auto"/>
        <w:ind w:firstLine="720"/>
      </w:pPr>
      <w:r w:rsidRPr="0069778E">
        <w:t xml:space="preserve">CDC is authorized to collect the data described in this </w:t>
      </w:r>
      <w:r w:rsidR="009D5BD5" w:rsidRPr="0069778E">
        <w:t>request</w:t>
      </w:r>
      <w:r w:rsidRPr="0069778E">
        <w:t xml:space="preserve"> by Section 301 of the Public Health Service Act (</w:t>
      </w:r>
      <w:bookmarkStart w:id="5" w:name="OLE_LINK3"/>
      <w:bookmarkStart w:id="6" w:name="OLE_LINK4"/>
      <w:r w:rsidRPr="0069778E">
        <w:t>42 USC 241</w:t>
      </w:r>
      <w:bookmarkEnd w:id="5"/>
      <w:bookmarkEnd w:id="6"/>
      <w:r w:rsidRPr="0069778E">
        <w:t xml:space="preserve">).  A copy of this enabling legislation is provided in </w:t>
      </w:r>
      <w:r w:rsidRPr="0069778E">
        <w:rPr>
          <w:b/>
        </w:rPr>
        <w:t xml:space="preserve">Attachment </w:t>
      </w:r>
      <w:r w:rsidR="002331C4" w:rsidRPr="0069778E">
        <w:rPr>
          <w:b/>
        </w:rPr>
        <w:t>1</w:t>
      </w:r>
      <w:r w:rsidR="006C1265" w:rsidRPr="0069778E">
        <w:t>.</w:t>
      </w:r>
      <w:r w:rsidR="00813A66" w:rsidRPr="0069778E">
        <w:t xml:space="preserve">  In addition to this legislation, there are several national initiat</w:t>
      </w:r>
      <w:r w:rsidR="00435FA6" w:rsidRPr="0069778E">
        <w:t>ives and programs that this information</w:t>
      </w:r>
      <w:r w:rsidR="00813A66" w:rsidRPr="0069778E">
        <w:t xml:space="preserve"> co</w:t>
      </w:r>
      <w:r w:rsidR="00016FAA" w:rsidRPr="0069778E">
        <w:t>ll</w:t>
      </w:r>
      <w:r w:rsidR="009D5BD5" w:rsidRPr="0069778E">
        <w:t xml:space="preserve">ection would serve to support, including but not limited to: </w:t>
      </w:r>
    </w:p>
    <w:p w14:paraId="321E77E5" w14:textId="77777777" w:rsidR="008D4791" w:rsidRPr="0069778E" w:rsidRDefault="008D4791" w:rsidP="0069778E">
      <w:pPr>
        <w:pStyle w:val="ListParagraph"/>
        <w:numPr>
          <w:ilvl w:val="0"/>
          <w:numId w:val="7"/>
        </w:numPr>
        <w:spacing w:before="120" w:line="240" w:lineRule="auto"/>
        <w:rPr>
          <w:rFonts w:eastAsia="Calibri"/>
        </w:rPr>
      </w:pPr>
      <w:r w:rsidRPr="0069778E">
        <w:rPr>
          <w:rFonts w:eastAsia="Calibri"/>
          <w:i/>
          <w:iCs/>
        </w:rPr>
        <w:t>Healthy People 2020</w:t>
      </w:r>
      <w:r w:rsidR="009D5BD5" w:rsidRPr="0069778E">
        <w:rPr>
          <w:rFonts w:eastAsia="Calibri"/>
          <w:i/>
          <w:iCs/>
        </w:rPr>
        <w:t xml:space="preserve">, </w:t>
      </w:r>
      <w:r w:rsidR="009D5BD5" w:rsidRPr="0069778E">
        <w:rPr>
          <w:rFonts w:eastAsia="Calibri"/>
          <w:iCs/>
        </w:rPr>
        <w:t>which provides</w:t>
      </w:r>
      <w:r w:rsidRPr="0069778E">
        <w:rPr>
          <w:rFonts w:eastAsia="Calibri"/>
        </w:rPr>
        <w:t xml:space="preserve"> national health objectives </w:t>
      </w:r>
      <w:r w:rsidR="009D5BD5" w:rsidRPr="0069778E">
        <w:rPr>
          <w:rFonts w:eastAsia="Calibri"/>
        </w:rPr>
        <w:t xml:space="preserve">and </w:t>
      </w:r>
      <w:r w:rsidRPr="0069778E">
        <w:rPr>
          <w:rFonts w:eastAsia="Calibri"/>
        </w:rPr>
        <w:t>outline</w:t>
      </w:r>
      <w:r w:rsidR="002812A6" w:rsidRPr="0069778E">
        <w:rPr>
          <w:rFonts w:eastAsia="Calibri"/>
        </w:rPr>
        <w:t>s</w:t>
      </w:r>
      <w:r w:rsidRPr="0069778E">
        <w:rPr>
          <w:rFonts w:eastAsia="Calibri"/>
        </w:rPr>
        <w:t xml:space="preserve"> a comprehensive plan for health promotion and disease prevention in the United States. Of the Healthy People 2020 objectives, 31 objecti</w:t>
      </w:r>
      <w:r w:rsidR="00016FAA" w:rsidRPr="0069778E">
        <w:rPr>
          <w:rFonts w:eastAsia="Calibri"/>
        </w:rPr>
        <w:t xml:space="preserve">ves align specifically </w:t>
      </w:r>
      <w:r w:rsidR="009D5BD5" w:rsidRPr="0069778E">
        <w:rPr>
          <w:rFonts w:eastAsia="Calibri"/>
        </w:rPr>
        <w:t xml:space="preserve">with </w:t>
      </w:r>
      <w:r w:rsidR="00AD3135" w:rsidRPr="0069778E">
        <w:rPr>
          <w:rFonts w:eastAsia="Calibri"/>
        </w:rPr>
        <w:t>PS-13-1308</w:t>
      </w:r>
      <w:r w:rsidRPr="0069778E">
        <w:rPr>
          <w:rFonts w:eastAsia="Calibri"/>
        </w:rPr>
        <w:t xml:space="preserve"> </w:t>
      </w:r>
      <w:r w:rsidR="00016FAA" w:rsidRPr="0069778E">
        <w:rPr>
          <w:rFonts w:eastAsia="Calibri"/>
        </w:rPr>
        <w:lastRenderedPageBreak/>
        <w:t xml:space="preserve">activities </w:t>
      </w:r>
      <w:r w:rsidRPr="0069778E">
        <w:rPr>
          <w:rFonts w:eastAsia="Calibri"/>
        </w:rPr>
        <w:t>related to reducing HIV infection, other STD, a</w:t>
      </w:r>
      <w:r w:rsidR="009D5BD5" w:rsidRPr="0069778E">
        <w:rPr>
          <w:rFonts w:eastAsia="Calibri"/>
        </w:rPr>
        <w:t>nd pregnancy among adolescents.</w:t>
      </w:r>
    </w:p>
    <w:p w14:paraId="55EA47AF" w14:textId="77777777" w:rsidR="008D4791" w:rsidRPr="0069778E" w:rsidRDefault="00993EB5" w:rsidP="0069778E">
      <w:pPr>
        <w:pStyle w:val="ListParagraph"/>
        <w:numPr>
          <w:ilvl w:val="0"/>
          <w:numId w:val="7"/>
        </w:numPr>
        <w:spacing w:before="120" w:line="240" w:lineRule="auto"/>
        <w:rPr>
          <w:rFonts w:eastAsia="Calibri"/>
        </w:rPr>
      </w:pPr>
      <w:r w:rsidRPr="0069778E">
        <w:rPr>
          <w:rFonts w:eastAsia="Calibri"/>
        </w:rPr>
        <w:t>The National HIV/AIDS Strategy for the United States provides a plan of action across the U.S. for preventing the spread of HIV, increasing access and use of HIV treatment services, and the overall reduction of HIV/AIDS disparities.</w:t>
      </w:r>
      <w:r w:rsidR="00AD0540">
        <w:rPr>
          <w:rFonts w:eastAsia="Calibri"/>
          <w:vertAlign w:val="superscript"/>
        </w:rPr>
        <w:t>6</w:t>
      </w:r>
      <w:r w:rsidR="00AD0540" w:rsidRPr="0069778E">
        <w:rPr>
          <w:rFonts w:eastAsia="Calibri"/>
        </w:rPr>
        <w:t xml:space="preserve"> </w:t>
      </w:r>
    </w:p>
    <w:p w14:paraId="17CCE6F5" w14:textId="77777777" w:rsidR="008D4791" w:rsidRPr="0069778E" w:rsidRDefault="00231F71" w:rsidP="0069778E">
      <w:pPr>
        <w:pStyle w:val="ListParagraph"/>
        <w:numPr>
          <w:ilvl w:val="0"/>
          <w:numId w:val="7"/>
        </w:numPr>
        <w:spacing w:before="120" w:line="240" w:lineRule="auto"/>
        <w:rPr>
          <w:rFonts w:eastAsia="Calibri"/>
        </w:rPr>
      </w:pPr>
      <w:r w:rsidRPr="0069778E">
        <w:rPr>
          <w:rFonts w:eastAsia="Calibri"/>
        </w:rPr>
        <w:t>The</w:t>
      </w:r>
      <w:r w:rsidR="008D4791" w:rsidRPr="0069778E">
        <w:rPr>
          <w:rFonts w:eastAsia="Calibri"/>
        </w:rPr>
        <w:t xml:space="preserve"> NCHHSTP program imperative call</w:t>
      </w:r>
      <w:r w:rsidR="009D5BD5" w:rsidRPr="0069778E">
        <w:rPr>
          <w:rFonts w:eastAsia="Calibri"/>
        </w:rPr>
        <w:t>s</w:t>
      </w:r>
      <w:r w:rsidR="008D4791" w:rsidRPr="0069778E">
        <w:rPr>
          <w:rFonts w:eastAsia="Calibri"/>
        </w:rPr>
        <w:t xml:space="preserve"> for </w:t>
      </w:r>
      <w:r w:rsidR="008D4791" w:rsidRPr="0069778E">
        <w:rPr>
          <w:rFonts w:eastAsia="Calibri"/>
          <w:i/>
          <w:iCs/>
        </w:rPr>
        <w:t>Program Collaboration and Service Integration (</w:t>
      </w:r>
      <w:r w:rsidR="008D4791" w:rsidRPr="0069778E">
        <w:rPr>
          <w:rFonts w:eastAsia="Calibri"/>
        </w:rPr>
        <w:t>PCSI</w:t>
      </w:r>
      <w:r w:rsidR="008D4791" w:rsidRPr="0069778E">
        <w:rPr>
          <w:rFonts w:eastAsia="Calibri"/>
          <w:i/>
          <w:iCs/>
        </w:rPr>
        <w:t>)</w:t>
      </w:r>
      <w:r w:rsidR="008D4791" w:rsidRPr="0069778E">
        <w:rPr>
          <w:rFonts w:eastAsia="Calibri"/>
        </w:rPr>
        <w:t xml:space="preserve"> to provide improved integration of HIV, viral hepatitis, STD, and TB prevention and treatment services at the user level.</w:t>
      </w:r>
      <w:r w:rsidR="00AD0540">
        <w:rPr>
          <w:rFonts w:eastAsia="Calibri"/>
          <w:vertAlign w:val="superscript"/>
        </w:rPr>
        <w:t>7</w:t>
      </w:r>
      <w:r w:rsidR="00AD0540" w:rsidRPr="0069778E">
        <w:rPr>
          <w:rFonts w:eastAsia="Calibri"/>
          <w:vertAlign w:val="superscript"/>
        </w:rPr>
        <w:t xml:space="preserve"> </w:t>
      </w:r>
    </w:p>
    <w:p w14:paraId="2AC50B70" w14:textId="77777777" w:rsidR="00CB7FE5" w:rsidRPr="0069778E" w:rsidRDefault="00CB7FE5" w:rsidP="0069778E">
      <w:pPr>
        <w:pStyle w:val="ListParagraph"/>
        <w:numPr>
          <w:ilvl w:val="0"/>
          <w:numId w:val="7"/>
        </w:numPr>
        <w:spacing w:before="120" w:line="240" w:lineRule="auto"/>
        <w:rPr>
          <w:rFonts w:eastAsia="Calibri"/>
        </w:rPr>
      </w:pPr>
      <w:r w:rsidRPr="0069778E">
        <w:rPr>
          <w:rFonts w:eastAsia="Calibri"/>
          <w:i/>
          <w:iCs/>
        </w:rPr>
        <w:t>CDC Winnable Battles</w:t>
      </w:r>
      <w:r w:rsidRPr="0069778E">
        <w:rPr>
          <w:rFonts w:eastAsia="Calibri"/>
        </w:rPr>
        <w:t>, including prevention of HIV infection and TPP, have been chosen by CDC based on the magnitude of the health problems and the ability to make significant progress in improving outcomes. These are public health priorities with large-scale impact on health with known, effective strategies to address them.</w:t>
      </w:r>
      <w:r w:rsidR="00AD0540">
        <w:rPr>
          <w:rFonts w:eastAsia="Calibri"/>
          <w:vertAlign w:val="superscript"/>
        </w:rPr>
        <w:t>8</w:t>
      </w:r>
    </w:p>
    <w:p w14:paraId="645497A2" w14:textId="77777777" w:rsidR="00CB7FE5" w:rsidRPr="0069778E" w:rsidRDefault="00CB7FE5" w:rsidP="0069778E">
      <w:pPr>
        <w:widowControl/>
        <w:spacing w:before="120" w:line="240" w:lineRule="auto"/>
        <w:rPr>
          <w:rFonts w:eastAsia="Calibri"/>
          <w:color w:val="000000"/>
        </w:rPr>
      </w:pPr>
    </w:p>
    <w:p w14:paraId="1C4A1ACA" w14:textId="77777777" w:rsidR="002714A5" w:rsidRPr="00BC6542" w:rsidRDefault="00EA3D21" w:rsidP="0069778E">
      <w:pPr>
        <w:spacing w:before="120" w:line="240" w:lineRule="auto"/>
        <w:rPr>
          <w:i/>
        </w:rPr>
      </w:pPr>
      <w:r w:rsidRPr="00BC6542">
        <w:rPr>
          <w:i/>
        </w:rPr>
        <w:t xml:space="preserve">A.1.1   </w:t>
      </w:r>
      <w:r w:rsidR="00125848" w:rsidRPr="00BC6542">
        <w:rPr>
          <w:i/>
        </w:rPr>
        <w:t>Privacy Impact Assessment</w:t>
      </w:r>
    </w:p>
    <w:p w14:paraId="61F2714D" w14:textId="77777777" w:rsidR="00B83DC4" w:rsidRPr="0069778E" w:rsidRDefault="00FE46F4" w:rsidP="0069778E">
      <w:pPr>
        <w:spacing w:before="120" w:line="240" w:lineRule="auto"/>
        <w:ind w:firstLine="720"/>
      </w:pPr>
      <w:r w:rsidRPr="0069778E">
        <w:t>Participant email addresses will be obtained for recruitment purposes</w:t>
      </w:r>
      <w:r w:rsidR="00281636">
        <w:t xml:space="preserve"> only</w:t>
      </w:r>
      <w:r w:rsidRPr="0069778E">
        <w:t xml:space="preserve">.  </w:t>
      </w:r>
      <w:r w:rsidR="00CC3CE6" w:rsidRPr="0069778E">
        <w:t xml:space="preserve">Any PII (e.g. participant email addresses) provided by the </w:t>
      </w:r>
      <w:r w:rsidRPr="0069778E">
        <w:t xml:space="preserve">LEA </w:t>
      </w:r>
      <w:r w:rsidR="00CC3CE6" w:rsidRPr="0069778E">
        <w:t>for the purposes of participant recruitment will remain completely separate from the information gathered through the Web-based instrument and will be kept confidential by the project team.  While recruitment includes PII, d</w:t>
      </w:r>
      <w:r w:rsidR="0077164D" w:rsidRPr="0069778E">
        <w:t xml:space="preserve">ata collection </w:t>
      </w:r>
      <w:r w:rsidR="00CC3CE6" w:rsidRPr="0069778E">
        <w:t xml:space="preserve">itself </w:t>
      </w:r>
      <w:r w:rsidR="0077164D" w:rsidRPr="0069778E">
        <w:t xml:space="preserve">involves collecting </w:t>
      </w:r>
      <w:r w:rsidR="00B91287" w:rsidRPr="0069778E">
        <w:t xml:space="preserve">anonymous data from </w:t>
      </w:r>
      <w:r w:rsidR="0057510D" w:rsidRPr="0069778E">
        <w:t>staff</w:t>
      </w:r>
      <w:r w:rsidR="00F5132D" w:rsidRPr="0069778E">
        <w:t xml:space="preserve"> through the use </w:t>
      </w:r>
      <w:r w:rsidR="00D33146" w:rsidRPr="0069778E">
        <w:t xml:space="preserve">of self-administered </w:t>
      </w:r>
      <w:r w:rsidR="00AD6447" w:rsidRPr="0069778E">
        <w:t>Web</w:t>
      </w:r>
      <w:r w:rsidR="00D33146" w:rsidRPr="0069778E">
        <w:t>-based questionnaires</w:t>
      </w:r>
      <w:r w:rsidR="0077164D" w:rsidRPr="0069778E">
        <w:t>.</w:t>
      </w:r>
      <w:r w:rsidRPr="0069778E">
        <w:t xml:space="preserve">  </w:t>
      </w:r>
      <w:r w:rsidR="00D4768C">
        <w:t>Q</w:t>
      </w:r>
      <w:r w:rsidR="00933B05">
        <w:t xml:space="preserve">uestionnaires will ask for the </w:t>
      </w:r>
      <w:r w:rsidR="00F81C00" w:rsidRPr="0069778E">
        <w:rPr>
          <w:rFonts w:eastAsia="Calibri"/>
        </w:rPr>
        <w:t>name of the respondent’s CBO/</w:t>
      </w:r>
      <w:r w:rsidR="00AD0540">
        <w:rPr>
          <w:rFonts w:eastAsia="Calibri"/>
        </w:rPr>
        <w:t>HW</w:t>
      </w:r>
      <w:r w:rsidR="00AD0540" w:rsidRPr="0069778E">
        <w:rPr>
          <w:rFonts w:eastAsia="Calibri"/>
        </w:rPr>
        <w:t>C</w:t>
      </w:r>
      <w:r w:rsidR="00AD0540">
        <w:rPr>
          <w:rFonts w:eastAsia="Calibri"/>
        </w:rPr>
        <w:t xml:space="preserve"> </w:t>
      </w:r>
      <w:r w:rsidR="00933B05">
        <w:rPr>
          <w:rFonts w:eastAsia="Calibri"/>
        </w:rPr>
        <w:t xml:space="preserve">and </w:t>
      </w:r>
      <w:r w:rsidR="00F81C00" w:rsidRPr="0069778E">
        <w:rPr>
          <w:rFonts w:eastAsia="Calibri"/>
        </w:rPr>
        <w:t>the physical address of the CBO/</w:t>
      </w:r>
      <w:r w:rsidR="00AD0540">
        <w:rPr>
          <w:rFonts w:eastAsia="Calibri"/>
        </w:rPr>
        <w:t>HWC</w:t>
      </w:r>
      <w:r w:rsidR="00F81C00" w:rsidRPr="0069778E">
        <w:rPr>
          <w:rFonts w:eastAsia="Calibri"/>
        </w:rPr>
        <w:t xml:space="preserve">. </w:t>
      </w:r>
      <w:r w:rsidRPr="0069778E">
        <w:t>At the end of the assessment, data will be shared in an aggregate summary report</w:t>
      </w:r>
      <w:r w:rsidR="00933B05">
        <w:t xml:space="preserve"> </w:t>
      </w:r>
      <w:r w:rsidRPr="0069778E">
        <w:t>with participating LEAs.  In the summary report, LEAs will know which CBOs/</w:t>
      </w:r>
      <w:r w:rsidR="00AD0540">
        <w:t>HWCs</w:t>
      </w:r>
      <w:r w:rsidR="00AD0540" w:rsidRPr="0069778E">
        <w:t xml:space="preserve"> </w:t>
      </w:r>
      <w:r w:rsidRPr="0069778E">
        <w:t>participated, but will not be provided with organization</w:t>
      </w:r>
      <w:r w:rsidR="00AD6447" w:rsidRPr="0069778E">
        <w:t>al-</w:t>
      </w:r>
      <w:r w:rsidRPr="0069778E">
        <w:t xml:space="preserve"> or individual-level data.  </w:t>
      </w:r>
    </w:p>
    <w:p w14:paraId="2CF18079" w14:textId="77777777" w:rsidR="00B83DC4" w:rsidRPr="0069778E" w:rsidRDefault="00B83DC4" w:rsidP="0069778E">
      <w:pPr>
        <w:spacing w:before="120" w:line="240" w:lineRule="auto"/>
      </w:pPr>
    </w:p>
    <w:p w14:paraId="47DA7235" w14:textId="77777777" w:rsidR="00082D49" w:rsidRPr="0069778E" w:rsidRDefault="00082D49" w:rsidP="0069778E">
      <w:pPr>
        <w:pStyle w:val="Body"/>
        <w:spacing w:before="120" w:line="240" w:lineRule="auto"/>
        <w:rPr>
          <w:u w:val="single"/>
        </w:rPr>
      </w:pPr>
      <w:r w:rsidRPr="0069778E">
        <w:rPr>
          <w:u w:val="single"/>
        </w:rPr>
        <w:t xml:space="preserve">Overview of </w:t>
      </w:r>
      <w:r w:rsidR="00CC3CE6" w:rsidRPr="0069778E">
        <w:rPr>
          <w:u w:val="single"/>
        </w:rPr>
        <w:t>Information</w:t>
      </w:r>
      <w:r w:rsidRPr="0069778E">
        <w:rPr>
          <w:u w:val="single"/>
        </w:rPr>
        <w:t xml:space="preserve"> Collection System</w:t>
      </w:r>
    </w:p>
    <w:p w14:paraId="225C2356" w14:textId="77777777" w:rsidR="00B83DC4" w:rsidRPr="0069778E" w:rsidRDefault="00B83DC4" w:rsidP="0069778E">
      <w:pPr>
        <w:spacing w:before="120" w:line="240" w:lineRule="auto"/>
        <w:ind w:firstLine="720"/>
        <w:rPr>
          <w:rFonts w:eastAsia="Calibri"/>
        </w:rPr>
      </w:pPr>
    </w:p>
    <w:p w14:paraId="43C46A0A" w14:textId="77777777" w:rsidR="00B83DC4" w:rsidRPr="0069778E" w:rsidRDefault="00B83DC4" w:rsidP="0069778E">
      <w:pPr>
        <w:spacing w:before="120" w:line="240" w:lineRule="auto"/>
        <w:ind w:firstLine="720"/>
        <w:rPr>
          <w:rFonts w:eastAsia="Calibri"/>
        </w:rPr>
      </w:pPr>
      <w:r w:rsidRPr="0069778E">
        <w:rPr>
          <w:rFonts w:eastAsia="Calibri"/>
        </w:rPr>
        <w:t xml:space="preserve">This </w:t>
      </w:r>
      <w:r w:rsidR="00CC3CE6" w:rsidRPr="0069778E">
        <w:rPr>
          <w:rFonts w:eastAsia="Calibri"/>
        </w:rPr>
        <w:t>information</w:t>
      </w:r>
      <w:r w:rsidRPr="0069778E">
        <w:rPr>
          <w:rFonts w:eastAsia="Calibri"/>
        </w:rPr>
        <w:t xml:space="preserve"> collection system involves administration of </w:t>
      </w:r>
      <w:r w:rsidR="00466CD4" w:rsidRPr="0069778E">
        <w:rPr>
          <w:rFonts w:eastAsia="Calibri"/>
        </w:rPr>
        <w:t xml:space="preserve">two versions of </w:t>
      </w:r>
      <w:r w:rsidRPr="0069778E">
        <w:rPr>
          <w:rFonts w:eastAsia="Calibri"/>
        </w:rPr>
        <w:t xml:space="preserve">a </w:t>
      </w:r>
      <w:r w:rsidR="00466CD4" w:rsidRPr="0069778E">
        <w:rPr>
          <w:rFonts w:eastAsia="Calibri"/>
        </w:rPr>
        <w:t>Web</w:t>
      </w:r>
      <w:r w:rsidR="00D33146" w:rsidRPr="0069778E">
        <w:rPr>
          <w:rFonts w:eastAsia="Calibri"/>
        </w:rPr>
        <w:t>-based</w:t>
      </w:r>
      <w:r w:rsidRPr="0069778E">
        <w:rPr>
          <w:rFonts w:eastAsia="Calibri"/>
        </w:rPr>
        <w:t xml:space="preserve"> questionnaire</w:t>
      </w:r>
      <w:r w:rsidR="00466CD4" w:rsidRPr="0069778E">
        <w:rPr>
          <w:rFonts w:eastAsia="Calibri"/>
        </w:rPr>
        <w:t xml:space="preserve">—the CBO Assessment Questionnaire </w:t>
      </w:r>
      <w:r w:rsidR="00294872">
        <w:rPr>
          <w:rFonts w:eastAsia="Calibri"/>
        </w:rPr>
        <w:t>[</w:t>
      </w:r>
      <w:r w:rsidR="00E24859" w:rsidRPr="0069778E">
        <w:rPr>
          <w:rFonts w:eastAsia="Calibri"/>
        </w:rPr>
        <w:t xml:space="preserve">see </w:t>
      </w:r>
      <w:r w:rsidR="003B7DC4" w:rsidRPr="0069778E">
        <w:rPr>
          <w:rFonts w:eastAsia="Calibri"/>
          <w:b/>
        </w:rPr>
        <w:t xml:space="preserve">Attachment </w:t>
      </w:r>
      <w:r w:rsidR="004823F3">
        <w:rPr>
          <w:rFonts w:eastAsia="Calibri"/>
          <w:b/>
        </w:rPr>
        <w:t>3</w:t>
      </w:r>
      <w:r w:rsidR="00294872" w:rsidRPr="003B5A9A">
        <w:rPr>
          <w:rFonts w:eastAsia="Calibri"/>
        </w:rPr>
        <w:t xml:space="preserve"> (</w:t>
      </w:r>
      <w:r w:rsidR="00294872">
        <w:rPr>
          <w:rFonts w:eastAsia="Calibri"/>
        </w:rPr>
        <w:t xml:space="preserve">Microsoft </w:t>
      </w:r>
      <w:r w:rsidR="00294872" w:rsidRPr="003B5A9A">
        <w:rPr>
          <w:rFonts w:eastAsia="Calibri"/>
        </w:rPr>
        <w:t xml:space="preserve">Word version) and </w:t>
      </w:r>
      <w:r w:rsidR="00294872">
        <w:rPr>
          <w:rFonts w:eastAsia="Calibri"/>
          <w:b/>
        </w:rPr>
        <w:t>Attachment 5</w:t>
      </w:r>
      <w:r w:rsidR="00294872">
        <w:rPr>
          <w:rFonts w:eastAsia="Calibri"/>
        </w:rPr>
        <w:t>]</w:t>
      </w:r>
      <w:r w:rsidR="00294872" w:rsidRPr="0069778E">
        <w:rPr>
          <w:rFonts w:eastAsia="Calibri"/>
        </w:rPr>
        <w:t xml:space="preserve"> </w:t>
      </w:r>
      <w:r w:rsidR="00466CD4" w:rsidRPr="0069778E">
        <w:rPr>
          <w:rFonts w:eastAsia="Calibri"/>
        </w:rPr>
        <w:t xml:space="preserve">and the </w:t>
      </w:r>
      <w:r w:rsidR="00AD0540">
        <w:rPr>
          <w:rFonts w:eastAsia="Calibri"/>
        </w:rPr>
        <w:t>HWC</w:t>
      </w:r>
      <w:r w:rsidR="00AD0540" w:rsidRPr="0069778E">
        <w:rPr>
          <w:rFonts w:eastAsia="Calibri"/>
        </w:rPr>
        <w:t xml:space="preserve"> </w:t>
      </w:r>
      <w:r w:rsidR="00466CD4" w:rsidRPr="0069778E">
        <w:rPr>
          <w:rFonts w:eastAsia="Calibri"/>
        </w:rPr>
        <w:t xml:space="preserve">Assessment Questionnaire </w:t>
      </w:r>
      <w:r w:rsidR="00294872">
        <w:rPr>
          <w:rFonts w:eastAsia="Calibri"/>
        </w:rPr>
        <w:t>[</w:t>
      </w:r>
      <w:r w:rsidR="00466CD4" w:rsidRPr="0069778E">
        <w:rPr>
          <w:rFonts w:eastAsia="Calibri"/>
        </w:rPr>
        <w:t xml:space="preserve">see </w:t>
      </w:r>
      <w:r w:rsidR="00466CD4" w:rsidRPr="0069778E">
        <w:rPr>
          <w:rFonts w:eastAsia="Calibri"/>
          <w:b/>
        </w:rPr>
        <w:t xml:space="preserve">Attachment </w:t>
      </w:r>
      <w:r w:rsidR="004823F3">
        <w:rPr>
          <w:rFonts w:eastAsia="Calibri"/>
          <w:b/>
        </w:rPr>
        <w:t>4</w:t>
      </w:r>
      <w:r w:rsidR="00294872">
        <w:rPr>
          <w:rFonts w:eastAsia="Calibri"/>
        </w:rPr>
        <w:t xml:space="preserve"> </w:t>
      </w:r>
      <w:r w:rsidR="00294872" w:rsidRPr="007F655A">
        <w:rPr>
          <w:rFonts w:eastAsia="Calibri"/>
        </w:rPr>
        <w:t>(</w:t>
      </w:r>
      <w:r w:rsidR="00294872">
        <w:rPr>
          <w:rFonts w:eastAsia="Calibri"/>
        </w:rPr>
        <w:t xml:space="preserve">Microsoft </w:t>
      </w:r>
      <w:r w:rsidR="00294872" w:rsidRPr="007F655A">
        <w:rPr>
          <w:rFonts w:eastAsia="Calibri"/>
        </w:rPr>
        <w:t xml:space="preserve">Word version) </w:t>
      </w:r>
      <w:r w:rsidR="00294872">
        <w:rPr>
          <w:rFonts w:eastAsia="Calibri"/>
        </w:rPr>
        <w:t xml:space="preserve">and </w:t>
      </w:r>
      <w:r w:rsidR="00294872">
        <w:rPr>
          <w:rFonts w:eastAsia="Calibri"/>
          <w:b/>
        </w:rPr>
        <w:t>Attachment 6</w:t>
      </w:r>
      <w:r w:rsidR="00294872">
        <w:rPr>
          <w:rFonts w:eastAsia="Calibri"/>
        </w:rPr>
        <w:t>]</w:t>
      </w:r>
      <w:r w:rsidR="00294872" w:rsidRPr="0069778E">
        <w:rPr>
          <w:rFonts w:eastAsia="Calibri"/>
        </w:rPr>
        <w:t xml:space="preserve"> </w:t>
      </w:r>
      <w:r w:rsidR="0059159E" w:rsidRPr="0069778E">
        <w:rPr>
          <w:rFonts w:eastAsia="Calibri"/>
        </w:rPr>
        <w:t xml:space="preserve">to </w:t>
      </w:r>
      <w:r w:rsidR="00ED021D">
        <w:rPr>
          <w:rFonts w:eastAsia="Calibri"/>
        </w:rPr>
        <w:t xml:space="preserve">representatives from </w:t>
      </w:r>
      <w:r w:rsidR="0059159E" w:rsidRPr="0069778E">
        <w:rPr>
          <w:rFonts w:eastAsia="Calibri"/>
        </w:rPr>
        <w:t>up to</w:t>
      </w:r>
      <w:r w:rsidRPr="0069778E">
        <w:rPr>
          <w:rFonts w:eastAsia="Calibri"/>
        </w:rPr>
        <w:t xml:space="preserve"> </w:t>
      </w:r>
      <w:r w:rsidR="00ED021D">
        <w:rPr>
          <w:rFonts w:eastAsia="Calibri"/>
        </w:rPr>
        <w:t>60 organizations (30</w:t>
      </w:r>
      <w:r w:rsidR="00ED021D" w:rsidRPr="0069778E">
        <w:rPr>
          <w:rFonts w:eastAsia="Calibri"/>
        </w:rPr>
        <w:t xml:space="preserve"> </w:t>
      </w:r>
      <w:r w:rsidR="00D33146" w:rsidRPr="0069778E">
        <w:rPr>
          <w:rFonts w:eastAsia="Calibri"/>
        </w:rPr>
        <w:t xml:space="preserve">CBOs and </w:t>
      </w:r>
      <w:r w:rsidR="00ED021D">
        <w:rPr>
          <w:rFonts w:eastAsia="Calibri"/>
        </w:rPr>
        <w:t xml:space="preserve">30 </w:t>
      </w:r>
      <w:r w:rsidR="00AD0540">
        <w:rPr>
          <w:rFonts w:eastAsia="Calibri"/>
        </w:rPr>
        <w:t>HWCs</w:t>
      </w:r>
      <w:r w:rsidR="00ED021D">
        <w:rPr>
          <w:rFonts w:eastAsia="Calibri"/>
        </w:rPr>
        <w:t>)</w:t>
      </w:r>
      <w:r w:rsidR="00AD0540" w:rsidRPr="0069778E">
        <w:rPr>
          <w:rFonts w:eastAsia="Calibri"/>
        </w:rPr>
        <w:t xml:space="preserve"> </w:t>
      </w:r>
      <w:r w:rsidR="00466CD4" w:rsidRPr="0069778E">
        <w:rPr>
          <w:rFonts w:eastAsia="Calibri"/>
        </w:rPr>
        <w:t>(</w:t>
      </w:r>
      <w:r w:rsidR="00ED021D">
        <w:rPr>
          <w:rFonts w:eastAsia="Calibri"/>
        </w:rPr>
        <w:t>20</w:t>
      </w:r>
      <w:r w:rsidR="00ED021D" w:rsidRPr="0069778E">
        <w:rPr>
          <w:rFonts w:eastAsia="Calibri"/>
        </w:rPr>
        <w:t xml:space="preserve"> </w:t>
      </w:r>
      <w:r w:rsidR="00ED021D">
        <w:rPr>
          <w:rFonts w:eastAsia="Calibri"/>
        </w:rPr>
        <w:t xml:space="preserve">organizations </w:t>
      </w:r>
      <w:r w:rsidR="00466CD4" w:rsidRPr="0069778E">
        <w:rPr>
          <w:rFonts w:eastAsia="Calibri"/>
        </w:rPr>
        <w:t xml:space="preserve">per LEA) </w:t>
      </w:r>
      <w:r w:rsidR="00D33146" w:rsidRPr="0069778E">
        <w:rPr>
          <w:rFonts w:eastAsia="Calibri"/>
        </w:rPr>
        <w:t>t</w:t>
      </w:r>
      <w:r w:rsidRPr="0069778E">
        <w:rPr>
          <w:rFonts w:eastAsia="Calibri"/>
        </w:rPr>
        <w:t xml:space="preserve">hat are participating in the HIV/STD prevention project </w:t>
      </w:r>
      <w:r w:rsidR="00D33146" w:rsidRPr="0069778E">
        <w:rPr>
          <w:rFonts w:eastAsia="Calibri"/>
        </w:rPr>
        <w:t>with the three</w:t>
      </w:r>
      <w:r w:rsidR="0059159E" w:rsidRPr="0069778E">
        <w:rPr>
          <w:rFonts w:eastAsia="Calibri"/>
        </w:rPr>
        <w:t xml:space="preserve"> LEAs</w:t>
      </w:r>
      <w:r w:rsidRPr="0069778E">
        <w:rPr>
          <w:rFonts w:eastAsia="Calibri"/>
        </w:rPr>
        <w:t xml:space="preserve"> (Broward County Public Schools in Broward County, Florida</w:t>
      </w:r>
      <w:r w:rsidR="00D33146" w:rsidRPr="0069778E">
        <w:rPr>
          <w:rFonts w:eastAsia="Calibri"/>
        </w:rPr>
        <w:t>; Los Angeles Unified School District in Los Angeles, California; and San Francisco Unified School District in San Francisco, California</w:t>
      </w:r>
      <w:r w:rsidRPr="0069778E">
        <w:rPr>
          <w:rFonts w:eastAsia="Calibri"/>
        </w:rPr>
        <w:t xml:space="preserve">) that </w:t>
      </w:r>
      <w:r w:rsidR="00D33146" w:rsidRPr="0069778E">
        <w:rPr>
          <w:rFonts w:eastAsia="Calibri"/>
        </w:rPr>
        <w:t>are</w:t>
      </w:r>
      <w:r w:rsidRPr="0069778E">
        <w:rPr>
          <w:rFonts w:eastAsia="Calibri"/>
        </w:rPr>
        <w:t xml:space="preserve"> funded with support from CDC’s PS13-1308.  </w:t>
      </w:r>
      <w:r w:rsidR="00E665BB" w:rsidRPr="0069778E">
        <w:rPr>
          <w:rFonts w:eastAsia="Calibri"/>
        </w:rPr>
        <w:t>Data collection partners include LEA staff and CDC contractors</w:t>
      </w:r>
      <w:r w:rsidR="00674CF0" w:rsidRPr="0069778E">
        <w:rPr>
          <w:rFonts w:eastAsia="Calibri"/>
        </w:rPr>
        <w:t xml:space="preserve"> (with oversight from CDC staff)</w:t>
      </w:r>
      <w:r w:rsidR="00E665BB" w:rsidRPr="0069778E">
        <w:rPr>
          <w:rFonts w:eastAsia="Calibri"/>
        </w:rPr>
        <w:t>.</w:t>
      </w:r>
      <w:r w:rsidR="00CC3CE6" w:rsidRPr="0069778E">
        <w:rPr>
          <w:rFonts w:eastAsia="Calibri"/>
        </w:rPr>
        <w:t xml:space="preserve">  The </w:t>
      </w:r>
      <w:r w:rsidR="00466CD4" w:rsidRPr="0069778E">
        <w:rPr>
          <w:rFonts w:eastAsia="Calibri"/>
        </w:rPr>
        <w:t>Web</w:t>
      </w:r>
      <w:r w:rsidR="00CC3CE6" w:rsidRPr="0069778E">
        <w:rPr>
          <w:rFonts w:eastAsia="Calibri"/>
        </w:rPr>
        <w:t>-based questionnaire is explained in detail below.</w:t>
      </w:r>
    </w:p>
    <w:p w14:paraId="6124ECA1" w14:textId="77777777" w:rsidR="007B04DC" w:rsidRPr="0069778E" w:rsidRDefault="00B83DC4" w:rsidP="0069778E">
      <w:pPr>
        <w:spacing w:before="120" w:line="240" w:lineRule="auto"/>
        <w:ind w:firstLine="720"/>
        <w:rPr>
          <w:rFonts w:eastAsia="Calibri"/>
        </w:rPr>
      </w:pPr>
      <w:r w:rsidRPr="0069778E">
        <w:rPr>
          <w:rFonts w:eastAsia="Calibri"/>
        </w:rPr>
        <w:t xml:space="preserve">The </w:t>
      </w:r>
      <w:r w:rsidR="00466CD4" w:rsidRPr="0069778E">
        <w:rPr>
          <w:rFonts w:eastAsia="Calibri"/>
        </w:rPr>
        <w:t>Web</w:t>
      </w:r>
      <w:r w:rsidR="00CC3CE6" w:rsidRPr="0069778E">
        <w:rPr>
          <w:rFonts w:eastAsia="Calibri"/>
        </w:rPr>
        <w:t xml:space="preserve">-based </w:t>
      </w:r>
      <w:r w:rsidRPr="0069778E">
        <w:rPr>
          <w:rFonts w:eastAsia="Calibri"/>
        </w:rPr>
        <w:t>questionnaire</w:t>
      </w:r>
      <w:r w:rsidR="00ED021D">
        <w:rPr>
          <w:rFonts w:eastAsia="Calibri"/>
        </w:rPr>
        <w:t>s</w:t>
      </w:r>
      <w:r w:rsidR="00466CD4" w:rsidRPr="0069778E">
        <w:rPr>
          <w:rFonts w:eastAsia="Calibri"/>
        </w:rPr>
        <w:t xml:space="preserve"> (see </w:t>
      </w:r>
      <w:r w:rsidR="00466CD4" w:rsidRPr="0069778E">
        <w:rPr>
          <w:rFonts w:eastAsia="Calibri"/>
          <w:b/>
        </w:rPr>
        <w:t xml:space="preserve">Attachments </w:t>
      </w:r>
      <w:r w:rsidR="00294872">
        <w:rPr>
          <w:rFonts w:eastAsia="Calibri"/>
          <w:b/>
        </w:rPr>
        <w:t>5</w:t>
      </w:r>
      <w:r w:rsidR="00294872" w:rsidRPr="0069778E">
        <w:rPr>
          <w:rFonts w:eastAsia="Calibri"/>
          <w:b/>
        </w:rPr>
        <w:t xml:space="preserve"> </w:t>
      </w:r>
      <w:r w:rsidR="00466CD4" w:rsidRPr="0069778E">
        <w:rPr>
          <w:rFonts w:eastAsia="Calibri"/>
          <w:b/>
        </w:rPr>
        <w:t xml:space="preserve">and </w:t>
      </w:r>
      <w:r w:rsidR="00294872">
        <w:rPr>
          <w:rFonts w:eastAsia="Calibri"/>
          <w:b/>
        </w:rPr>
        <w:t>6</w:t>
      </w:r>
      <w:r w:rsidR="00466CD4" w:rsidRPr="0069778E">
        <w:rPr>
          <w:rFonts w:eastAsia="Calibri"/>
        </w:rPr>
        <w:t xml:space="preserve">) </w:t>
      </w:r>
      <w:r w:rsidRPr="0069778E">
        <w:rPr>
          <w:rFonts w:eastAsia="Calibri"/>
        </w:rPr>
        <w:t xml:space="preserve">will be administered to </w:t>
      </w:r>
      <w:r w:rsidR="00ED021D">
        <w:rPr>
          <w:rFonts w:eastAsia="Calibri"/>
        </w:rPr>
        <w:t>up to</w:t>
      </w:r>
      <w:r w:rsidR="00ED021D" w:rsidRPr="0069778E">
        <w:rPr>
          <w:rFonts w:eastAsia="Calibri"/>
        </w:rPr>
        <w:t xml:space="preserve"> </w:t>
      </w:r>
      <w:r w:rsidR="00ED021D">
        <w:rPr>
          <w:rFonts w:eastAsia="Calibri"/>
        </w:rPr>
        <w:t>60</w:t>
      </w:r>
      <w:r w:rsidR="00ED021D" w:rsidRPr="0069778E">
        <w:rPr>
          <w:rFonts w:eastAsia="Calibri"/>
        </w:rPr>
        <w:t xml:space="preserve"> </w:t>
      </w:r>
      <w:r w:rsidR="002B4891" w:rsidRPr="0069778E">
        <w:rPr>
          <w:rFonts w:eastAsia="Calibri"/>
        </w:rPr>
        <w:t xml:space="preserve">CBO or </w:t>
      </w:r>
      <w:r w:rsidR="00ED021D">
        <w:rPr>
          <w:rFonts w:eastAsia="Calibri"/>
        </w:rPr>
        <w:t>HWC</w:t>
      </w:r>
      <w:r w:rsidR="00ED021D" w:rsidRPr="0069778E">
        <w:rPr>
          <w:rFonts w:eastAsia="Calibri"/>
        </w:rPr>
        <w:t xml:space="preserve"> </w:t>
      </w:r>
      <w:r w:rsidRPr="0069778E">
        <w:rPr>
          <w:rFonts w:eastAsia="Calibri"/>
        </w:rPr>
        <w:t>s</w:t>
      </w:r>
      <w:r w:rsidR="0063710B" w:rsidRPr="0069778E">
        <w:rPr>
          <w:rFonts w:eastAsia="Calibri"/>
        </w:rPr>
        <w:t>taff members across the three LEAs.</w:t>
      </w:r>
      <w:r w:rsidRPr="0069778E">
        <w:rPr>
          <w:rFonts w:eastAsia="Calibri"/>
        </w:rPr>
        <w:t xml:space="preserve"> </w:t>
      </w:r>
      <w:r w:rsidR="00466CD4" w:rsidRPr="0069778E">
        <w:rPr>
          <w:rFonts w:eastAsia="Calibri"/>
        </w:rPr>
        <w:t xml:space="preserve">Each CBO or </w:t>
      </w:r>
      <w:r w:rsidR="00ED021D">
        <w:rPr>
          <w:rFonts w:eastAsia="Calibri"/>
        </w:rPr>
        <w:t>HWC</w:t>
      </w:r>
      <w:r w:rsidR="00ED021D" w:rsidRPr="0069778E">
        <w:rPr>
          <w:rFonts w:eastAsia="Calibri"/>
        </w:rPr>
        <w:t xml:space="preserve"> </w:t>
      </w:r>
      <w:r w:rsidR="00466CD4" w:rsidRPr="0069778E">
        <w:rPr>
          <w:rFonts w:eastAsia="Calibri"/>
        </w:rPr>
        <w:t>representative will receive</w:t>
      </w:r>
      <w:r w:rsidR="00ED021D">
        <w:rPr>
          <w:rFonts w:eastAsia="Calibri"/>
        </w:rPr>
        <w:t xml:space="preserve"> either</w:t>
      </w:r>
      <w:r w:rsidR="00466CD4" w:rsidRPr="0069778E">
        <w:rPr>
          <w:rFonts w:eastAsia="Calibri"/>
        </w:rPr>
        <w:t xml:space="preserve"> the CBO Assessment Questionnaire (see </w:t>
      </w:r>
      <w:r w:rsidR="00466CD4" w:rsidRPr="0069778E">
        <w:rPr>
          <w:rFonts w:eastAsia="Calibri"/>
          <w:b/>
        </w:rPr>
        <w:t xml:space="preserve">Attachment </w:t>
      </w:r>
      <w:r w:rsidR="00294872">
        <w:rPr>
          <w:rFonts w:eastAsia="Calibri"/>
          <w:b/>
        </w:rPr>
        <w:t>5</w:t>
      </w:r>
      <w:r w:rsidR="00466CD4" w:rsidRPr="0069778E">
        <w:rPr>
          <w:rFonts w:eastAsia="Calibri"/>
        </w:rPr>
        <w:t xml:space="preserve">) or the </w:t>
      </w:r>
      <w:r w:rsidR="00ED021D">
        <w:rPr>
          <w:rFonts w:eastAsia="Calibri"/>
        </w:rPr>
        <w:t>HWC</w:t>
      </w:r>
      <w:r w:rsidR="00ED021D" w:rsidRPr="0069778E">
        <w:rPr>
          <w:rFonts w:eastAsia="Calibri"/>
        </w:rPr>
        <w:t xml:space="preserve"> </w:t>
      </w:r>
      <w:r w:rsidR="00466CD4" w:rsidRPr="0069778E">
        <w:rPr>
          <w:rFonts w:eastAsia="Calibri"/>
        </w:rPr>
        <w:t xml:space="preserve">Assessment Questionnaire (see </w:t>
      </w:r>
      <w:r w:rsidR="00466CD4" w:rsidRPr="0069778E">
        <w:rPr>
          <w:rFonts w:eastAsia="Calibri"/>
          <w:b/>
        </w:rPr>
        <w:t xml:space="preserve">Attachment </w:t>
      </w:r>
      <w:r w:rsidR="00294872">
        <w:rPr>
          <w:rFonts w:eastAsia="Calibri"/>
          <w:b/>
        </w:rPr>
        <w:t>6</w:t>
      </w:r>
      <w:r w:rsidR="00466CD4" w:rsidRPr="0069778E">
        <w:rPr>
          <w:rFonts w:eastAsia="Calibri"/>
        </w:rPr>
        <w:t xml:space="preserve">), depending whether he/she works for a CBO or a </w:t>
      </w:r>
      <w:r w:rsidR="00ED021D">
        <w:rPr>
          <w:rFonts w:eastAsia="Calibri"/>
        </w:rPr>
        <w:t>HWC</w:t>
      </w:r>
      <w:r w:rsidR="00466CD4" w:rsidRPr="0069778E">
        <w:rPr>
          <w:rFonts w:eastAsia="Calibri"/>
        </w:rPr>
        <w:t xml:space="preserve">.  The CBO and </w:t>
      </w:r>
      <w:r w:rsidR="00ED021D">
        <w:rPr>
          <w:rFonts w:eastAsia="Calibri"/>
        </w:rPr>
        <w:t>HWC</w:t>
      </w:r>
      <w:r w:rsidR="00ED021D" w:rsidRPr="0069778E">
        <w:rPr>
          <w:rFonts w:eastAsia="Calibri"/>
        </w:rPr>
        <w:t xml:space="preserve"> </w:t>
      </w:r>
      <w:r w:rsidR="00466CD4" w:rsidRPr="0069778E">
        <w:rPr>
          <w:rFonts w:eastAsia="Calibri"/>
        </w:rPr>
        <w:t>versions of the questionnaire in</w:t>
      </w:r>
      <w:r w:rsidR="00CA039B" w:rsidRPr="0069778E">
        <w:rPr>
          <w:rFonts w:eastAsia="Calibri"/>
        </w:rPr>
        <w:t>clude 5</w:t>
      </w:r>
      <w:r w:rsidR="00836173" w:rsidRPr="0069778E">
        <w:rPr>
          <w:rFonts w:eastAsia="Calibri"/>
        </w:rPr>
        <w:t>4</w:t>
      </w:r>
      <w:r w:rsidR="00466CD4" w:rsidRPr="0069778E">
        <w:rPr>
          <w:rFonts w:eastAsia="Calibri"/>
        </w:rPr>
        <w:t xml:space="preserve"> questions that are identical except that the stem of the questions in the CBO version of the questionnaire refers to the respondent’s </w:t>
      </w:r>
      <w:r w:rsidR="00466CD4" w:rsidRPr="0069778E">
        <w:rPr>
          <w:rFonts w:eastAsia="Calibri"/>
        </w:rPr>
        <w:lastRenderedPageBreak/>
        <w:t xml:space="preserve">organization, and the stem of the </w:t>
      </w:r>
      <w:r w:rsidR="00ED021D">
        <w:rPr>
          <w:rFonts w:eastAsia="Calibri"/>
        </w:rPr>
        <w:t>HWC</w:t>
      </w:r>
      <w:r w:rsidR="00ED021D" w:rsidRPr="0069778E">
        <w:rPr>
          <w:rFonts w:eastAsia="Calibri"/>
        </w:rPr>
        <w:t xml:space="preserve"> </w:t>
      </w:r>
      <w:r w:rsidR="00466CD4" w:rsidRPr="0069778E">
        <w:rPr>
          <w:rFonts w:eastAsia="Calibri"/>
        </w:rPr>
        <w:t xml:space="preserve">version refers to the respondent’s </w:t>
      </w:r>
      <w:r w:rsidR="00ED021D">
        <w:rPr>
          <w:rFonts w:eastAsia="Calibri"/>
        </w:rPr>
        <w:t>HWC</w:t>
      </w:r>
      <w:r w:rsidR="00466CD4" w:rsidRPr="0069778E">
        <w:rPr>
          <w:rFonts w:eastAsia="Calibri"/>
        </w:rPr>
        <w:t xml:space="preserve">.  The CBO assessment includes an additional </w:t>
      </w:r>
      <w:r w:rsidR="00444F7B">
        <w:rPr>
          <w:rFonts w:eastAsia="Calibri"/>
        </w:rPr>
        <w:t>5</w:t>
      </w:r>
      <w:r w:rsidR="00444F7B" w:rsidRPr="0069778E">
        <w:rPr>
          <w:rFonts w:eastAsia="Calibri"/>
        </w:rPr>
        <w:t xml:space="preserve"> </w:t>
      </w:r>
      <w:r w:rsidR="00466CD4" w:rsidRPr="0069778E">
        <w:rPr>
          <w:rFonts w:eastAsia="Calibri"/>
        </w:rPr>
        <w:t xml:space="preserve">questions that ask about the manner in which agreements were formalized between the CBO and LEA; these questions were not applicable for the </w:t>
      </w:r>
      <w:r w:rsidR="00ED021D">
        <w:rPr>
          <w:rFonts w:eastAsia="Calibri"/>
        </w:rPr>
        <w:t>HWCs</w:t>
      </w:r>
      <w:r w:rsidR="00466CD4" w:rsidRPr="0069778E">
        <w:rPr>
          <w:rFonts w:eastAsia="Calibri"/>
        </w:rPr>
        <w:t xml:space="preserve">.  The </w:t>
      </w:r>
      <w:r w:rsidR="00ED021D">
        <w:rPr>
          <w:rFonts w:eastAsia="Calibri"/>
        </w:rPr>
        <w:t>HWC</w:t>
      </w:r>
      <w:r w:rsidR="00ED021D" w:rsidRPr="0069778E">
        <w:rPr>
          <w:rFonts w:eastAsia="Calibri"/>
        </w:rPr>
        <w:t xml:space="preserve"> </w:t>
      </w:r>
      <w:r w:rsidR="00466CD4" w:rsidRPr="0069778E">
        <w:rPr>
          <w:rFonts w:eastAsia="Calibri"/>
        </w:rPr>
        <w:t xml:space="preserve">version of the questionnaire includes </w:t>
      </w:r>
      <w:r w:rsidR="00CA039B" w:rsidRPr="0069778E">
        <w:rPr>
          <w:rFonts w:eastAsia="Calibri"/>
        </w:rPr>
        <w:t>two additional questions—</w:t>
      </w:r>
      <w:r w:rsidR="00466CD4" w:rsidRPr="0069778E">
        <w:rPr>
          <w:rFonts w:eastAsia="Calibri"/>
        </w:rPr>
        <w:t xml:space="preserve">one question about whether or not the </w:t>
      </w:r>
      <w:r w:rsidR="00ED021D">
        <w:rPr>
          <w:rFonts w:eastAsia="Calibri"/>
        </w:rPr>
        <w:t>HWC</w:t>
      </w:r>
      <w:r w:rsidR="00ED021D" w:rsidRPr="0069778E" w:rsidDel="00ED021D">
        <w:rPr>
          <w:rFonts w:eastAsia="Calibri"/>
        </w:rPr>
        <w:t xml:space="preserve"> </w:t>
      </w:r>
      <w:r w:rsidR="00466CD4" w:rsidRPr="0069778E">
        <w:rPr>
          <w:rFonts w:eastAsia="Calibri"/>
        </w:rPr>
        <w:t xml:space="preserve">is accessible to students from schools other than the one where the </w:t>
      </w:r>
      <w:r w:rsidR="00ED021D">
        <w:rPr>
          <w:rFonts w:eastAsia="Calibri"/>
        </w:rPr>
        <w:t>HWC</w:t>
      </w:r>
      <w:r w:rsidR="00ED021D" w:rsidRPr="0069778E" w:rsidDel="00ED021D">
        <w:rPr>
          <w:rFonts w:eastAsia="Calibri"/>
        </w:rPr>
        <w:t xml:space="preserve"> </w:t>
      </w:r>
      <w:r w:rsidR="00466CD4" w:rsidRPr="0069778E">
        <w:rPr>
          <w:rFonts w:eastAsia="Calibri"/>
        </w:rPr>
        <w:t>is located</w:t>
      </w:r>
      <w:r w:rsidR="00CA039B" w:rsidRPr="0069778E">
        <w:rPr>
          <w:rFonts w:eastAsia="Calibri"/>
        </w:rPr>
        <w:t xml:space="preserve"> and one question about requirements of parental consent for use of the </w:t>
      </w:r>
      <w:r w:rsidR="00ED021D">
        <w:rPr>
          <w:rFonts w:eastAsia="Calibri"/>
        </w:rPr>
        <w:t>HWC</w:t>
      </w:r>
      <w:r w:rsidR="00466CD4" w:rsidRPr="0069778E">
        <w:rPr>
          <w:rFonts w:eastAsia="Calibri"/>
        </w:rPr>
        <w:t>; th</w:t>
      </w:r>
      <w:r w:rsidR="00CA039B" w:rsidRPr="0069778E">
        <w:rPr>
          <w:rFonts w:eastAsia="Calibri"/>
        </w:rPr>
        <w:t>ese</w:t>
      </w:r>
      <w:r w:rsidR="00466CD4" w:rsidRPr="0069778E">
        <w:rPr>
          <w:rFonts w:eastAsia="Calibri"/>
        </w:rPr>
        <w:t xml:space="preserve"> question</w:t>
      </w:r>
      <w:r w:rsidR="00CA039B" w:rsidRPr="0069778E">
        <w:rPr>
          <w:rFonts w:eastAsia="Calibri"/>
        </w:rPr>
        <w:t>s</w:t>
      </w:r>
      <w:r w:rsidR="00466CD4" w:rsidRPr="0069778E">
        <w:rPr>
          <w:rFonts w:eastAsia="Calibri"/>
        </w:rPr>
        <w:t xml:space="preserve"> w</w:t>
      </w:r>
      <w:r w:rsidR="00CA039B" w:rsidRPr="0069778E">
        <w:rPr>
          <w:rFonts w:eastAsia="Calibri"/>
        </w:rPr>
        <w:t>ere</w:t>
      </w:r>
      <w:r w:rsidR="00466CD4" w:rsidRPr="0069778E">
        <w:rPr>
          <w:rFonts w:eastAsia="Calibri"/>
        </w:rPr>
        <w:t xml:space="preserve"> not applicable for the CBOs. </w:t>
      </w:r>
      <w:r w:rsidR="003F6ECE" w:rsidRPr="00BC6542">
        <w:rPr>
          <w:color w:val="000000" w:themeColor="text1"/>
        </w:rPr>
        <w:t xml:space="preserve">The information collection instrument was pilot tested by </w:t>
      </w:r>
      <w:r w:rsidR="0069778E">
        <w:rPr>
          <w:color w:val="000000" w:themeColor="text1"/>
        </w:rPr>
        <w:t>4</w:t>
      </w:r>
      <w:r w:rsidR="003F6ECE" w:rsidRPr="00BC6542">
        <w:rPr>
          <w:color w:val="000000" w:themeColor="text1"/>
        </w:rPr>
        <w:t xml:space="preserve"> individuals</w:t>
      </w:r>
      <w:r w:rsidR="002568EC">
        <w:rPr>
          <w:color w:val="000000" w:themeColor="text1"/>
        </w:rPr>
        <w:t xml:space="preserve"> who have </w:t>
      </w:r>
      <w:r w:rsidR="0069778E">
        <w:rPr>
          <w:color w:val="000000" w:themeColor="text1"/>
        </w:rPr>
        <w:t xml:space="preserve">experience working in a CBO or </w:t>
      </w:r>
      <w:r w:rsidR="00ED021D">
        <w:rPr>
          <w:rFonts w:eastAsia="Calibri"/>
        </w:rPr>
        <w:t>HWC</w:t>
      </w:r>
      <w:r w:rsidR="00ED021D" w:rsidDel="00ED021D">
        <w:rPr>
          <w:color w:val="000000" w:themeColor="text1"/>
        </w:rPr>
        <w:t xml:space="preserve"> </w:t>
      </w:r>
      <w:r w:rsidR="002568EC">
        <w:rPr>
          <w:color w:val="000000" w:themeColor="text1"/>
        </w:rPr>
        <w:t>serving youth populations</w:t>
      </w:r>
      <w:r w:rsidR="0069778E">
        <w:rPr>
          <w:color w:val="000000" w:themeColor="text1"/>
        </w:rPr>
        <w:t xml:space="preserve">.  </w:t>
      </w:r>
      <w:r w:rsidR="003F6ECE" w:rsidRPr="00BC6542">
        <w:rPr>
          <w:color w:val="000000" w:themeColor="text1"/>
        </w:rPr>
        <w:t>Feedback from this group was used to refine questions as needed, ensure accurate programming and skip patterns and establish the estimated time required to complete the information collection instrument.</w:t>
      </w:r>
    </w:p>
    <w:p w14:paraId="6096C503" w14:textId="18113FD8" w:rsidR="0038521D" w:rsidRPr="0069778E" w:rsidRDefault="00C6163D" w:rsidP="0069778E">
      <w:pPr>
        <w:spacing w:before="120" w:line="240" w:lineRule="auto"/>
        <w:ind w:firstLine="720"/>
        <w:rPr>
          <w:rFonts w:eastAsia="Calibri"/>
        </w:rPr>
      </w:pPr>
      <w:r w:rsidRPr="00C6163D">
        <w:rPr>
          <w:rFonts w:eastAsia="Calibri"/>
        </w:rPr>
        <w:t>For both versions of the questionnaire, the format and administration have been designed to ensure that information from staff members is kept private</w:t>
      </w:r>
      <w:r w:rsidR="0063710B" w:rsidRPr="0069778E">
        <w:rPr>
          <w:rFonts w:eastAsia="Calibri"/>
        </w:rPr>
        <w:t xml:space="preserve">. The </w:t>
      </w:r>
      <w:r w:rsidR="007B04DC" w:rsidRPr="0069778E">
        <w:rPr>
          <w:rFonts w:eastAsia="Calibri"/>
        </w:rPr>
        <w:t>questionnaire</w:t>
      </w:r>
      <w:r w:rsidR="0063710B" w:rsidRPr="0069778E">
        <w:rPr>
          <w:rFonts w:eastAsia="Calibri"/>
        </w:rPr>
        <w:t xml:space="preserve"> was developed for this study through an iterative process of reviewing existing instruments, and identifying gaps in the inventory of available items to be filled by study-created </w:t>
      </w:r>
      <w:r w:rsidR="009A7EB5" w:rsidRPr="0069778E">
        <w:rPr>
          <w:rFonts w:eastAsia="Calibri"/>
        </w:rPr>
        <w:t xml:space="preserve">questions. </w:t>
      </w:r>
      <w:r w:rsidR="0063710B" w:rsidRPr="0069778E">
        <w:rPr>
          <w:rFonts w:eastAsia="Calibri"/>
        </w:rPr>
        <w:t>Whenever possible, items were selected from valid and reliable survey instruments.</w:t>
      </w:r>
      <w:r w:rsidR="009A7EB5" w:rsidRPr="0069778E">
        <w:rPr>
          <w:rFonts w:eastAsia="Calibri"/>
        </w:rPr>
        <w:t xml:space="preserve"> </w:t>
      </w:r>
      <w:r w:rsidR="00FE46F4" w:rsidRPr="0069778E">
        <w:rPr>
          <w:rFonts w:eastAsia="Calibri"/>
        </w:rPr>
        <w:t>We anticipate t</w:t>
      </w:r>
      <w:r w:rsidR="0038521D" w:rsidRPr="0069778E">
        <w:rPr>
          <w:rFonts w:eastAsia="Calibri"/>
        </w:rPr>
        <w:t xml:space="preserve">he questionnaire will be administered in </w:t>
      </w:r>
      <w:r w:rsidR="00FE46F4" w:rsidRPr="0069778E">
        <w:rPr>
          <w:rFonts w:eastAsia="Calibri"/>
        </w:rPr>
        <w:t xml:space="preserve">2015, then again in </w:t>
      </w:r>
      <w:r w:rsidR="002B4891" w:rsidRPr="0069778E">
        <w:rPr>
          <w:rFonts w:eastAsia="Calibri"/>
        </w:rPr>
        <w:t xml:space="preserve">Fall </w:t>
      </w:r>
      <w:r w:rsidR="0038521D" w:rsidRPr="0069778E">
        <w:rPr>
          <w:rFonts w:eastAsia="Calibri"/>
        </w:rPr>
        <w:t>2016</w:t>
      </w:r>
      <w:r w:rsidR="00FE46F4" w:rsidRPr="0069778E">
        <w:rPr>
          <w:rFonts w:eastAsia="Calibri"/>
        </w:rPr>
        <w:t xml:space="preserve"> and </w:t>
      </w:r>
      <w:r w:rsidR="002B4891" w:rsidRPr="0069778E">
        <w:rPr>
          <w:rFonts w:eastAsia="Calibri"/>
        </w:rPr>
        <w:t xml:space="preserve">Spring </w:t>
      </w:r>
      <w:r w:rsidR="00FE46F4" w:rsidRPr="0069778E">
        <w:rPr>
          <w:rFonts w:eastAsia="Calibri"/>
        </w:rPr>
        <w:t xml:space="preserve">2018. </w:t>
      </w:r>
      <w:r w:rsidR="0038521D" w:rsidRPr="0069778E">
        <w:rPr>
          <w:rFonts w:eastAsia="Calibri"/>
        </w:rPr>
        <w:t xml:space="preserve">These data collection points coincide with the initiation of </w:t>
      </w:r>
      <w:r w:rsidR="00ED021D">
        <w:rPr>
          <w:rFonts w:eastAsia="Calibri"/>
        </w:rPr>
        <w:t>partnership</w:t>
      </w:r>
      <w:r w:rsidR="00ED021D" w:rsidRPr="0069778E">
        <w:rPr>
          <w:rFonts w:eastAsia="Calibri"/>
        </w:rPr>
        <w:t xml:space="preserve"> </w:t>
      </w:r>
      <w:r w:rsidR="0038521D" w:rsidRPr="0069778E">
        <w:rPr>
          <w:rFonts w:eastAsia="Calibri"/>
        </w:rPr>
        <w:t xml:space="preserve">activities and the mid-way and end points of the PS13-1308 cooperative agreement.  We anticipate that each year of data collection will yield data from up to </w:t>
      </w:r>
      <w:r w:rsidR="00ED021D">
        <w:rPr>
          <w:rFonts w:eastAsia="Calibri"/>
        </w:rPr>
        <w:t>60</w:t>
      </w:r>
      <w:r w:rsidR="00ED021D" w:rsidRPr="0069778E">
        <w:rPr>
          <w:rFonts w:eastAsia="Calibri"/>
        </w:rPr>
        <w:t xml:space="preserve"> </w:t>
      </w:r>
      <w:r w:rsidR="009F5B81" w:rsidRPr="0069778E">
        <w:rPr>
          <w:rFonts w:eastAsia="Calibri"/>
        </w:rPr>
        <w:t>total respon</w:t>
      </w:r>
      <w:r w:rsidR="007B04DC" w:rsidRPr="0069778E">
        <w:rPr>
          <w:rFonts w:eastAsia="Calibri"/>
        </w:rPr>
        <w:t>dents</w:t>
      </w:r>
      <w:r w:rsidR="009F5B81" w:rsidRPr="0069778E">
        <w:rPr>
          <w:rFonts w:eastAsia="Calibri"/>
        </w:rPr>
        <w:t xml:space="preserve"> from the</w:t>
      </w:r>
      <w:r w:rsidR="009A7EB5" w:rsidRPr="0069778E">
        <w:rPr>
          <w:rFonts w:eastAsia="Calibri"/>
        </w:rPr>
        <w:t xml:space="preserve"> CBOs and </w:t>
      </w:r>
      <w:r w:rsidR="00ED021D">
        <w:rPr>
          <w:rFonts w:eastAsia="Calibri"/>
        </w:rPr>
        <w:t>HWCs</w:t>
      </w:r>
      <w:r w:rsidR="00ED021D" w:rsidRPr="0069778E" w:rsidDel="00ED021D">
        <w:rPr>
          <w:rFonts w:eastAsia="Calibri"/>
        </w:rPr>
        <w:t xml:space="preserve"> </w:t>
      </w:r>
      <w:r w:rsidR="009F5B81" w:rsidRPr="0069778E">
        <w:rPr>
          <w:rFonts w:eastAsia="Calibri"/>
        </w:rPr>
        <w:t>across all three LEAs</w:t>
      </w:r>
      <w:r w:rsidR="009A7EB5" w:rsidRPr="0069778E">
        <w:rPr>
          <w:rFonts w:eastAsia="Calibri"/>
        </w:rPr>
        <w:t xml:space="preserve">. We expect </w:t>
      </w:r>
      <w:r w:rsidR="00FE46F4" w:rsidRPr="0069778E">
        <w:rPr>
          <w:rFonts w:eastAsia="Calibri"/>
        </w:rPr>
        <w:t xml:space="preserve">there to be fewer than </w:t>
      </w:r>
      <w:r w:rsidR="00ED021D">
        <w:rPr>
          <w:rFonts w:eastAsia="Calibri"/>
        </w:rPr>
        <w:t>20</w:t>
      </w:r>
      <w:r w:rsidR="00ED021D" w:rsidRPr="0069778E">
        <w:rPr>
          <w:rFonts w:eastAsia="Calibri"/>
        </w:rPr>
        <w:t xml:space="preserve"> </w:t>
      </w:r>
      <w:r w:rsidR="00FE46F4" w:rsidRPr="0069778E">
        <w:rPr>
          <w:rFonts w:eastAsia="Calibri"/>
        </w:rPr>
        <w:t>organizations</w:t>
      </w:r>
      <w:r w:rsidR="009F5B81" w:rsidRPr="0069778E">
        <w:rPr>
          <w:rFonts w:eastAsia="Calibri"/>
        </w:rPr>
        <w:t xml:space="preserve"> per LEA in the baseline year but that </w:t>
      </w:r>
      <w:r w:rsidR="009A7EB5" w:rsidRPr="0069778E">
        <w:rPr>
          <w:rFonts w:eastAsia="Calibri"/>
        </w:rPr>
        <w:t xml:space="preserve">this number </w:t>
      </w:r>
      <w:r w:rsidR="009F5B81" w:rsidRPr="0069778E">
        <w:rPr>
          <w:rFonts w:eastAsia="Calibri"/>
        </w:rPr>
        <w:t>may</w:t>
      </w:r>
      <w:r w:rsidR="009A7EB5" w:rsidRPr="0069778E">
        <w:rPr>
          <w:rFonts w:eastAsia="Calibri"/>
        </w:rPr>
        <w:t xml:space="preserve"> grow </w:t>
      </w:r>
      <w:r w:rsidR="00FE46F4" w:rsidRPr="0069778E">
        <w:rPr>
          <w:rFonts w:eastAsia="Calibri"/>
        </w:rPr>
        <w:t xml:space="preserve">closer to </w:t>
      </w:r>
      <w:r w:rsidR="00ED021D">
        <w:rPr>
          <w:rFonts w:eastAsia="Calibri"/>
        </w:rPr>
        <w:t>20</w:t>
      </w:r>
      <w:r w:rsidR="00ED021D" w:rsidRPr="0069778E">
        <w:rPr>
          <w:rFonts w:eastAsia="Calibri"/>
        </w:rPr>
        <w:t xml:space="preserve"> </w:t>
      </w:r>
      <w:r w:rsidR="00FE46F4" w:rsidRPr="0069778E">
        <w:rPr>
          <w:rFonts w:eastAsia="Calibri"/>
        </w:rPr>
        <w:t>organizations</w:t>
      </w:r>
      <w:r w:rsidR="009F5B81" w:rsidRPr="0069778E">
        <w:rPr>
          <w:rFonts w:eastAsia="Calibri"/>
        </w:rPr>
        <w:t xml:space="preserve"> per LEA </w:t>
      </w:r>
      <w:r w:rsidR="00FE46F4" w:rsidRPr="0069778E">
        <w:rPr>
          <w:rFonts w:eastAsia="Calibri"/>
        </w:rPr>
        <w:t xml:space="preserve">as </w:t>
      </w:r>
      <w:r w:rsidR="009F5B81" w:rsidRPr="0069778E">
        <w:rPr>
          <w:rFonts w:eastAsia="Calibri"/>
        </w:rPr>
        <w:t xml:space="preserve">they </w:t>
      </w:r>
      <w:r w:rsidR="009A7EB5" w:rsidRPr="0069778E">
        <w:rPr>
          <w:rFonts w:eastAsia="Calibri"/>
        </w:rPr>
        <w:t xml:space="preserve">develop partnerships with more organizations. </w:t>
      </w:r>
      <w:r w:rsidR="0038521D" w:rsidRPr="0069778E">
        <w:rPr>
          <w:rFonts w:eastAsia="Calibri"/>
        </w:rPr>
        <w:t xml:space="preserve"> </w:t>
      </w:r>
      <w:r w:rsidR="004B53B2" w:rsidRPr="0069778E">
        <w:rPr>
          <w:rFonts w:eastAsia="Calibri"/>
        </w:rPr>
        <w:t xml:space="preserve">Personally identifying information (PII) will not be recorded or stored as part of the </w:t>
      </w:r>
      <w:r w:rsidR="004D3C9C">
        <w:rPr>
          <w:rFonts w:eastAsia="Calibri"/>
        </w:rPr>
        <w:t>questionnaire</w:t>
      </w:r>
      <w:r w:rsidR="004B53B2" w:rsidRPr="0069778E">
        <w:rPr>
          <w:rFonts w:eastAsia="Calibri"/>
        </w:rPr>
        <w:t xml:space="preserve">. </w:t>
      </w:r>
      <w:r w:rsidR="007B04DC" w:rsidRPr="0069778E">
        <w:rPr>
          <w:rFonts w:eastAsia="Calibri"/>
        </w:rPr>
        <w:t xml:space="preserve">Business </w:t>
      </w:r>
      <w:r w:rsidR="004B53B2" w:rsidRPr="0069778E">
        <w:rPr>
          <w:rFonts w:eastAsia="Calibri"/>
        </w:rPr>
        <w:t xml:space="preserve">PII will be used only to administer the </w:t>
      </w:r>
      <w:r w:rsidR="004D3C9C">
        <w:rPr>
          <w:rFonts w:eastAsia="Calibri"/>
        </w:rPr>
        <w:t>questionnaire</w:t>
      </w:r>
      <w:r w:rsidR="004B53B2" w:rsidRPr="0069778E">
        <w:rPr>
          <w:rFonts w:eastAsia="Calibri"/>
        </w:rPr>
        <w:t xml:space="preserve"> and will be stored separately with no information that links staff members to their responses. The </w:t>
      </w:r>
      <w:r w:rsidR="004D3C9C">
        <w:rPr>
          <w:rFonts w:eastAsia="Calibri"/>
        </w:rPr>
        <w:t>questionnaire</w:t>
      </w:r>
      <w:r w:rsidR="004D3C9C" w:rsidRPr="0069778E">
        <w:rPr>
          <w:rFonts w:eastAsia="Calibri"/>
        </w:rPr>
        <w:t xml:space="preserve"> </w:t>
      </w:r>
      <w:r w:rsidR="004B53B2" w:rsidRPr="0069778E">
        <w:rPr>
          <w:rFonts w:eastAsia="Calibri"/>
        </w:rPr>
        <w:t>will be offered through a secure Website, SurveyMonkey™.</w:t>
      </w:r>
    </w:p>
    <w:p w14:paraId="1310ECD8" w14:textId="77777777" w:rsidR="00586667" w:rsidRPr="0069778E" w:rsidRDefault="00155131" w:rsidP="0069778E">
      <w:pPr>
        <w:spacing w:before="120" w:line="240" w:lineRule="auto"/>
        <w:ind w:firstLine="720"/>
      </w:pPr>
      <w:r w:rsidRPr="00A7167E">
        <w:t xml:space="preserve">The questionnaire will take </w:t>
      </w:r>
      <w:r w:rsidR="008278A5" w:rsidRPr="00A7167E">
        <w:t xml:space="preserve">between </w:t>
      </w:r>
      <w:r w:rsidR="00D1203D" w:rsidRPr="00A7167E">
        <w:t>40</w:t>
      </w:r>
      <w:r w:rsidR="00535A61" w:rsidRPr="00A7167E">
        <w:t>-60</w:t>
      </w:r>
      <w:r w:rsidR="00586667" w:rsidRPr="00A7167E">
        <w:t xml:space="preserve"> </w:t>
      </w:r>
      <w:r w:rsidRPr="00A7167E">
        <w:t xml:space="preserve">minutes to complete.  </w:t>
      </w:r>
      <w:r w:rsidR="00586667" w:rsidRPr="00A7167E">
        <w:t xml:space="preserve">Evaluators will work with each </w:t>
      </w:r>
      <w:r w:rsidR="00263206" w:rsidRPr="00A7167E">
        <w:t xml:space="preserve">LEA </w:t>
      </w:r>
      <w:r w:rsidR="00586667" w:rsidRPr="00A7167E">
        <w:t xml:space="preserve">to identify their relevant </w:t>
      </w:r>
      <w:r w:rsidR="00263206" w:rsidRPr="00A7167E">
        <w:t xml:space="preserve">CBO and </w:t>
      </w:r>
      <w:r w:rsidR="00ED021D">
        <w:rPr>
          <w:rFonts w:eastAsia="Calibri"/>
        </w:rPr>
        <w:t>HWC</w:t>
      </w:r>
      <w:r w:rsidR="00ED021D" w:rsidRPr="00A7167E" w:rsidDel="00ED021D">
        <w:t xml:space="preserve"> </w:t>
      </w:r>
      <w:r w:rsidR="00586667" w:rsidRPr="00A7167E">
        <w:t xml:space="preserve">partners. Evaluators will ask </w:t>
      </w:r>
      <w:r w:rsidR="00ED021D">
        <w:t xml:space="preserve">the LEA </w:t>
      </w:r>
      <w:r w:rsidR="00586667" w:rsidRPr="00A7167E">
        <w:t xml:space="preserve">to provide a list of CBOs and </w:t>
      </w:r>
      <w:r w:rsidR="00ED021D">
        <w:rPr>
          <w:rFonts w:eastAsia="Calibri"/>
        </w:rPr>
        <w:t>HWCs</w:t>
      </w:r>
      <w:r w:rsidR="00ED021D" w:rsidRPr="00A7167E" w:rsidDel="00ED021D">
        <w:t xml:space="preserve"> </w:t>
      </w:r>
      <w:r w:rsidR="00586667" w:rsidRPr="00A7167E">
        <w:t>and contact</w:t>
      </w:r>
      <w:r w:rsidR="00586667" w:rsidRPr="0069778E">
        <w:t xml:space="preserve"> information (email address) for a contact at each location.  The instrument will be sent to one representative from each of those CBOs or </w:t>
      </w:r>
      <w:r w:rsidR="00ED021D">
        <w:rPr>
          <w:rFonts w:eastAsia="Calibri"/>
        </w:rPr>
        <w:t>HWC</w:t>
      </w:r>
      <w:r w:rsidR="00586667" w:rsidRPr="0069778E">
        <w:t xml:space="preserve">s. CBO or </w:t>
      </w:r>
      <w:r w:rsidR="00ED021D">
        <w:rPr>
          <w:rFonts w:eastAsia="Calibri"/>
        </w:rPr>
        <w:t>HWC</w:t>
      </w:r>
      <w:r w:rsidR="00ED021D" w:rsidRPr="0069778E" w:rsidDel="00ED021D">
        <w:t xml:space="preserve"> </w:t>
      </w:r>
      <w:r w:rsidR="00586667" w:rsidRPr="0069778E">
        <w:t xml:space="preserve">representatives will be encouraged to consult with </w:t>
      </w:r>
      <w:r w:rsidR="009F5B81" w:rsidRPr="0069778E">
        <w:t xml:space="preserve">up to 2 </w:t>
      </w:r>
      <w:r w:rsidR="00586667" w:rsidRPr="0069778E">
        <w:t xml:space="preserve">other staff, as needed, to complete the </w:t>
      </w:r>
      <w:r w:rsidR="007B04DC" w:rsidRPr="0069778E">
        <w:t>questionnaire</w:t>
      </w:r>
      <w:r w:rsidR="00586667" w:rsidRPr="0069778E">
        <w:t xml:space="preserve">.  </w:t>
      </w:r>
    </w:p>
    <w:p w14:paraId="0B5ACB67" w14:textId="77777777" w:rsidR="005E12E0" w:rsidRPr="0069778E" w:rsidRDefault="009F5B81" w:rsidP="00294872">
      <w:pPr>
        <w:spacing w:before="120" w:line="240" w:lineRule="auto"/>
        <w:ind w:firstLine="720"/>
      </w:pPr>
      <w:r w:rsidRPr="0069778E">
        <w:t xml:space="preserve">Data collectors will send an email </w:t>
      </w:r>
      <w:r w:rsidR="001F4683">
        <w:t>(</w:t>
      </w:r>
      <w:r w:rsidR="001F4683">
        <w:rPr>
          <w:b/>
        </w:rPr>
        <w:t xml:space="preserve">Attachment </w:t>
      </w:r>
      <w:r w:rsidR="00294872">
        <w:rPr>
          <w:b/>
        </w:rPr>
        <w:t>7</w:t>
      </w:r>
      <w:r w:rsidR="001F4683">
        <w:rPr>
          <w:b/>
        </w:rPr>
        <w:t>—Introductory Email/Study Information Sheet</w:t>
      </w:r>
      <w:r w:rsidR="001F4683" w:rsidRPr="00247F8A">
        <w:t xml:space="preserve">) </w:t>
      </w:r>
      <w:r w:rsidRPr="0069778E">
        <w:t xml:space="preserve">to each potential participant with the link to the </w:t>
      </w:r>
      <w:r w:rsidR="007B04DC" w:rsidRPr="0069778E">
        <w:t xml:space="preserve">questionnaire </w:t>
      </w:r>
      <w:r w:rsidRPr="0069778E">
        <w:t>and allow for a 2 week response time.  Three reminders will be sent to non-responders. When respondents access the link, they will view a consent statement</w:t>
      </w:r>
      <w:r w:rsidR="001F4683">
        <w:t xml:space="preserve"> (</w:t>
      </w:r>
      <w:r w:rsidR="001F4683" w:rsidRPr="00247F8A">
        <w:rPr>
          <w:b/>
        </w:rPr>
        <w:t xml:space="preserve">Attachment </w:t>
      </w:r>
      <w:r w:rsidR="00294872">
        <w:rPr>
          <w:b/>
        </w:rPr>
        <w:t>8</w:t>
      </w:r>
      <w:r w:rsidR="001F4683" w:rsidRPr="00247F8A">
        <w:rPr>
          <w:b/>
        </w:rPr>
        <w:t>—Web-based Informed Consent Form</w:t>
      </w:r>
      <w:r w:rsidR="00294872">
        <w:rPr>
          <w:b/>
        </w:rPr>
        <w:t xml:space="preserve"> for the CBO Questionnaire </w:t>
      </w:r>
      <w:r w:rsidR="00294872">
        <w:t xml:space="preserve">and </w:t>
      </w:r>
      <w:r w:rsidR="00294872">
        <w:rPr>
          <w:b/>
        </w:rPr>
        <w:t>Attachment 9—Web-based Informed Consent Form for the HWC Questionnaire</w:t>
      </w:r>
      <w:r w:rsidR="001F4683">
        <w:t>)</w:t>
      </w:r>
      <w:r w:rsidRPr="0069778E">
        <w:t xml:space="preserve"> before entering the Web-based </w:t>
      </w:r>
      <w:r w:rsidR="004D3C9C">
        <w:t>questionnaire</w:t>
      </w:r>
      <w:r w:rsidRPr="0069778E">
        <w:t xml:space="preserve">. The consent statement emphasizes the voluntary nature of participation and lack of any consequences to them for choosing not to complete any or all of the </w:t>
      </w:r>
      <w:r w:rsidR="004D3C9C">
        <w:t>questionnaire</w:t>
      </w:r>
      <w:r w:rsidRPr="0069778E">
        <w:t xml:space="preserve">. The consent statement will also state that responses will not be attributable to them or linked with any personally identifying information. Participants will see a prompt to click on the button to proceed with the </w:t>
      </w:r>
      <w:r w:rsidR="007B04DC" w:rsidRPr="0069778E">
        <w:t>questionnaire</w:t>
      </w:r>
      <w:r w:rsidRPr="0069778E">
        <w:t xml:space="preserve">, which will indicate that they have read the information in the consent statement and agree to participate. This process will be the same for each year of the </w:t>
      </w:r>
      <w:r w:rsidR="007B04DC" w:rsidRPr="0069778E">
        <w:t>data collection</w:t>
      </w:r>
      <w:r w:rsidRPr="0069778E">
        <w:t>.</w:t>
      </w:r>
      <w:r w:rsidR="00294872">
        <w:t xml:space="preserve"> </w:t>
      </w:r>
      <w:r w:rsidR="005E12E0" w:rsidRPr="0069778E">
        <w:t xml:space="preserve">Upon completion of the </w:t>
      </w:r>
      <w:r w:rsidR="00436D01" w:rsidRPr="0069778E">
        <w:t>questionnaire</w:t>
      </w:r>
      <w:r w:rsidR="005E12E0" w:rsidRPr="0069778E">
        <w:t xml:space="preserve">, </w:t>
      </w:r>
      <w:r w:rsidR="00BB4CCB" w:rsidRPr="0069778E">
        <w:t>t</w:t>
      </w:r>
      <w:r w:rsidR="00EE76AC" w:rsidRPr="0069778E">
        <w:t xml:space="preserve">he </w:t>
      </w:r>
      <w:r w:rsidR="007B04DC" w:rsidRPr="0069778E">
        <w:t xml:space="preserve">Web-based </w:t>
      </w:r>
      <w:r w:rsidR="00BB4CCB" w:rsidRPr="0069778E">
        <w:t xml:space="preserve">program will indicate the </w:t>
      </w:r>
      <w:r w:rsidR="004D3C9C">
        <w:t>questionnaire</w:t>
      </w:r>
      <w:r w:rsidR="004D3C9C" w:rsidRPr="0069778E">
        <w:t xml:space="preserve"> </w:t>
      </w:r>
      <w:r w:rsidR="00BB4CCB" w:rsidRPr="0069778E">
        <w:t xml:space="preserve">is over </w:t>
      </w:r>
      <w:r w:rsidR="00BB4CCB" w:rsidRPr="0069778E">
        <w:lastRenderedPageBreak/>
        <w:t xml:space="preserve">and will thank the participant for </w:t>
      </w:r>
      <w:r w:rsidR="007B04DC" w:rsidRPr="0069778E">
        <w:t xml:space="preserve">his/her </w:t>
      </w:r>
      <w:r w:rsidR="00BB4CCB" w:rsidRPr="0069778E">
        <w:t xml:space="preserve">participation. </w:t>
      </w:r>
    </w:p>
    <w:p w14:paraId="3539D2FC" w14:textId="77777777" w:rsidR="007747FB" w:rsidRPr="0069778E" w:rsidRDefault="007747FB" w:rsidP="0069778E">
      <w:pPr>
        <w:pStyle w:val="ListParagraph"/>
        <w:widowControl/>
        <w:autoSpaceDE/>
        <w:autoSpaceDN/>
        <w:adjustRightInd/>
        <w:spacing w:before="120" w:line="240" w:lineRule="auto"/>
      </w:pPr>
    </w:p>
    <w:p w14:paraId="065FD99A" w14:textId="77777777" w:rsidR="00082D49" w:rsidRPr="0069778E" w:rsidRDefault="00082D49" w:rsidP="0069778E">
      <w:pPr>
        <w:widowControl/>
        <w:autoSpaceDE/>
        <w:autoSpaceDN/>
        <w:adjustRightInd/>
        <w:spacing w:before="120" w:line="240" w:lineRule="auto"/>
        <w:rPr>
          <w:u w:val="single"/>
        </w:rPr>
      </w:pPr>
      <w:r w:rsidRPr="0069778E">
        <w:rPr>
          <w:u w:val="single"/>
        </w:rPr>
        <w:t xml:space="preserve">Items of Information to be </w:t>
      </w:r>
      <w:r w:rsidR="005C2FAC" w:rsidRPr="0069778E">
        <w:rPr>
          <w:u w:val="single"/>
        </w:rPr>
        <w:t>collected</w:t>
      </w:r>
      <w:r w:rsidRPr="0069778E">
        <w:rPr>
          <w:u w:val="single"/>
        </w:rPr>
        <w:t xml:space="preserve"> </w:t>
      </w:r>
    </w:p>
    <w:p w14:paraId="262BAA6F" w14:textId="77777777" w:rsidR="008573E2" w:rsidRPr="0069778E" w:rsidRDefault="009248A4" w:rsidP="0069778E">
      <w:pPr>
        <w:spacing w:before="120" w:line="240" w:lineRule="auto"/>
        <w:ind w:firstLine="720"/>
      </w:pPr>
      <w:r w:rsidRPr="0069778E">
        <w:rPr>
          <w:rFonts w:eastAsia="Calibri"/>
        </w:rPr>
        <w:t xml:space="preserve">Although </w:t>
      </w:r>
      <w:r w:rsidR="00CA039B" w:rsidRPr="0069778E">
        <w:rPr>
          <w:rFonts w:eastAsia="Calibri"/>
        </w:rPr>
        <w:t xml:space="preserve">both versions of the </w:t>
      </w:r>
      <w:r w:rsidRPr="0069778E">
        <w:rPr>
          <w:rFonts w:eastAsia="Calibri"/>
        </w:rPr>
        <w:t>questionnaire</w:t>
      </w:r>
      <w:r w:rsidR="00CA039B" w:rsidRPr="0069778E">
        <w:rPr>
          <w:rFonts w:eastAsia="Calibri"/>
        </w:rPr>
        <w:t xml:space="preserve"> (included in </w:t>
      </w:r>
      <w:r w:rsidR="00CA039B" w:rsidRPr="0069778E">
        <w:rPr>
          <w:rFonts w:eastAsia="Calibri"/>
          <w:b/>
        </w:rPr>
        <w:t xml:space="preserve">Attachment </w:t>
      </w:r>
      <w:r w:rsidR="00294872">
        <w:rPr>
          <w:rFonts w:eastAsia="Calibri"/>
          <w:b/>
        </w:rPr>
        <w:t>5</w:t>
      </w:r>
      <w:r w:rsidR="00294872" w:rsidRPr="0069778E">
        <w:rPr>
          <w:rFonts w:eastAsia="Calibri"/>
          <w:b/>
        </w:rPr>
        <w:t xml:space="preserve"> </w:t>
      </w:r>
      <w:r w:rsidR="00CA039B" w:rsidRPr="00247F8A">
        <w:rPr>
          <w:rFonts w:eastAsia="Calibri"/>
        </w:rPr>
        <w:t>and</w:t>
      </w:r>
      <w:r w:rsidR="00CA039B" w:rsidRPr="0069778E">
        <w:rPr>
          <w:rFonts w:eastAsia="Calibri"/>
          <w:b/>
        </w:rPr>
        <w:t xml:space="preserve"> Attachment </w:t>
      </w:r>
      <w:r w:rsidR="00294872">
        <w:rPr>
          <w:rFonts w:eastAsia="Calibri"/>
          <w:b/>
        </w:rPr>
        <w:t>6</w:t>
      </w:r>
      <w:r w:rsidR="00CA039B" w:rsidRPr="0069778E">
        <w:rPr>
          <w:rFonts w:eastAsia="Calibri"/>
        </w:rPr>
        <w:t>)</w:t>
      </w:r>
      <w:r w:rsidRPr="0069778E">
        <w:rPr>
          <w:rFonts w:eastAsia="Calibri"/>
        </w:rPr>
        <w:t xml:space="preserve"> w</w:t>
      </w:r>
      <w:r w:rsidR="00CA039B" w:rsidRPr="0069778E">
        <w:rPr>
          <w:rFonts w:eastAsia="Calibri"/>
        </w:rPr>
        <w:t>ere</w:t>
      </w:r>
      <w:r w:rsidRPr="0069778E">
        <w:rPr>
          <w:rFonts w:eastAsia="Calibri"/>
        </w:rPr>
        <w:t xml:space="preserve"> developed for this study, questionnaire items were selected from valid and reliable instruments whenever possible.  The questionnaire contains questions on the following topics: </w:t>
      </w:r>
      <w:r w:rsidR="008573E2" w:rsidRPr="0069778E">
        <w:t>services offered by the organization; the respondent’s role within the organization, and the organization’s relationships with the school district and participating schools in the LEA.</w:t>
      </w:r>
      <w:r w:rsidR="00CC3CE6" w:rsidRPr="0069778E">
        <w:t xml:space="preserve">  The instrument for CBOs contains</w:t>
      </w:r>
      <w:r w:rsidR="00967CA3" w:rsidRPr="0069778E">
        <w:t xml:space="preserve"> a maximum of </w:t>
      </w:r>
      <w:r w:rsidR="00385219">
        <w:t>59</w:t>
      </w:r>
      <w:r w:rsidR="00385219" w:rsidRPr="0069778E">
        <w:t xml:space="preserve"> </w:t>
      </w:r>
      <w:r w:rsidR="00967CA3" w:rsidRPr="0069778E">
        <w:t>questions</w:t>
      </w:r>
      <w:r w:rsidR="00CA039B" w:rsidRPr="0069778E">
        <w:t xml:space="preserve"> (see </w:t>
      </w:r>
      <w:r w:rsidR="00CA039B" w:rsidRPr="0069778E">
        <w:rPr>
          <w:b/>
        </w:rPr>
        <w:t xml:space="preserve">Attachment </w:t>
      </w:r>
      <w:r w:rsidR="00294872">
        <w:rPr>
          <w:b/>
        </w:rPr>
        <w:t>5</w:t>
      </w:r>
      <w:r w:rsidR="00CA039B" w:rsidRPr="0069778E">
        <w:t>)</w:t>
      </w:r>
      <w:r w:rsidR="00CC3CE6" w:rsidRPr="0069778E">
        <w:t xml:space="preserve">.  The instrument for </w:t>
      </w:r>
      <w:r w:rsidR="001758C2">
        <w:t>HWCs</w:t>
      </w:r>
      <w:r w:rsidR="001758C2" w:rsidRPr="0069778E">
        <w:t xml:space="preserve"> </w:t>
      </w:r>
      <w:r w:rsidR="00CC3CE6" w:rsidRPr="0069778E">
        <w:t xml:space="preserve">contains a maximum of </w:t>
      </w:r>
      <w:r w:rsidR="00385219" w:rsidRPr="006C74DB">
        <w:t>5</w:t>
      </w:r>
      <w:r w:rsidR="00385219">
        <w:t>6</w:t>
      </w:r>
      <w:r w:rsidR="00385219" w:rsidRPr="0069778E">
        <w:t xml:space="preserve"> </w:t>
      </w:r>
      <w:r w:rsidR="00CC3CE6" w:rsidRPr="0069778E">
        <w:t xml:space="preserve">questions (see </w:t>
      </w:r>
      <w:r w:rsidR="00967CA3" w:rsidRPr="0069778E">
        <w:rPr>
          <w:b/>
        </w:rPr>
        <w:t xml:space="preserve">Attachment </w:t>
      </w:r>
      <w:r w:rsidR="00294872">
        <w:rPr>
          <w:b/>
        </w:rPr>
        <w:t>6</w:t>
      </w:r>
      <w:r w:rsidR="00CC3CE6" w:rsidRPr="0069778E">
        <w:t>).</w:t>
      </w:r>
    </w:p>
    <w:p w14:paraId="743634B8" w14:textId="77777777" w:rsidR="00E24859" w:rsidRPr="0069778E" w:rsidRDefault="00E24859" w:rsidP="0069778E">
      <w:pPr>
        <w:spacing w:before="120" w:line="240" w:lineRule="auto"/>
        <w:ind w:firstLine="720"/>
        <w:rPr>
          <w:rFonts w:eastAsia="Calibri"/>
        </w:rPr>
      </w:pPr>
      <w:r w:rsidRPr="0069778E">
        <w:rPr>
          <w:rFonts w:eastAsia="Calibri"/>
        </w:rPr>
        <w:t xml:space="preserve">The instruments include programmed automatic skip patterns, so it is expected that not all respondents will be presented with all questions. (As a note, skip patterns are noted in the Microsoft Word versions of the instrument for the reviewers of this information collection request, but are not visible to respondents in the Web-based versions that they will use.)  Three questions are open ended and all other questions are multiple choice. For several of the multiple-choice questions, respondents have the opportunity to add another response option under the “Other, please specify” answer choice.  The instruments will be distributed and data will be collected using the Web-based data collection tool, SurveyMonkey®. </w:t>
      </w:r>
      <w:r w:rsidR="009A4C1E" w:rsidRPr="0069778E">
        <w:t xml:space="preserve">The required OMB number and related </w:t>
      </w:r>
      <w:r w:rsidR="00CA039B" w:rsidRPr="0069778E">
        <w:t xml:space="preserve">language, a preliminary draft of which can be seen on the first page of the questionnaire (see </w:t>
      </w:r>
      <w:r w:rsidR="00CA039B" w:rsidRPr="0069778E">
        <w:rPr>
          <w:b/>
        </w:rPr>
        <w:t xml:space="preserve">Attachment </w:t>
      </w:r>
      <w:r w:rsidR="00294872">
        <w:rPr>
          <w:b/>
        </w:rPr>
        <w:t>5</w:t>
      </w:r>
      <w:r w:rsidR="00294872" w:rsidRPr="0069778E">
        <w:rPr>
          <w:b/>
        </w:rPr>
        <w:t xml:space="preserve"> </w:t>
      </w:r>
      <w:r w:rsidR="00CA039B" w:rsidRPr="0069778E">
        <w:t xml:space="preserve">and </w:t>
      </w:r>
      <w:r w:rsidR="00CA039B" w:rsidRPr="0069778E">
        <w:rPr>
          <w:b/>
        </w:rPr>
        <w:t xml:space="preserve">Attachment </w:t>
      </w:r>
      <w:r w:rsidR="00294872">
        <w:rPr>
          <w:b/>
        </w:rPr>
        <w:t>6</w:t>
      </w:r>
      <w:r w:rsidR="00CA039B" w:rsidRPr="0069778E">
        <w:t>)</w:t>
      </w:r>
      <w:r w:rsidR="009A4C1E" w:rsidRPr="0069778E">
        <w:t xml:space="preserve">, will be </w:t>
      </w:r>
      <w:r w:rsidR="00CA039B" w:rsidRPr="0069778E">
        <w:t>updated on t</w:t>
      </w:r>
      <w:r w:rsidR="009A4C1E" w:rsidRPr="0069778E">
        <w:t xml:space="preserve">he first page of the </w:t>
      </w:r>
      <w:r w:rsidR="00CA039B" w:rsidRPr="0069778E">
        <w:t>Web</w:t>
      </w:r>
      <w:r w:rsidR="009A4C1E" w:rsidRPr="0069778E">
        <w:t xml:space="preserve">-based questionnaire once approval is received. </w:t>
      </w:r>
      <w:r w:rsidRPr="0069778E">
        <w:rPr>
          <w:rFonts w:eastAsia="Calibri"/>
        </w:rPr>
        <w:t xml:space="preserve">The Web-based </w:t>
      </w:r>
      <w:r w:rsidR="00CA039B" w:rsidRPr="0069778E">
        <w:rPr>
          <w:rFonts w:eastAsia="Calibri"/>
        </w:rPr>
        <w:t xml:space="preserve">questionnaire </w:t>
      </w:r>
      <w:r w:rsidRPr="0069778E">
        <w:rPr>
          <w:rFonts w:eastAsia="Calibri"/>
        </w:rPr>
        <w:t>will collect information on the following:</w:t>
      </w:r>
    </w:p>
    <w:p w14:paraId="5E917339" w14:textId="77777777" w:rsidR="00E24859" w:rsidRPr="0069778E" w:rsidRDefault="00E24859" w:rsidP="0069778E">
      <w:pPr>
        <w:pStyle w:val="ListParagraph"/>
        <w:numPr>
          <w:ilvl w:val="0"/>
          <w:numId w:val="16"/>
        </w:numPr>
        <w:spacing w:before="120" w:line="240" w:lineRule="auto"/>
        <w:rPr>
          <w:rFonts w:eastAsia="Calibri"/>
        </w:rPr>
      </w:pPr>
      <w:r w:rsidRPr="0069778E">
        <w:rPr>
          <w:rFonts w:eastAsia="Calibri"/>
        </w:rPr>
        <w:t xml:space="preserve">Respondent’s </w:t>
      </w:r>
      <w:r w:rsidR="006C74DB">
        <w:rPr>
          <w:rFonts w:eastAsia="Calibri"/>
        </w:rPr>
        <w:t>organization.</w:t>
      </w:r>
      <w:r w:rsidRPr="0069778E">
        <w:rPr>
          <w:rFonts w:eastAsia="Calibri"/>
        </w:rPr>
        <w:t xml:space="preserve"> This information will be collected with </w:t>
      </w:r>
      <w:r w:rsidR="006C74DB">
        <w:rPr>
          <w:rFonts w:eastAsia="Calibri"/>
        </w:rPr>
        <w:t>2</w:t>
      </w:r>
      <w:r w:rsidRPr="0069778E">
        <w:rPr>
          <w:rFonts w:eastAsia="Calibri"/>
        </w:rPr>
        <w:t xml:space="preserve"> questions that ask the name of the respondent’s CBO/</w:t>
      </w:r>
      <w:r w:rsidR="008C1217">
        <w:rPr>
          <w:rFonts w:eastAsia="Calibri"/>
        </w:rPr>
        <w:t>HW</w:t>
      </w:r>
      <w:r w:rsidR="008C1217" w:rsidRPr="0069778E">
        <w:rPr>
          <w:rFonts w:eastAsia="Calibri"/>
        </w:rPr>
        <w:t>C</w:t>
      </w:r>
      <w:r w:rsidR="008C1217">
        <w:rPr>
          <w:rFonts w:eastAsia="Calibri"/>
        </w:rPr>
        <w:t xml:space="preserve"> </w:t>
      </w:r>
      <w:r w:rsidR="006C74DB">
        <w:rPr>
          <w:rFonts w:eastAsia="Calibri"/>
        </w:rPr>
        <w:t>and</w:t>
      </w:r>
      <w:r w:rsidRPr="0069778E">
        <w:rPr>
          <w:rFonts w:eastAsia="Calibri"/>
        </w:rPr>
        <w:t xml:space="preserve"> the physical address of the CBO/</w:t>
      </w:r>
      <w:r w:rsidR="008C1217">
        <w:rPr>
          <w:rFonts w:eastAsia="Calibri"/>
        </w:rPr>
        <w:t>HWC</w:t>
      </w:r>
    </w:p>
    <w:p w14:paraId="0CFE3FA1" w14:textId="77777777" w:rsidR="00E24859" w:rsidRPr="0069778E" w:rsidRDefault="00E24859" w:rsidP="0069778E">
      <w:pPr>
        <w:pStyle w:val="ListParagraph"/>
        <w:numPr>
          <w:ilvl w:val="0"/>
          <w:numId w:val="16"/>
        </w:numPr>
        <w:spacing w:before="120" w:line="240" w:lineRule="auto"/>
        <w:rPr>
          <w:rFonts w:eastAsia="Calibri"/>
        </w:rPr>
      </w:pPr>
      <w:r w:rsidRPr="0069778E">
        <w:rPr>
          <w:rFonts w:eastAsia="Calibri"/>
        </w:rPr>
        <w:t>CBO/</w:t>
      </w:r>
      <w:r w:rsidR="008C1217">
        <w:rPr>
          <w:rFonts w:eastAsia="Calibri"/>
        </w:rPr>
        <w:t>HWC</w:t>
      </w:r>
      <w:r w:rsidRPr="0069778E">
        <w:rPr>
          <w:rFonts w:eastAsia="Calibri"/>
        </w:rPr>
        <w:t xml:space="preserve"> service information</w:t>
      </w:r>
      <w:r w:rsidR="007A32A7" w:rsidRPr="0069778E">
        <w:rPr>
          <w:rFonts w:eastAsia="Calibri"/>
        </w:rPr>
        <w:t xml:space="preserve"> assessing the characteristics of the client population</w:t>
      </w:r>
      <w:r w:rsidRPr="0069778E">
        <w:rPr>
          <w:rFonts w:eastAsia="Calibri"/>
        </w:rPr>
        <w:t xml:space="preserve">.  This information will be collected with </w:t>
      </w:r>
      <w:r w:rsidR="00CA039B" w:rsidRPr="0069778E">
        <w:rPr>
          <w:rFonts w:eastAsia="Calibri"/>
        </w:rPr>
        <w:t xml:space="preserve">12 </w:t>
      </w:r>
      <w:r w:rsidRPr="0069778E">
        <w:rPr>
          <w:rFonts w:eastAsia="Calibri"/>
        </w:rPr>
        <w:t xml:space="preserve">questions.  </w:t>
      </w:r>
    </w:p>
    <w:p w14:paraId="10DBC8E0" w14:textId="77777777" w:rsidR="007A32A7" w:rsidRPr="0069778E" w:rsidRDefault="007A32A7" w:rsidP="0069778E">
      <w:pPr>
        <w:pStyle w:val="ListParagraph"/>
        <w:numPr>
          <w:ilvl w:val="0"/>
          <w:numId w:val="16"/>
        </w:numPr>
        <w:spacing w:before="120" w:line="240" w:lineRule="auto"/>
        <w:rPr>
          <w:rFonts w:eastAsia="Calibri"/>
        </w:rPr>
      </w:pPr>
      <w:r w:rsidRPr="0069778E">
        <w:rPr>
          <w:rFonts w:eastAsia="Calibri"/>
        </w:rPr>
        <w:t>Youth service environment which describes the services offered by th</w:t>
      </w:r>
      <w:r w:rsidR="008A7BDB" w:rsidRPr="0069778E">
        <w:rPr>
          <w:rFonts w:eastAsia="Calibri"/>
        </w:rPr>
        <w:t>e CBO/</w:t>
      </w:r>
      <w:r w:rsidR="008C1217">
        <w:rPr>
          <w:rFonts w:eastAsia="Calibri"/>
        </w:rPr>
        <w:t>HWC</w:t>
      </w:r>
      <w:r w:rsidR="008A7BDB" w:rsidRPr="0069778E">
        <w:rPr>
          <w:rFonts w:eastAsia="Calibri"/>
        </w:rPr>
        <w:t>.  This information</w:t>
      </w:r>
      <w:r w:rsidRPr="0069778E">
        <w:rPr>
          <w:rFonts w:eastAsia="Calibri"/>
        </w:rPr>
        <w:t xml:space="preserve"> will be collected with 4 questions for the CBOs and 5 questions for the </w:t>
      </w:r>
      <w:r w:rsidR="008C1217">
        <w:rPr>
          <w:rFonts w:eastAsia="Calibri"/>
        </w:rPr>
        <w:t>HWC</w:t>
      </w:r>
      <w:r w:rsidRPr="0069778E">
        <w:rPr>
          <w:rFonts w:eastAsia="Calibri"/>
        </w:rPr>
        <w:t>s.</w:t>
      </w:r>
    </w:p>
    <w:p w14:paraId="5AB5F47E" w14:textId="77777777" w:rsidR="007A32A7" w:rsidRPr="0069778E" w:rsidRDefault="00A21343" w:rsidP="0069778E">
      <w:pPr>
        <w:pStyle w:val="ListParagraph"/>
        <w:numPr>
          <w:ilvl w:val="0"/>
          <w:numId w:val="16"/>
        </w:numPr>
        <w:spacing w:before="120" w:line="240" w:lineRule="auto"/>
        <w:rPr>
          <w:rFonts w:eastAsia="Calibri"/>
        </w:rPr>
      </w:pPr>
      <w:r w:rsidRPr="0069778E">
        <w:rPr>
          <w:rFonts w:eastAsia="Calibri"/>
        </w:rPr>
        <w:t xml:space="preserve">LGBTQ Friendliness.  This information will be collected with 3 questions for CBOs and </w:t>
      </w:r>
      <w:r w:rsidR="00836173" w:rsidRPr="0069778E">
        <w:rPr>
          <w:rFonts w:eastAsia="Calibri"/>
        </w:rPr>
        <w:t xml:space="preserve">3 </w:t>
      </w:r>
      <w:r w:rsidRPr="0069778E">
        <w:rPr>
          <w:rFonts w:eastAsia="Calibri"/>
        </w:rPr>
        <w:t xml:space="preserve">questions for </w:t>
      </w:r>
      <w:r w:rsidR="008C1217">
        <w:rPr>
          <w:rFonts w:eastAsia="Calibri"/>
        </w:rPr>
        <w:t>HWC</w:t>
      </w:r>
      <w:r w:rsidRPr="0069778E">
        <w:rPr>
          <w:rFonts w:eastAsia="Calibri"/>
        </w:rPr>
        <w:t>s that asks about continuing education trainings for staff, LGBTQ specific materials, and having an LGBTQ person on staff.</w:t>
      </w:r>
    </w:p>
    <w:p w14:paraId="11716BAE" w14:textId="77777777" w:rsidR="00A21343" w:rsidRPr="0069778E" w:rsidRDefault="00A21343" w:rsidP="0069778E">
      <w:pPr>
        <w:pStyle w:val="ListParagraph"/>
        <w:numPr>
          <w:ilvl w:val="0"/>
          <w:numId w:val="16"/>
        </w:numPr>
        <w:spacing w:before="120" w:line="240" w:lineRule="auto"/>
        <w:rPr>
          <w:rFonts w:eastAsia="Calibri"/>
        </w:rPr>
      </w:pPr>
      <w:r w:rsidRPr="0069778E">
        <w:rPr>
          <w:rFonts w:eastAsia="Calibri"/>
        </w:rPr>
        <w:t>Linkage with schools. These questions assess the CBO/</w:t>
      </w:r>
      <w:r w:rsidR="008C1217">
        <w:rPr>
          <w:rFonts w:eastAsia="Calibri"/>
        </w:rPr>
        <w:t>HWC</w:t>
      </w:r>
      <w:r w:rsidRPr="0069778E">
        <w:rPr>
          <w:rFonts w:eastAsia="Calibri"/>
        </w:rPr>
        <w:t xml:space="preserve"> relationship with the school district.  This information will be collected with 3</w:t>
      </w:r>
      <w:r w:rsidR="00444F7B">
        <w:rPr>
          <w:rFonts w:eastAsia="Calibri"/>
        </w:rPr>
        <w:t>8</w:t>
      </w:r>
      <w:r w:rsidRPr="0069778E">
        <w:rPr>
          <w:rFonts w:eastAsia="Calibri"/>
        </w:rPr>
        <w:t xml:space="preserve"> questions for the CBOs and </w:t>
      </w:r>
      <w:r w:rsidR="00444F7B" w:rsidRPr="0069778E">
        <w:rPr>
          <w:rFonts w:eastAsia="Calibri"/>
        </w:rPr>
        <w:t>3</w:t>
      </w:r>
      <w:r w:rsidR="00444F7B">
        <w:rPr>
          <w:rFonts w:eastAsia="Calibri"/>
        </w:rPr>
        <w:t>4</w:t>
      </w:r>
      <w:r w:rsidR="00444F7B" w:rsidRPr="0069778E">
        <w:rPr>
          <w:rFonts w:eastAsia="Calibri"/>
        </w:rPr>
        <w:t xml:space="preserve"> </w:t>
      </w:r>
      <w:r w:rsidRPr="0069778E">
        <w:rPr>
          <w:rFonts w:eastAsia="Calibri"/>
        </w:rPr>
        <w:t xml:space="preserve">questions for the </w:t>
      </w:r>
      <w:r w:rsidR="008C1217">
        <w:rPr>
          <w:rFonts w:eastAsia="Calibri"/>
        </w:rPr>
        <w:t>HWC</w:t>
      </w:r>
      <w:r w:rsidRPr="0069778E">
        <w:rPr>
          <w:rFonts w:eastAsia="Calibri"/>
        </w:rPr>
        <w:t>s.</w:t>
      </w:r>
    </w:p>
    <w:p w14:paraId="473CA6E3" w14:textId="77777777" w:rsidR="00786106" w:rsidRPr="0069778E" w:rsidRDefault="005F6CF1" w:rsidP="0069778E">
      <w:pPr>
        <w:spacing w:before="120" w:line="240" w:lineRule="auto"/>
        <w:ind w:firstLine="720"/>
      </w:pPr>
      <w:r>
        <w:rPr>
          <w:rFonts w:eastAsia="Calibri"/>
        </w:rPr>
        <w:t>N</w:t>
      </w:r>
      <w:r w:rsidR="009A4C1E" w:rsidRPr="0069778E">
        <w:t>o individually identifiable information is to be collected</w:t>
      </w:r>
      <w:r>
        <w:t xml:space="preserve"> that would make</w:t>
      </w:r>
      <w:r w:rsidR="00836173" w:rsidRPr="0069778E">
        <w:rPr>
          <w:rFonts w:eastAsia="Calibri"/>
        </w:rPr>
        <w:t xml:space="preserve"> participant’s identity discernable.</w:t>
      </w:r>
    </w:p>
    <w:p w14:paraId="2791B93D" w14:textId="77777777" w:rsidR="00BC6542" w:rsidRPr="00AA1E85" w:rsidRDefault="00BC6542" w:rsidP="00AA1E85">
      <w:pPr>
        <w:spacing w:before="120" w:line="240" w:lineRule="auto"/>
        <w:rPr>
          <w:rFonts w:eastAsia="Calibri"/>
        </w:rPr>
      </w:pPr>
    </w:p>
    <w:p w14:paraId="1C7C1136" w14:textId="77777777" w:rsidR="00B6728A" w:rsidRPr="00AA1E85" w:rsidRDefault="00A510BA" w:rsidP="00AA1E85">
      <w:pPr>
        <w:pStyle w:val="Heading1"/>
        <w:spacing w:before="120" w:after="0" w:line="240" w:lineRule="auto"/>
        <w:rPr>
          <w:rFonts w:cs="Times New Roman"/>
          <w:szCs w:val="24"/>
        </w:rPr>
      </w:pPr>
      <w:bookmarkStart w:id="7" w:name="_Toc386703697"/>
      <w:r w:rsidRPr="00AA1E85">
        <w:rPr>
          <w:rFonts w:cs="Times New Roman"/>
          <w:szCs w:val="24"/>
        </w:rPr>
        <w:t xml:space="preserve">Purpose and </w:t>
      </w:r>
      <w:r w:rsidR="007811F1" w:rsidRPr="00AA1E85">
        <w:rPr>
          <w:rFonts w:cs="Times New Roman"/>
          <w:szCs w:val="24"/>
        </w:rPr>
        <w:t>U</w:t>
      </w:r>
      <w:r w:rsidRPr="00AA1E85">
        <w:rPr>
          <w:rFonts w:cs="Times New Roman"/>
          <w:szCs w:val="24"/>
        </w:rPr>
        <w:t>se of Information Collection</w:t>
      </w:r>
      <w:bookmarkEnd w:id="7"/>
    </w:p>
    <w:p w14:paraId="5EACF2FF" w14:textId="1982B6C4" w:rsidR="00432255" w:rsidRPr="00AA1E85" w:rsidRDefault="00432255" w:rsidP="00AA1E85">
      <w:pPr>
        <w:spacing w:before="120" w:line="240" w:lineRule="auto"/>
        <w:ind w:firstLine="720"/>
      </w:pPr>
      <w:r w:rsidRPr="00AA1E85">
        <w:t>Data gathered from these questionnaires will allow the funded local education agenc</w:t>
      </w:r>
      <w:r w:rsidR="007C3089">
        <w:t>ies</w:t>
      </w:r>
      <w:r w:rsidRPr="00AA1E85">
        <w:t xml:space="preserve"> to assess program activities conducted under PS13-1308.  It will allow them to ensure their activities are helping improve </w:t>
      </w:r>
      <w:r w:rsidR="008C1217">
        <w:t xml:space="preserve">and strengthen partnerships with CBOs and HWCs in their </w:t>
      </w:r>
      <w:r w:rsidR="008C1217">
        <w:lastRenderedPageBreak/>
        <w:t xml:space="preserve">communities that can influence the </w:t>
      </w:r>
      <w:r w:rsidRPr="00AA1E85">
        <w:t xml:space="preserve">HIV/STD prevention practices and services in schools.  </w:t>
      </w:r>
      <w:r w:rsidR="00436D01" w:rsidRPr="00AA1E85">
        <w:t>In particular, the approach of collecting data from</w:t>
      </w:r>
      <w:r w:rsidRPr="00AA1E85">
        <w:t xml:space="preserve"> </w:t>
      </w:r>
      <w:r w:rsidR="00AA2874">
        <w:t>key</w:t>
      </w:r>
      <w:r w:rsidR="00AA2874" w:rsidRPr="00AA1E85">
        <w:t xml:space="preserve"> </w:t>
      </w:r>
      <w:r w:rsidR="006E30C1" w:rsidRPr="00AA1E85">
        <w:t xml:space="preserve">CBO and </w:t>
      </w:r>
      <w:r w:rsidR="008C1217">
        <w:t>HWC</w:t>
      </w:r>
      <w:r w:rsidR="006E30C1" w:rsidRPr="00AA1E85">
        <w:t xml:space="preserve"> partners</w:t>
      </w:r>
      <w:r w:rsidRPr="00AA1E85">
        <w:t xml:space="preserve"> participating </w:t>
      </w:r>
      <w:r w:rsidR="006E30C1" w:rsidRPr="00AA1E85">
        <w:t xml:space="preserve">with the program schools allows </w:t>
      </w:r>
      <w:r w:rsidR="00DF0C54" w:rsidRPr="00AA1E85">
        <w:t>the LEA</w:t>
      </w:r>
      <w:r w:rsidR="007C3089">
        <w:t>s</w:t>
      </w:r>
      <w:r w:rsidR="00DF0C54" w:rsidRPr="00AA1E85">
        <w:t xml:space="preserve"> to assess the quality of the partnership</w:t>
      </w:r>
      <w:r w:rsidR="00EE76AC" w:rsidRPr="00AA1E85">
        <w:t>s</w:t>
      </w:r>
      <w:r w:rsidR="00DF0C54" w:rsidRPr="00AA1E85">
        <w:t xml:space="preserve"> and linkages with the schools</w:t>
      </w:r>
      <w:r w:rsidR="00926FD9" w:rsidRPr="00AA1E85">
        <w:t xml:space="preserve"> and the types of services offered by community partners</w:t>
      </w:r>
      <w:r w:rsidR="00DF0C54" w:rsidRPr="00AA1E85">
        <w:t xml:space="preserve">. </w:t>
      </w:r>
      <w:r w:rsidR="00926FD9" w:rsidRPr="00AA1E85">
        <w:t>These partnerships and services</w:t>
      </w:r>
      <w:r w:rsidR="00EF5DF7" w:rsidRPr="00AA1E85">
        <w:t xml:space="preserve"> support a major public health goal of reducing disparities in HIV/STD infections experienced by adolescent</w:t>
      </w:r>
      <w:r w:rsidR="008C1217">
        <w:t xml:space="preserve"> </w:t>
      </w:r>
      <w:r w:rsidR="008A7BDB" w:rsidRPr="00AA1E85">
        <w:t>YMSM</w:t>
      </w:r>
      <w:r w:rsidR="00EF5DF7" w:rsidRPr="00AA1E85">
        <w:t>.</w:t>
      </w:r>
      <w:r w:rsidR="007C3089">
        <w:t xml:space="preserve"> The conceptual model for the program is based in part on the idea that as LEAs build and enhance their partnerships with CBOs and HWCs, student access to and use of critical health services such as HIV and STD testing will increase.  In addition, we hypothesize that as LEAs build relationships with their community organizations and wellness centers, those organizations and centers may actually offer more services that are tailored to YMSM. The data collected through this information collection will enable us to determine if implementation of program strategies such as partnership efforts, collaborations, etc. are associated with an increase in quality of partnerships and linkages between LEAs and HWCs over time. We can also use this data to look for associations between improvements in partnerships and linkages and increases in HIV and STD testing (note: testing data is being collected through other mechanisms</w:t>
      </w:r>
      <w:r w:rsidR="00700CD2">
        <w:t xml:space="preserve"> but is available as secondary data upon request from health departments</w:t>
      </w:r>
      <w:r w:rsidR="007C3089">
        <w:t>).</w:t>
      </w:r>
      <w:r w:rsidR="00700CD2">
        <w:t xml:space="preserve">  Looking at both pathways in the conceptual model [(1) do the current program activities appear to relate to improved partnerships/linkages and (2) does the quality of partnerships/linkages appear to relate to HIV and STD testing among adolescent YMSM] will allow CDC to make recommendations about the utility of focusing on partnerships between schools and CBOs/HWCs, and if it appears important, what strategies may (or may not) be helpful in improving linkages/partnerships.</w:t>
      </w:r>
    </w:p>
    <w:p w14:paraId="2BF30B30" w14:textId="0ADDCC18" w:rsidR="00EF5DF7" w:rsidRPr="00AA1E85" w:rsidRDefault="00EF5DF7" w:rsidP="00AA1E85">
      <w:pPr>
        <w:spacing w:before="120" w:line="240" w:lineRule="auto"/>
        <w:ind w:firstLine="720"/>
      </w:pPr>
      <w:r w:rsidRPr="00AA1E85">
        <w:t xml:space="preserve">Data are expected to be analyzed after each data collection point by the </w:t>
      </w:r>
      <w:r w:rsidR="007675A8" w:rsidRPr="00AA1E85">
        <w:t>project</w:t>
      </w:r>
      <w:r w:rsidRPr="00AA1E85">
        <w:t xml:space="preserve"> team, and </w:t>
      </w:r>
      <w:r w:rsidR="009A4C1E" w:rsidRPr="00AA1E85">
        <w:t xml:space="preserve">data summaries </w:t>
      </w:r>
      <w:r w:rsidRPr="00AA1E85">
        <w:t>will be provided to the LEA</w:t>
      </w:r>
      <w:r w:rsidR="009A4C1E" w:rsidRPr="00AA1E85">
        <w:t>s</w:t>
      </w:r>
      <w:r w:rsidRPr="00AA1E85">
        <w:t>.  The analyses (which</w:t>
      </w:r>
      <w:r w:rsidR="009A4C1E" w:rsidRPr="00AA1E85">
        <w:t>, depending on sample size limitations,</w:t>
      </w:r>
      <w:r w:rsidRPr="00AA1E85">
        <w:t xml:space="preserve"> may include </w:t>
      </w:r>
      <w:r w:rsidR="009A4C1E" w:rsidRPr="00AA1E85">
        <w:t xml:space="preserve">summative </w:t>
      </w:r>
      <w:r w:rsidRPr="00AA1E85">
        <w:t>frequencies</w:t>
      </w:r>
      <w:r w:rsidR="009A4C1E" w:rsidRPr="00AA1E85">
        <w:t xml:space="preserve"> and means</w:t>
      </w:r>
      <w:r w:rsidRPr="00AA1E85">
        <w:t xml:space="preserve">, </w:t>
      </w:r>
      <w:r w:rsidR="009A4C1E" w:rsidRPr="00AA1E85">
        <w:t>t tests and chi square tests</w:t>
      </w:r>
      <w:r w:rsidRPr="00AA1E85">
        <w:t xml:space="preserve">, </w:t>
      </w:r>
      <w:r w:rsidR="009A4C1E" w:rsidRPr="00AA1E85">
        <w:t xml:space="preserve">and </w:t>
      </w:r>
      <w:r w:rsidRPr="00AA1E85">
        <w:t xml:space="preserve">comparison </w:t>
      </w:r>
      <w:r w:rsidR="009A4C1E" w:rsidRPr="00AA1E85">
        <w:t xml:space="preserve">of results </w:t>
      </w:r>
      <w:r w:rsidR="00FA49C9">
        <w:t>between baseline and follow-up data collections</w:t>
      </w:r>
      <w:r w:rsidRPr="00AA1E85">
        <w:t>) will be used by the LEA</w:t>
      </w:r>
      <w:r w:rsidR="007C3089">
        <w:t>s</w:t>
      </w:r>
      <w:r w:rsidRPr="00AA1E85">
        <w:t xml:space="preserve"> to identify areas for program improvement and to assess program impact.</w:t>
      </w:r>
      <w:r w:rsidR="00700CD2">
        <w:t xml:space="preserve">  The data should enable LEAs to draw general conclusions about whether or not their partnerships/linkages with CBOs/HWCs are improving, but should also allow for a more nuanced view of the quality and characteristics of their partnerships. As an example, an LEA might be able to determine that CBO/HWCs have strong connections to district-level staff but weaker connections to school level staff.  As another example, an LEA might be able to determine that it has a lot of partners who serve YMSM with emotional or mental health services but few tha</w:t>
      </w:r>
      <w:r w:rsidR="00FA49C9">
        <w:t>t</w:t>
      </w:r>
      <w:r w:rsidR="00700CD2">
        <w:t xml:space="preserve"> offer HIV/STD testing or other clinical services.</w:t>
      </w:r>
    </w:p>
    <w:p w14:paraId="2600EF28" w14:textId="77777777" w:rsidR="00EF5DF7" w:rsidRPr="00AA1E85" w:rsidRDefault="00EF5DF7" w:rsidP="00AA1E85">
      <w:pPr>
        <w:spacing w:before="120" w:line="240" w:lineRule="auto"/>
        <w:ind w:firstLine="720"/>
      </w:pPr>
      <w:r w:rsidRPr="00AA1E85">
        <w:t xml:space="preserve">Furthermore, this data collection will provide </w:t>
      </w:r>
      <w:r w:rsidR="009C41F5" w:rsidRPr="00AA1E85">
        <w:t>an important piece of the</w:t>
      </w:r>
      <w:r w:rsidRPr="00AA1E85">
        <w:t xml:space="preserve"> </w:t>
      </w:r>
      <w:r w:rsidR="009C41F5" w:rsidRPr="00AA1E85">
        <w:t xml:space="preserve">evaluation to identify best practices for linking schools to CBOs in order to increase HIV and STD testing as part of the work being </w:t>
      </w:r>
      <w:r w:rsidRPr="00AA1E85">
        <w:t>supported</w:t>
      </w:r>
      <w:r w:rsidR="00B52424" w:rsidRPr="00AA1E85">
        <w:t xml:space="preserve"> under PS13-1308</w:t>
      </w:r>
      <w:r w:rsidR="009A4C1E" w:rsidRPr="00AA1E85">
        <w:t>, CDC FOA project period 2013</w:t>
      </w:r>
      <w:r w:rsidR="008C1217">
        <w:t>–</w:t>
      </w:r>
      <w:r w:rsidR="00B52424" w:rsidRPr="00AA1E85">
        <w:t>2018.</w:t>
      </w:r>
      <w:r w:rsidRPr="00AA1E85">
        <w:t xml:space="preserve">  </w:t>
      </w:r>
      <w:r w:rsidR="004E6018" w:rsidRPr="00AA1E85">
        <w:t xml:space="preserve">The findings from this information collection </w:t>
      </w:r>
      <w:r w:rsidR="000E0044" w:rsidRPr="00AA1E85">
        <w:t>have practical utility to the government because they will</w:t>
      </w:r>
      <w:r w:rsidR="004E6018" w:rsidRPr="00AA1E85">
        <w:t xml:space="preserve"> directly impact both the activities used by the </w:t>
      </w:r>
      <w:r w:rsidR="00B52424" w:rsidRPr="00AA1E85">
        <w:t xml:space="preserve">CDC-funded </w:t>
      </w:r>
      <w:r w:rsidR="004E6018" w:rsidRPr="00AA1E85">
        <w:t>LEA</w:t>
      </w:r>
      <w:r w:rsidR="00EE76AC" w:rsidRPr="00AA1E85">
        <w:t>s</w:t>
      </w:r>
      <w:r w:rsidR="004E6018" w:rsidRPr="00AA1E85">
        <w:t xml:space="preserve"> and the strategies and approaches the CDC recommends for use in </w:t>
      </w:r>
      <w:r w:rsidR="009C41F5" w:rsidRPr="00AA1E85">
        <w:t xml:space="preserve">linking </w:t>
      </w:r>
      <w:r w:rsidR="004E6018" w:rsidRPr="00AA1E85">
        <w:t>schools</w:t>
      </w:r>
      <w:r w:rsidR="009C41F5" w:rsidRPr="00AA1E85">
        <w:t xml:space="preserve"> to CBOs and </w:t>
      </w:r>
      <w:r w:rsidR="008C1217">
        <w:t>HWC</w:t>
      </w:r>
      <w:r w:rsidR="009C41F5" w:rsidRPr="00AA1E85">
        <w:t xml:space="preserve">s </w:t>
      </w:r>
      <w:r w:rsidR="009A4C1E" w:rsidRPr="00AA1E85">
        <w:t>in current and future program efforts, ultimately</w:t>
      </w:r>
      <w:r w:rsidR="009C41F5" w:rsidRPr="00AA1E85">
        <w:t xml:space="preserve"> improving access to YMSM-friendly organizations. </w:t>
      </w:r>
    </w:p>
    <w:p w14:paraId="0FA34D34" w14:textId="10022718" w:rsidR="00C41B78" w:rsidRPr="00AA1E85" w:rsidRDefault="00B52424" w:rsidP="00A11D58">
      <w:pPr>
        <w:spacing w:before="120" w:line="240" w:lineRule="auto"/>
        <w:ind w:firstLine="720"/>
        <w:rPr>
          <w:u w:val="single"/>
        </w:rPr>
      </w:pPr>
      <w:r w:rsidRPr="00BB5E00">
        <w:t xml:space="preserve">Without this data collection, the LEA would be unable to determine if their </w:t>
      </w:r>
      <w:r w:rsidR="00D9528D" w:rsidRPr="00BB5E00">
        <w:t xml:space="preserve">linkages to CBOs and </w:t>
      </w:r>
      <w:r w:rsidR="008C1217" w:rsidRPr="00ED5671">
        <w:t>HWC</w:t>
      </w:r>
      <w:r w:rsidR="00D9528D" w:rsidRPr="00ED5671">
        <w:t xml:space="preserve">s are increasing </w:t>
      </w:r>
      <w:r w:rsidR="00EE76AC" w:rsidRPr="00ED5671">
        <w:t xml:space="preserve">access among YMSM to </w:t>
      </w:r>
      <w:r w:rsidR="00D9528D" w:rsidRPr="00ED5671">
        <w:t xml:space="preserve">social services and </w:t>
      </w:r>
      <w:r w:rsidR="00EE76AC" w:rsidRPr="00ED5671">
        <w:t xml:space="preserve">HIV/STD </w:t>
      </w:r>
      <w:r w:rsidR="00D9528D" w:rsidRPr="00ED5671">
        <w:t>testing</w:t>
      </w:r>
      <w:r w:rsidR="00894926" w:rsidRPr="00ED5671">
        <w:t xml:space="preserve"> or know the quality/strength of these partnerships</w:t>
      </w:r>
      <w:r w:rsidR="00EE76AC" w:rsidRPr="00ED5671">
        <w:t>.  In</w:t>
      </w:r>
      <w:r w:rsidRPr="00ED5671">
        <w:t xml:space="preserve"> addition, without collecting this data, the CDC would have little evidence o</w:t>
      </w:r>
      <w:r w:rsidR="00894926" w:rsidRPr="00ED5671">
        <w:t>f the linkages and</w:t>
      </w:r>
      <w:r w:rsidR="00894926" w:rsidRPr="00AA1E85">
        <w:t xml:space="preserve"> partnerships created and sustained with </w:t>
      </w:r>
      <w:r w:rsidR="00926FD9" w:rsidRPr="00AA1E85">
        <w:lastRenderedPageBreak/>
        <w:t xml:space="preserve">cooperative agreement </w:t>
      </w:r>
      <w:r w:rsidR="00894926" w:rsidRPr="00AA1E85">
        <w:t xml:space="preserve">funding to </w:t>
      </w:r>
      <w:r w:rsidRPr="00AA1E85">
        <w:t xml:space="preserve">enhance HIV and STD prevention </w:t>
      </w:r>
      <w:r w:rsidR="00894926" w:rsidRPr="00AA1E85">
        <w:t xml:space="preserve">strategies for YMSM </w:t>
      </w:r>
      <w:r w:rsidRPr="00AA1E85">
        <w:t xml:space="preserve">in schools.  </w:t>
      </w:r>
    </w:p>
    <w:p w14:paraId="5FAA5B03" w14:textId="77777777" w:rsidR="005F6CF1" w:rsidRPr="00AA1E85" w:rsidRDefault="005F6CF1" w:rsidP="00AA1E85">
      <w:pPr>
        <w:spacing w:before="120" w:line="240" w:lineRule="auto"/>
        <w:ind w:firstLine="720"/>
      </w:pPr>
    </w:p>
    <w:p w14:paraId="25725F01" w14:textId="77777777" w:rsidR="00B6728A" w:rsidRPr="00AA1E85" w:rsidRDefault="00A510BA" w:rsidP="00AA1E85">
      <w:pPr>
        <w:pStyle w:val="Heading1"/>
        <w:spacing w:before="120" w:after="0" w:line="240" w:lineRule="auto"/>
        <w:rPr>
          <w:rFonts w:cs="Times New Roman"/>
          <w:szCs w:val="24"/>
        </w:rPr>
      </w:pPr>
      <w:bookmarkStart w:id="8" w:name="_Toc386703698"/>
      <w:r w:rsidRPr="00AA1E85">
        <w:rPr>
          <w:rFonts w:cs="Times New Roman"/>
          <w:szCs w:val="24"/>
        </w:rPr>
        <w:t>Use of Improved Inf</w:t>
      </w:r>
      <w:r w:rsidR="007811F1" w:rsidRPr="00AA1E85">
        <w:rPr>
          <w:rFonts w:cs="Times New Roman"/>
          <w:szCs w:val="24"/>
        </w:rPr>
        <w:t>ormation Technology and Burden R</w:t>
      </w:r>
      <w:r w:rsidRPr="00AA1E85">
        <w:rPr>
          <w:rFonts w:cs="Times New Roman"/>
          <w:szCs w:val="24"/>
        </w:rPr>
        <w:t>eduction</w:t>
      </w:r>
      <w:bookmarkEnd w:id="8"/>
    </w:p>
    <w:p w14:paraId="2FB365D5" w14:textId="77777777" w:rsidR="00990DB0" w:rsidRDefault="00F86C32" w:rsidP="00AA1E85">
      <w:pPr>
        <w:keepNext/>
        <w:spacing w:before="120" w:line="240" w:lineRule="auto"/>
        <w:ind w:firstLine="720"/>
        <w:outlineLvl w:val="7"/>
      </w:pPr>
      <w:r w:rsidRPr="00AA1E85">
        <w:t>This p</w:t>
      </w:r>
      <w:r w:rsidR="00990DB0" w:rsidRPr="00AA1E85">
        <w:t>roposed information collection uses a secure Website, SurveyMonkey™</w:t>
      </w:r>
      <w:r w:rsidRPr="00AA1E85">
        <w:t xml:space="preserve"> </w:t>
      </w:r>
      <w:r w:rsidR="00990DB0" w:rsidRPr="00AA1E85">
        <w:t>to automate data collection</w:t>
      </w:r>
      <w:r w:rsidR="00F045C7" w:rsidRPr="00AA1E85">
        <w:t xml:space="preserve"> and ease the burden of respondents</w:t>
      </w:r>
      <w:r w:rsidRPr="00AA1E85">
        <w:t>.</w:t>
      </w:r>
      <w:r w:rsidR="00990DB0" w:rsidRPr="00AA1E85">
        <w:t xml:space="preserve"> The </w:t>
      </w:r>
      <w:r w:rsidR="004D3C9C">
        <w:t>questionnaire</w:t>
      </w:r>
      <w:r w:rsidR="004D3C9C" w:rsidRPr="00AA1E85">
        <w:t xml:space="preserve"> </w:t>
      </w:r>
      <w:r w:rsidR="00990DB0" w:rsidRPr="00AA1E85">
        <w:t xml:space="preserve">Website (SurveyMonkey™) has been selected based on ease of use and built-in security measures. This provider utilizes Secure Socket Layer (SSL) technology, which protects user information by using both server authentication and data encryption, ensuring that user data is secure and available only to authorized persons. Individual </w:t>
      </w:r>
      <w:r w:rsidR="004D3C9C">
        <w:t>questionnaire</w:t>
      </w:r>
      <w:r w:rsidR="004D3C9C" w:rsidRPr="00AA1E85">
        <w:t xml:space="preserve"> </w:t>
      </w:r>
      <w:r w:rsidR="00990DB0" w:rsidRPr="00AA1E85">
        <w:t xml:space="preserve">responses are also protected by the SSL technology, which ensures that the responses of </w:t>
      </w:r>
      <w:r w:rsidR="004D3C9C">
        <w:t>questionnaire</w:t>
      </w:r>
      <w:r w:rsidR="004D3C9C" w:rsidRPr="00AA1E85">
        <w:t xml:space="preserve"> </w:t>
      </w:r>
      <w:r w:rsidR="00990DB0" w:rsidRPr="00AA1E85">
        <w:t xml:space="preserve">respondents are transmitted over a secure, encrypted connection. Once transmitted, the data will be accessible only to study team staff in possession of the password necessary to access and download the data. </w:t>
      </w:r>
    </w:p>
    <w:p w14:paraId="10566643" w14:textId="77777777" w:rsidR="00F86C32" w:rsidRPr="00AA1E85" w:rsidRDefault="00F86C32" w:rsidP="00BC6542">
      <w:pPr>
        <w:pStyle w:val="Style1"/>
        <w:spacing w:before="120" w:after="0"/>
        <w:ind w:firstLine="720"/>
        <w:rPr>
          <w:color w:val="auto"/>
        </w:rPr>
      </w:pPr>
      <w:r w:rsidRPr="00AA1E85">
        <w:rPr>
          <w:color w:val="auto"/>
        </w:rPr>
        <w:t xml:space="preserve">The use of </w:t>
      </w:r>
      <w:r w:rsidR="00F045C7" w:rsidRPr="00AA1E85">
        <w:rPr>
          <w:color w:val="auto"/>
        </w:rPr>
        <w:t>a web-based</w:t>
      </w:r>
      <w:r w:rsidRPr="00AA1E85">
        <w:rPr>
          <w:color w:val="auto"/>
        </w:rPr>
        <w:t xml:space="preserve"> questionnaire i</w:t>
      </w:r>
      <w:r w:rsidR="00F045C7" w:rsidRPr="00AA1E85">
        <w:rPr>
          <w:color w:val="auto"/>
        </w:rPr>
        <w:t xml:space="preserve">n the CBO and </w:t>
      </w:r>
      <w:r w:rsidR="00336439">
        <w:rPr>
          <w:color w:val="auto"/>
        </w:rPr>
        <w:t>HWC</w:t>
      </w:r>
      <w:r w:rsidR="00336439" w:rsidRPr="00AA1E85">
        <w:rPr>
          <w:color w:val="auto"/>
        </w:rPr>
        <w:t xml:space="preserve"> </w:t>
      </w:r>
      <w:r w:rsidRPr="00AA1E85">
        <w:rPr>
          <w:color w:val="auto"/>
        </w:rPr>
        <w:t>setting</w:t>
      </w:r>
      <w:r w:rsidR="00F045C7" w:rsidRPr="00AA1E85">
        <w:rPr>
          <w:color w:val="auto"/>
        </w:rPr>
        <w:t>s</w:t>
      </w:r>
      <w:r w:rsidRPr="00AA1E85">
        <w:rPr>
          <w:color w:val="auto"/>
        </w:rPr>
        <w:t xml:space="preserve"> actually makes it easier for </w:t>
      </w:r>
      <w:r w:rsidR="00F045C7" w:rsidRPr="00AA1E85">
        <w:rPr>
          <w:color w:val="auto"/>
        </w:rPr>
        <w:t>staff</w:t>
      </w:r>
      <w:r w:rsidRPr="00AA1E85">
        <w:rPr>
          <w:color w:val="auto"/>
        </w:rPr>
        <w:t xml:space="preserve"> to participate in data collectio</w:t>
      </w:r>
      <w:r w:rsidR="00F045C7" w:rsidRPr="00AA1E85">
        <w:rPr>
          <w:color w:val="auto"/>
        </w:rPr>
        <w:t>n with minimal disruption to their work day</w:t>
      </w:r>
      <w:r w:rsidRPr="00AA1E85">
        <w:rPr>
          <w:color w:val="auto"/>
        </w:rPr>
        <w:t>.</w:t>
      </w:r>
      <w:r w:rsidR="00F045C7" w:rsidRPr="00AA1E85">
        <w:rPr>
          <w:color w:val="auto"/>
        </w:rPr>
        <w:t xml:space="preserve"> They can use their own computers or work computers and can choose the most convenient time to complete the </w:t>
      </w:r>
      <w:r w:rsidR="004D3C9C">
        <w:rPr>
          <w:color w:val="auto"/>
        </w:rPr>
        <w:t>questionnaire</w:t>
      </w:r>
      <w:r w:rsidR="00F045C7" w:rsidRPr="00AA1E85">
        <w:rPr>
          <w:color w:val="auto"/>
        </w:rPr>
        <w:t>.</w:t>
      </w:r>
      <w:r w:rsidRPr="00AA1E85">
        <w:rPr>
          <w:color w:val="auto"/>
        </w:rPr>
        <w:t xml:space="preserve">  </w:t>
      </w:r>
      <w:r w:rsidR="00F53B70" w:rsidRPr="00AA1E85">
        <w:rPr>
          <w:color w:val="auto"/>
        </w:rPr>
        <w:t>Furthermore, t</w:t>
      </w:r>
      <w:r w:rsidR="00F53B70" w:rsidRPr="00BC6542">
        <w:rPr>
          <w:color w:val="000000" w:themeColor="text1"/>
        </w:rPr>
        <w:t xml:space="preserve">he information collection instrument was designed to collect the minimum information necessary for the purposes of this project through the use of automated skip patterns. </w:t>
      </w:r>
    </w:p>
    <w:p w14:paraId="5D9DCF8F" w14:textId="77777777" w:rsidR="009347AB" w:rsidRPr="00AA1E85" w:rsidRDefault="009347AB" w:rsidP="00AA1E85">
      <w:pPr>
        <w:pStyle w:val="Style1"/>
        <w:spacing w:before="120" w:after="0"/>
        <w:ind w:firstLine="720"/>
        <w:rPr>
          <w:color w:val="auto"/>
        </w:rPr>
      </w:pPr>
      <w:r w:rsidRPr="00AA1E85">
        <w:rPr>
          <w:color w:val="auto"/>
        </w:rPr>
        <w:t xml:space="preserve"> </w:t>
      </w:r>
    </w:p>
    <w:p w14:paraId="0A309C23" w14:textId="77777777" w:rsidR="00B6728A" w:rsidRPr="00AA1E85" w:rsidRDefault="007811F1" w:rsidP="00AA1E85">
      <w:pPr>
        <w:pStyle w:val="Heading1"/>
        <w:spacing w:before="120" w:after="0" w:line="240" w:lineRule="auto"/>
        <w:rPr>
          <w:rFonts w:cs="Times New Roman"/>
          <w:szCs w:val="24"/>
        </w:rPr>
      </w:pPr>
      <w:bookmarkStart w:id="9" w:name="_Toc386703699"/>
      <w:r w:rsidRPr="00AA1E85">
        <w:rPr>
          <w:rFonts w:cs="Times New Roman"/>
          <w:szCs w:val="24"/>
        </w:rPr>
        <w:t>Efforts t</w:t>
      </w:r>
      <w:r w:rsidR="00A510BA" w:rsidRPr="00AA1E85">
        <w:rPr>
          <w:rFonts w:cs="Times New Roman"/>
          <w:szCs w:val="24"/>
        </w:rPr>
        <w:t>o Identify</w:t>
      </w:r>
      <w:r w:rsidR="00B86838" w:rsidRPr="00AA1E85">
        <w:rPr>
          <w:rFonts w:cs="Times New Roman"/>
          <w:szCs w:val="24"/>
        </w:rPr>
        <w:t xml:space="preserve"> Duplication</w:t>
      </w:r>
      <w:r w:rsidR="00A510BA" w:rsidRPr="00AA1E85">
        <w:rPr>
          <w:rFonts w:cs="Times New Roman"/>
          <w:szCs w:val="24"/>
        </w:rPr>
        <w:t xml:space="preserve"> and Use of Similar Information</w:t>
      </w:r>
      <w:bookmarkEnd w:id="9"/>
    </w:p>
    <w:p w14:paraId="05E28F82" w14:textId="77777777" w:rsidR="00826C46" w:rsidRPr="00AA1E85" w:rsidRDefault="009D5849" w:rsidP="00AA1E85">
      <w:pPr>
        <w:spacing w:before="120" w:line="240" w:lineRule="auto"/>
        <w:ind w:firstLine="720"/>
      </w:pPr>
      <w:r w:rsidRPr="00AA1E85">
        <w:t>The complete content of the questionnaire used in this information collection is not duplicated in any other single data collection system.  However, a few items on this questionnaire have been pulled from other existing data collection systems.</w:t>
      </w:r>
      <w:r w:rsidR="00612EEC" w:rsidRPr="00AA1E85">
        <w:t xml:space="preserve">  Some questions were derived from the Clinic Assessment of Youth Friendly Services: A Tool for Rapid Assessment and Improving Reproductive Health for Youth.  This tool was developed to facilitate the assessment of youth friendly characteristics to improve the quality of services provided in clinics. </w:t>
      </w:r>
      <w:r w:rsidR="00A71DE0" w:rsidRPr="00AA1E85">
        <w:t xml:space="preserve">Additional </w:t>
      </w:r>
      <w:r w:rsidR="004D3C9C">
        <w:t>questionnaire items</w:t>
      </w:r>
      <w:r w:rsidR="00A71DE0" w:rsidRPr="00AA1E85">
        <w:t xml:space="preserve"> were based on the Program to Analyze, Record, and Track Networks to Enhance Relationships (PARTNER) tool which allows organizations to measure collaboration over time.  Questions from this tool were used to develop </w:t>
      </w:r>
      <w:r w:rsidR="004D3C9C">
        <w:t>questionnaire</w:t>
      </w:r>
      <w:r w:rsidR="004D3C9C" w:rsidRPr="00AA1E85">
        <w:t xml:space="preserve"> </w:t>
      </w:r>
      <w:r w:rsidR="00A71DE0" w:rsidRPr="00AA1E85">
        <w:t xml:space="preserve">items focused on school linkages.  </w:t>
      </w:r>
      <w:r w:rsidR="00F53B70" w:rsidRPr="00AA1E85">
        <w:t xml:space="preserve">However, neither of these tools are currently being used with the CBOs and </w:t>
      </w:r>
      <w:r w:rsidR="00336439">
        <w:t>HWCs</w:t>
      </w:r>
      <w:r w:rsidR="00336439" w:rsidRPr="00AA1E85">
        <w:t xml:space="preserve"> </w:t>
      </w:r>
      <w:r w:rsidR="00F53B70" w:rsidRPr="00AA1E85">
        <w:t xml:space="preserve">participating in the proposed data collection.  </w:t>
      </w:r>
      <w:r w:rsidR="00A71DE0" w:rsidRPr="00AA1E85">
        <w:t xml:space="preserve">Because this is such a unique information collection, many of the questions for the assessment had to be developed since they are so specific to this project.  </w:t>
      </w:r>
    </w:p>
    <w:p w14:paraId="5FA828D2" w14:textId="77777777" w:rsidR="001B4662" w:rsidRPr="00AA1E85" w:rsidRDefault="00F744D2" w:rsidP="00AA1E85">
      <w:pPr>
        <w:spacing w:before="120" w:line="240" w:lineRule="auto"/>
        <w:ind w:firstLine="720"/>
      </w:pPr>
      <w:r w:rsidRPr="00AA1E85">
        <w:t xml:space="preserve">The assessment </w:t>
      </w:r>
      <w:r w:rsidRPr="00B748BD">
        <w:t>i</w:t>
      </w:r>
      <w:r w:rsidR="003B425B" w:rsidRPr="00B748BD">
        <w:t>nstruments (</w:t>
      </w:r>
      <w:r w:rsidR="00083539">
        <w:t xml:space="preserve">see </w:t>
      </w:r>
      <w:r w:rsidR="003B425B" w:rsidRPr="00B748BD">
        <w:rPr>
          <w:b/>
        </w:rPr>
        <w:t xml:space="preserve">Attachment </w:t>
      </w:r>
      <w:r w:rsidR="00294872">
        <w:rPr>
          <w:b/>
        </w:rPr>
        <w:t>5</w:t>
      </w:r>
      <w:r w:rsidR="00294872" w:rsidRPr="00B748BD">
        <w:rPr>
          <w:b/>
        </w:rPr>
        <w:t xml:space="preserve"> </w:t>
      </w:r>
      <w:r w:rsidR="00026321" w:rsidRPr="00B748BD">
        <w:t xml:space="preserve">and </w:t>
      </w:r>
      <w:r w:rsidR="00026321" w:rsidRPr="00B748BD">
        <w:rPr>
          <w:b/>
        </w:rPr>
        <w:t xml:space="preserve">Attachment </w:t>
      </w:r>
      <w:r w:rsidR="00294872">
        <w:rPr>
          <w:b/>
        </w:rPr>
        <w:t>6</w:t>
      </w:r>
      <w:r w:rsidRPr="00B748BD">
        <w:t>) were developed for this study through an iterative process of reviewing existing measures</w:t>
      </w:r>
      <w:r w:rsidRPr="00AA1E85">
        <w:t xml:space="preserve"> related to coalitions</w:t>
      </w:r>
      <w:r w:rsidR="001944DF" w:rsidRPr="00AA1E85">
        <w:t>, clinical service qualities, and</w:t>
      </w:r>
      <w:r w:rsidRPr="00AA1E85">
        <w:t xml:space="preserve"> social network analysis tools </w:t>
      </w:r>
      <w:r w:rsidR="003B425B" w:rsidRPr="00AA1E85">
        <w:t>that the contractor</w:t>
      </w:r>
      <w:r w:rsidRPr="00AA1E85">
        <w:t xml:space="preserve"> developed for this </w:t>
      </w:r>
      <w:r w:rsidR="00336439">
        <w:t>data collection</w:t>
      </w:r>
      <w:r w:rsidR="00336439" w:rsidRPr="00AA1E85">
        <w:t xml:space="preserve"> </w:t>
      </w:r>
      <w:r w:rsidRPr="00AA1E85">
        <w:t>in collaboration with CDC. Whenever possible, items were selected from valid and reliable survey instruments. The questionnaire contains questions about the services offered by the organization</w:t>
      </w:r>
      <w:r w:rsidR="00336439">
        <w:t xml:space="preserve"> </w:t>
      </w:r>
      <w:r w:rsidRPr="00AA1E85">
        <w:t>and the organization’s relationships with the school district and participating schools.</w:t>
      </w:r>
      <w:r w:rsidR="003B425B" w:rsidRPr="00AA1E85">
        <w:t xml:space="preserve">  There is no other source of information that can provide the relevant data specifically </w:t>
      </w:r>
      <w:r w:rsidR="00336439">
        <w:t>about</w:t>
      </w:r>
      <w:r w:rsidR="00336439" w:rsidRPr="00AA1E85">
        <w:t xml:space="preserve"> </w:t>
      </w:r>
      <w:r w:rsidR="003B425B" w:rsidRPr="00AA1E85">
        <w:t>the participating LEAs.</w:t>
      </w:r>
    </w:p>
    <w:p w14:paraId="5132DBC7" w14:textId="77777777" w:rsidR="00826C46" w:rsidRDefault="001B4662" w:rsidP="00AA1E85">
      <w:pPr>
        <w:spacing w:before="120" w:line="240" w:lineRule="auto"/>
        <w:ind w:firstLine="720"/>
      </w:pPr>
      <w:r w:rsidRPr="00AA1E85">
        <w:t>The purpose of</w:t>
      </w:r>
      <w:r w:rsidR="00BC6542">
        <w:t xml:space="preserve"> </w:t>
      </w:r>
      <w:r w:rsidRPr="00AA1E85">
        <w:t xml:space="preserve">this </w:t>
      </w:r>
      <w:r w:rsidR="003B425B" w:rsidRPr="00AA1E85">
        <w:t>information</w:t>
      </w:r>
      <w:r w:rsidRPr="00AA1E85">
        <w:t xml:space="preserve"> collection is to measure the </w:t>
      </w:r>
      <w:r w:rsidR="001944DF" w:rsidRPr="00AA1E85">
        <w:t xml:space="preserve">strength and quality of </w:t>
      </w:r>
      <w:r w:rsidRPr="00AA1E85">
        <w:lastRenderedPageBreak/>
        <w:t>linkages between schools and CBOs</w:t>
      </w:r>
      <w:r w:rsidR="00336439">
        <w:t>/HWCs</w:t>
      </w:r>
      <w:r w:rsidRPr="00AA1E85">
        <w:t xml:space="preserve"> in the three LEAs</w:t>
      </w:r>
      <w:r w:rsidR="00F801B2" w:rsidRPr="00AA1E85">
        <w:t>; and the improvements among the partners as they serve YMSM</w:t>
      </w:r>
      <w:r w:rsidRPr="00AA1E85">
        <w:t xml:space="preserve">. </w:t>
      </w:r>
      <w:r w:rsidR="00A60D53" w:rsidRPr="00AA1E85">
        <w:t xml:space="preserve">It intends </w:t>
      </w:r>
      <w:r w:rsidRPr="00AA1E85">
        <w:t>to track changes over time through Strategy 4 program efforts. Due to the specificity of this project, que</w:t>
      </w:r>
      <w:r w:rsidR="00A60D53" w:rsidRPr="00AA1E85">
        <w:t xml:space="preserve">stions needed to be tailored for this particular </w:t>
      </w:r>
      <w:r w:rsidR="00336439">
        <w:t>data collection</w:t>
      </w:r>
      <w:r w:rsidR="00A60D53" w:rsidRPr="00AA1E85">
        <w:t xml:space="preserve">. </w:t>
      </w:r>
      <w:r w:rsidRPr="00AA1E85">
        <w:t xml:space="preserve"> </w:t>
      </w:r>
      <w:r w:rsidR="00083539">
        <w:t>A list of organizations and individuals providing consultation on the information collection is provided</w:t>
      </w:r>
      <w:r w:rsidR="00836426">
        <w:t xml:space="preserve"> in </w:t>
      </w:r>
      <w:r w:rsidR="00083539" w:rsidRPr="003B5A9A">
        <w:rPr>
          <w:b/>
        </w:rPr>
        <w:t>Attachment 10</w:t>
      </w:r>
      <w:r w:rsidR="00083539">
        <w:t>.</w:t>
      </w:r>
    </w:p>
    <w:p w14:paraId="272632D1" w14:textId="77777777" w:rsidR="00BC6542" w:rsidRPr="00AA1E85" w:rsidRDefault="00BC6542" w:rsidP="00AA1E85">
      <w:pPr>
        <w:spacing w:before="120" w:line="240" w:lineRule="auto"/>
        <w:ind w:firstLine="720"/>
      </w:pPr>
    </w:p>
    <w:p w14:paraId="7F784760" w14:textId="77777777" w:rsidR="00B6728A" w:rsidRPr="00AA1E85" w:rsidRDefault="00A510BA" w:rsidP="00AA1E85">
      <w:pPr>
        <w:pStyle w:val="Heading1"/>
        <w:spacing w:before="120" w:after="0" w:line="240" w:lineRule="auto"/>
        <w:rPr>
          <w:rFonts w:cs="Times New Roman"/>
          <w:szCs w:val="24"/>
        </w:rPr>
      </w:pPr>
      <w:bookmarkStart w:id="10" w:name="_Toc386703700"/>
      <w:r w:rsidRPr="00AA1E85">
        <w:rPr>
          <w:rFonts w:cs="Times New Roman"/>
          <w:szCs w:val="24"/>
        </w:rPr>
        <w:t>Impact of Small Businesses or Other Small Entities</w:t>
      </w:r>
      <w:bookmarkEnd w:id="10"/>
    </w:p>
    <w:p w14:paraId="44572AB5" w14:textId="1A7BB9F8" w:rsidR="00731459" w:rsidRDefault="000E5225" w:rsidP="00AA1E85">
      <w:pPr>
        <w:spacing w:before="120" w:line="240" w:lineRule="auto"/>
        <w:ind w:firstLine="720"/>
      </w:pPr>
      <w:bookmarkStart w:id="11" w:name="_Toc227033746"/>
      <w:bookmarkStart w:id="12" w:name="_Toc322357314"/>
      <w:r>
        <w:t>Because the LEAs will select the CBOs/HWCs that should be included in this data collection (and that has not been finalized at this time), it is not possible to provide an exact percentage of CBOs/HWCs that are small entities.  Based on our knowledge of the LEAs, we estimate that approximately half of the CBOs and HWCs will be small entities</w:t>
      </w:r>
      <w:r w:rsidR="00FA49C9">
        <w:t>, largely non-profit organizations</w:t>
      </w:r>
      <w:r>
        <w:t>.  Most community-based organizations would fall into this category, and most health and wellness centers (specifically the school-based health centers that we are classifying as HWCs) are part of larger hospital or medical organizations.  For the 50% of CBOs/HWCs that we anticipate may be small entities, we do not expect th</w:t>
      </w:r>
      <w:r w:rsidR="00445FC5">
        <w:t xml:space="preserve">is information collection </w:t>
      </w:r>
      <w:r>
        <w:t>to</w:t>
      </w:r>
      <w:r w:rsidR="00445FC5">
        <w:t xml:space="preserve"> have a significant impact.  </w:t>
      </w:r>
      <w:r w:rsidR="00011CA0">
        <w:t>The extent of the data collection is that s</w:t>
      </w:r>
      <w:r w:rsidR="00A60D53" w:rsidRPr="00AA1E85">
        <w:t xml:space="preserve">taff members affiliated with CBOs and </w:t>
      </w:r>
      <w:r w:rsidR="00336439">
        <w:t>HWCs</w:t>
      </w:r>
      <w:r w:rsidR="00336439" w:rsidRPr="00AA1E85">
        <w:t xml:space="preserve"> </w:t>
      </w:r>
      <w:r w:rsidR="00A60D53" w:rsidRPr="00AA1E85">
        <w:t xml:space="preserve">will be asked to complete the </w:t>
      </w:r>
      <w:r w:rsidR="00065EC2">
        <w:t>W</w:t>
      </w:r>
      <w:r w:rsidR="00A60D53" w:rsidRPr="00AA1E85">
        <w:t xml:space="preserve">eb-based </w:t>
      </w:r>
      <w:r w:rsidR="00065EC2">
        <w:t>questionnaire</w:t>
      </w:r>
      <w:r w:rsidR="00A60D53" w:rsidRPr="00AA1E85">
        <w:t xml:space="preserve">. </w:t>
      </w:r>
      <w:r w:rsidR="00445FC5">
        <w:t>The questions have been held to the absolute minimum required for the intended use of the data</w:t>
      </w:r>
      <w:r w:rsidR="00011CA0">
        <w:t>, and will take minimal time from participants</w:t>
      </w:r>
      <w:r w:rsidR="00445FC5">
        <w:t>.</w:t>
      </w:r>
      <w:r w:rsidR="00011CA0">
        <w:t xml:space="preserve"> There is no financial burden associated with the data collection for the participating CBOs or HWCs</w:t>
      </w:r>
      <w:r w:rsidR="00FA49C9">
        <w:t xml:space="preserve"> other than the time it takes to complete the questionnaire.</w:t>
      </w:r>
    </w:p>
    <w:p w14:paraId="5F0E2CE8" w14:textId="77777777" w:rsidR="00BC6542" w:rsidRPr="00AA1E85" w:rsidRDefault="00BC6542" w:rsidP="00AA1E85">
      <w:pPr>
        <w:spacing w:before="120" w:line="240" w:lineRule="auto"/>
        <w:ind w:firstLine="720"/>
      </w:pPr>
    </w:p>
    <w:p w14:paraId="3DDDA13D" w14:textId="77777777" w:rsidR="00B6728A" w:rsidRPr="00AA1E85" w:rsidRDefault="00A510BA" w:rsidP="00AA1E85">
      <w:pPr>
        <w:pStyle w:val="Heading1"/>
        <w:spacing w:before="120" w:after="0" w:line="240" w:lineRule="auto"/>
        <w:rPr>
          <w:rFonts w:cs="Times New Roman"/>
          <w:szCs w:val="24"/>
        </w:rPr>
      </w:pPr>
      <w:bookmarkStart w:id="13" w:name="_Toc386703701"/>
      <w:bookmarkEnd w:id="11"/>
      <w:bookmarkEnd w:id="12"/>
      <w:r w:rsidRPr="00AA1E85">
        <w:rPr>
          <w:rFonts w:cs="Times New Roman"/>
          <w:szCs w:val="24"/>
        </w:rPr>
        <w:t>Consequences of Collecting the Information Less Frequently</w:t>
      </w:r>
      <w:bookmarkEnd w:id="13"/>
    </w:p>
    <w:p w14:paraId="7A7F7CA5" w14:textId="77777777" w:rsidR="000D67A3" w:rsidRPr="00AA1E85" w:rsidRDefault="000D67A3" w:rsidP="00AA1E85">
      <w:pPr>
        <w:spacing w:before="120" w:line="240" w:lineRule="auto"/>
        <w:ind w:firstLine="720"/>
      </w:pPr>
      <w:r w:rsidRPr="00AA1E85">
        <w:t>This information collection is scheduled to occur in 201</w:t>
      </w:r>
      <w:r w:rsidR="004D4098" w:rsidRPr="00AA1E85">
        <w:t>5</w:t>
      </w:r>
      <w:r w:rsidRPr="00AA1E85">
        <w:t xml:space="preserve">, 2016, and 2018.  These time points align with the initiation of program activities (for baseline data collection in </w:t>
      </w:r>
      <w:r w:rsidR="00336439">
        <w:t>early</w:t>
      </w:r>
      <w:r w:rsidR="00336439" w:rsidRPr="00AA1E85">
        <w:t xml:space="preserve"> </w:t>
      </w:r>
      <w:r w:rsidR="004D4098" w:rsidRPr="00AA1E85">
        <w:t>2015</w:t>
      </w:r>
      <w:r w:rsidRPr="00AA1E85">
        <w:t>) and then the mid-way point (</w:t>
      </w:r>
      <w:r w:rsidR="00336439">
        <w:t xml:space="preserve">late </w:t>
      </w:r>
      <w:r w:rsidRPr="00AA1E85">
        <w:t>2016) and end point (</w:t>
      </w:r>
      <w:r w:rsidR="00336439">
        <w:t xml:space="preserve">early </w:t>
      </w:r>
      <w:r w:rsidRPr="00AA1E85">
        <w:t xml:space="preserve">2018) of program activities funded under PS13-1308.  </w:t>
      </w:r>
      <w:r w:rsidR="004D4098" w:rsidRPr="00AA1E85">
        <w:t>All</w:t>
      </w:r>
      <w:r w:rsidR="00A71DE0" w:rsidRPr="00AA1E85">
        <w:t xml:space="preserve"> </w:t>
      </w:r>
      <w:r w:rsidRPr="00AA1E85">
        <w:t>data collections (</w:t>
      </w:r>
      <w:r w:rsidR="00026321" w:rsidRPr="00AA1E85">
        <w:t xml:space="preserve">2015, </w:t>
      </w:r>
      <w:r w:rsidRPr="00AA1E85">
        <w:t>2016</w:t>
      </w:r>
      <w:r w:rsidR="00026321" w:rsidRPr="00AA1E85">
        <w:t>,</w:t>
      </w:r>
      <w:r w:rsidRPr="00AA1E85">
        <w:t xml:space="preserve"> and 2018) will be covered by this </w:t>
      </w:r>
      <w:r w:rsidR="003B425B" w:rsidRPr="00AA1E85">
        <w:t>Information Collection Request</w:t>
      </w:r>
      <w:r w:rsidRPr="00AA1E85">
        <w:t xml:space="preserve">.  </w:t>
      </w:r>
    </w:p>
    <w:p w14:paraId="07DDBDD5" w14:textId="77777777" w:rsidR="000D67A3" w:rsidRDefault="000D67A3" w:rsidP="00AA1E85">
      <w:pPr>
        <w:spacing w:before="120" w:line="240" w:lineRule="auto"/>
        <w:ind w:firstLine="720"/>
      </w:pPr>
      <w:r w:rsidRPr="00AA1E85">
        <w:t xml:space="preserve">There would be a number of consequences to collecting the data less frequently.  First of all, this was designed to use the fewest data collections to achieve project goals.  The first data collection is essential to provide a clean baseline for the </w:t>
      </w:r>
      <w:r w:rsidR="007675A8" w:rsidRPr="00AA1E85">
        <w:t>assessment</w:t>
      </w:r>
      <w:r w:rsidRPr="00AA1E85">
        <w:t xml:space="preserve"> and present an accurate picture of </w:t>
      </w:r>
      <w:r w:rsidR="004A3886" w:rsidRPr="00AA1E85">
        <w:t>linkages and relationships between schools and CBOs/</w:t>
      </w:r>
      <w:r w:rsidR="004D3C9C">
        <w:t>HWC</w:t>
      </w:r>
      <w:r w:rsidR="004D3C9C" w:rsidRPr="00AA1E85">
        <w:t>s</w:t>
      </w:r>
      <w:r w:rsidR="004A3886" w:rsidRPr="00AA1E85">
        <w:t>,</w:t>
      </w:r>
      <w:r w:rsidRPr="00AA1E85">
        <w:t xml:space="preserve"> prior to initiation of program activities and strategies.  Without this first data collection, it would be impossible to determine if the program had any impact.  Furthermore, this initial baseline data collection provides critical information that LEA staff can use to determine the most appropriate focus of their activities.  It will allow them to determine areas of greatest need that can be incorporated into program planning.  The second </w:t>
      </w:r>
      <w:r w:rsidR="00A93EC4">
        <w:t xml:space="preserve">(mid-point) </w:t>
      </w:r>
      <w:r w:rsidRPr="00AA1E85">
        <w:t xml:space="preserve">data collection (in 2016) is really essential for good public health practice.  One of the key purposes of </w:t>
      </w:r>
      <w:r w:rsidR="007675A8" w:rsidRPr="00AA1E85">
        <w:t>the assessment</w:t>
      </w:r>
      <w:r w:rsidRPr="00AA1E85">
        <w:t xml:space="preserve"> is not simply to know if activities worked but to be able to make mid-course corrections to improve the likelihood that future activities can have even greater impact.  The mid-program data collection will allow the LEA</w:t>
      </w:r>
      <w:r w:rsidR="00026321" w:rsidRPr="00AA1E85">
        <w:t>s</w:t>
      </w:r>
      <w:r w:rsidRPr="00AA1E85">
        <w:t xml:space="preserve"> to assess </w:t>
      </w:r>
      <w:r w:rsidR="00A93EC4">
        <w:t xml:space="preserve">their relationships with CBO and HWC partners </w:t>
      </w:r>
      <w:r w:rsidRPr="00AA1E85">
        <w:t>midway through the program and to make improvements based on strengths or weaknesses revealed by the 2016 data.</w:t>
      </w:r>
      <w:r w:rsidR="00A93EC4">
        <w:t xml:space="preserve"> In addition, the mid-point data is most likely to reflect the impact of the program development process (because most development will happen prior to this data collection) on the relationships </w:t>
      </w:r>
      <w:r w:rsidR="00A93EC4">
        <w:lastRenderedPageBreak/>
        <w:t>with partners.</w:t>
      </w:r>
      <w:r w:rsidRPr="00AA1E85">
        <w:t xml:space="preserve">  Finally, the 2018 data collection is essential for determining the full impact of the </w:t>
      </w:r>
      <w:r w:rsidR="00A30183" w:rsidRPr="00AA1E85">
        <w:t>funded</w:t>
      </w:r>
      <w:r w:rsidR="004D4098" w:rsidRPr="00AA1E85">
        <w:t xml:space="preserve"> program</w:t>
      </w:r>
      <w:r w:rsidR="00A93EC4">
        <w:t xml:space="preserve"> on partner relationships and service offerings</w:t>
      </w:r>
      <w:r w:rsidR="00A30183" w:rsidRPr="00AA1E85">
        <w:t xml:space="preserve">.  </w:t>
      </w:r>
      <w:r w:rsidR="00A93EC4">
        <w:t xml:space="preserve">By the time of this data collection, partners should have been working together for several years to implement activities directly for youth.  The outcome of their collaboration to provide services will be most visible in this third data collection.  </w:t>
      </w:r>
      <w:r w:rsidR="00A30183" w:rsidRPr="00AA1E85">
        <w:t>Without these three data collection points, the LEA</w:t>
      </w:r>
      <w:r w:rsidR="00026321" w:rsidRPr="00AA1E85">
        <w:t>s</w:t>
      </w:r>
      <w:r w:rsidR="00A30183" w:rsidRPr="00AA1E85">
        <w:t xml:space="preserve"> and CDC would not be able to achieve both goals of improving program activi</w:t>
      </w:r>
      <w:r w:rsidR="00F801B2" w:rsidRPr="00AA1E85">
        <w:t xml:space="preserve">ties </w:t>
      </w:r>
      <w:r w:rsidR="00A93EC4">
        <w:t xml:space="preserve">(including the development and strengthening of partnerships) </w:t>
      </w:r>
      <w:r w:rsidR="00F801B2" w:rsidRPr="00AA1E85">
        <w:t xml:space="preserve">and assessing their impact </w:t>
      </w:r>
      <w:r w:rsidR="00A93EC4">
        <w:t xml:space="preserve">on services available to </w:t>
      </w:r>
      <w:r w:rsidR="00E52BA9" w:rsidRPr="00AA1E85">
        <w:t>YMSM</w:t>
      </w:r>
      <w:r w:rsidR="00A30183" w:rsidRPr="00AA1E85">
        <w:t xml:space="preserve"> who are at disproportionately higher risk for HIV and STDs.</w:t>
      </w:r>
    </w:p>
    <w:p w14:paraId="60C83977" w14:textId="77777777" w:rsidR="00A93EC4" w:rsidRPr="00AA1E85" w:rsidRDefault="00A93EC4" w:rsidP="00AA1E85">
      <w:pPr>
        <w:spacing w:before="120" w:line="240" w:lineRule="auto"/>
        <w:ind w:firstLine="720"/>
      </w:pPr>
    </w:p>
    <w:p w14:paraId="7C51870F" w14:textId="77777777" w:rsidR="00B6728A" w:rsidRPr="00AA1E85" w:rsidRDefault="00B6728A" w:rsidP="00AA1E85">
      <w:pPr>
        <w:pStyle w:val="Heading1"/>
        <w:spacing w:before="120" w:after="0" w:line="240" w:lineRule="auto"/>
        <w:rPr>
          <w:rFonts w:cs="Times New Roman"/>
          <w:szCs w:val="24"/>
        </w:rPr>
      </w:pPr>
      <w:bookmarkStart w:id="14" w:name="_Toc227033747"/>
      <w:bookmarkStart w:id="15" w:name="_Toc322357315"/>
      <w:bookmarkStart w:id="16" w:name="_Toc386703702"/>
      <w:r w:rsidRPr="00AA1E85">
        <w:rPr>
          <w:rFonts w:cs="Times New Roman"/>
          <w:szCs w:val="24"/>
        </w:rPr>
        <w:t>Special Circumstance</w:t>
      </w:r>
      <w:bookmarkEnd w:id="14"/>
      <w:bookmarkEnd w:id="15"/>
      <w:r w:rsidR="007811F1" w:rsidRPr="00AA1E85">
        <w:rPr>
          <w:rFonts w:cs="Times New Roman"/>
          <w:szCs w:val="24"/>
        </w:rPr>
        <w:t>s Relating to the G</w:t>
      </w:r>
      <w:r w:rsidR="00470C36" w:rsidRPr="00AA1E85">
        <w:rPr>
          <w:rFonts w:cs="Times New Roman"/>
          <w:szCs w:val="24"/>
        </w:rPr>
        <w:t>uidelines of 5 CFR</w:t>
      </w:r>
      <w:r w:rsidR="002C4654" w:rsidRPr="00AA1E85">
        <w:rPr>
          <w:rFonts w:cs="Times New Roman"/>
          <w:szCs w:val="24"/>
        </w:rPr>
        <w:t xml:space="preserve"> 1320.5</w:t>
      </w:r>
      <w:bookmarkEnd w:id="16"/>
    </w:p>
    <w:p w14:paraId="5EB73BD0" w14:textId="77777777" w:rsidR="00026321" w:rsidRDefault="002739B4" w:rsidP="00AA1E85">
      <w:pPr>
        <w:pStyle w:val="Body"/>
        <w:spacing w:before="120" w:line="240" w:lineRule="auto"/>
      </w:pPr>
      <w:r w:rsidRPr="00BC6542">
        <w:t>There are no special circumstances with this information collection package. This request fully complies with the regulation 5 CFR 1320.5 and will be voluntary.</w:t>
      </w:r>
      <w:bookmarkStart w:id="17" w:name="_Toc386703703"/>
      <w:r w:rsidR="000C533F" w:rsidRPr="00BC6542">
        <w:t xml:space="preserve"> </w:t>
      </w:r>
    </w:p>
    <w:p w14:paraId="367E9406" w14:textId="77777777" w:rsidR="00BC6542" w:rsidRPr="00BC6542" w:rsidRDefault="00BC6542" w:rsidP="00445FC5">
      <w:pPr>
        <w:pStyle w:val="Body"/>
        <w:spacing w:before="120" w:line="240" w:lineRule="auto"/>
      </w:pPr>
    </w:p>
    <w:p w14:paraId="31016E84" w14:textId="77777777" w:rsidR="00B6728A" w:rsidRPr="00445FC5" w:rsidRDefault="00A510BA" w:rsidP="00445FC5">
      <w:pPr>
        <w:pStyle w:val="Heading1"/>
        <w:spacing w:before="120" w:after="0" w:line="240" w:lineRule="auto"/>
        <w:rPr>
          <w:rFonts w:cs="Times New Roman"/>
          <w:szCs w:val="24"/>
        </w:rPr>
      </w:pPr>
      <w:r w:rsidRPr="00445FC5">
        <w:rPr>
          <w:rFonts w:cs="Times New Roman"/>
          <w:szCs w:val="24"/>
        </w:rPr>
        <w:t>Comments in Response to the Federal Register Notice and Efforts to Consult Outside the Agency</w:t>
      </w:r>
      <w:bookmarkEnd w:id="17"/>
    </w:p>
    <w:p w14:paraId="1EF98A9B" w14:textId="77777777" w:rsidR="00470C36" w:rsidRPr="00445FC5" w:rsidRDefault="00470C36" w:rsidP="00445FC5">
      <w:pPr>
        <w:spacing w:before="120" w:line="240" w:lineRule="auto"/>
      </w:pPr>
      <w:r w:rsidRPr="00445FC5">
        <w:rPr>
          <w:b/>
        </w:rPr>
        <w:t>A.</w:t>
      </w:r>
      <w:r w:rsidRPr="00445FC5">
        <w:tab/>
        <w:t xml:space="preserve">As required by 5 CFR 1320.8(d), a 60-day Notice was published in the </w:t>
      </w:r>
      <w:r w:rsidRPr="00445FC5">
        <w:rPr>
          <w:i/>
        </w:rPr>
        <w:t>Federal Register</w:t>
      </w:r>
      <w:r w:rsidRPr="00445FC5">
        <w:t xml:space="preserve"> on </w:t>
      </w:r>
      <w:r w:rsidR="00083539">
        <w:t>January 22, 2015</w:t>
      </w:r>
      <w:r w:rsidRPr="00445FC5">
        <w:t xml:space="preserve">, </w:t>
      </w:r>
      <w:r w:rsidR="00083539">
        <w:t>volume 80, number 14, pages 3238-3239</w:t>
      </w:r>
      <w:r w:rsidRPr="00445FC5">
        <w:t xml:space="preserve">  (see </w:t>
      </w:r>
      <w:r w:rsidRPr="00445FC5">
        <w:rPr>
          <w:b/>
        </w:rPr>
        <w:t xml:space="preserve">Attachment </w:t>
      </w:r>
      <w:r w:rsidR="004823F3">
        <w:rPr>
          <w:b/>
        </w:rPr>
        <w:t>2</w:t>
      </w:r>
      <w:r w:rsidRPr="00445FC5">
        <w:t xml:space="preserve">).  </w:t>
      </w:r>
      <w:r w:rsidR="00083539">
        <w:t xml:space="preserve">One substantive public comment  requesting a copy of the information plan and instruments was received and a CDC’s response was sent (see </w:t>
      </w:r>
      <w:r w:rsidR="00083539" w:rsidRPr="00991233">
        <w:rPr>
          <w:b/>
        </w:rPr>
        <w:t xml:space="preserve">Attachment </w:t>
      </w:r>
      <w:r w:rsidR="00083539">
        <w:rPr>
          <w:b/>
        </w:rPr>
        <w:t>11</w:t>
      </w:r>
      <w:r w:rsidR="00083539">
        <w:t>).</w:t>
      </w:r>
      <w:r w:rsidR="00083539" w:rsidRPr="00445FC5">
        <w:t xml:space="preserve"> </w:t>
      </w:r>
      <w:r w:rsidRPr="00445FC5">
        <w:t>[Explanation of comments].</w:t>
      </w:r>
    </w:p>
    <w:p w14:paraId="66472F2D" w14:textId="77777777" w:rsidR="00470C36" w:rsidRPr="00445FC5" w:rsidRDefault="00470C36" w:rsidP="00445FC5">
      <w:pPr>
        <w:spacing w:before="120" w:line="240" w:lineRule="auto"/>
      </w:pPr>
    </w:p>
    <w:p w14:paraId="53E9CD81" w14:textId="77777777" w:rsidR="00EB0E70" w:rsidRPr="00445FC5" w:rsidRDefault="00470C36" w:rsidP="00445FC5">
      <w:pPr>
        <w:spacing w:before="120" w:line="240" w:lineRule="auto"/>
      </w:pPr>
      <w:r w:rsidRPr="00445FC5">
        <w:rPr>
          <w:b/>
        </w:rPr>
        <w:t>B</w:t>
      </w:r>
      <w:r w:rsidRPr="00445FC5">
        <w:t>.</w:t>
      </w:r>
      <w:r w:rsidRPr="00445FC5">
        <w:tab/>
      </w:r>
      <w:r w:rsidR="006C237A" w:rsidRPr="00445FC5">
        <w:t xml:space="preserve"> </w:t>
      </w:r>
      <w:r w:rsidR="00EB0E70" w:rsidRPr="00445FC5">
        <w:t xml:space="preserve">CDC contractors provided extensive input into the clarity of instructions and reporting format and the data elements that will be reported.  </w:t>
      </w:r>
      <w:r w:rsidR="00A93EC4">
        <w:t xml:space="preserve">A few CBO and HWC representatives (who will not be included in the proposed data collection) also provided feedback on the questionnaires through a piloting process.  </w:t>
      </w:r>
      <w:r w:rsidR="00967CA3" w:rsidRPr="00445FC5">
        <w:t xml:space="preserve">A list of consultants can be found in </w:t>
      </w:r>
      <w:r w:rsidR="00967CA3" w:rsidRPr="00445FC5">
        <w:rPr>
          <w:b/>
        </w:rPr>
        <w:t xml:space="preserve">Attachment </w:t>
      </w:r>
      <w:r w:rsidR="004823F3">
        <w:rPr>
          <w:b/>
        </w:rPr>
        <w:t>7</w:t>
      </w:r>
      <w:r w:rsidR="00967CA3" w:rsidRPr="00445FC5">
        <w:t>.</w:t>
      </w:r>
    </w:p>
    <w:p w14:paraId="4B7DA6E1" w14:textId="77777777" w:rsidR="00181FAC" w:rsidRPr="00445FC5" w:rsidRDefault="00181FAC" w:rsidP="00445FC5">
      <w:pPr>
        <w:spacing w:before="120" w:line="240" w:lineRule="auto"/>
      </w:pPr>
    </w:p>
    <w:p w14:paraId="2E77D77D" w14:textId="77777777" w:rsidR="00B6728A" w:rsidRPr="00445FC5" w:rsidRDefault="00A510BA" w:rsidP="00445FC5">
      <w:pPr>
        <w:pStyle w:val="Heading1"/>
        <w:spacing w:before="120" w:after="0" w:line="240" w:lineRule="auto"/>
        <w:rPr>
          <w:rFonts w:cs="Times New Roman"/>
          <w:szCs w:val="24"/>
        </w:rPr>
      </w:pPr>
      <w:bookmarkStart w:id="18" w:name="_Toc386703704"/>
      <w:r w:rsidRPr="00445FC5">
        <w:rPr>
          <w:rFonts w:cs="Times New Roman"/>
          <w:szCs w:val="24"/>
        </w:rPr>
        <w:t>Explanation of Any Payment or Gift to Respondents</w:t>
      </w:r>
      <w:bookmarkEnd w:id="18"/>
    </w:p>
    <w:p w14:paraId="46929068" w14:textId="77777777" w:rsidR="00BC6542" w:rsidRDefault="00294872" w:rsidP="00445FC5">
      <w:pPr>
        <w:spacing w:before="120" w:line="240" w:lineRule="auto"/>
        <w:ind w:firstLine="720"/>
      </w:pPr>
      <w:r>
        <w:t>No payment or gift will be given to the respondents.</w:t>
      </w:r>
    </w:p>
    <w:p w14:paraId="7FBAAFE2" w14:textId="77777777" w:rsidR="00955BE6" w:rsidRPr="00445FC5" w:rsidRDefault="00955BE6" w:rsidP="00445FC5">
      <w:pPr>
        <w:spacing w:before="120" w:line="240" w:lineRule="auto"/>
        <w:ind w:firstLine="720"/>
      </w:pPr>
      <w:r w:rsidRPr="00445FC5">
        <w:t xml:space="preserve"> </w:t>
      </w:r>
    </w:p>
    <w:p w14:paraId="37FA6398" w14:textId="77777777" w:rsidR="00B6728A" w:rsidRPr="00445FC5" w:rsidRDefault="00A510BA" w:rsidP="00445FC5">
      <w:pPr>
        <w:pStyle w:val="Heading1"/>
        <w:spacing w:before="120" w:after="0" w:line="240" w:lineRule="auto"/>
        <w:rPr>
          <w:rFonts w:cs="Times New Roman"/>
          <w:szCs w:val="24"/>
        </w:rPr>
      </w:pPr>
      <w:bookmarkStart w:id="19" w:name="_Toc386703705"/>
      <w:r w:rsidRPr="00445FC5">
        <w:rPr>
          <w:rFonts w:cs="Times New Roman"/>
          <w:szCs w:val="24"/>
        </w:rPr>
        <w:t>Assurance of Confidentiality Provided to Respondents</w:t>
      </w:r>
      <w:bookmarkEnd w:id="19"/>
    </w:p>
    <w:p w14:paraId="17254B4A" w14:textId="1CDD8BCD" w:rsidR="00AA2874" w:rsidRPr="00AA2874" w:rsidRDefault="00AA2874" w:rsidP="00AA2874">
      <w:pPr>
        <w:spacing w:before="120" w:line="240" w:lineRule="auto"/>
        <w:ind w:firstLine="720"/>
      </w:pPr>
      <w:bookmarkStart w:id="20" w:name="_Toc227033751"/>
      <w:bookmarkStart w:id="21" w:name="_Toc322357319"/>
      <w:r w:rsidRPr="00AA2874">
        <w:t xml:space="preserve">CDC staff have reviewed this information collection requests and determined that the Privacy Act does not apply.  </w:t>
      </w:r>
      <w:r w:rsidRPr="00AA2874">
        <w:rPr>
          <w:color w:val="000000" w:themeColor="text1"/>
        </w:rPr>
        <w:t xml:space="preserve">The privacy act does not apply as no sensitive or personally identifiable information </w:t>
      </w:r>
      <w:r>
        <w:rPr>
          <w:color w:val="000000" w:themeColor="text1"/>
        </w:rPr>
        <w:t xml:space="preserve">(PII) </w:t>
      </w:r>
      <w:r w:rsidRPr="00AA2874">
        <w:rPr>
          <w:color w:val="000000" w:themeColor="text1"/>
        </w:rPr>
        <w:t xml:space="preserve">will be collected through this data collection. Any </w:t>
      </w:r>
      <w:r>
        <w:rPr>
          <w:color w:val="000000" w:themeColor="text1"/>
        </w:rPr>
        <w:t xml:space="preserve">business </w:t>
      </w:r>
      <w:r w:rsidRPr="00AA2874">
        <w:rPr>
          <w:color w:val="000000" w:themeColor="text1"/>
        </w:rPr>
        <w:t xml:space="preserve">PII that is provided by the local education agency for the purposes of participant recruitment will remain completely separate from the information gathered through the Web-based instrument and the in-person interviews, and will </w:t>
      </w:r>
      <w:r>
        <w:rPr>
          <w:color w:val="000000" w:themeColor="text1"/>
        </w:rPr>
        <w:t xml:space="preserve">be </w:t>
      </w:r>
      <w:r w:rsidRPr="00AA2874">
        <w:rPr>
          <w:color w:val="000000" w:themeColor="text1"/>
        </w:rPr>
        <w:t xml:space="preserve">kept </w:t>
      </w:r>
      <w:r>
        <w:rPr>
          <w:color w:val="000000" w:themeColor="text1"/>
        </w:rPr>
        <w:t>securely</w:t>
      </w:r>
      <w:r w:rsidRPr="00AA2874">
        <w:rPr>
          <w:color w:val="000000" w:themeColor="text1"/>
        </w:rPr>
        <w:t xml:space="preserve"> by the project team.</w:t>
      </w:r>
    </w:p>
    <w:p w14:paraId="69FA671F" w14:textId="77777777" w:rsidR="00074538" w:rsidRPr="00445FC5" w:rsidRDefault="00074538" w:rsidP="00AA2874">
      <w:pPr>
        <w:spacing w:before="120" w:line="240" w:lineRule="auto"/>
        <w:ind w:firstLine="720"/>
        <w:rPr>
          <w:b/>
        </w:rPr>
      </w:pPr>
    </w:p>
    <w:p w14:paraId="46530D04" w14:textId="77777777" w:rsidR="00933B9C" w:rsidRPr="00B748BD" w:rsidRDefault="00933B9C" w:rsidP="00445FC5">
      <w:pPr>
        <w:spacing w:before="120" w:line="240" w:lineRule="auto"/>
        <w:rPr>
          <w:u w:val="single"/>
        </w:rPr>
      </w:pPr>
      <w:r w:rsidRPr="00B748BD">
        <w:rPr>
          <w:u w:val="single"/>
        </w:rPr>
        <w:t xml:space="preserve">IRB </w:t>
      </w:r>
      <w:r w:rsidR="00213224" w:rsidRPr="00B748BD">
        <w:rPr>
          <w:u w:val="single"/>
        </w:rPr>
        <w:t>A</w:t>
      </w:r>
      <w:r w:rsidRPr="00B748BD">
        <w:rPr>
          <w:u w:val="single"/>
        </w:rPr>
        <w:t>pproval</w:t>
      </w:r>
    </w:p>
    <w:p w14:paraId="7B273CD9" w14:textId="77777777" w:rsidR="00933B9C" w:rsidRPr="00B748BD" w:rsidRDefault="000C260B" w:rsidP="000C260B">
      <w:pPr>
        <w:spacing w:before="120" w:line="240" w:lineRule="auto"/>
        <w:ind w:firstLine="720"/>
      </w:pPr>
      <w:r w:rsidRPr="00B748BD">
        <w:t>T</w:t>
      </w:r>
      <w:r w:rsidR="00933B9C" w:rsidRPr="00B748BD">
        <w:t xml:space="preserve">his proposed data collection has been reviewed and approved by the contractor’s IRB (see </w:t>
      </w:r>
      <w:r w:rsidR="00933B9C" w:rsidRPr="00B748BD">
        <w:rPr>
          <w:b/>
        </w:rPr>
        <w:t xml:space="preserve">Attachment </w:t>
      </w:r>
      <w:r w:rsidR="00294872">
        <w:rPr>
          <w:b/>
        </w:rPr>
        <w:t>1</w:t>
      </w:r>
      <w:r w:rsidR="00083539">
        <w:rPr>
          <w:b/>
        </w:rPr>
        <w:t>2</w:t>
      </w:r>
      <w:r w:rsidR="00933B9C" w:rsidRPr="00B748BD">
        <w:t xml:space="preserve">).    </w:t>
      </w:r>
    </w:p>
    <w:p w14:paraId="2B564E57" w14:textId="77777777" w:rsidR="00036B1E" w:rsidRPr="00B748BD" w:rsidRDefault="00036B1E" w:rsidP="00445FC5">
      <w:pPr>
        <w:spacing w:before="120" w:line="240" w:lineRule="auto"/>
      </w:pPr>
    </w:p>
    <w:p w14:paraId="29081CAC" w14:textId="77777777" w:rsidR="008215E5" w:rsidRDefault="008215E5" w:rsidP="00445FC5">
      <w:pPr>
        <w:spacing w:before="120" w:line="240" w:lineRule="auto"/>
        <w:rPr>
          <w:u w:val="single"/>
        </w:rPr>
      </w:pPr>
      <w:r w:rsidRPr="00B748BD">
        <w:rPr>
          <w:u w:val="single"/>
        </w:rPr>
        <w:t>10.1 Privacy Impact Assessment Information</w:t>
      </w:r>
    </w:p>
    <w:p w14:paraId="54892D11" w14:textId="2D92CB9B" w:rsidR="00AA2874" w:rsidRPr="00B748BD" w:rsidRDefault="00AA2874" w:rsidP="00A11D58">
      <w:pPr>
        <w:spacing w:before="120" w:line="240" w:lineRule="auto"/>
        <w:ind w:firstLine="720"/>
        <w:rPr>
          <w:u w:val="single"/>
        </w:rPr>
      </w:pPr>
      <w:r w:rsidRPr="00D51B67">
        <w:t xml:space="preserve">No individually identifiable information </w:t>
      </w:r>
      <w:r>
        <w:t xml:space="preserve">(IIF) </w:t>
      </w:r>
      <w:r w:rsidRPr="00D51B67">
        <w:t>is being collected</w:t>
      </w:r>
      <w:r>
        <w:t xml:space="preserve">.  </w:t>
      </w:r>
    </w:p>
    <w:p w14:paraId="67F862C0" w14:textId="77777777" w:rsidR="00BC6542" w:rsidRPr="0041024B" w:rsidRDefault="00BC6542" w:rsidP="0041024B">
      <w:pPr>
        <w:pStyle w:val="ListParagraph"/>
        <w:spacing w:before="120" w:line="240" w:lineRule="auto"/>
      </w:pPr>
    </w:p>
    <w:p w14:paraId="3EF15AC8" w14:textId="77777777" w:rsidR="00FC28F1" w:rsidRPr="0041024B" w:rsidRDefault="00085818" w:rsidP="0041024B">
      <w:pPr>
        <w:pStyle w:val="Heading1"/>
        <w:spacing w:before="120" w:after="0" w:line="240" w:lineRule="auto"/>
        <w:rPr>
          <w:rFonts w:cs="Times New Roman"/>
          <w:szCs w:val="24"/>
        </w:rPr>
      </w:pPr>
      <w:bookmarkStart w:id="22" w:name="_Toc386703706"/>
      <w:r w:rsidRPr="0041024B">
        <w:rPr>
          <w:rFonts w:cs="Times New Roman"/>
          <w:szCs w:val="24"/>
        </w:rPr>
        <w:t xml:space="preserve">Justification </w:t>
      </w:r>
      <w:r w:rsidR="00E73569" w:rsidRPr="0041024B">
        <w:rPr>
          <w:rFonts w:cs="Times New Roman"/>
          <w:szCs w:val="24"/>
        </w:rPr>
        <w:t>f</w:t>
      </w:r>
      <w:r w:rsidR="00875AA9" w:rsidRPr="0041024B">
        <w:rPr>
          <w:rFonts w:cs="Times New Roman"/>
          <w:szCs w:val="24"/>
        </w:rPr>
        <w:t xml:space="preserve">or </w:t>
      </w:r>
      <w:r w:rsidR="00B6728A" w:rsidRPr="0041024B">
        <w:rPr>
          <w:rFonts w:cs="Times New Roman"/>
          <w:szCs w:val="24"/>
        </w:rPr>
        <w:t>Sensitive Questions</w:t>
      </w:r>
      <w:bookmarkEnd w:id="20"/>
      <w:bookmarkEnd w:id="21"/>
      <w:bookmarkEnd w:id="22"/>
      <w:r w:rsidR="00B6728A" w:rsidRPr="0041024B">
        <w:rPr>
          <w:rFonts w:cs="Times New Roman"/>
          <w:szCs w:val="24"/>
        </w:rPr>
        <w:t xml:space="preserve"> </w:t>
      </w:r>
    </w:p>
    <w:p w14:paraId="4C348E3C" w14:textId="77777777" w:rsidR="00B74F5F" w:rsidRDefault="00B74F5F" w:rsidP="00BC6542">
      <w:pPr>
        <w:spacing w:before="120" w:line="240" w:lineRule="auto"/>
        <w:ind w:firstLine="720"/>
        <w:rPr>
          <w:color w:val="000000" w:themeColor="text1"/>
        </w:rPr>
      </w:pPr>
      <w:r w:rsidRPr="00BC6542">
        <w:rPr>
          <w:color w:val="000000" w:themeColor="text1"/>
        </w:rPr>
        <w:t xml:space="preserve">No information will be collected that </w:t>
      </w:r>
      <w:r w:rsidRPr="0041024B">
        <w:rPr>
          <w:color w:val="000000" w:themeColor="text1"/>
        </w:rPr>
        <w:t>is</w:t>
      </w:r>
      <w:r w:rsidRPr="00BC6542">
        <w:rPr>
          <w:color w:val="000000" w:themeColor="text1"/>
        </w:rPr>
        <w:t xml:space="preserve"> of </w:t>
      </w:r>
      <w:r w:rsidRPr="0041024B">
        <w:rPr>
          <w:color w:val="000000" w:themeColor="text1"/>
        </w:rPr>
        <w:t xml:space="preserve">a </w:t>
      </w:r>
      <w:r w:rsidRPr="00BC6542">
        <w:rPr>
          <w:color w:val="000000" w:themeColor="text1"/>
        </w:rPr>
        <w:t>personal or sensitive nature.</w:t>
      </w:r>
    </w:p>
    <w:p w14:paraId="17417D00" w14:textId="77777777" w:rsidR="00BC6542" w:rsidRPr="00BC6542" w:rsidRDefault="00BC6542" w:rsidP="00BC6542">
      <w:pPr>
        <w:spacing w:before="120" w:line="240" w:lineRule="auto"/>
        <w:ind w:firstLine="720"/>
        <w:rPr>
          <w:color w:val="000000" w:themeColor="text1"/>
        </w:rPr>
      </w:pPr>
    </w:p>
    <w:p w14:paraId="46651D60" w14:textId="77777777" w:rsidR="00B6728A" w:rsidRPr="0041024B" w:rsidRDefault="00875AA9" w:rsidP="0041024B">
      <w:pPr>
        <w:pStyle w:val="Heading1"/>
        <w:spacing w:before="120" w:after="0" w:line="240" w:lineRule="auto"/>
        <w:rPr>
          <w:rFonts w:cs="Times New Roman"/>
          <w:szCs w:val="24"/>
        </w:rPr>
      </w:pPr>
      <w:bookmarkStart w:id="23" w:name="_Toc386703707"/>
      <w:r w:rsidRPr="0041024B">
        <w:rPr>
          <w:rFonts w:cs="Times New Roman"/>
          <w:szCs w:val="24"/>
        </w:rPr>
        <w:t>Estimates of Annualized Burden Hours and Costs</w:t>
      </w:r>
      <w:bookmarkEnd w:id="23"/>
    </w:p>
    <w:p w14:paraId="3024C471" w14:textId="77777777" w:rsidR="00FD7F7B" w:rsidRPr="0041024B" w:rsidRDefault="00036B1E" w:rsidP="0041024B">
      <w:pPr>
        <w:spacing w:before="120" w:line="240" w:lineRule="auto"/>
        <w:ind w:firstLine="720"/>
      </w:pPr>
      <w:r w:rsidRPr="0041024B">
        <w:rPr>
          <w:i/>
        </w:rPr>
        <w:t>Burden hours.</w:t>
      </w:r>
      <w:r w:rsidR="00351F65" w:rsidRPr="0041024B">
        <w:t xml:space="preserve"> </w:t>
      </w:r>
      <w:r w:rsidR="00527A0B" w:rsidRPr="0041024B">
        <w:rPr>
          <w:b/>
        </w:rPr>
        <w:t>Table A.1</w:t>
      </w:r>
      <w:r w:rsidR="000D5CD9" w:rsidRPr="0041024B">
        <w:rPr>
          <w:b/>
        </w:rPr>
        <w:t>2-1</w:t>
      </w:r>
      <w:r w:rsidR="00351F65" w:rsidRPr="0041024B">
        <w:t xml:space="preserve"> provides estimates of burden for the data collection.  The amount of time required </w:t>
      </w:r>
      <w:r w:rsidR="003A1AE5" w:rsidRPr="0041024B">
        <w:t xml:space="preserve">to complete the </w:t>
      </w:r>
      <w:r w:rsidR="00351F65" w:rsidRPr="0041024B">
        <w:t>questionnaires is based on</w:t>
      </w:r>
      <w:r w:rsidR="002D6150" w:rsidRPr="0041024B">
        <w:t xml:space="preserve"> </w:t>
      </w:r>
      <w:r w:rsidR="00654ABE" w:rsidRPr="0041024B">
        <w:t>estimates that DASH compiled relying on their experience wi</w:t>
      </w:r>
      <w:r w:rsidR="000C7AE7" w:rsidRPr="0041024B">
        <w:t>th previous data collections with CBOs</w:t>
      </w:r>
      <w:r w:rsidR="00151CF3">
        <w:t>/HWCs</w:t>
      </w:r>
      <w:r w:rsidR="000C7AE7" w:rsidRPr="0041024B">
        <w:t xml:space="preserve"> </w:t>
      </w:r>
      <w:r w:rsidR="00654ABE" w:rsidRPr="0041024B">
        <w:t xml:space="preserve">and their discussions with </w:t>
      </w:r>
      <w:r w:rsidR="00FD7F7B" w:rsidRPr="0041024B">
        <w:t>the local education agency</w:t>
      </w:r>
      <w:r w:rsidR="00654ABE" w:rsidRPr="0041024B">
        <w:t xml:space="preserve"> during the process undertaken to develop measures.  </w:t>
      </w:r>
      <w:r w:rsidR="00FD7F7B" w:rsidRPr="0041024B">
        <w:t xml:space="preserve">Administration </w:t>
      </w:r>
      <w:r w:rsidR="000C7AE7" w:rsidRPr="0041024B">
        <w:t xml:space="preserve">of the </w:t>
      </w:r>
      <w:r w:rsidR="004D3C9C">
        <w:t>questionnaire</w:t>
      </w:r>
      <w:r w:rsidR="004D3C9C" w:rsidRPr="0041024B">
        <w:t xml:space="preserve"> </w:t>
      </w:r>
      <w:r w:rsidR="000C7AE7" w:rsidRPr="0041024B">
        <w:t>will be on individual computers via the web-based</w:t>
      </w:r>
      <w:r w:rsidR="00FD7F7B" w:rsidRPr="0041024B">
        <w:t xml:space="preserve"> questionnaire</w:t>
      </w:r>
      <w:r w:rsidR="000C7AE7" w:rsidRPr="0041024B">
        <w:t xml:space="preserve">. </w:t>
      </w:r>
      <w:r w:rsidR="00FD7F7B" w:rsidRPr="0041024B">
        <w:t xml:space="preserve">  The questionnaire is listed in the burden table below.</w:t>
      </w:r>
      <w:r w:rsidR="00336148" w:rsidRPr="0041024B">
        <w:t xml:space="preserve">  </w:t>
      </w:r>
      <w:r w:rsidR="00E3016B" w:rsidRPr="0041024B">
        <w:t xml:space="preserve">The estimated burden time is based on a </w:t>
      </w:r>
      <w:r w:rsidR="003F6ECE" w:rsidRPr="0041024B">
        <w:t>pilot with</w:t>
      </w:r>
      <w:r w:rsidR="00E3016B" w:rsidRPr="0041024B">
        <w:t xml:space="preserve"> </w:t>
      </w:r>
      <w:r w:rsidR="0041024B">
        <w:t>4</w:t>
      </w:r>
      <w:r w:rsidR="00E3016B" w:rsidRPr="0041024B">
        <w:t xml:space="preserve"> respondents.  </w:t>
      </w:r>
      <w:r w:rsidR="00535A61">
        <w:t xml:space="preserve">These individuals were selected based on their experience working at a CBO or </w:t>
      </w:r>
      <w:r w:rsidR="00151CF3">
        <w:t>HWC</w:t>
      </w:r>
      <w:r w:rsidR="00535A61">
        <w:t xml:space="preserve">. </w:t>
      </w:r>
      <w:r w:rsidR="00336148" w:rsidRPr="0041024B">
        <w:t xml:space="preserve">The estimated burden time includes the time for </w:t>
      </w:r>
      <w:r w:rsidR="000C7AE7" w:rsidRPr="0041024B">
        <w:t xml:space="preserve">reading the information sheet, </w:t>
      </w:r>
      <w:r w:rsidR="00336148" w:rsidRPr="0041024B">
        <w:t xml:space="preserve">instructions, reviewing the </w:t>
      </w:r>
      <w:r w:rsidR="000C7AE7" w:rsidRPr="0041024B">
        <w:t xml:space="preserve">consent form online, </w:t>
      </w:r>
      <w:r w:rsidR="002B1997" w:rsidRPr="0041024B">
        <w:t xml:space="preserve">gathering information from up to two colleagues, </w:t>
      </w:r>
      <w:r w:rsidR="000C7AE7" w:rsidRPr="0041024B">
        <w:t xml:space="preserve">and completing the </w:t>
      </w:r>
      <w:r w:rsidR="00336148" w:rsidRPr="0041024B">
        <w:t>questionnaire.</w:t>
      </w:r>
      <w:r w:rsidR="00D1203D">
        <w:t xml:space="preserve"> It is estimated that respondents will take 20 minutes to collect information from their colleagues and 40 minutes to complete the </w:t>
      </w:r>
      <w:r w:rsidR="004D3C9C">
        <w:t xml:space="preserve">questionnaire </w:t>
      </w:r>
      <w:r w:rsidR="00D1203D">
        <w:t>for a total of 60 minutes (1 hour).</w:t>
      </w:r>
    </w:p>
    <w:p w14:paraId="0D90F15B" w14:textId="77777777" w:rsidR="00A142A1" w:rsidRPr="005A473B" w:rsidRDefault="00FD7F7B" w:rsidP="0041024B">
      <w:pPr>
        <w:spacing w:before="120" w:line="240" w:lineRule="auto"/>
        <w:ind w:firstLine="720"/>
      </w:pPr>
      <w:r w:rsidRPr="0041024B">
        <w:t xml:space="preserve">An estimated </w:t>
      </w:r>
      <w:r w:rsidR="00151CF3">
        <w:t>60</w:t>
      </w:r>
      <w:r w:rsidR="00151CF3" w:rsidRPr="0041024B">
        <w:t xml:space="preserve"> </w:t>
      </w:r>
      <w:r w:rsidR="000C7AE7" w:rsidRPr="0041024B">
        <w:t xml:space="preserve">staff </w:t>
      </w:r>
      <w:r w:rsidR="003F6ECE" w:rsidRPr="0041024B">
        <w:t>total (</w:t>
      </w:r>
      <w:r w:rsidR="000C7AE7" w:rsidRPr="0041024B">
        <w:t xml:space="preserve">from </w:t>
      </w:r>
      <w:r w:rsidR="00890EBF" w:rsidRPr="0041024B">
        <w:t xml:space="preserve">up to </w:t>
      </w:r>
      <w:r w:rsidR="00151CF3">
        <w:t>60</w:t>
      </w:r>
      <w:r w:rsidR="00151CF3" w:rsidRPr="0041024B">
        <w:t xml:space="preserve"> </w:t>
      </w:r>
      <w:r w:rsidR="000C7AE7" w:rsidRPr="0041024B">
        <w:t xml:space="preserve">CBOs and </w:t>
      </w:r>
      <w:r w:rsidR="00151CF3">
        <w:t>HWC</w:t>
      </w:r>
      <w:r w:rsidR="00151CF3" w:rsidRPr="0041024B">
        <w:t>s</w:t>
      </w:r>
      <w:r w:rsidR="0056497B">
        <w:t>, with no more than 10 CBOs and 10 HWCs from each of the three LEAs</w:t>
      </w:r>
      <w:r w:rsidR="003F6ECE" w:rsidRPr="0041024B">
        <w:t>)</w:t>
      </w:r>
      <w:r w:rsidR="0077339B" w:rsidRPr="0041024B">
        <w:t xml:space="preserve"> </w:t>
      </w:r>
      <w:r w:rsidRPr="0041024B">
        <w:t xml:space="preserve">will complete the </w:t>
      </w:r>
      <w:r w:rsidR="00436D01" w:rsidRPr="0041024B">
        <w:t>questionnaire</w:t>
      </w:r>
      <w:r w:rsidRPr="0041024B">
        <w:t xml:space="preserve"> in 201</w:t>
      </w:r>
      <w:r w:rsidR="003F6ECE" w:rsidRPr="0041024B">
        <w:t>5, 2016, and 2018.</w:t>
      </w:r>
      <w:r w:rsidRPr="0041024B">
        <w:t xml:space="preserve"> The estimated burden per response ranges from </w:t>
      </w:r>
      <w:r w:rsidR="00E10525">
        <w:t>4</w:t>
      </w:r>
      <w:r w:rsidR="00151CF3">
        <w:t>0</w:t>
      </w:r>
      <w:r w:rsidR="006A17DA">
        <w:t>-</w:t>
      </w:r>
      <w:r w:rsidR="00E10525">
        <w:t>6</w:t>
      </w:r>
      <w:r w:rsidR="00151CF3">
        <w:t>0</w:t>
      </w:r>
      <w:r w:rsidR="00151CF3" w:rsidRPr="0041024B">
        <w:t xml:space="preserve"> </w:t>
      </w:r>
      <w:r w:rsidRPr="005A473B">
        <w:t xml:space="preserve">minutes. </w:t>
      </w:r>
      <w:r w:rsidR="0077339B" w:rsidRPr="005A473B">
        <w:t>This variation in burden is due to the slight variability in skip patterns that may occur with certain responses</w:t>
      </w:r>
      <w:r w:rsidR="00151CF3">
        <w:t>,</w:t>
      </w:r>
      <w:r w:rsidR="0077339B" w:rsidRPr="005A473B">
        <w:t xml:space="preserve"> variations in the reading speed of st</w:t>
      </w:r>
      <w:r w:rsidR="000C7AE7" w:rsidRPr="005A473B">
        <w:t>aff</w:t>
      </w:r>
      <w:r w:rsidR="00151CF3">
        <w:t>, and variations in the time required to compile necessary data for completing the questionnaire</w:t>
      </w:r>
      <w:r w:rsidR="0077339B" w:rsidRPr="005A473B">
        <w:t>.  The burden estimates presented here</w:t>
      </w:r>
      <w:r w:rsidR="00085A3E" w:rsidRPr="005A473B">
        <w:t xml:space="preserve"> are based on the assumption of </w:t>
      </w:r>
      <w:r w:rsidR="00E10525">
        <w:t xml:space="preserve">up to </w:t>
      </w:r>
      <w:r w:rsidR="006A17DA">
        <w:t>60 minutes response</w:t>
      </w:r>
      <w:r w:rsidR="0077339B" w:rsidRPr="005A473B">
        <w:t xml:space="preserve"> time per response.  </w:t>
      </w:r>
      <w:r w:rsidR="00890EBF" w:rsidRPr="005A473B">
        <w:t xml:space="preserve">This is only an </w:t>
      </w:r>
      <w:r w:rsidR="00E10525">
        <w:t>estimated response time</w:t>
      </w:r>
      <w:r w:rsidR="00E10525" w:rsidRPr="005A473B">
        <w:t xml:space="preserve"> </w:t>
      </w:r>
      <w:r w:rsidR="00890EBF" w:rsidRPr="005A473B">
        <w:t xml:space="preserve">as some respondents may take less time to complete the questionnaire.  </w:t>
      </w:r>
      <w:r w:rsidR="002F0804" w:rsidRPr="005A473B">
        <w:t xml:space="preserve">The same staff may complete the questionnaire each data collection period if deemed the most appropriate person to respond to the questions. </w:t>
      </w:r>
      <w:r w:rsidR="0077339B" w:rsidRPr="005A473B">
        <w:t xml:space="preserve"> </w:t>
      </w:r>
      <w:r w:rsidR="00A142A1" w:rsidRPr="005A473B">
        <w:t xml:space="preserve">Annualizing this collection over three years results in an estimated annualized burden </w:t>
      </w:r>
      <w:r w:rsidR="002F0804" w:rsidRPr="005A473B">
        <w:t xml:space="preserve">of </w:t>
      </w:r>
      <w:r w:rsidR="00151CF3">
        <w:t>60</w:t>
      </w:r>
      <w:r w:rsidR="00151CF3" w:rsidRPr="005A473B">
        <w:t xml:space="preserve"> </w:t>
      </w:r>
      <w:r w:rsidR="00A142A1" w:rsidRPr="005A473B">
        <w:t xml:space="preserve">hours. </w:t>
      </w:r>
    </w:p>
    <w:p w14:paraId="0C87DC6B" w14:textId="77777777" w:rsidR="002F0804" w:rsidRPr="005A473B" w:rsidRDefault="002F0804" w:rsidP="0041024B">
      <w:pPr>
        <w:spacing w:before="120" w:line="240" w:lineRule="auto"/>
        <w:ind w:firstLine="720"/>
      </w:pPr>
    </w:p>
    <w:p w14:paraId="531FBCBA" w14:textId="77777777" w:rsidR="00E84352" w:rsidRPr="005A473B" w:rsidRDefault="00E84352" w:rsidP="0041024B">
      <w:pPr>
        <w:spacing w:before="120" w:line="240" w:lineRule="auto"/>
        <w:rPr>
          <w:b/>
        </w:rPr>
      </w:pPr>
      <w:r w:rsidRPr="005A473B">
        <w:rPr>
          <w:b/>
        </w:rPr>
        <w:t>Table A.12-1 Estimated Annualize Burden to Respondents</w:t>
      </w:r>
    </w:p>
    <w:tbl>
      <w:tblPr>
        <w:tblStyle w:val="TableGrid"/>
        <w:tblW w:w="0" w:type="auto"/>
        <w:tblLook w:val="04A0" w:firstRow="1" w:lastRow="0" w:firstColumn="1" w:lastColumn="0" w:noHBand="0" w:noVBand="1"/>
      </w:tblPr>
      <w:tblGrid>
        <w:gridCol w:w="1443"/>
        <w:gridCol w:w="2315"/>
        <w:gridCol w:w="1530"/>
        <w:gridCol w:w="1621"/>
        <w:gridCol w:w="1341"/>
        <w:gridCol w:w="1100"/>
      </w:tblGrid>
      <w:tr w:rsidR="00E84352" w:rsidRPr="00BC6542" w14:paraId="1EA42ECB" w14:textId="77777777" w:rsidTr="00E84352">
        <w:trPr>
          <w:cantSplit/>
          <w:trHeight w:val="1394"/>
        </w:trPr>
        <w:tc>
          <w:tcPr>
            <w:tcW w:w="0" w:type="auto"/>
            <w:vAlign w:val="center"/>
          </w:tcPr>
          <w:p w14:paraId="03980CD5" w14:textId="77777777" w:rsidR="00E84352" w:rsidRPr="00D1203D" w:rsidRDefault="00E84352" w:rsidP="0041024B">
            <w:pPr>
              <w:spacing w:before="120" w:line="240" w:lineRule="auto"/>
            </w:pPr>
            <w:r w:rsidRPr="00D1203D">
              <w:t>Respondents</w:t>
            </w:r>
          </w:p>
        </w:tc>
        <w:tc>
          <w:tcPr>
            <w:tcW w:w="2315" w:type="dxa"/>
            <w:vAlign w:val="center"/>
          </w:tcPr>
          <w:p w14:paraId="7B30F203" w14:textId="77777777" w:rsidR="00E84352" w:rsidRPr="00D1203D" w:rsidRDefault="00E84352" w:rsidP="0041024B">
            <w:pPr>
              <w:spacing w:before="120" w:line="240" w:lineRule="auto"/>
            </w:pPr>
            <w:r w:rsidRPr="00D1203D">
              <w:t>Form Name</w:t>
            </w:r>
          </w:p>
        </w:tc>
        <w:tc>
          <w:tcPr>
            <w:tcW w:w="1530" w:type="dxa"/>
            <w:vAlign w:val="center"/>
          </w:tcPr>
          <w:p w14:paraId="1FC1447E" w14:textId="77777777" w:rsidR="00E84352" w:rsidRPr="00D1203D" w:rsidRDefault="00E84352" w:rsidP="0041024B">
            <w:pPr>
              <w:spacing w:before="120" w:line="240" w:lineRule="auto"/>
            </w:pPr>
            <w:r w:rsidRPr="00D1203D">
              <w:t>Number of Respondents</w:t>
            </w:r>
          </w:p>
        </w:tc>
        <w:tc>
          <w:tcPr>
            <w:tcW w:w="1621" w:type="dxa"/>
            <w:vAlign w:val="center"/>
          </w:tcPr>
          <w:p w14:paraId="546D62B9" w14:textId="77777777" w:rsidR="00E84352" w:rsidRPr="00D1203D" w:rsidRDefault="00E84352" w:rsidP="0041024B">
            <w:pPr>
              <w:spacing w:before="120" w:line="240" w:lineRule="auto"/>
            </w:pPr>
            <w:r w:rsidRPr="00D1203D">
              <w:t>Number of Responses per Respondent</w:t>
            </w:r>
          </w:p>
        </w:tc>
        <w:tc>
          <w:tcPr>
            <w:tcW w:w="1341" w:type="dxa"/>
            <w:vAlign w:val="center"/>
          </w:tcPr>
          <w:p w14:paraId="037141F4" w14:textId="77777777" w:rsidR="00E84352" w:rsidRPr="00D1203D" w:rsidRDefault="00E84352" w:rsidP="0041024B">
            <w:pPr>
              <w:spacing w:before="120" w:line="240" w:lineRule="auto"/>
            </w:pPr>
            <w:r w:rsidRPr="00D1203D">
              <w:t>Average Burden per Response (in hours)</w:t>
            </w:r>
          </w:p>
        </w:tc>
        <w:tc>
          <w:tcPr>
            <w:tcW w:w="0" w:type="auto"/>
            <w:vAlign w:val="center"/>
          </w:tcPr>
          <w:p w14:paraId="2AFBF2F3" w14:textId="77777777" w:rsidR="00E84352" w:rsidRPr="00D1203D" w:rsidRDefault="00E84352" w:rsidP="0041024B">
            <w:pPr>
              <w:spacing w:before="120" w:line="240" w:lineRule="auto"/>
            </w:pPr>
            <w:r w:rsidRPr="00D1203D">
              <w:t>Total Burden (in hours)</w:t>
            </w:r>
          </w:p>
        </w:tc>
      </w:tr>
      <w:tr w:rsidR="00E84352" w:rsidRPr="00BC6542" w14:paraId="0B7C9C62" w14:textId="77777777" w:rsidTr="00E84352">
        <w:trPr>
          <w:cantSplit/>
          <w:trHeight w:val="449"/>
        </w:trPr>
        <w:tc>
          <w:tcPr>
            <w:tcW w:w="0" w:type="auto"/>
            <w:vAlign w:val="center"/>
          </w:tcPr>
          <w:p w14:paraId="1BA3E569" w14:textId="77777777" w:rsidR="00E84352" w:rsidRPr="005A473B" w:rsidRDefault="002F0804" w:rsidP="00D1203D">
            <w:pPr>
              <w:spacing w:before="120" w:line="240" w:lineRule="auto"/>
            </w:pPr>
            <w:r w:rsidRPr="00D1203D">
              <w:t>CBO staff</w:t>
            </w:r>
            <w:r w:rsidR="00E84352" w:rsidRPr="00D1203D">
              <w:t xml:space="preserve"> </w:t>
            </w:r>
          </w:p>
        </w:tc>
        <w:tc>
          <w:tcPr>
            <w:tcW w:w="2315" w:type="dxa"/>
            <w:vAlign w:val="center"/>
          </w:tcPr>
          <w:p w14:paraId="79A4A171" w14:textId="77777777" w:rsidR="00E84352" w:rsidRPr="005A473B" w:rsidRDefault="002F0804" w:rsidP="00D1203D">
            <w:pPr>
              <w:spacing w:before="120" w:line="240" w:lineRule="auto"/>
            </w:pPr>
            <w:r w:rsidRPr="005A473B">
              <w:t xml:space="preserve">CBO Assessment </w:t>
            </w:r>
            <w:r w:rsidR="003F6ECE" w:rsidRPr="005A473B">
              <w:t>Questionnaire</w:t>
            </w:r>
          </w:p>
        </w:tc>
        <w:tc>
          <w:tcPr>
            <w:tcW w:w="1530" w:type="dxa"/>
            <w:vAlign w:val="center"/>
          </w:tcPr>
          <w:p w14:paraId="3BD26403" w14:textId="77777777" w:rsidR="00E84352" w:rsidRPr="005A473B" w:rsidRDefault="00151CF3" w:rsidP="00020293">
            <w:pPr>
              <w:spacing w:before="120" w:line="240" w:lineRule="auto"/>
              <w:jc w:val="center"/>
            </w:pPr>
            <w:r>
              <w:t>30</w:t>
            </w:r>
          </w:p>
        </w:tc>
        <w:tc>
          <w:tcPr>
            <w:tcW w:w="1621" w:type="dxa"/>
            <w:vAlign w:val="center"/>
          </w:tcPr>
          <w:p w14:paraId="11539997" w14:textId="77777777" w:rsidR="00E84352" w:rsidRPr="005A473B" w:rsidRDefault="00E84352" w:rsidP="00020293">
            <w:pPr>
              <w:spacing w:before="120" w:line="240" w:lineRule="auto"/>
              <w:jc w:val="center"/>
            </w:pPr>
            <w:r w:rsidRPr="005A473B">
              <w:t>1</w:t>
            </w:r>
          </w:p>
        </w:tc>
        <w:tc>
          <w:tcPr>
            <w:tcW w:w="1341" w:type="dxa"/>
            <w:vAlign w:val="center"/>
          </w:tcPr>
          <w:p w14:paraId="4F37E8CE" w14:textId="77777777" w:rsidR="00E84352" w:rsidRPr="00D1203D" w:rsidRDefault="00854D59" w:rsidP="00020293">
            <w:pPr>
              <w:spacing w:before="120" w:line="240" w:lineRule="auto"/>
              <w:jc w:val="center"/>
            </w:pPr>
            <w:r>
              <w:t>1</w:t>
            </w:r>
          </w:p>
        </w:tc>
        <w:tc>
          <w:tcPr>
            <w:tcW w:w="0" w:type="auto"/>
            <w:vAlign w:val="center"/>
          </w:tcPr>
          <w:p w14:paraId="2EEB1475" w14:textId="77777777" w:rsidR="00E84352" w:rsidRPr="00D1203D" w:rsidRDefault="00151CF3" w:rsidP="00020293">
            <w:pPr>
              <w:spacing w:before="120" w:line="240" w:lineRule="auto"/>
              <w:jc w:val="center"/>
            </w:pPr>
            <w:r>
              <w:t>30</w:t>
            </w:r>
          </w:p>
        </w:tc>
      </w:tr>
      <w:tr w:rsidR="00D1203D" w:rsidRPr="00BC6542" w14:paraId="63E9D781" w14:textId="77777777" w:rsidTr="00E84352">
        <w:trPr>
          <w:cantSplit/>
          <w:trHeight w:val="449"/>
        </w:trPr>
        <w:tc>
          <w:tcPr>
            <w:tcW w:w="0" w:type="auto"/>
            <w:vAlign w:val="center"/>
          </w:tcPr>
          <w:p w14:paraId="468800D7" w14:textId="77777777" w:rsidR="00D1203D" w:rsidRPr="00D1203D" w:rsidRDefault="0056497B" w:rsidP="00D1203D">
            <w:pPr>
              <w:spacing w:before="120" w:line="240" w:lineRule="auto"/>
            </w:pPr>
            <w:r>
              <w:lastRenderedPageBreak/>
              <w:t xml:space="preserve">HWC </w:t>
            </w:r>
            <w:r w:rsidR="00D1203D">
              <w:t>staff</w:t>
            </w:r>
          </w:p>
        </w:tc>
        <w:tc>
          <w:tcPr>
            <w:tcW w:w="2315" w:type="dxa"/>
            <w:vAlign w:val="center"/>
          </w:tcPr>
          <w:p w14:paraId="6A951C82" w14:textId="77777777" w:rsidR="00D1203D" w:rsidRPr="005A473B" w:rsidRDefault="0056497B" w:rsidP="00D1203D">
            <w:pPr>
              <w:spacing w:before="120" w:line="240" w:lineRule="auto"/>
            </w:pPr>
            <w:r>
              <w:t>HWC</w:t>
            </w:r>
            <w:r w:rsidRPr="005A473B">
              <w:t xml:space="preserve"> </w:t>
            </w:r>
            <w:r w:rsidR="00D1203D" w:rsidRPr="005A473B">
              <w:t>Assessment Questionnaire</w:t>
            </w:r>
          </w:p>
        </w:tc>
        <w:tc>
          <w:tcPr>
            <w:tcW w:w="1530" w:type="dxa"/>
            <w:vAlign w:val="center"/>
          </w:tcPr>
          <w:p w14:paraId="75739059" w14:textId="77777777" w:rsidR="00D1203D" w:rsidRPr="005A473B" w:rsidRDefault="00151CF3" w:rsidP="00020293">
            <w:pPr>
              <w:spacing w:before="120" w:line="240" w:lineRule="auto"/>
              <w:jc w:val="center"/>
            </w:pPr>
            <w:r>
              <w:t>30</w:t>
            </w:r>
          </w:p>
        </w:tc>
        <w:tc>
          <w:tcPr>
            <w:tcW w:w="1621" w:type="dxa"/>
            <w:vAlign w:val="center"/>
          </w:tcPr>
          <w:p w14:paraId="6D75A076" w14:textId="77777777" w:rsidR="00D1203D" w:rsidRPr="005A473B" w:rsidRDefault="00854D59" w:rsidP="00020293">
            <w:pPr>
              <w:spacing w:before="120" w:line="240" w:lineRule="auto"/>
              <w:jc w:val="center"/>
            </w:pPr>
            <w:r>
              <w:t>1</w:t>
            </w:r>
          </w:p>
        </w:tc>
        <w:tc>
          <w:tcPr>
            <w:tcW w:w="1341" w:type="dxa"/>
            <w:vAlign w:val="center"/>
          </w:tcPr>
          <w:p w14:paraId="5499D211" w14:textId="77777777" w:rsidR="00D1203D" w:rsidRPr="005A473B" w:rsidDel="003F6ECE" w:rsidRDefault="00854D59" w:rsidP="00020293">
            <w:pPr>
              <w:spacing w:before="120" w:line="240" w:lineRule="auto"/>
              <w:jc w:val="center"/>
            </w:pPr>
            <w:r>
              <w:t>1</w:t>
            </w:r>
          </w:p>
        </w:tc>
        <w:tc>
          <w:tcPr>
            <w:tcW w:w="0" w:type="auto"/>
            <w:vAlign w:val="center"/>
          </w:tcPr>
          <w:p w14:paraId="2C1CB21D" w14:textId="77777777" w:rsidR="00D1203D" w:rsidRPr="00D1203D" w:rsidDel="003F6ECE" w:rsidRDefault="00151CF3" w:rsidP="00020293">
            <w:pPr>
              <w:spacing w:before="120" w:line="240" w:lineRule="auto"/>
              <w:jc w:val="center"/>
            </w:pPr>
            <w:r>
              <w:t>30</w:t>
            </w:r>
          </w:p>
        </w:tc>
      </w:tr>
      <w:tr w:rsidR="00E84352" w:rsidRPr="00BC6542" w14:paraId="4AA92C4C" w14:textId="77777777" w:rsidTr="00E84352">
        <w:trPr>
          <w:cantSplit/>
          <w:trHeight w:val="476"/>
        </w:trPr>
        <w:tc>
          <w:tcPr>
            <w:tcW w:w="0" w:type="auto"/>
            <w:gridSpan w:val="5"/>
            <w:vAlign w:val="center"/>
          </w:tcPr>
          <w:p w14:paraId="1CFD48F5" w14:textId="77777777" w:rsidR="00E84352" w:rsidRPr="005A473B" w:rsidRDefault="00E84352" w:rsidP="005A473B">
            <w:pPr>
              <w:spacing w:before="120" w:line="240" w:lineRule="auto"/>
            </w:pPr>
            <w:r w:rsidRPr="005A473B">
              <w:t>Total</w:t>
            </w:r>
          </w:p>
        </w:tc>
        <w:tc>
          <w:tcPr>
            <w:tcW w:w="0" w:type="auto"/>
            <w:vAlign w:val="center"/>
          </w:tcPr>
          <w:p w14:paraId="3BE4915B" w14:textId="77777777" w:rsidR="00E84352" w:rsidRPr="005A473B" w:rsidRDefault="00151CF3" w:rsidP="00020293">
            <w:pPr>
              <w:spacing w:before="120" w:line="240" w:lineRule="auto"/>
              <w:jc w:val="center"/>
            </w:pPr>
            <w:r>
              <w:t>60</w:t>
            </w:r>
          </w:p>
        </w:tc>
      </w:tr>
    </w:tbl>
    <w:p w14:paraId="57152A16" w14:textId="77777777" w:rsidR="00E84352" w:rsidRPr="005A473B" w:rsidRDefault="00E84352" w:rsidP="005A473B">
      <w:pPr>
        <w:spacing w:before="120" w:line="240" w:lineRule="auto"/>
      </w:pPr>
    </w:p>
    <w:p w14:paraId="61FC7CF6" w14:textId="2E0204C3" w:rsidR="00F5132D" w:rsidRPr="00A028B3" w:rsidRDefault="00DC2BCF" w:rsidP="005A473B">
      <w:pPr>
        <w:pStyle w:val="ListParagraph"/>
        <w:spacing w:before="120" w:line="240" w:lineRule="auto"/>
        <w:ind w:left="0"/>
      </w:pPr>
      <w:r w:rsidRPr="005A473B">
        <w:rPr>
          <w:i/>
        </w:rPr>
        <w:t xml:space="preserve">Annualized </w:t>
      </w:r>
      <w:r w:rsidR="00EF0D80" w:rsidRPr="005A473B">
        <w:rPr>
          <w:i/>
        </w:rPr>
        <w:t>c</w:t>
      </w:r>
      <w:r w:rsidR="00036B1E" w:rsidRPr="005A473B">
        <w:rPr>
          <w:i/>
        </w:rPr>
        <w:t>ost</w:t>
      </w:r>
      <w:r w:rsidR="00EF0D80" w:rsidRPr="005A473B">
        <w:rPr>
          <w:i/>
        </w:rPr>
        <w:t xml:space="preserve">.  </w:t>
      </w:r>
      <w:r w:rsidR="00EF0D80" w:rsidRPr="005A473B">
        <w:rPr>
          <w:b/>
        </w:rPr>
        <w:t>Table A.12-2</w:t>
      </w:r>
      <w:r w:rsidR="00EF0D80" w:rsidRPr="005A473B">
        <w:t xml:space="preserve"> provides estimates of the annualized cost to respondents for the collection of </w:t>
      </w:r>
      <w:r w:rsidR="00F5132D" w:rsidRPr="005A473B">
        <w:t xml:space="preserve">data.  Because </w:t>
      </w:r>
      <w:r w:rsidR="00FB2D53" w:rsidRPr="005A473B">
        <w:t>staff will likely work for a non-profit community based organization or a school</w:t>
      </w:r>
      <w:r w:rsidR="007B211E">
        <w:t>-</w:t>
      </w:r>
      <w:r w:rsidR="00FB2D53" w:rsidRPr="005A473B">
        <w:t>based health</w:t>
      </w:r>
      <w:r w:rsidR="007B211E">
        <w:t xml:space="preserve"> or wellness</w:t>
      </w:r>
      <w:r w:rsidR="00FB2D53" w:rsidRPr="005A473B">
        <w:t xml:space="preserve"> center</w:t>
      </w:r>
      <w:r w:rsidR="00F5132D" w:rsidRPr="005A473B">
        <w:t xml:space="preserve">, cost estimates for the value of time </w:t>
      </w:r>
      <w:r w:rsidR="00FB2D53" w:rsidRPr="005A473B">
        <w:t>staff</w:t>
      </w:r>
      <w:r w:rsidR="00F5132D" w:rsidRPr="005A473B">
        <w:t xml:space="preserve"> spend in responding to the questionnaire are based on </w:t>
      </w:r>
      <w:r w:rsidR="00A7059A" w:rsidRPr="005A473B">
        <w:t>Department of Labor (DOL) data from May 2013 providing national industry-specific occupational employment and wage estimates</w:t>
      </w:r>
      <w:r w:rsidR="00161D2D" w:rsidRPr="005A473B">
        <w:t xml:space="preserve">. </w:t>
      </w:r>
      <w:r w:rsidR="000F0E5F">
        <w:t xml:space="preserve"> These hourly wage estimates</w:t>
      </w:r>
      <w:r w:rsidR="00161D2D" w:rsidRPr="005A473B">
        <w:t xml:space="preserve"> can be found on the DOL </w:t>
      </w:r>
      <w:r w:rsidR="00654A35" w:rsidRPr="005A473B">
        <w:t>website</w:t>
      </w:r>
      <w:r w:rsidR="00A7059A" w:rsidRPr="005A473B">
        <w:t xml:space="preserve"> (</w:t>
      </w:r>
      <w:hyperlink r:id="rId13" w:history="1">
        <w:r w:rsidR="00A7059A" w:rsidRPr="00A028B3">
          <w:rPr>
            <w:rStyle w:val="Hyperlink"/>
          </w:rPr>
          <w:t>http://www.bls.gov/oes/current/naics4_999200.htm</w:t>
        </w:r>
      </w:hyperlink>
      <w:r w:rsidR="00A7059A" w:rsidRPr="00A028B3">
        <w:t>)</w:t>
      </w:r>
      <w:r w:rsidR="00123349">
        <w:t>.</w:t>
      </w:r>
      <w:r w:rsidR="00A7059A" w:rsidRPr="00A028B3">
        <w:t xml:space="preserve">  Based on DOL data, an average hourly rate for community and social service specialists is $23.10</w:t>
      </w:r>
      <w:r w:rsidR="00EE1370">
        <w:t xml:space="preserve"> and for registered nurses is </w:t>
      </w:r>
      <w:r w:rsidR="00FD36EE">
        <w:t>$</w:t>
      </w:r>
      <w:r w:rsidR="00EE1370">
        <w:t>30.77</w:t>
      </w:r>
      <w:r w:rsidR="00A7059A" w:rsidRPr="00A028B3">
        <w:t>.  In addition, the DOL data reports the average salary of community and social service specialists is $48,040</w:t>
      </w:r>
      <w:r w:rsidR="00EE1370">
        <w:t xml:space="preserve"> and the average salary for registered nurses is </w:t>
      </w:r>
      <w:r w:rsidR="00FD36EE">
        <w:t>$</w:t>
      </w:r>
      <w:r w:rsidR="00EE1370">
        <w:t>64,000</w:t>
      </w:r>
      <w:r w:rsidR="00A7059A" w:rsidRPr="00A028B3">
        <w:t xml:space="preserve">. </w:t>
      </w:r>
      <w:r w:rsidR="00536A88" w:rsidRPr="00A028B3">
        <w:t>Total cost has been rounded up to the nearest whole dollar</w:t>
      </w:r>
      <w:r w:rsidR="000C533F" w:rsidRPr="00A028B3">
        <w:t xml:space="preserve"> and are presented in Table A.12-2.</w:t>
      </w:r>
    </w:p>
    <w:p w14:paraId="2E52C395" w14:textId="77777777" w:rsidR="006772F9" w:rsidRPr="00A028B3" w:rsidRDefault="006772F9" w:rsidP="005A473B">
      <w:pPr>
        <w:spacing w:before="120" w:line="240" w:lineRule="auto"/>
        <w:rPr>
          <w:b/>
        </w:rPr>
      </w:pPr>
      <w:r w:rsidRPr="00A028B3">
        <w:rPr>
          <w:b/>
        </w:rPr>
        <w:t>Table A.12-2 Annualized Costs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635"/>
        <w:gridCol w:w="1513"/>
        <w:gridCol w:w="1415"/>
        <w:gridCol w:w="1191"/>
        <w:gridCol w:w="1117"/>
        <w:gridCol w:w="1064"/>
      </w:tblGrid>
      <w:tr w:rsidR="006772F9" w:rsidRPr="00BC6542" w14:paraId="3BC3FBCE" w14:textId="77777777" w:rsidTr="006772F9">
        <w:trPr>
          <w:cantSplit/>
          <w:tblHeader/>
        </w:trPr>
        <w:tc>
          <w:tcPr>
            <w:tcW w:w="1440" w:type="dxa"/>
            <w:vAlign w:val="center"/>
          </w:tcPr>
          <w:p w14:paraId="3825F948" w14:textId="77777777" w:rsidR="006772F9" w:rsidRPr="00A028B3" w:rsidRDefault="006772F9" w:rsidP="005A473B">
            <w:pPr>
              <w:spacing w:before="120" w:line="240" w:lineRule="auto"/>
            </w:pPr>
            <w:r w:rsidRPr="00A028B3">
              <w:t>Respondent</w:t>
            </w:r>
          </w:p>
        </w:tc>
        <w:tc>
          <w:tcPr>
            <w:tcW w:w="1662" w:type="dxa"/>
            <w:vAlign w:val="center"/>
          </w:tcPr>
          <w:p w14:paraId="23D903F1" w14:textId="77777777" w:rsidR="006772F9" w:rsidRPr="00A028B3" w:rsidRDefault="006772F9" w:rsidP="005A473B">
            <w:pPr>
              <w:spacing w:before="120" w:line="240" w:lineRule="auto"/>
            </w:pPr>
            <w:r w:rsidRPr="00A028B3">
              <w:t>Form Name</w:t>
            </w:r>
          </w:p>
        </w:tc>
        <w:tc>
          <w:tcPr>
            <w:tcW w:w="1539" w:type="dxa"/>
            <w:vAlign w:val="center"/>
          </w:tcPr>
          <w:p w14:paraId="577904A6" w14:textId="77777777" w:rsidR="006772F9" w:rsidRPr="00A028B3" w:rsidRDefault="006772F9" w:rsidP="005A473B">
            <w:pPr>
              <w:spacing w:before="120" w:line="240" w:lineRule="auto"/>
            </w:pPr>
            <w:r w:rsidRPr="00A028B3">
              <w:t>Number of Respondents</w:t>
            </w:r>
          </w:p>
        </w:tc>
        <w:tc>
          <w:tcPr>
            <w:tcW w:w="1439" w:type="dxa"/>
            <w:vAlign w:val="center"/>
          </w:tcPr>
          <w:p w14:paraId="58B434D0" w14:textId="77777777" w:rsidR="006772F9" w:rsidRPr="00A028B3" w:rsidRDefault="006772F9" w:rsidP="005A473B">
            <w:pPr>
              <w:spacing w:before="120" w:line="240" w:lineRule="auto"/>
            </w:pPr>
            <w:r w:rsidRPr="00A028B3">
              <w:t>Number of  Responses per Respondent</w:t>
            </w:r>
          </w:p>
        </w:tc>
        <w:tc>
          <w:tcPr>
            <w:tcW w:w="1212" w:type="dxa"/>
            <w:vAlign w:val="center"/>
          </w:tcPr>
          <w:p w14:paraId="145AE79B" w14:textId="77777777" w:rsidR="006772F9" w:rsidRPr="00A028B3" w:rsidRDefault="006772F9" w:rsidP="005A473B">
            <w:pPr>
              <w:spacing w:before="120" w:line="240" w:lineRule="auto"/>
            </w:pPr>
            <w:r w:rsidRPr="00A028B3">
              <w:t>Average Burden per Response</w:t>
            </w:r>
          </w:p>
          <w:p w14:paraId="7E73E931" w14:textId="77777777" w:rsidR="006772F9" w:rsidRPr="00A028B3" w:rsidRDefault="006772F9" w:rsidP="005A473B">
            <w:pPr>
              <w:spacing w:before="120" w:line="240" w:lineRule="auto"/>
            </w:pPr>
            <w:r w:rsidRPr="00A028B3">
              <w:t>(in hours)</w:t>
            </w:r>
          </w:p>
        </w:tc>
        <w:tc>
          <w:tcPr>
            <w:tcW w:w="1150" w:type="dxa"/>
            <w:vAlign w:val="center"/>
          </w:tcPr>
          <w:p w14:paraId="3FC5EC5F" w14:textId="77777777" w:rsidR="006772F9" w:rsidRPr="00A028B3" w:rsidRDefault="006772F9" w:rsidP="005A473B">
            <w:pPr>
              <w:spacing w:before="120" w:line="240" w:lineRule="auto"/>
            </w:pPr>
            <w:r w:rsidRPr="00A028B3">
              <w:t>Average Hourly Wage Rate</w:t>
            </w:r>
          </w:p>
        </w:tc>
        <w:tc>
          <w:tcPr>
            <w:tcW w:w="1134" w:type="dxa"/>
            <w:vAlign w:val="center"/>
          </w:tcPr>
          <w:p w14:paraId="2709BDD2" w14:textId="77777777" w:rsidR="006772F9" w:rsidRPr="00A028B3" w:rsidRDefault="006772F9" w:rsidP="005A473B">
            <w:pPr>
              <w:spacing w:before="120" w:line="240" w:lineRule="auto"/>
            </w:pPr>
            <w:r w:rsidRPr="00A028B3">
              <w:t>Total Cost</w:t>
            </w:r>
          </w:p>
        </w:tc>
      </w:tr>
      <w:tr w:rsidR="00FB2D53" w:rsidRPr="00BC6542" w14:paraId="08ECA05D" w14:textId="77777777" w:rsidTr="006772F9">
        <w:trPr>
          <w:cantSplit/>
        </w:trPr>
        <w:tc>
          <w:tcPr>
            <w:tcW w:w="1440" w:type="dxa"/>
            <w:vAlign w:val="center"/>
          </w:tcPr>
          <w:p w14:paraId="689FD17E" w14:textId="77777777" w:rsidR="00FB2D53" w:rsidRPr="00A028B3" w:rsidRDefault="00FB2D53" w:rsidP="000A5E7B">
            <w:pPr>
              <w:spacing w:before="120" w:line="240" w:lineRule="auto"/>
            </w:pPr>
            <w:r w:rsidRPr="00A028B3">
              <w:t xml:space="preserve">CBO staff </w:t>
            </w:r>
          </w:p>
        </w:tc>
        <w:tc>
          <w:tcPr>
            <w:tcW w:w="1662" w:type="dxa"/>
            <w:vAlign w:val="center"/>
          </w:tcPr>
          <w:p w14:paraId="5634CFCD" w14:textId="77777777" w:rsidR="00FB2D53" w:rsidRPr="00A028B3" w:rsidRDefault="00962D24" w:rsidP="000A5E7B">
            <w:pPr>
              <w:spacing w:before="120" w:line="240" w:lineRule="auto"/>
            </w:pPr>
            <w:r w:rsidRPr="00910089">
              <w:t xml:space="preserve">CBO Assessment Questionnaire </w:t>
            </w:r>
          </w:p>
        </w:tc>
        <w:tc>
          <w:tcPr>
            <w:tcW w:w="1539" w:type="dxa"/>
            <w:vAlign w:val="center"/>
          </w:tcPr>
          <w:p w14:paraId="4314BD12" w14:textId="77777777" w:rsidR="00FB2D53" w:rsidRPr="00A028B3" w:rsidRDefault="0056497B" w:rsidP="000A5E7B">
            <w:pPr>
              <w:spacing w:before="120" w:line="240" w:lineRule="auto"/>
              <w:jc w:val="center"/>
            </w:pPr>
            <w:r>
              <w:t>30</w:t>
            </w:r>
          </w:p>
        </w:tc>
        <w:tc>
          <w:tcPr>
            <w:tcW w:w="1439" w:type="dxa"/>
            <w:vAlign w:val="center"/>
          </w:tcPr>
          <w:p w14:paraId="0DA62DF7" w14:textId="77777777" w:rsidR="00FB2D53" w:rsidRPr="00A028B3" w:rsidRDefault="00FB2D53" w:rsidP="000A5E7B">
            <w:pPr>
              <w:spacing w:before="120" w:line="240" w:lineRule="auto"/>
              <w:jc w:val="center"/>
            </w:pPr>
            <w:r w:rsidRPr="00A028B3">
              <w:t>1</w:t>
            </w:r>
          </w:p>
        </w:tc>
        <w:tc>
          <w:tcPr>
            <w:tcW w:w="1212" w:type="dxa"/>
            <w:vAlign w:val="center"/>
          </w:tcPr>
          <w:p w14:paraId="3B3E08B7" w14:textId="77777777" w:rsidR="00FB2D53" w:rsidRPr="00A028B3" w:rsidRDefault="000A5E7B" w:rsidP="000A5E7B">
            <w:pPr>
              <w:spacing w:before="120" w:line="240" w:lineRule="auto"/>
              <w:jc w:val="center"/>
            </w:pPr>
            <w:r>
              <w:t>1</w:t>
            </w:r>
          </w:p>
        </w:tc>
        <w:tc>
          <w:tcPr>
            <w:tcW w:w="1150" w:type="dxa"/>
            <w:vAlign w:val="center"/>
          </w:tcPr>
          <w:p w14:paraId="55E11FDB" w14:textId="77777777" w:rsidR="00FB2D53" w:rsidRPr="00A028B3" w:rsidRDefault="008E14B7" w:rsidP="000A5E7B">
            <w:pPr>
              <w:spacing w:before="120" w:line="240" w:lineRule="auto"/>
              <w:jc w:val="center"/>
            </w:pPr>
            <w:r w:rsidRPr="00A028B3">
              <w:t>$</w:t>
            </w:r>
            <w:r w:rsidR="00A7059A" w:rsidRPr="00A028B3">
              <w:t>23.10</w:t>
            </w:r>
          </w:p>
        </w:tc>
        <w:tc>
          <w:tcPr>
            <w:tcW w:w="1134" w:type="dxa"/>
            <w:vAlign w:val="center"/>
          </w:tcPr>
          <w:p w14:paraId="38900A6C" w14:textId="77777777" w:rsidR="00FB2D53" w:rsidRPr="00A028B3" w:rsidRDefault="000A5E7B" w:rsidP="007B211E">
            <w:pPr>
              <w:spacing w:before="120" w:line="240" w:lineRule="auto"/>
              <w:jc w:val="center"/>
            </w:pPr>
            <w:r>
              <w:t>$</w:t>
            </w:r>
            <w:r w:rsidR="007B211E">
              <w:t>693</w:t>
            </w:r>
          </w:p>
        </w:tc>
      </w:tr>
      <w:tr w:rsidR="00EE1370" w:rsidRPr="00BC6542" w14:paraId="00B0736A" w14:textId="77777777" w:rsidTr="006772F9">
        <w:trPr>
          <w:cantSplit/>
        </w:trPr>
        <w:tc>
          <w:tcPr>
            <w:tcW w:w="1440" w:type="dxa"/>
            <w:vAlign w:val="center"/>
          </w:tcPr>
          <w:p w14:paraId="78D0BC11" w14:textId="77777777" w:rsidR="00EE1370" w:rsidRPr="00A028B3" w:rsidRDefault="0056497B" w:rsidP="00A028B3">
            <w:pPr>
              <w:spacing w:before="120" w:line="240" w:lineRule="auto"/>
            </w:pPr>
            <w:r>
              <w:t xml:space="preserve">HWC </w:t>
            </w:r>
            <w:r w:rsidR="000A5E7B">
              <w:t>staff</w:t>
            </w:r>
          </w:p>
        </w:tc>
        <w:tc>
          <w:tcPr>
            <w:tcW w:w="1662" w:type="dxa"/>
            <w:vAlign w:val="center"/>
          </w:tcPr>
          <w:p w14:paraId="7ACBBF6C" w14:textId="77777777" w:rsidR="00EE1370" w:rsidRPr="00910089" w:rsidRDefault="0056497B" w:rsidP="00A028B3">
            <w:pPr>
              <w:spacing w:before="120" w:line="240" w:lineRule="auto"/>
            </w:pPr>
            <w:r>
              <w:t xml:space="preserve">HWC </w:t>
            </w:r>
            <w:r w:rsidR="000A5E7B">
              <w:t>Assessment Questionnaire</w:t>
            </w:r>
          </w:p>
        </w:tc>
        <w:tc>
          <w:tcPr>
            <w:tcW w:w="1539" w:type="dxa"/>
            <w:vAlign w:val="center"/>
          </w:tcPr>
          <w:p w14:paraId="757B9E1F" w14:textId="77777777" w:rsidR="00EE1370" w:rsidRPr="00A028B3" w:rsidRDefault="0056497B" w:rsidP="000A5E7B">
            <w:pPr>
              <w:spacing w:before="120" w:line="240" w:lineRule="auto"/>
              <w:jc w:val="center"/>
            </w:pPr>
            <w:r>
              <w:t>30</w:t>
            </w:r>
          </w:p>
        </w:tc>
        <w:tc>
          <w:tcPr>
            <w:tcW w:w="1439" w:type="dxa"/>
            <w:vAlign w:val="center"/>
          </w:tcPr>
          <w:p w14:paraId="226E1043" w14:textId="77777777" w:rsidR="00EE1370" w:rsidRPr="00A028B3" w:rsidRDefault="000A5E7B" w:rsidP="000A5E7B">
            <w:pPr>
              <w:spacing w:before="120" w:line="240" w:lineRule="auto"/>
              <w:jc w:val="center"/>
            </w:pPr>
            <w:r>
              <w:t>1</w:t>
            </w:r>
          </w:p>
        </w:tc>
        <w:tc>
          <w:tcPr>
            <w:tcW w:w="1212" w:type="dxa"/>
            <w:vAlign w:val="center"/>
          </w:tcPr>
          <w:p w14:paraId="73729DB3" w14:textId="77777777" w:rsidR="00EE1370" w:rsidRPr="00A028B3" w:rsidRDefault="000A5E7B" w:rsidP="000A5E7B">
            <w:pPr>
              <w:spacing w:before="120" w:line="240" w:lineRule="auto"/>
              <w:jc w:val="center"/>
            </w:pPr>
            <w:r>
              <w:t>1</w:t>
            </w:r>
          </w:p>
        </w:tc>
        <w:tc>
          <w:tcPr>
            <w:tcW w:w="1150" w:type="dxa"/>
            <w:vAlign w:val="center"/>
          </w:tcPr>
          <w:p w14:paraId="0F18C12F" w14:textId="77777777" w:rsidR="00EE1370" w:rsidRPr="00A028B3" w:rsidRDefault="000A5E7B" w:rsidP="000A5E7B">
            <w:pPr>
              <w:spacing w:before="120" w:line="240" w:lineRule="auto"/>
              <w:jc w:val="center"/>
            </w:pPr>
            <w:r>
              <w:t>$30.77</w:t>
            </w:r>
          </w:p>
        </w:tc>
        <w:tc>
          <w:tcPr>
            <w:tcW w:w="1134" w:type="dxa"/>
            <w:vAlign w:val="center"/>
          </w:tcPr>
          <w:p w14:paraId="43B7E3F1" w14:textId="77777777" w:rsidR="00EE1370" w:rsidRPr="00A028B3" w:rsidRDefault="000A5E7B" w:rsidP="007B211E">
            <w:pPr>
              <w:spacing w:before="120" w:line="240" w:lineRule="auto"/>
              <w:jc w:val="center"/>
            </w:pPr>
            <w:r>
              <w:t>$</w:t>
            </w:r>
            <w:r w:rsidR="007B211E">
              <w:t>923</w:t>
            </w:r>
          </w:p>
        </w:tc>
      </w:tr>
      <w:tr w:rsidR="006772F9" w:rsidRPr="00BC6542" w14:paraId="39428CA4" w14:textId="77777777" w:rsidTr="006772F9">
        <w:trPr>
          <w:cantSplit/>
        </w:trPr>
        <w:tc>
          <w:tcPr>
            <w:tcW w:w="8442" w:type="dxa"/>
            <w:gridSpan w:val="6"/>
            <w:vAlign w:val="center"/>
          </w:tcPr>
          <w:p w14:paraId="0C485B57" w14:textId="77777777" w:rsidR="006772F9" w:rsidRPr="00A028B3" w:rsidRDefault="006772F9" w:rsidP="00A028B3">
            <w:pPr>
              <w:spacing w:before="120" w:line="240" w:lineRule="auto"/>
            </w:pPr>
            <w:r w:rsidRPr="00A028B3">
              <w:t>Total</w:t>
            </w:r>
          </w:p>
        </w:tc>
        <w:tc>
          <w:tcPr>
            <w:tcW w:w="1134" w:type="dxa"/>
            <w:vAlign w:val="center"/>
          </w:tcPr>
          <w:p w14:paraId="4EE4C411" w14:textId="77777777" w:rsidR="006772F9" w:rsidRPr="00A028B3" w:rsidRDefault="00654A35" w:rsidP="007B211E">
            <w:pPr>
              <w:spacing w:before="120" w:line="240" w:lineRule="auto"/>
              <w:jc w:val="center"/>
            </w:pPr>
            <w:r w:rsidRPr="00A028B3">
              <w:t>$</w:t>
            </w:r>
            <w:r w:rsidR="007B211E">
              <w:t>1,616</w:t>
            </w:r>
          </w:p>
        </w:tc>
      </w:tr>
    </w:tbl>
    <w:p w14:paraId="491A443F" w14:textId="77777777" w:rsidR="006772F9" w:rsidRPr="00A028B3" w:rsidRDefault="006772F9" w:rsidP="00A028B3">
      <w:pPr>
        <w:spacing w:before="120" w:line="240" w:lineRule="auto"/>
        <w:rPr>
          <w:b/>
        </w:rPr>
      </w:pPr>
    </w:p>
    <w:p w14:paraId="0FB90878" w14:textId="77777777" w:rsidR="00B6728A" w:rsidRPr="0041024B" w:rsidRDefault="00875AA9" w:rsidP="0041024B">
      <w:pPr>
        <w:pStyle w:val="Heading1"/>
        <w:spacing w:before="120" w:after="0" w:line="240" w:lineRule="auto"/>
        <w:rPr>
          <w:rFonts w:cs="Times New Roman"/>
          <w:szCs w:val="24"/>
        </w:rPr>
      </w:pPr>
      <w:bookmarkStart w:id="24" w:name="_Toc386703708"/>
      <w:r w:rsidRPr="0041024B">
        <w:rPr>
          <w:rFonts w:cs="Times New Roman"/>
          <w:szCs w:val="24"/>
        </w:rPr>
        <w:t>Estimates of Other Annual Cost Burden to Respondents or Record Keepers</w:t>
      </w:r>
      <w:bookmarkEnd w:id="24"/>
    </w:p>
    <w:p w14:paraId="4886A66E" w14:textId="77777777" w:rsidR="000A0892" w:rsidRDefault="002B1997" w:rsidP="0041024B">
      <w:pPr>
        <w:spacing w:before="120" w:line="240" w:lineRule="auto"/>
        <w:ind w:firstLine="720"/>
      </w:pPr>
      <w:r w:rsidRPr="0041024B">
        <w:t xml:space="preserve">There will be no direct costs to the respondents or record keepers other than their time to participate in each information collection.  </w:t>
      </w:r>
      <w:r w:rsidR="000A0892" w:rsidRPr="0041024B">
        <w:t xml:space="preserve">No capital, start-up, </w:t>
      </w:r>
      <w:r w:rsidR="00FF7761" w:rsidRPr="0041024B">
        <w:t xml:space="preserve">operation, </w:t>
      </w:r>
      <w:r w:rsidR="000A0892" w:rsidRPr="0041024B">
        <w:t>or maintenance costs are involved.</w:t>
      </w:r>
    </w:p>
    <w:p w14:paraId="70ABA4B2" w14:textId="77777777" w:rsidR="00BC6542" w:rsidRPr="0041024B" w:rsidRDefault="00BC6542" w:rsidP="0041024B">
      <w:pPr>
        <w:spacing w:before="120" w:line="240" w:lineRule="auto"/>
        <w:ind w:firstLine="720"/>
      </w:pPr>
    </w:p>
    <w:p w14:paraId="03DA3F99" w14:textId="77777777" w:rsidR="00B6728A" w:rsidRPr="0041024B" w:rsidRDefault="00875AA9" w:rsidP="0041024B">
      <w:pPr>
        <w:pStyle w:val="Heading1"/>
        <w:spacing w:before="120" w:after="0" w:line="240" w:lineRule="auto"/>
        <w:rPr>
          <w:rFonts w:cs="Times New Roman"/>
          <w:szCs w:val="24"/>
        </w:rPr>
      </w:pPr>
      <w:bookmarkStart w:id="25" w:name="_Toc227033754"/>
      <w:bookmarkStart w:id="26" w:name="_Toc322357324"/>
      <w:bookmarkStart w:id="27" w:name="_Toc386703709"/>
      <w:r w:rsidRPr="0041024B">
        <w:rPr>
          <w:rFonts w:cs="Times New Roman"/>
          <w:szCs w:val="24"/>
        </w:rPr>
        <w:t xml:space="preserve">Annualized </w:t>
      </w:r>
      <w:r w:rsidR="00B6728A" w:rsidRPr="0041024B">
        <w:rPr>
          <w:rFonts w:cs="Times New Roman"/>
          <w:szCs w:val="24"/>
        </w:rPr>
        <w:t>Cost to Federal Government</w:t>
      </w:r>
      <w:bookmarkEnd w:id="25"/>
      <w:bookmarkEnd w:id="26"/>
      <w:bookmarkEnd w:id="27"/>
      <w:r w:rsidR="00B6728A" w:rsidRPr="0041024B">
        <w:rPr>
          <w:rFonts w:cs="Times New Roman"/>
          <w:szCs w:val="24"/>
        </w:rPr>
        <w:t xml:space="preserve">  </w:t>
      </w:r>
    </w:p>
    <w:p w14:paraId="66C678AB" w14:textId="77777777" w:rsidR="00BB254C" w:rsidRPr="0041024B" w:rsidRDefault="004118C6" w:rsidP="0041024B">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41024B">
        <w:tab/>
      </w:r>
      <w:r w:rsidR="00BB254C" w:rsidRPr="0041024B">
        <w:t xml:space="preserve">Cost will be incurred by the government in personnel time for overseeing the </w:t>
      </w:r>
      <w:r w:rsidR="00BC380C" w:rsidRPr="0041024B">
        <w:t>project</w:t>
      </w:r>
      <w:r w:rsidR="00BB254C" w:rsidRPr="0041024B">
        <w:t xml:space="preserve">.  </w:t>
      </w:r>
      <w:r w:rsidR="003C5EE6" w:rsidRPr="0041024B">
        <w:t>CDC</w:t>
      </w:r>
      <w:r w:rsidR="00BB254C" w:rsidRPr="0041024B">
        <w:t xml:space="preserve"> time and effort for overseeing the </w:t>
      </w:r>
      <w:r w:rsidR="00674CF0" w:rsidRPr="0041024B">
        <w:t xml:space="preserve">contractor’s assistance with </w:t>
      </w:r>
      <w:r w:rsidR="007830DA" w:rsidRPr="0041024B">
        <w:t>data collection</w:t>
      </w:r>
      <w:r w:rsidR="00121ADB" w:rsidRPr="0041024B">
        <w:t xml:space="preserve"> </w:t>
      </w:r>
      <w:r w:rsidR="00BB254C" w:rsidRPr="0041024B">
        <w:t>and answering questions posed by the contractor and fu</w:t>
      </w:r>
      <w:r w:rsidR="003C5EE6" w:rsidRPr="0041024B">
        <w:t xml:space="preserve">nded </w:t>
      </w:r>
      <w:r w:rsidR="00BC380C" w:rsidRPr="0041024B">
        <w:t>agencies</w:t>
      </w:r>
      <w:r w:rsidR="003C5EE6" w:rsidRPr="0041024B">
        <w:t xml:space="preserve"> are estimated at </w:t>
      </w:r>
      <w:r w:rsidR="00FF7761" w:rsidRPr="0041024B">
        <w:t>4</w:t>
      </w:r>
      <w:r w:rsidR="00BB254C" w:rsidRPr="0041024B">
        <w:t xml:space="preserve">% for </w:t>
      </w:r>
      <w:r w:rsidR="003C5EE6" w:rsidRPr="0041024B">
        <w:t>two</w:t>
      </w:r>
      <w:r w:rsidR="00BB254C" w:rsidRPr="0041024B">
        <w:t xml:space="preserve"> </w:t>
      </w:r>
      <w:r w:rsidR="004A6988" w:rsidRPr="0041024B">
        <w:t xml:space="preserve">GS-13 </w:t>
      </w:r>
      <w:r w:rsidR="002B1997" w:rsidRPr="0041024B">
        <w:t xml:space="preserve">(step 7) </w:t>
      </w:r>
      <w:r w:rsidR="004A6988" w:rsidRPr="0041024B">
        <w:t xml:space="preserve">level </w:t>
      </w:r>
      <w:r w:rsidR="002B1997" w:rsidRPr="0041024B">
        <w:t xml:space="preserve">Atlanta-based </w:t>
      </w:r>
      <w:r w:rsidR="00BB254C" w:rsidRPr="0041024B">
        <w:t>CDC employee</w:t>
      </w:r>
      <w:r w:rsidR="003C5EE6" w:rsidRPr="0041024B">
        <w:t>s</w:t>
      </w:r>
      <w:r w:rsidR="00FF7761" w:rsidRPr="0041024B">
        <w:t xml:space="preserve"> </w:t>
      </w:r>
      <w:r w:rsidR="00BB254C" w:rsidRPr="0041024B">
        <w:t xml:space="preserve">and </w:t>
      </w:r>
      <w:r w:rsidR="002B1997" w:rsidRPr="0041024B">
        <w:t>2</w:t>
      </w:r>
      <w:r w:rsidR="00BB254C" w:rsidRPr="0041024B">
        <w:t xml:space="preserve">% for a </w:t>
      </w:r>
      <w:r w:rsidR="004A6988" w:rsidRPr="0041024B">
        <w:t xml:space="preserve">GS-14 </w:t>
      </w:r>
      <w:r w:rsidR="002B1997" w:rsidRPr="0041024B">
        <w:t xml:space="preserve">(step 8) </w:t>
      </w:r>
      <w:r w:rsidR="004A6988" w:rsidRPr="0041024B">
        <w:t xml:space="preserve">level </w:t>
      </w:r>
      <w:r w:rsidR="002B1997" w:rsidRPr="0041024B">
        <w:t>Atlanta-</w:t>
      </w:r>
      <w:r w:rsidR="002B1997" w:rsidRPr="0041024B">
        <w:lastRenderedPageBreak/>
        <w:t xml:space="preserve">based </w:t>
      </w:r>
      <w:r w:rsidR="00BB254C" w:rsidRPr="0041024B">
        <w:t xml:space="preserve">senior CDC employee a year for the three years of the project.  </w:t>
      </w:r>
      <w:r w:rsidR="004A6988" w:rsidRPr="0041024B">
        <w:t>The senior level employee supervises the two GS13-level employees</w:t>
      </w:r>
      <w:r w:rsidR="003C5EE6" w:rsidRPr="0041024B">
        <w:t>.</w:t>
      </w:r>
      <w:r w:rsidR="00BB254C" w:rsidRPr="0041024B">
        <w:t xml:space="preserve"> </w:t>
      </w:r>
      <w:r w:rsidR="00DB0603" w:rsidRPr="0041024B">
        <w:t xml:space="preserve">The </w:t>
      </w:r>
      <w:r w:rsidR="00355352" w:rsidRPr="0041024B">
        <w:t xml:space="preserve">average annual </w:t>
      </w:r>
      <w:r w:rsidR="00DB0603" w:rsidRPr="0041024B">
        <w:t>cost</w:t>
      </w:r>
      <w:r w:rsidR="00BC380C" w:rsidRPr="0041024B">
        <w:t xml:space="preserve"> to the federal government for oversight and project mana</w:t>
      </w:r>
      <w:r w:rsidR="00DB0603" w:rsidRPr="0041024B">
        <w:t>gement is $</w:t>
      </w:r>
      <w:r w:rsidR="007B211E">
        <w:t>10,807</w:t>
      </w:r>
      <w:r w:rsidR="00BC380C" w:rsidRPr="0041024B">
        <w:t xml:space="preserve"> (</w:t>
      </w:r>
      <w:r w:rsidR="00BC380C" w:rsidRPr="0041024B">
        <w:rPr>
          <w:b/>
        </w:rPr>
        <w:t>Table A.14-1)</w:t>
      </w:r>
      <w:r w:rsidR="00BC380C" w:rsidRPr="0041024B">
        <w:t>.</w:t>
      </w:r>
    </w:p>
    <w:p w14:paraId="671018C7" w14:textId="77777777" w:rsidR="00B06016" w:rsidRPr="0041024B" w:rsidRDefault="00BC380C" w:rsidP="0041024B">
      <w:pPr>
        <w:spacing w:before="120" w:line="240" w:lineRule="auto"/>
        <w:ind w:firstLine="720"/>
      </w:pPr>
      <w:r w:rsidRPr="0041024B">
        <w:t>The contractor’s costs are based on estimates provided by the contractor who will carry out the data collection activities. With the expected period of performance, the annual cost to the federal govern</w:t>
      </w:r>
      <w:r w:rsidR="001713FB" w:rsidRPr="0041024B">
        <w:t>ment</w:t>
      </w:r>
      <w:r w:rsidR="00B06016" w:rsidRPr="0041024B">
        <w:t xml:space="preserve"> from contractor and other expenses</w:t>
      </w:r>
      <w:r w:rsidR="001713FB" w:rsidRPr="0041024B">
        <w:t xml:space="preserve"> is estimated to be</w:t>
      </w:r>
      <w:r w:rsidR="00355352" w:rsidRPr="0041024B">
        <w:t xml:space="preserve"> approximately</w:t>
      </w:r>
      <w:r w:rsidR="00E26505" w:rsidRPr="0041024B">
        <w:t xml:space="preserve"> $</w:t>
      </w:r>
      <w:r w:rsidR="00A7167E" w:rsidRPr="00A7167E">
        <w:t>43,679</w:t>
      </w:r>
      <w:r w:rsidR="00A7167E" w:rsidRPr="00A7167E" w:rsidDel="00A7167E">
        <w:t xml:space="preserve"> </w:t>
      </w:r>
      <w:r w:rsidRPr="0041024B">
        <w:t>(</w:t>
      </w:r>
      <w:r w:rsidRPr="0041024B">
        <w:rPr>
          <w:b/>
          <w:bCs/>
          <w:iCs/>
        </w:rPr>
        <w:t>Table A.14-1</w:t>
      </w:r>
      <w:r w:rsidRPr="0041024B">
        <w:t xml:space="preserve">). </w:t>
      </w:r>
      <w:r w:rsidR="00597C8F" w:rsidRPr="0041024B">
        <w:t xml:space="preserve">This is the cost estimated based on the current funding level of the contractor at approximately $609,969 for </w:t>
      </w:r>
      <w:r w:rsidR="00E373DC">
        <w:t>base year (Aug 2014-2015)</w:t>
      </w:r>
      <w:r w:rsidR="00597C8F" w:rsidRPr="0041024B">
        <w:t xml:space="preserve">, $681,963 for </w:t>
      </w:r>
      <w:r w:rsidR="00E373DC">
        <w:t>option year 2 (Aug 2016-2017)</w:t>
      </w:r>
      <w:r w:rsidR="00597C8F" w:rsidRPr="0041024B">
        <w:t>, and $</w:t>
      </w:r>
      <w:r w:rsidR="004E4FDB" w:rsidRPr="0041024B">
        <w:t>852,474</w:t>
      </w:r>
      <w:r w:rsidR="00597C8F" w:rsidRPr="0041024B">
        <w:t xml:space="preserve"> for </w:t>
      </w:r>
      <w:r w:rsidR="00E373DC">
        <w:t>option year 3 (Aug 2017-2018)</w:t>
      </w:r>
      <w:r w:rsidR="00597C8F" w:rsidRPr="0041024B">
        <w:t xml:space="preserve"> and the percentage of the contractor’s effort that is anticipated for this specific information collection.  </w:t>
      </w:r>
      <w:r w:rsidR="00355352" w:rsidRPr="0041024B">
        <w:t xml:space="preserve">It is estimated this data collection will take approximately </w:t>
      </w:r>
      <w:r w:rsidR="002B1997" w:rsidRPr="0041024B">
        <w:t>6</w:t>
      </w:r>
      <w:r w:rsidR="00355352" w:rsidRPr="0041024B">
        <w:t xml:space="preserve">% of the contractor’s effort in the </w:t>
      </w:r>
      <w:r w:rsidR="00A7167E">
        <w:t>base</w:t>
      </w:r>
      <w:r w:rsidR="00A7167E" w:rsidRPr="0041024B">
        <w:t xml:space="preserve"> </w:t>
      </w:r>
      <w:r w:rsidR="00355352" w:rsidRPr="0041024B">
        <w:t>year</w:t>
      </w:r>
      <w:r w:rsidR="00857E21" w:rsidRPr="0041024B">
        <w:t xml:space="preserve">, </w:t>
      </w:r>
      <w:r w:rsidR="002B1997" w:rsidRPr="0041024B">
        <w:t>5</w:t>
      </w:r>
      <w:r w:rsidR="00355352" w:rsidRPr="0041024B">
        <w:t xml:space="preserve">% of the contractor’s effort in </w:t>
      </w:r>
      <w:r w:rsidR="00A7167E">
        <w:t>option year 2</w:t>
      </w:r>
      <w:r w:rsidR="00355352" w:rsidRPr="0041024B">
        <w:t xml:space="preserve">, and </w:t>
      </w:r>
      <w:r w:rsidR="004E4FDB" w:rsidRPr="0041024B">
        <w:t>4</w:t>
      </w:r>
      <w:r w:rsidR="00355352" w:rsidRPr="0041024B">
        <w:t xml:space="preserve">% of the contractor’s effort in </w:t>
      </w:r>
      <w:r w:rsidR="00A7167E">
        <w:t>option year 3</w:t>
      </w:r>
      <w:r w:rsidR="00355352" w:rsidRPr="0041024B">
        <w:t>.</w:t>
      </w:r>
      <w:r w:rsidR="004E4FDB" w:rsidRPr="0041024B">
        <w:t xml:space="preserve">  This totals $104,795.25 over the three years, which annualizes to $34,932 per year.</w:t>
      </w:r>
      <w:r w:rsidR="00355352" w:rsidRPr="0041024B">
        <w:t xml:space="preserve">  </w:t>
      </w:r>
      <w:r w:rsidR="000761A1" w:rsidRPr="0041024B">
        <w:t xml:space="preserve">This </w:t>
      </w:r>
      <w:r w:rsidRPr="0041024B">
        <w:t xml:space="preserve">includes the estimated cost of coordination with </w:t>
      </w:r>
      <w:r w:rsidR="001713FB" w:rsidRPr="0041024B">
        <w:t>DASH</w:t>
      </w:r>
      <w:r w:rsidRPr="0041024B">
        <w:t xml:space="preserve">, </w:t>
      </w:r>
      <w:r w:rsidR="000761A1" w:rsidRPr="0041024B">
        <w:t xml:space="preserve">providing assistance to the LEA for </w:t>
      </w:r>
      <w:r w:rsidRPr="0041024B">
        <w:t>data collection</w:t>
      </w:r>
      <w:r w:rsidR="000761A1" w:rsidRPr="0041024B">
        <w:t xml:space="preserve"> and processing, and support for </w:t>
      </w:r>
      <w:r w:rsidRPr="0041024B">
        <w:t>analysis and reporting.</w:t>
      </w:r>
      <w:r w:rsidR="00EA572E" w:rsidRPr="0041024B">
        <w:t xml:space="preserve">  </w:t>
      </w:r>
    </w:p>
    <w:p w14:paraId="6F937045" w14:textId="77777777" w:rsidR="003C77A9" w:rsidRPr="0041024B" w:rsidRDefault="00B06016" w:rsidP="0041024B">
      <w:pPr>
        <w:spacing w:before="120" w:line="240" w:lineRule="auto"/>
        <w:ind w:firstLine="720"/>
      </w:pPr>
      <w:r w:rsidRPr="0041024B">
        <w:t>The total annualized cost to the government, including direct costs to the federal gov</w:t>
      </w:r>
      <w:r w:rsidR="00E26505" w:rsidRPr="0041024B">
        <w:t>ernment and contractor expenses is $</w:t>
      </w:r>
      <w:r w:rsidR="007B211E">
        <w:t>45,739</w:t>
      </w:r>
      <w:r w:rsidR="00E26505" w:rsidRPr="0041024B">
        <w:t>.</w:t>
      </w:r>
    </w:p>
    <w:p w14:paraId="0646E914" w14:textId="77777777" w:rsidR="00BC6542" w:rsidRDefault="00BC6542" w:rsidP="0041024B">
      <w:pPr>
        <w:spacing w:before="120" w:line="240" w:lineRule="auto"/>
        <w:rPr>
          <w:b/>
        </w:rPr>
      </w:pPr>
    </w:p>
    <w:p w14:paraId="696847DB" w14:textId="77777777" w:rsidR="00EA572E" w:rsidRPr="0041024B" w:rsidRDefault="00EA572E" w:rsidP="0041024B">
      <w:pPr>
        <w:spacing w:before="120" w:line="240" w:lineRule="auto"/>
        <w:rPr>
          <w:b/>
        </w:rPr>
      </w:pPr>
      <w:r w:rsidRPr="0041024B">
        <w:rPr>
          <w:b/>
        </w:rPr>
        <w:t>Table A.14-</w:t>
      </w:r>
      <w:r w:rsidR="00B97639" w:rsidRPr="0041024B">
        <w:rPr>
          <w:b/>
        </w:rPr>
        <w:fldChar w:fldCharType="begin"/>
      </w:r>
      <w:r w:rsidRPr="0041024B">
        <w:rPr>
          <w:b/>
        </w:rPr>
        <w:instrText xml:space="preserve"> SEQ Table \* ARABIC </w:instrText>
      </w:r>
      <w:r w:rsidR="00B97639" w:rsidRPr="0041024B">
        <w:rPr>
          <w:b/>
        </w:rPr>
        <w:fldChar w:fldCharType="separate"/>
      </w:r>
      <w:r w:rsidRPr="0041024B">
        <w:rPr>
          <w:b/>
        </w:rPr>
        <w:t>1</w:t>
      </w:r>
      <w:r w:rsidR="00B97639" w:rsidRPr="0041024B">
        <w:rPr>
          <w:b/>
        </w:rPr>
        <w:fldChar w:fldCharType="end"/>
      </w:r>
      <w:r w:rsidRPr="0041024B">
        <w:rPr>
          <w:b/>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EA572E" w:rsidRPr="00BC6542" w14:paraId="535F0896"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099811C" w14:textId="77777777" w:rsidR="00EA572E" w:rsidRPr="0041024B" w:rsidRDefault="00EA572E" w:rsidP="0041024B">
            <w:pPr>
              <w:spacing w:before="120" w:line="240" w:lineRule="auto"/>
              <w:rPr>
                <w:b/>
                <w:bCs/>
              </w:rPr>
            </w:pPr>
            <w:r w:rsidRPr="0041024B">
              <w:rPr>
                <w:b/>
                <w:bCs/>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7BFB063B" w14:textId="77777777" w:rsidR="00EA572E" w:rsidRPr="0041024B" w:rsidRDefault="00EA572E" w:rsidP="0041024B">
            <w:pPr>
              <w:spacing w:before="120" w:line="240" w:lineRule="auto"/>
              <w:rPr>
                <w:b/>
                <w:bCs/>
              </w:rPr>
            </w:pPr>
            <w:r w:rsidRPr="0041024B">
              <w:rPr>
                <w:b/>
                <w:bCs/>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682AF753" w14:textId="77777777" w:rsidR="00EA572E" w:rsidRPr="0041024B" w:rsidRDefault="00EA572E" w:rsidP="0041024B">
            <w:pPr>
              <w:spacing w:before="120" w:line="240" w:lineRule="auto"/>
              <w:rPr>
                <w:b/>
                <w:bCs/>
              </w:rPr>
            </w:pPr>
            <w:r w:rsidRPr="0041024B">
              <w:rPr>
                <w:b/>
                <w:bCs/>
              </w:rPr>
              <w:t>Annual Costs (dollars)</w:t>
            </w:r>
          </w:p>
        </w:tc>
      </w:tr>
      <w:tr w:rsidR="00EA572E" w:rsidRPr="00BC6542" w14:paraId="4ED4D90E"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7FD94FBC" w14:textId="77777777" w:rsidR="00EA572E" w:rsidRPr="0041024B" w:rsidRDefault="00EA572E" w:rsidP="0041024B">
            <w:pPr>
              <w:spacing w:before="120" w:line="240" w:lineRule="auto"/>
              <w:rPr>
                <w:i/>
                <w:iCs/>
              </w:rPr>
            </w:pPr>
            <w:r w:rsidRPr="0041024B">
              <w:rPr>
                <w:b/>
                <w:bCs/>
                <w:i/>
                <w:iCs/>
              </w:rPr>
              <w:t>Direct Cost to the Federal Government</w:t>
            </w:r>
          </w:p>
        </w:tc>
      </w:tr>
      <w:tr w:rsidR="00EA572E" w:rsidRPr="00BC6542" w14:paraId="1B4F3CAB"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697CE5E" w14:textId="77777777" w:rsidR="00EA572E" w:rsidRPr="0041024B" w:rsidRDefault="00EA572E" w:rsidP="0041024B">
            <w:pPr>
              <w:spacing w:before="120" w:line="240" w:lineRule="auto"/>
              <w:rPr>
                <w:b/>
                <w:bCs/>
              </w:rPr>
            </w:pPr>
            <w:r w:rsidRPr="0041024B">
              <w:t>CDC employee oversight for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18D4D5A6" w14:textId="77777777" w:rsidR="00EA572E" w:rsidRPr="0041024B" w:rsidRDefault="00EA572E" w:rsidP="0041024B">
            <w:pPr>
              <w:spacing w:before="120" w:line="240" w:lineRule="auto"/>
            </w:pPr>
            <w:r w:rsidRPr="0041024B">
              <w:t xml:space="preserve">CDC </w:t>
            </w:r>
            <w:r w:rsidR="002B1997" w:rsidRPr="0041024B">
              <w:t>s</w:t>
            </w:r>
            <w:r w:rsidRPr="0041024B">
              <w:t>upervisor labor costs</w:t>
            </w:r>
            <w:r w:rsidR="007B211E">
              <w:t xml:space="preserve"> for 1 employee</w:t>
            </w:r>
            <w:r w:rsidR="00D71144">
              <w:t xml:space="preserve"> at 2% time</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815118E" w14:textId="77777777" w:rsidR="00EA572E" w:rsidRPr="0041024B" w:rsidRDefault="00EA572E" w:rsidP="007B211E">
            <w:pPr>
              <w:spacing w:before="120" w:line="240" w:lineRule="auto"/>
            </w:pPr>
            <w:r w:rsidRPr="0041024B">
              <w:t>$</w:t>
            </w:r>
            <w:r w:rsidR="007B211E">
              <w:t>2,517</w:t>
            </w:r>
          </w:p>
        </w:tc>
      </w:tr>
      <w:tr w:rsidR="00EA572E" w:rsidRPr="00BC6542" w14:paraId="6DD9CE3B"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49D73BEB" w14:textId="77777777" w:rsidR="00EA572E" w:rsidRPr="0041024B" w:rsidRDefault="00EA572E" w:rsidP="0041024B">
            <w:pPr>
              <w:spacing w:before="120" w:line="240" w:lineRule="auto"/>
            </w:pPr>
            <w:r w:rsidRPr="0041024B">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122915E" w14:textId="77777777" w:rsidR="00EA572E" w:rsidRPr="0041024B" w:rsidRDefault="00EA572E" w:rsidP="00D71144">
            <w:pPr>
              <w:spacing w:before="120" w:line="240" w:lineRule="auto"/>
            </w:pPr>
            <w:r w:rsidRPr="0041024B">
              <w:t xml:space="preserve">CDC </w:t>
            </w:r>
            <w:r w:rsidR="002B1997" w:rsidRPr="0041024B">
              <w:t>non-supervisory employee</w:t>
            </w:r>
            <w:r w:rsidRPr="0041024B">
              <w:t xml:space="preserve"> labor costs</w:t>
            </w:r>
            <w:r w:rsidR="007B211E">
              <w:t xml:space="preserve"> for 2 employees</w:t>
            </w:r>
            <w:r w:rsidR="00D71144">
              <w:t>, each at 4% time</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62FABAD" w14:textId="77777777" w:rsidR="00EA572E" w:rsidRPr="0041024B" w:rsidRDefault="00EA572E" w:rsidP="007B211E">
            <w:pPr>
              <w:spacing w:before="120" w:line="240" w:lineRule="auto"/>
            </w:pPr>
            <w:r w:rsidRPr="0041024B">
              <w:t>$</w:t>
            </w:r>
            <w:r w:rsidR="007B211E">
              <w:t>8,290</w:t>
            </w:r>
          </w:p>
        </w:tc>
      </w:tr>
      <w:tr w:rsidR="00EA572E" w:rsidRPr="00BC6542" w14:paraId="3EA50871"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7C9AB16" w14:textId="77777777" w:rsidR="00EA572E" w:rsidRPr="0041024B" w:rsidRDefault="00EA572E" w:rsidP="0041024B">
            <w:pPr>
              <w:spacing w:before="120" w:line="240" w:lineRule="auto"/>
              <w:rPr>
                <w:b/>
                <w:iCs/>
              </w:rPr>
            </w:pPr>
            <w:r w:rsidRPr="0041024B">
              <w:rPr>
                <w:b/>
                <w:iCs/>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6EB55C5B" w14:textId="77777777" w:rsidR="00EA572E" w:rsidRPr="0041024B" w:rsidRDefault="00EA572E" w:rsidP="007B211E">
            <w:pPr>
              <w:spacing w:before="120" w:line="240" w:lineRule="auto"/>
              <w:rPr>
                <w:b/>
                <w:iCs/>
              </w:rPr>
            </w:pPr>
            <w:r w:rsidRPr="0041024B">
              <w:rPr>
                <w:b/>
                <w:iCs/>
              </w:rPr>
              <w:t>$</w:t>
            </w:r>
            <w:r w:rsidR="007B211E">
              <w:rPr>
                <w:b/>
                <w:iCs/>
              </w:rPr>
              <w:t>10,807</w:t>
            </w:r>
          </w:p>
        </w:tc>
      </w:tr>
      <w:tr w:rsidR="00EA572E" w:rsidRPr="00BC6542" w14:paraId="60A75B6D"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5C41BAC7" w14:textId="77777777" w:rsidR="00EA572E" w:rsidRPr="0041024B" w:rsidRDefault="00EA572E" w:rsidP="0041024B">
            <w:pPr>
              <w:spacing w:before="120" w:line="240" w:lineRule="auto"/>
              <w:rPr>
                <w:b/>
                <w:bCs/>
                <w:i/>
                <w:iCs/>
              </w:rPr>
            </w:pPr>
            <w:r w:rsidRPr="0041024B">
              <w:rPr>
                <w:b/>
                <w:bCs/>
                <w:i/>
                <w:iCs/>
              </w:rPr>
              <w:t>Contractor and Other Expenses</w:t>
            </w:r>
          </w:p>
        </w:tc>
      </w:tr>
      <w:tr w:rsidR="00EA572E" w:rsidRPr="00BC6542" w14:paraId="77C6A7BB"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0F6B5D76" w14:textId="77777777" w:rsidR="00EA572E" w:rsidRPr="0041024B" w:rsidRDefault="004E4FDB" w:rsidP="0041024B">
            <w:pPr>
              <w:spacing w:before="120" w:line="240" w:lineRule="auto"/>
            </w:pPr>
            <w:r w:rsidRPr="00BC6542">
              <w:rPr>
                <w:color w:val="000000" w:themeColor="text1"/>
              </w:rPr>
              <w:t>Assistance with data collection, processing, and preliminary analysis</w:t>
            </w:r>
          </w:p>
        </w:tc>
        <w:tc>
          <w:tcPr>
            <w:tcW w:w="3420" w:type="dxa"/>
            <w:tcBorders>
              <w:top w:val="nil"/>
              <w:left w:val="single" w:sz="8" w:space="0" w:color="auto"/>
              <w:bottom w:val="single" w:sz="8" w:space="0" w:color="auto"/>
              <w:right w:val="single" w:sz="8" w:space="0" w:color="auto"/>
            </w:tcBorders>
            <w:vAlign w:val="center"/>
          </w:tcPr>
          <w:p w14:paraId="24ED2AD2" w14:textId="77777777" w:rsidR="00EA572E" w:rsidRPr="0041024B" w:rsidRDefault="004E4FDB" w:rsidP="0041024B">
            <w:pPr>
              <w:spacing w:before="120" w:line="240" w:lineRule="auto"/>
              <w:ind w:left="76"/>
            </w:pPr>
            <w:r w:rsidRPr="00BC6542">
              <w:rPr>
                <w:color w:val="000000" w:themeColor="text1"/>
              </w:rPr>
              <w:t>Labor and other direct costs for 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3990818C" w14:textId="77777777" w:rsidR="00EA572E" w:rsidRPr="0041024B" w:rsidRDefault="00EA572E" w:rsidP="0041024B">
            <w:pPr>
              <w:spacing w:before="120" w:line="240" w:lineRule="auto"/>
            </w:pPr>
            <w:r w:rsidRPr="0041024B">
              <w:t>$</w:t>
            </w:r>
            <w:r w:rsidR="004E4FDB" w:rsidRPr="0041024B">
              <w:t>34,932</w:t>
            </w:r>
          </w:p>
        </w:tc>
      </w:tr>
      <w:tr w:rsidR="00EA572E" w:rsidRPr="00BC6542" w14:paraId="0BC8C101"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B1DA2E7" w14:textId="77777777" w:rsidR="00EA572E" w:rsidRPr="0041024B" w:rsidRDefault="00EA572E" w:rsidP="0041024B">
            <w:pPr>
              <w:spacing w:before="120" w:line="240" w:lineRule="auto"/>
              <w:ind w:left="76"/>
              <w:rPr>
                <w:b/>
              </w:rPr>
            </w:pPr>
            <w:r w:rsidRPr="0041024B">
              <w:rPr>
                <w:b/>
                <w:iCs/>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AFF3608" w14:textId="77777777" w:rsidR="00EA572E" w:rsidRPr="0041024B" w:rsidRDefault="00E26505" w:rsidP="0041024B">
            <w:pPr>
              <w:spacing w:before="120" w:line="240" w:lineRule="auto"/>
              <w:rPr>
                <w:i/>
                <w:iCs/>
              </w:rPr>
            </w:pPr>
            <w:r w:rsidRPr="0041024B">
              <w:rPr>
                <w:b/>
                <w:bCs/>
                <w:color w:val="000000"/>
              </w:rPr>
              <w:t>$</w:t>
            </w:r>
            <w:r w:rsidR="006F1A29" w:rsidRPr="0041024B">
              <w:rPr>
                <w:b/>
                <w:bCs/>
                <w:color w:val="000000"/>
              </w:rPr>
              <w:t>34,932</w:t>
            </w:r>
          </w:p>
        </w:tc>
      </w:tr>
      <w:tr w:rsidR="00EA572E" w:rsidRPr="00BC6542" w14:paraId="5973D58D"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2FA0ECA6" w14:textId="77777777" w:rsidR="00EA572E" w:rsidRPr="0041024B" w:rsidRDefault="00B06016" w:rsidP="0041024B">
            <w:pPr>
              <w:spacing w:before="120" w:line="240" w:lineRule="auto"/>
              <w:ind w:left="76"/>
              <w:rPr>
                <w:b/>
                <w:i/>
                <w:iCs/>
              </w:rPr>
            </w:pPr>
            <w:r w:rsidRPr="0041024B">
              <w:rPr>
                <w:b/>
                <w:i/>
                <w:iCs/>
              </w:rPr>
              <w:t>Total</w:t>
            </w:r>
            <w:r w:rsidR="00EA572E" w:rsidRPr="0041024B">
              <w:rPr>
                <w:b/>
                <w:i/>
                <w:iCs/>
              </w:rPr>
              <w:t xml:space="preserve"> of all annualized expenses</w:t>
            </w:r>
            <w:r w:rsidRPr="0041024B">
              <w:rPr>
                <w:b/>
                <w:i/>
                <w:iCs/>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4BA3795E" w14:textId="77777777" w:rsidR="00EA572E" w:rsidRPr="0041024B" w:rsidRDefault="00E26505" w:rsidP="007B211E">
            <w:pPr>
              <w:spacing w:before="120" w:line="240" w:lineRule="auto"/>
              <w:rPr>
                <w:b/>
                <w:i/>
                <w:iCs/>
              </w:rPr>
            </w:pPr>
            <w:r w:rsidRPr="0041024B">
              <w:rPr>
                <w:b/>
                <w:bCs/>
                <w:i/>
                <w:iCs/>
                <w:color w:val="000000"/>
              </w:rPr>
              <w:t>$</w:t>
            </w:r>
            <w:r w:rsidR="006F1A29" w:rsidRPr="0041024B">
              <w:rPr>
                <w:b/>
                <w:bCs/>
                <w:i/>
                <w:iCs/>
                <w:color w:val="000000"/>
              </w:rPr>
              <w:t>4</w:t>
            </w:r>
            <w:r w:rsidR="007B211E">
              <w:rPr>
                <w:b/>
                <w:bCs/>
                <w:i/>
                <w:iCs/>
                <w:color w:val="000000"/>
              </w:rPr>
              <w:t>5,739</w:t>
            </w:r>
          </w:p>
        </w:tc>
      </w:tr>
    </w:tbl>
    <w:p w14:paraId="4BD46A39" w14:textId="77777777" w:rsidR="00B6728A" w:rsidRPr="0041024B" w:rsidRDefault="00875AA9" w:rsidP="0041024B">
      <w:pPr>
        <w:pStyle w:val="Heading1"/>
        <w:spacing w:before="120" w:after="0" w:line="240" w:lineRule="auto"/>
        <w:rPr>
          <w:rFonts w:cs="Times New Roman"/>
          <w:szCs w:val="24"/>
        </w:rPr>
      </w:pPr>
      <w:bookmarkStart w:id="28" w:name="_Toc386703710"/>
      <w:r w:rsidRPr="0041024B">
        <w:rPr>
          <w:rFonts w:cs="Times New Roman"/>
          <w:szCs w:val="24"/>
        </w:rPr>
        <w:t>Expl</w:t>
      </w:r>
      <w:r w:rsidR="007811F1" w:rsidRPr="0041024B">
        <w:rPr>
          <w:rFonts w:cs="Times New Roman"/>
          <w:szCs w:val="24"/>
        </w:rPr>
        <w:t>anation for Program Changes or A</w:t>
      </w:r>
      <w:r w:rsidRPr="0041024B">
        <w:rPr>
          <w:rFonts w:cs="Times New Roman"/>
          <w:szCs w:val="24"/>
        </w:rPr>
        <w:t>djustments</w:t>
      </w:r>
      <w:bookmarkEnd w:id="28"/>
    </w:p>
    <w:p w14:paraId="2EFBEB0B" w14:textId="77777777" w:rsidR="003C77A9" w:rsidRDefault="00CC0B17" w:rsidP="00A028B3">
      <w:pPr>
        <w:spacing w:before="120" w:line="240" w:lineRule="auto"/>
        <w:ind w:firstLine="720"/>
      </w:pPr>
      <w:bookmarkStart w:id="29" w:name="_Toc227033756"/>
      <w:bookmarkStart w:id="30" w:name="_Toc322357326"/>
      <w:r w:rsidRPr="0041024B">
        <w:t xml:space="preserve">This is a new </w:t>
      </w:r>
      <w:r w:rsidR="006F1A29" w:rsidRPr="0041024B">
        <w:t xml:space="preserve">information </w:t>
      </w:r>
      <w:r w:rsidRPr="0041024B">
        <w:t>collection.</w:t>
      </w:r>
    </w:p>
    <w:p w14:paraId="1174D2C6" w14:textId="77777777" w:rsidR="00A028B3" w:rsidRPr="00A028B3" w:rsidRDefault="00A028B3" w:rsidP="00A028B3">
      <w:pPr>
        <w:spacing w:before="120" w:line="240" w:lineRule="auto"/>
        <w:ind w:firstLine="720"/>
      </w:pPr>
    </w:p>
    <w:p w14:paraId="49C6BE3C" w14:textId="77777777" w:rsidR="00B6728A" w:rsidRPr="00A028B3" w:rsidRDefault="00875AA9" w:rsidP="00A028B3">
      <w:pPr>
        <w:pStyle w:val="Heading1"/>
        <w:spacing w:before="120" w:after="0" w:line="240" w:lineRule="auto"/>
        <w:rPr>
          <w:rFonts w:cs="Times New Roman"/>
          <w:szCs w:val="24"/>
        </w:rPr>
      </w:pPr>
      <w:bookmarkStart w:id="31" w:name="_Toc386703711"/>
      <w:bookmarkEnd w:id="29"/>
      <w:bookmarkEnd w:id="30"/>
      <w:r w:rsidRPr="00A028B3">
        <w:rPr>
          <w:rFonts w:cs="Times New Roman"/>
          <w:szCs w:val="24"/>
        </w:rPr>
        <w:lastRenderedPageBreak/>
        <w:t xml:space="preserve">Plans for </w:t>
      </w:r>
      <w:r w:rsidR="00201205" w:rsidRPr="00A028B3">
        <w:rPr>
          <w:rFonts w:cs="Times New Roman"/>
          <w:szCs w:val="24"/>
        </w:rPr>
        <w:t>Tabulation</w:t>
      </w:r>
      <w:r w:rsidRPr="00A028B3">
        <w:rPr>
          <w:rFonts w:cs="Times New Roman"/>
          <w:szCs w:val="24"/>
        </w:rPr>
        <w:t xml:space="preserve"> and Publication and Project Time Schedule</w:t>
      </w:r>
      <w:bookmarkEnd w:id="31"/>
      <w:r w:rsidR="00B6728A" w:rsidRPr="00A028B3">
        <w:rPr>
          <w:rFonts w:cs="Times New Roman"/>
          <w:szCs w:val="24"/>
        </w:rPr>
        <w:t xml:space="preserve">  </w:t>
      </w:r>
    </w:p>
    <w:p w14:paraId="687CE880" w14:textId="77777777" w:rsidR="00796C00" w:rsidRPr="00A028B3" w:rsidRDefault="00351F65" w:rsidP="00A028B3">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028B3">
        <w:tab/>
      </w:r>
      <w:r w:rsidR="009D2143" w:rsidRPr="00A028B3">
        <w:t xml:space="preserve">Current plans for tabulation and publication of data from this information collection include analyzing data for differences in key outcomes between baseline and follow-up data collections and publication of these findings in written reports for the </w:t>
      </w:r>
      <w:r w:rsidR="006E235B">
        <w:t xml:space="preserve">associated </w:t>
      </w:r>
      <w:r w:rsidR="009D2143" w:rsidRPr="00A028B3">
        <w:t>LEA</w:t>
      </w:r>
      <w:r w:rsidR="007E4AA7" w:rsidRPr="00A028B3">
        <w:t>s</w:t>
      </w:r>
      <w:r w:rsidR="009D2143" w:rsidRPr="00A028B3">
        <w:t xml:space="preserve"> and possibly, peer-reviewed journals.</w:t>
      </w:r>
      <w:r w:rsidR="00CD7A33" w:rsidRPr="00A028B3">
        <w:t xml:space="preserve">  </w:t>
      </w:r>
      <w:r w:rsidR="00796C00" w:rsidRPr="00A028B3">
        <w:t xml:space="preserve">In addition, </w:t>
      </w:r>
      <w:r w:rsidR="001C70D1" w:rsidRPr="00A028B3">
        <w:t>basic analyses of baseline (2015</w:t>
      </w:r>
      <w:r w:rsidR="00796C00" w:rsidRPr="00A028B3">
        <w:t>) data will be shared in written reports for the LEA</w:t>
      </w:r>
      <w:r w:rsidR="006C7C6E">
        <w:t>s</w:t>
      </w:r>
      <w:r w:rsidR="00796C00" w:rsidRPr="00A028B3">
        <w:t xml:space="preserve"> and may also be shared </w:t>
      </w:r>
      <w:r w:rsidR="00BE6D5A" w:rsidRPr="00A028B3">
        <w:t xml:space="preserve">in </w:t>
      </w:r>
      <w:r w:rsidR="00796C00" w:rsidRPr="00A028B3">
        <w:t>published reports for other stakeholders.</w:t>
      </w:r>
      <w:r w:rsidR="00CD7A33" w:rsidRPr="00A028B3">
        <w:t xml:space="preserve">  Since this is a recurring data collection, a 3-year clearance is requested.  </w:t>
      </w:r>
      <w:r w:rsidR="001C70D1" w:rsidRPr="00A028B3">
        <w:t xml:space="preserve">All </w:t>
      </w:r>
      <w:r w:rsidR="00CD7A33" w:rsidRPr="00A028B3">
        <w:t>data collections (</w:t>
      </w:r>
      <w:r w:rsidR="001C70D1" w:rsidRPr="00A028B3">
        <w:t xml:space="preserve">2015, </w:t>
      </w:r>
      <w:r w:rsidR="00CD7A33" w:rsidRPr="00A028B3">
        <w:t>2016</w:t>
      </w:r>
      <w:r w:rsidR="001C70D1" w:rsidRPr="00A028B3">
        <w:t>,</w:t>
      </w:r>
      <w:r w:rsidR="00CD7A33" w:rsidRPr="00A028B3">
        <w:t xml:space="preserve"> and 2018) will be covered by this Information Collection Request.  </w:t>
      </w:r>
    </w:p>
    <w:p w14:paraId="1AF05523" w14:textId="77777777" w:rsidR="00796C00" w:rsidRPr="00A028B3" w:rsidRDefault="00796C00" w:rsidP="00A028B3">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p>
    <w:p w14:paraId="10FEE301" w14:textId="77777777" w:rsidR="00796C00" w:rsidRPr="00A028B3" w:rsidRDefault="00796C00" w:rsidP="00A028B3">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u w:val="single"/>
        </w:rPr>
      </w:pPr>
      <w:r w:rsidRPr="00A028B3">
        <w:rPr>
          <w:u w:val="single"/>
        </w:rPr>
        <w:t>Analysis Plan</w:t>
      </w:r>
    </w:p>
    <w:p w14:paraId="1D575530" w14:textId="77777777" w:rsidR="00796C00" w:rsidRPr="00A028B3" w:rsidRDefault="00796C00" w:rsidP="00A028B3">
      <w:pPr>
        <w:spacing w:before="120" w:line="240" w:lineRule="auto"/>
        <w:ind w:firstLine="720"/>
      </w:pPr>
      <w:r w:rsidRPr="00A028B3">
        <w:t xml:space="preserve">Data will be analyzed using both descriptive and inferential statistics. As relevant, data reduction techniques/factor analyses and item correlation analyses will be used to develop scales from within the </w:t>
      </w:r>
      <w:r w:rsidR="00436D01" w:rsidRPr="00A028B3">
        <w:t>questionnaire</w:t>
      </w:r>
      <w:r w:rsidRPr="00A028B3">
        <w:t xml:space="preserve"> items, as needed. Descriptive statistics of data will assist in data cleaning, generating additional hypotheses, and s</w:t>
      </w:r>
      <w:r w:rsidR="0010345E" w:rsidRPr="00A028B3">
        <w:t xml:space="preserve">ummarizing </w:t>
      </w:r>
      <w:r w:rsidR="006C7C6E">
        <w:t>service</w:t>
      </w:r>
      <w:r w:rsidR="0010345E" w:rsidRPr="00A028B3">
        <w:t xml:space="preserve"> characteristics </w:t>
      </w:r>
      <w:r w:rsidR="006C7C6E">
        <w:t xml:space="preserve">(not data on relationships between the CBOs/HWCs and the LEAs) </w:t>
      </w:r>
      <w:r w:rsidR="0010345E" w:rsidRPr="00A028B3">
        <w:t>for each CBO and</w:t>
      </w:r>
      <w:r w:rsidR="00F84B01" w:rsidRPr="00A028B3">
        <w:t xml:space="preserve"> </w:t>
      </w:r>
      <w:r w:rsidR="006C7C6E">
        <w:t>HWC</w:t>
      </w:r>
      <w:r w:rsidR="00F84B01" w:rsidRPr="00A028B3">
        <w:t>, then pooling all the data</w:t>
      </w:r>
      <w:r w:rsidR="006C7C6E">
        <w:t xml:space="preserve"> (including data on the relationships between the CBOs/HWCs and the LEAs)</w:t>
      </w:r>
      <w:r w:rsidR="0010345E" w:rsidRPr="00A028B3">
        <w:t xml:space="preserve"> together for each LEA</w:t>
      </w:r>
      <w:r w:rsidR="006C7C6E">
        <w:t>/community</w:t>
      </w:r>
      <w:r w:rsidR="0010345E" w:rsidRPr="00A028B3">
        <w:t xml:space="preserve">, </w:t>
      </w:r>
      <w:r w:rsidRPr="00A028B3">
        <w:t xml:space="preserve">and at each data collection time point. </w:t>
      </w:r>
    </w:p>
    <w:p w14:paraId="3A6BD247" w14:textId="77777777" w:rsidR="00F84B01" w:rsidRPr="00775214" w:rsidRDefault="00796C00" w:rsidP="00A028B3">
      <w:pPr>
        <w:spacing w:before="120" w:line="240" w:lineRule="auto"/>
        <w:ind w:firstLine="720"/>
      </w:pPr>
      <w:r w:rsidRPr="00A028B3">
        <w:t xml:space="preserve">To address our primary </w:t>
      </w:r>
      <w:r w:rsidR="00C30D2C" w:rsidRPr="00A028B3">
        <w:t xml:space="preserve">evaluation </w:t>
      </w:r>
      <w:r w:rsidRPr="00A028B3">
        <w:t xml:space="preserve">question about the effect of the PS13-1308 activities </w:t>
      </w:r>
      <w:r w:rsidR="006C7C6E">
        <w:t>on building and strengthening relationships with CBO and HWC partners and increasing services available to YMSM</w:t>
      </w:r>
      <w:r w:rsidRPr="00A028B3">
        <w:t xml:space="preserve">, we plan to pool the data from </w:t>
      </w:r>
      <w:r w:rsidR="0010345E" w:rsidRPr="00A028B3">
        <w:t xml:space="preserve">CBOs and </w:t>
      </w:r>
      <w:r w:rsidR="006C7C6E">
        <w:t>HWCs</w:t>
      </w:r>
      <w:r w:rsidR="006C7C6E" w:rsidRPr="00A028B3">
        <w:t xml:space="preserve"> </w:t>
      </w:r>
      <w:r w:rsidR="0010345E" w:rsidRPr="00A028B3">
        <w:t xml:space="preserve">that are linked to the schools involved in the program in each LEA. </w:t>
      </w:r>
      <w:r w:rsidRPr="00A028B3">
        <w:t>We will examine</w:t>
      </w:r>
      <w:r w:rsidR="00B748BD">
        <w:t xml:space="preserve"> the characteristics and qualities of the CBO and </w:t>
      </w:r>
      <w:r w:rsidR="006C7C6E">
        <w:t xml:space="preserve">HWC </w:t>
      </w:r>
      <w:r w:rsidR="00B748BD">
        <w:t>partners using descriptive statistics; examine</w:t>
      </w:r>
      <w:r w:rsidRPr="00A028B3">
        <w:t xml:space="preserve"> changes in </w:t>
      </w:r>
      <w:r w:rsidR="00B748BD">
        <w:t>the partnership quality between respondents and the LEAs over time; and predictors of successful partnerships with the LEAs, for example.</w:t>
      </w:r>
      <w:r w:rsidRPr="00A028B3">
        <w:t xml:space="preserve"> The samples will be successive independent samples (non-linked). </w:t>
      </w:r>
      <w:r w:rsidR="00775214">
        <w:t xml:space="preserve">Descriptive statistics will be presented by </w:t>
      </w:r>
      <w:r w:rsidR="006C7C6E">
        <w:t>LEA</w:t>
      </w:r>
      <w:r w:rsidR="00775214">
        <w:t xml:space="preserve"> and across </w:t>
      </w:r>
      <w:r w:rsidR="006C7C6E">
        <w:t>LEAs</w:t>
      </w:r>
      <w:r w:rsidR="00775214">
        <w:t xml:space="preserve"> using means, </w:t>
      </w:r>
      <w:r w:rsidR="00775214" w:rsidRPr="00775214">
        <w:t xml:space="preserve">percentages, and counts as appropriate. </w:t>
      </w:r>
      <w:r w:rsidR="00B748BD" w:rsidRPr="00775214">
        <w:t>T tests and chi-square analyse</w:t>
      </w:r>
      <w:r w:rsidR="001C3ADE" w:rsidRPr="00775214">
        <w:t xml:space="preserve">s </w:t>
      </w:r>
      <w:r w:rsidR="003D3343" w:rsidRPr="00775214">
        <w:t xml:space="preserve">will be </w:t>
      </w:r>
      <w:r w:rsidR="00B748BD" w:rsidRPr="00775214">
        <w:t>used</w:t>
      </w:r>
      <w:r w:rsidR="003D3343" w:rsidRPr="00775214">
        <w:t xml:space="preserve"> to assess differences between years</w:t>
      </w:r>
      <w:r w:rsidR="001C3ADE" w:rsidRPr="00775214">
        <w:t xml:space="preserve"> (e.g. baseline, 2016, and 2018)</w:t>
      </w:r>
      <w:r w:rsidR="003D3343" w:rsidRPr="00775214">
        <w:t xml:space="preserve">. </w:t>
      </w:r>
      <w:r w:rsidR="00775214" w:rsidRPr="00775214">
        <w:t xml:space="preserve"> Linear or logistic regression will be used to examine predictors of outcomes of interest. </w:t>
      </w:r>
      <w:r w:rsidR="003D3343" w:rsidRPr="00775214">
        <w:t xml:space="preserve"> </w:t>
      </w:r>
      <w:r w:rsidR="00F84B01" w:rsidRPr="00775214">
        <w:t xml:space="preserve">A few example table shells are provided in </w:t>
      </w:r>
      <w:r w:rsidR="00967CA3" w:rsidRPr="00775214">
        <w:rPr>
          <w:b/>
        </w:rPr>
        <w:t xml:space="preserve">Attachment </w:t>
      </w:r>
      <w:r w:rsidR="00294872">
        <w:rPr>
          <w:b/>
        </w:rPr>
        <w:t>1</w:t>
      </w:r>
      <w:r w:rsidR="00083539">
        <w:rPr>
          <w:b/>
        </w:rPr>
        <w:t>3</w:t>
      </w:r>
      <w:r w:rsidR="00F84B01" w:rsidRPr="00775214">
        <w:t>. Qualitative data will be summarized from open-ended questions.</w:t>
      </w:r>
    </w:p>
    <w:p w14:paraId="556EBE57" w14:textId="77777777" w:rsidR="00F84B01" w:rsidRPr="00A028B3" w:rsidRDefault="00F84B01" w:rsidP="00A028B3">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p>
    <w:p w14:paraId="1488F390" w14:textId="77777777" w:rsidR="00796C00" w:rsidRPr="00A028B3" w:rsidRDefault="00796C00" w:rsidP="00A028B3">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u w:val="single"/>
        </w:rPr>
      </w:pPr>
      <w:r w:rsidRPr="00A028B3">
        <w:rPr>
          <w:u w:val="single"/>
        </w:rPr>
        <w:t>Project Time Schedule</w:t>
      </w:r>
    </w:p>
    <w:p w14:paraId="64F49AA0" w14:textId="77777777" w:rsidR="001B6301" w:rsidRPr="00A028B3" w:rsidRDefault="00527618" w:rsidP="00A028B3">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pPr>
      <w:r w:rsidRPr="00A028B3">
        <w:tab/>
        <w:t>Baseline data are schedu</w:t>
      </w:r>
      <w:r w:rsidR="00F84B01" w:rsidRPr="00A028B3">
        <w:t>led to be collected in 2015</w:t>
      </w:r>
      <w:r w:rsidRPr="00A028B3">
        <w:t xml:space="preserve">.  </w:t>
      </w:r>
      <w:r w:rsidR="005A36B9" w:rsidRPr="00A028B3">
        <w:t xml:space="preserve">The baseline data </w:t>
      </w:r>
      <w:r w:rsidRPr="00A028B3">
        <w:t xml:space="preserve">are likely to be analyzed, summarized, and </w:t>
      </w:r>
      <w:r w:rsidR="005A36B9" w:rsidRPr="00A028B3">
        <w:t>reported</w:t>
      </w:r>
      <w:r w:rsidRPr="00A028B3">
        <w:t xml:space="preserve"> (through unpublished or published reports) in 2015.  The first round of follow-up data (data collected at the mid-point of the program) will be collected in </w:t>
      </w:r>
      <w:r w:rsidR="00C30D2C" w:rsidRPr="00A028B3">
        <w:t xml:space="preserve">Fall </w:t>
      </w:r>
      <w:r w:rsidRPr="00A028B3">
        <w:t>2016</w:t>
      </w:r>
      <w:r w:rsidR="00F84B01" w:rsidRPr="00A028B3">
        <w:t xml:space="preserve"> and the second round of follow-up data will be collected in </w:t>
      </w:r>
      <w:r w:rsidR="00C30D2C" w:rsidRPr="00A028B3">
        <w:t xml:space="preserve">Spring </w:t>
      </w:r>
      <w:r w:rsidR="00F84B01" w:rsidRPr="00A028B3">
        <w:t>2018</w:t>
      </w:r>
      <w:r w:rsidRPr="00A028B3">
        <w:t>.  These data, and differences in baseline and follow-up data, are likely to be analyzed</w:t>
      </w:r>
      <w:r w:rsidR="008638F5" w:rsidRPr="00A028B3">
        <w:t>, summarized, and shared through unpublished or published reports</w:t>
      </w:r>
      <w:r w:rsidRPr="00A028B3">
        <w:t xml:space="preserve"> in </w:t>
      </w:r>
      <w:r w:rsidR="00F84B01" w:rsidRPr="00A028B3">
        <w:t>2016 and 2018</w:t>
      </w:r>
      <w:r w:rsidR="008638F5" w:rsidRPr="00A028B3">
        <w:t>.</w:t>
      </w:r>
      <w:r w:rsidR="00F84B01" w:rsidRPr="00A028B3">
        <w:t xml:space="preserve"> </w:t>
      </w:r>
      <w:r w:rsidR="001B6301" w:rsidRPr="00A028B3">
        <w:t>A three year clearance is being requested</w:t>
      </w:r>
      <w:r w:rsidR="008638F5" w:rsidRPr="00A028B3">
        <w:t xml:space="preserve">.  </w:t>
      </w:r>
    </w:p>
    <w:p w14:paraId="16DCD8A0" w14:textId="77777777" w:rsidR="005445E7" w:rsidRPr="00A028B3" w:rsidRDefault="005445E7" w:rsidP="00A028B3">
      <w:pPr>
        <w:spacing w:before="120" w:line="240" w:lineRule="auto"/>
      </w:pPr>
    </w:p>
    <w:p w14:paraId="316F2634" w14:textId="77777777" w:rsidR="00BB1878" w:rsidRPr="00BC6542" w:rsidRDefault="00BB1878" w:rsidP="00BC6542">
      <w:pPr>
        <w:spacing w:before="120" w:line="240" w:lineRule="auto"/>
        <w:rPr>
          <w:b/>
          <w:color w:val="000000" w:themeColor="text1"/>
        </w:rPr>
      </w:pPr>
      <w:r w:rsidRPr="00BC6542">
        <w:rPr>
          <w:b/>
          <w:color w:val="000000" w:themeColor="text1"/>
        </w:rPr>
        <w:t>Figure A.16-1: DASH Project Time Schedule</w:t>
      </w:r>
    </w:p>
    <w:p w14:paraId="10195596" w14:textId="77777777" w:rsidR="00BB1878" w:rsidRPr="00BC6542" w:rsidRDefault="00BB1878" w:rsidP="000344C8">
      <w:pPr>
        <w:spacing w:before="120" w:line="240" w:lineRule="auto"/>
        <w:rPr>
          <w:b/>
          <w:color w:val="000000" w:themeColor="text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3710"/>
      </w:tblGrid>
      <w:tr w:rsidR="00BB1878" w:rsidRPr="00BC6542" w14:paraId="5979B260" w14:textId="77777777" w:rsidTr="00467FA3">
        <w:trPr>
          <w:tblHeader/>
        </w:trPr>
        <w:tc>
          <w:tcPr>
            <w:tcW w:w="5490" w:type="dxa"/>
            <w:tcBorders>
              <w:bottom w:val="single" w:sz="4" w:space="0" w:color="auto"/>
            </w:tcBorders>
            <w:vAlign w:val="center"/>
          </w:tcPr>
          <w:p w14:paraId="36F513EA" w14:textId="77777777" w:rsidR="00BB1878" w:rsidRPr="00BC6542" w:rsidRDefault="00BB1878" w:rsidP="004823F3">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BC6542">
              <w:rPr>
                <w:b/>
                <w:color w:val="000000" w:themeColor="text1"/>
              </w:rPr>
              <w:lastRenderedPageBreak/>
              <w:t>Activity</w:t>
            </w:r>
          </w:p>
        </w:tc>
        <w:tc>
          <w:tcPr>
            <w:tcW w:w="3798" w:type="dxa"/>
            <w:tcBorders>
              <w:bottom w:val="single" w:sz="4" w:space="0" w:color="auto"/>
            </w:tcBorders>
            <w:vAlign w:val="center"/>
          </w:tcPr>
          <w:p w14:paraId="7309C93A" w14:textId="77777777" w:rsidR="00BB1878" w:rsidRPr="00BC6542" w:rsidRDefault="00BB187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BC6542">
              <w:rPr>
                <w:b/>
                <w:color w:val="000000" w:themeColor="text1"/>
              </w:rPr>
              <w:t>Time Schedule</w:t>
            </w:r>
          </w:p>
        </w:tc>
      </w:tr>
      <w:tr w:rsidR="00BB1878" w:rsidRPr="00BC6542" w14:paraId="67E5B564" w14:textId="77777777" w:rsidTr="00467FA3">
        <w:trPr>
          <w:tblHeader/>
        </w:trPr>
        <w:tc>
          <w:tcPr>
            <w:tcW w:w="9288" w:type="dxa"/>
            <w:gridSpan w:val="2"/>
            <w:shd w:val="clear" w:color="auto" w:fill="D9D9D9" w:themeFill="background1" w:themeFillShade="D9"/>
          </w:tcPr>
          <w:p w14:paraId="2CBCF3E7" w14:textId="77777777" w:rsidR="00BB1878" w:rsidRPr="00A028B3" w:rsidRDefault="00BB1878" w:rsidP="00BC6542">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A028B3">
              <w:rPr>
                <w:b/>
                <w:color w:val="000000" w:themeColor="text1"/>
              </w:rPr>
              <w:t>First round of data collection (baseline)</w:t>
            </w:r>
          </w:p>
        </w:tc>
      </w:tr>
      <w:tr w:rsidR="00BB1878" w:rsidRPr="00BC6542" w14:paraId="10545C0C" w14:textId="77777777" w:rsidTr="00467FA3">
        <w:trPr>
          <w:tblHeader/>
        </w:trPr>
        <w:tc>
          <w:tcPr>
            <w:tcW w:w="5490" w:type="dxa"/>
          </w:tcPr>
          <w:p w14:paraId="726C9A50"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Design Web-based questionnaire</w:t>
            </w:r>
          </w:p>
        </w:tc>
        <w:tc>
          <w:tcPr>
            <w:tcW w:w="3798" w:type="dxa"/>
          </w:tcPr>
          <w:p w14:paraId="4B68D8DC" w14:textId="77777777" w:rsidR="00BB1878" w:rsidRPr="00BC6542"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BC6542">
              <w:rPr>
                <w:color w:val="000000" w:themeColor="text1"/>
              </w:rPr>
              <w:t>Complete</w:t>
            </w:r>
          </w:p>
        </w:tc>
      </w:tr>
      <w:tr w:rsidR="00BB1878" w:rsidRPr="00BC6542" w14:paraId="15E875E3" w14:textId="77777777" w:rsidTr="00467FA3">
        <w:trPr>
          <w:tblHeader/>
        </w:trPr>
        <w:tc>
          <w:tcPr>
            <w:tcW w:w="5490" w:type="dxa"/>
          </w:tcPr>
          <w:p w14:paraId="0F5BEFF6"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Pilot test Web-based questionnaire</w:t>
            </w:r>
          </w:p>
        </w:tc>
        <w:tc>
          <w:tcPr>
            <w:tcW w:w="3798" w:type="dxa"/>
          </w:tcPr>
          <w:p w14:paraId="55115B4D" w14:textId="77777777" w:rsidR="00BB1878" w:rsidRPr="00BC6542" w:rsidRDefault="00BB1878" w:rsidP="000344C8">
            <w:pPr>
              <w:spacing w:before="120" w:line="240" w:lineRule="auto"/>
              <w:jc w:val="center"/>
              <w:rPr>
                <w:color w:val="000000" w:themeColor="text1"/>
              </w:rPr>
            </w:pPr>
            <w:r w:rsidRPr="00BC6542">
              <w:rPr>
                <w:color w:val="000000" w:themeColor="text1"/>
              </w:rPr>
              <w:t>Complete</w:t>
            </w:r>
          </w:p>
        </w:tc>
      </w:tr>
      <w:tr w:rsidR="00BB1878" w:rsidRPr="00BC6542" w14:paraId="4612D1FA" w14:textId="77777777" w:rsidTr="00467FA3">
        <w:trPr>
          <w:tblHeader/>
        </w:trPr>
        <w:tc>
          <w:tcPr>
            <w:tcW w:w="5490" w:type="dxa"/>
          </w:tcPr>
          <w:p w14:paraId="11FF41EF"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Prepare OMB package</w:t>
            </w:r>
          </w:p>
        </w:tc>
        <w:tc>
          <w:tcPr>
            <w:tcW w:w="3798" w:type="dxa"/>
          </w:tcPr>
          <w:p w14:paraId="089137B5" w14:textId="77777777" w:rsidR="00BB1878" w:rsidRPr="00BC6542" w:rsidRDefault="00BB1878" w:rsidP="000344C8">
            <w:pPr>
              <w:spacing w:before="120" w:line="240" w:lineRule="auto"/>
              <w:jc w:val="center"/>
              <w:rPr>
                <w:color w:val="000000" w:themeColor="text1"/>
              </w:rPr>
            </w:pPr>
            <w:r w:rsidRPr="00BC6542">
              <w:rPr>
                <w:color w:val="000000" w:themeColor="text1"/>
              </w:rPr>
              <w:t>Complete</w:t>
            </w:r>
          </w:p>
        </w:tc>
      </w:tr>
      <w:tr w:rsidR="00BB1878" w:rsidRPr="00BC6542" w14:paraId="493204E4" w14:textId="77777777" w:rsidTr="00467FA3">
        <w:trPr>
          <w:tblHeader/>
        </w:trPr>
        <w:tc>
          <w:tcPr>
            <w:tcW w:w="5490" w:type="dxa"/>
          </w:tcPr>
          <w:p w14:paraId="5B0E38A3" w14:textId="77777777" w:rsidR="00BB1878" w:rsidRPr="00BC6542" w:rsidRDefault="00BB1878" w:rsidP="004D3C9C">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 xml:space="preserve">Collect e-mail addresses for participating CBO and </w:t>
            </w:r>
            <w:r w:rsidR="004D3C9C">
              <w:rPr>
                <w:color w:val="000000" w:themeColor="text1"/>
              </w:rPr>
              <w:t>HWC</w:t>
            </w:r>
            <w:r w:rsidR="004D3C9C" w:rsidRPr="00BC6542">
              <w:rPr>
                <w:color w:val="000000" w:themeColor="text1"/>
              </w:rPr>
              <w:t xml:space="preserve"> </w:t>
            </w:r>
            <w:r w:rsidRPr="00BC6542">
              <w:rPr>
                <w:color w:val="000000" w:themeColor="text1"/>
              </w:rPr>
              <w:t>staff</w:t>
            </w:r>
          </w:p>
        </w:tc>
        <w:tc>
          <w:tcPr>
            <w:tcW w:w="3798" w:type="dxa"/>
          </w:tcPr>
          <w:p w14:paraId="4B9FB6BB" w14:textId="77777777" w:rsidR="00BB1878" w:rsidRPr="00BC6542"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1-2 months prior to anticipated OMB approval</w:t>
            </w:r>
          </w:p>
        </w:tc>
      </w:tr>
      <w:tr w:rsidR="00BB1878" w:rsidRPr="00BC6542" w14:paraId="7DEDA3BA" w14:textId="77777777" w:rsidTr="00467FA3">
        <w:trPr>
          <w:tblHeader/>
        </w:trPr>
        <w:tc>
          <w:tcPr>
            <w:tcW w:w="5490" w:type="dxa"/>
          </w:tcPr>
          <w:p w14:paraId="1EF27A51"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Receive OMB approval</w:t>
            </w:r>
          </w:p>
        </w:tc>
        <w:tc>
          <w:tcPr>
            <w:tcW w:w="3798" w:type="dxa"/>
          </w:tcPr>
          <w:p w14:paraId="574B46F2" w14:textId="77777777" w:rsidR="00BB1878" w:rsidRPr="00BC6542"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BC6542">
              <w:rPr>
                <w:color w:val="000000" w:themeColor="text1"/>
              </w:rPr>
              <w:t>TBD</w:t>
            </w:r>
          </w:p>
        </w:tc>
      </w:tr>
      <w:tr w:rsidR="00BB1878" w:rsidRPr="00BC6542" w14:paraId="3C7CBEFF" w14:textId="77777777" w:rsidTr="00467FA3">
        <w:trPr>
          <w:tblHeader/>
        </w:trPr>
        <w:tc>
          <w:tcPr>
            <w:tcW w:w="5490" w:type="dxa"/>
          </w:tcPr>
          <w:p w14:paraId="20AF1367"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Administer Web-based questionnaire</w:t>
            </w:r>
          </w:p>
        </w:tc>
        <w:tc>
          <w:tcPr>
            <w:tcW w:w="3798" w:type="dxa"/>
          </w:tcPr>
          <w:p w14:paraId="77882191" w14:textId="77777777" w:rsidR="00BB1878" w:rsidRPr="00BC6542"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0-2 months after OMB approval</w:t>
            </w:r>
          </w:p>
        </w:tc>
      </w:tr>
      <w:tr w:rsidR="00BB1878" w:rsidRPr="00BC6542" w14:paraId="2496320A" w14:textId="77777777" w:rsidTr="00467FA3">
        <w:trPr>
          <w:tblHeader/>
        </w:trPr>
        <w:tc>
          <w:tcPr>
            <w:tcW w:w="5490" w:type="dxa"/>
          </w:tcPr>
          <w:p w14:paraId="18B81847"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Clean questionnaire data</w:t>
            </w:r>
          </w:p>
        </w:tc>
        <w:tc>
          <w:tcPr>
            <w:tcW w:w="3798" w:type="dxa"/>
          </w:tcPr>
          <w:p w14:paraId="698814E3" w14:textId="77777777" w:rsidR="00BB1878" w:rsidRPr="00BC6542"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2-3 months after OMB approval</w:t>
            </w:r>
          </w:p>
        </w:tc>
      </w:tr>
      <w:tr w:rsidR="00BB1878" w:rsidRPr="00BC6542" w14:paraId="7ACCA1B4" w14:textId="77777777" w:rsidTr="00467FA3">
        <w:trPr>
          <w:tblHeader/>
        </w:trPr>
        <w:tc>
          <w:tcPr>
            <w:tcW w:w="5490" w:type="dxa"/>
          </w:tcPr>
          <w:p w14:paraId="310A80DA"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 xml:space="preserve">Analyze questionnaire data </w:t>
            </w:r>
          </w:p>
        </w:tc>
        <w:tc>
          <w:tcPr>
            <w:tcW w:w="3798" w:type="dxa"/>
          </w:tcPr>
          <w:p w14:paraId="7AFDEF27" w14:textId="77777777" w:rsidR="00BB1878" w:rsidRPr="00BC6542"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4-6 months after OMB approval</w:t>
            </w:r>
          </w:p>
        </w:tc>
      </w:tr>
      <w:tr w:rsidR="00BB1878" w:rsidRPr="00BC6542" w14:paraId="087715F4" w14:textId="77777777" w:rsidTr="00467FA3">
        <w:trPr>
          <w:tblHeader/>
        </w:trPr>
        <w:tc>
          <w:tcPr>
            <w:tcW w:w="5490" w:type="dxa"/>
          </w:tcPr>
          <w:p w14:paraId="17645E05"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 xml:space="preserve">Writing (and revising) of baseline data summaries, reports, and/or manuscripts </w:t>
            </w:r>
          </w:p>
        </w:tc>
        <w:tc>
          <w:tcPr>
            <w:tcW w:w="3798" w:type="dxa"/>
          </w:tcPr>
          <w:p w14:paraId="0077A163" w14:textId="77777777" w:rsidR="00BB1878" w:rsidRPr="00BC6542"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7-12 months after OMB approval</w:t>
            </w:r>
          </w:p>
        </w:tc>
      </w:tr>
      <w:tr w:rsidR="00BB1878" w:rsidRPr="00BC6542" w14:paraId="4519B9E4" w14:textId="77777777" w:rsidTr="00467FA3">
        <w:trPr>
          <w:tblHeader/>
        </w:trPr>
        <w:tc>
          <w:tcPr>
            <w:tcW w:w="5490" w:type="dxa"/>
            <w:shd w:val="clear" w:color="auto" w:fill="D9D9D9" w:themeFill="background1" w:themeFillShade="D9"/>
          </w:tcPr>
          <w:p w14:paraId="5B91F3F4" w14:textId="77777777" w:rsidR="00BB1878" w:rsidRPr="00A028B3"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A028B3">
              <w:rPr>
                <w:b/>
                <w:color w:val="000000" w:themeColor="text1"/>
              </w:rPr>
              <w:t>Second Round of Data Collection</w:t>
            </w:r>
            <w:r w:rsidRPr="00BC6542">
              <w:rPr>
                <w:b/>
                <w:color w:val="000000" w:themeColor="text1"/>
              </w:rPr>
              <w:t xml:space="preserve"> (program mid-point)</w:t>
            </w:r>
          </w:p>
        </w:tc>
        <w:tc>
          <w:tcPr>
            <w:tcW w:w="3798" w:type="dxa"/>
            <w:shd w:val="clear" w:color="auto" w:fill="D9D9D9" w:themeFill="background1" w:themeFillShade="D9"/>
          </w:tcPr>
          <w:p w14:paraId="0948B378" w14:textId="77777777" w:rsidR="00BB1878" w:rsidRPr="00A028B3"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p>
        </w:tc>
      </w:tr>
      <w:tr w:rsidR="00BB1878" w:rsidRPr="00BC6542" w14:paraId="56F5D44B" w14:textId="77777777" w:rsidTr="00467FA3">
        <w:trPr>
          <w:tblHeader/>
        </w:trPr>
        <w:tc>
          <w:tcPr>
            <w:tcW w:w="5490" w:type="dxa"/>
          </w:tcPr>
          <w:p w14:paraId="06FD3B9E" w14:textId="77777777" w:rsidR="00BB1878" w:rsidRPr="00BC6542" w:rsidRDefault="00BB1878" w:rsidP="004D3C9C">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 xml:space="preserve">Collect e-mail addresses for participating CBO and </w:t>
            </w:r>
            <w:r w:rsidR="004D3C9C">
              <w:rPr>
                <w:color w:val="000000" w:themeColor="text1"/>
              </w:rPr>
              <w:t>HWC</w:t>
            </w:r>
            <w:r w:rsidR="004D3C9C" w:rsidRPr="00BC6542">
              <w:rPr>
                <w:color w:val="000000" w:themeColor="text1"/>
              </w:rPr>
              <w:t xml:space="preserve"> </w:t>
            </w:r>
            <w:r w:rsidRPr="00BC6542">
              <w:rPr>
                <w:color w:val="000000" w:themeColor="text1"/>
              </w:rPr>
              <w:t>staff</w:t>
            </w:r>
          </w:p>
        </w:tc>
        <w:tc>
          <w:tcPr>
            <w:tcW w:w="3798" w:type="dxa"/>
          </w:tcPr>
          <w:p w14:paraId="3BE4E36E"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16-17 months after OMB approval</w:t>
            </w:r>
          </w:p>
        </w:tc>
      </w:tr>
      <w:tr w:rsidR="00BB1878" w:rsidRPr="00BC6542" w14:paraId="43C0B7E1" w14:textId="77777777" w:rsidTr="00467FA3">
        <w:trPr>
          <w:tblHeader/>
        </w:trPr>
        <w:tc>
          <w:tcPr>
            <w:tcW w:w="5490" w:type="dxa"/>
          </w:tcPr>
          <w:p w14:paraId="2FDE1937"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Administer Web-based questionnaire</w:t>
            </w:r>
          </w:p>
        </w:tc>
        <w:tc>
          <w:tcPr>
            <w:tcW w:w="3798" w:type="dxa"/>
          </w:tcPr>
          <w:p w14:paraId="767A0FE5"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17-19 months after OMB approval</w:t>
            </w:r>
          </w:p>
        </w:tc>
      </w:tr>
      <w:tr w:rsidR="00BB1878" w:rsidRPr="00BC6542" w14:paraId="36D6A7B6" w14:textId="77777777" w:rsidTr="00467FA3">
        <w:trPr>
          <w:tblHeader/>
        </w:trPr>
        <w:tc>
          <w:tcPr>
            <w:tcW w:w="5490" w:type="dxa"/>
          </w:tcPr>
          <w:p w14:paraId="535B1DF6"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Clean questionnaire data</w:t>
            </w:r>
          </w:p>
        </w:tc>
        <w:tc>
          <w:tcPr>
            <w:tcW w:w="3798" w:type="dxa"/>
          </w:tcPr>
          <w:p w14:paraId="69993D6F"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19-20 months after OMB approval</w:t>
            </w:r>
          </w:p>
        </w:tc>
      </w:tr>
      <w:tr w:rsidR="00BB1878" w:rsidRPr="00BC6542" w14:paraId="2327EC51" w14:textId="77777777" w:rsidTr="00467FA3">
        <w:trPr>
          <w:tblHeader/>
        </w:trPr>
        <w:tc>
          <w:tcPr>
            <w:tcW w:w="5490" w:type="dxa"/>
          </w:tcPr>
          <w:p w14:paraId="63ECC988"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 xml:space="preserve">Analyze questionnaire data </w:t>
            </w:r>
          </w:p>
        </w:tc>
        <w:tc>
          <w:tcPr>
            <w:tcW w:w="3798" w:type="dxa"/>
          </w:tcPr>
          <w:p w14:paraId="0DFC4D23"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21-23 months after OMB approval</w:t>
            </w:r>
          </w:p>
        </w:tc>
      </w:tr>
      <w:tr w:rsidR="00BB1878" w:rsidRPr="00BC6542" w14:paraId="0C8ECE9A" w14:textId="77777777" w:rsidTr="00467FA3">
        <w:trPr>
          <w:tblHeader/>
        </w:trPr>
        <w:tc>
          <w:tcPr>
            <w:tcW w:w="5490" w:type="dxa"/>
          </w:tcPr>
          <w:p w14:paraId="4DA1A688"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Writing (and revising) of mid-point data summaries, reports, and/or manuscripts (will include comparison of mid-point and baseline data)</w:t>
            </w:r>
          </w:p>
        </w:tc>
        <w:tc>
          <w:tcPr>
            <w:tcW w:w="3798" w:type="dxa"/>
          </w:tcPr>
          <w:p w14:paraId="4D7E97B5"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24-30 months after OMB approval</w:t>
            </w:r>
          </w:p>
        </w:tc>
      </w:tr>
      <w:tr w:rsidR="00BB1878" w:rsidRPr="00BC6542" w14:paraId="7C7D1258" w14:textId="77777777" w:rsidTr="00467FA3">
        <w:trPr>
          <w:tblHeader/>
        </w:trPr>
        <w:tc>
          <w:tcPr>
            <w:tcW w:w="5490" w:type="dxa"/>
            <w:shd w:val="clear" w:color="auto" w:fill="D9D9D9" w:themeFill="background1" w:themeFillShade="D9"/>
          </w:tcPr>
          <w:p w14:paraId="5D98A73C"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BC6542">
              <w:rPr>
                <w:b/>
                <w:color w:val="000000" w:themeColor="text1"/>
              </w:rPr>
              <w:t>Third</w:t>
            </w:r>
            <w:r w:rsidR="005876C7" w:rsidRPr="00BC6542">
              <w:rPr>
                <w:b/>
                <w:color w:val="000000" w:themeColor="text1"/>
              </w:rPr>
              <w:t xml:space="preserve">/Final </w:t>
            </w:r>
            <w:r w:rsidRPr="00BC6542">
              <w:rPr>
                <w:b/>
                <w:color w:val="000000" w:themeColor="text1"/>
              </w:rPr>
              <w:t>Round of Data Collection (program end-point)</w:t>
            </w:r>
          </w:p>
        </w:tc>
        <w:tc>
          <w:tcPr>
            <w:tcW w:w="3798" w:type="dxa"/>
            <w:shd w:val="clear" w:color="auto" w:fill="D9D9D9" w:themeFill="background1" w:themeFillShade="D9"/>
          </w:tcPr>
          <w:p w14:paraId="445498F7" w14:textId="77777777" w:rsidR="00BB1878" w:rsidRPr="00BC6542" w:rsidRDefault="00BB1878"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p>
        </w:tc>
      </w:tr>
      <w:tr w:rsidR="00BB1878" w:rsidRPr="00BC6542" w14:paraId="0F001E9B" w14:textId="77777777" w:rsidTr="00467FA3">
        <w:trPr>
          <w:tblHeader/>
        </w:trPr>
        <w:tc>
          <w:tcPr>
            <w:tcW w:w="5490" w:type="dxa"/>
          </w:tcPr>
          <w:p w14:paraId="6535B945" w14:textId="77777777" w:rsidR="00BB1878" w:rsidRPr="00BC6542" w:rsidRDefault="00BB1878" w:rsidP="004D3C9C">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 xml:space="preserve">Collect e-mail addresses for participating CBO and </w:t>
            </w:r>
            <w:r w:rsidR="004D3C9C">
              <w:rPr>
                <w:color w:val="000000" w:themeColor="text1"/>
              </w:rPr>
              <w:t>HWC</w:t>
            </w:r>
            <w:r w:rsidR="004D3C9C" w:rsidRPr="00BC6542">
              <w:rPr>
                <w:color w:val="000000" w:themeColor="text1"/>
              </w:rPr>
              <w:t xml:space="preserve"> </w:t>
            </w:r>
            <w:r w:rsidRPr="00BC6542">
              <w:rPr>
                <w:color w:val="000000" w:themeColor="text1"/>
              </w:rPr>
              <w:t>staff</w:t>
            </w:r>
          </w:p>
        </w:tc>
        <w:tc>
          <w:tcPr>
            <w:tcW w:w="3798" w:type="dxa"/>
          </w:tcPr>
          <w:p w14:paraId="59117D48"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33-34 months after OMB approval</w:t>
            </w:r>
          </w:p>
        </w:tc>
      </w:tr>
      <w:tr w:rsidR="00BB1878" w:rsidRPr="00BC6542" w14:paraId="5C8F543B" w14:textId="77777777" w:rsidTr="00467FA3">
        <w:trPr>
          <w:tblHeader/>
        </w:trPr>
        <w:tc>
          <w:tcPr>
            <w:tcW w:w="5490" w:type="dxa"/>
          </w:tcPr>
          <w:p w14:paraId="12A2E5EC"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Administer Web-based questionnaire</w:t>
            </w:r>
          </w:p>
        </w:tc>
        <w:tc>
          <w:tcPr>
            <w:tcW w:w="3798" w:type="dxa"/>
          </w:tcPr>
          <w:p w14:paraId="0E5B3866"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34-35 months after OMB approval</w:t>
            </w:r>
          </w:p>
        </w:tc>
      </w:tr>
      <w:tr w:rsidR="00BB1878" w:rsidRPr="00BC6542" w14:paraId="1DEAE173" w14:textId="77777777" w:rsidTr="00467FA3">
        <w:trPr>
          <w:tblHeader/>
        </w:trPr>
        <w:tc>
          <w:tcPr>
            <w:tcW w:w="5490" w:type="dxa"/>
          </w:tcPr>
          <w:p w14:paraId="019F3799"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Clean questionnaire data</w:t>
            </w:r>
          </w:p>
        </w:tc>
        <w:tc>
          <w:tcPr>
            <w:tcW w:w="3798" w:type="dxa"/>
          </w:tcPr>
          <w:p w14:paraId="5424AC17"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35-36 months after OMB approval</w:t>
            </w:r>
          </w:p>
        </w:tc>
      </w:tr>
      <w:tr w:rsidR="00BB1878" w:rsidRPr="00BC6542" w14:paraId="70EB122E" w14:textId="77777777" w:rsidTr="00467FA3">
        <w:trPr>
          <w:tblHeader/>
        </w:trPr>
        <w:tc>
          <w:tcPr>
            <w:tcW w:w="5490" w:type="dxa"/>
          </w:tcPr>
          <w:p w14:paraId="56D7B7B7"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 xml:space="preserve">Analyze questionnaire data </w:t>
            </w:r>
          </w:p>
        </w:tc>
        <w:tc>
          <w:tcPr>
            <w:tcW w:w="3798" w:type="dxa"/>
          </w:tcPr>
          <w:p w14:paraId="2CAFD780"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37-39 months after OMB approval</w:t>
            </w:r>
          </w:p>
        </w:tc>
      </w:tr>
      <w:tr w:rsidR="00BB1878" w:rsidRPr="00BC6542" w14:paraId="7FD505BC" w14:textId="77777777" w:rsidTr="00467FA3">
        <w:trPr>
          <w:tblHeader/>
        </w:trPr>
        <w:tc>
          <w:tcPr>
            <w:tcW w:w="5490" w:type="dxa"/>
          </w:tcPr>
          <w:p w14:paraId="05254FE6" w14:textId="77777777" w:rsidR="00BB1878" w:rsidRPr="00BC6542" w:rsidRDefault="00BB1878" w:rsidP="00BC6542">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Writing (and revising) of mid-point data summaries, reports, and/or manuscripts (will include comparison of mid-point and baseline data)</w:t>
            </w:r>
          </w:p>
        </w:tc>
        <w:tc>
          <w:tcPr>
            <w:tcW w:w="3798" w:type="dxa"/>
          </w:tcPr>
          <w:p w14:paraId="0376CE4D" w14:textId="77777777" w:rsidR="00BB1878" w:rsidRPr="00BC6542" w:rsidRDefault="005876C7" w:rsidP="000344C8">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BC6542">
              <w:rPr>
                <w:color w:val="000000" w:themeColor="text1"/>
              </w:rPr>
              <w:t>40-46 months after OMB approval</w:t>
            </w:r>
          </w:p>
        </w:tc>
      </w:tr>
    </w:tbl>
    <w:p w14:paraId="2A49EC1E" w14:textId="77777777" w:rsidR="005445E7" w:rsidRPr="00A028B3" w:rsidRDefault="005445E7" w:rsidP="00A028B3">
      <w:pPr>
        <w:spacing w:before="120" w:line="240" w:lineRule="auto"/>
        <w:rPr>
          <w:b/>
        </w:rPr>
      </w:pPr>
    </w:p>
    <w:p w14:paraId="70F4073F" w14:textId="77777777" w:rsidR="00271B75" w:rsidRDefault="00D557AC" w:rsidP="00A028B3">
      <w:pPr>
        <w:spacing w:before="120" w:line="240" w:lineRule="auto"/>
        <w:ind w:firstLine="720"/>
        <w:rPr>
          <w:rFonts w:eastAsia="Calibri"/>
        </w:rPr>
      </w:pPr>
      <w:r w:rsidRPr="00A028B3">
        <w:rPr>
          <w:rFonts w:eastAsia="Calibri"/>
        </w:rPr>
        <w:t>The CDC contractor, with the review and approval of the CDC</w:t>
      </w:r>
      <w:r w:rsidR="00674CF0" w:rsidRPr="00A028B3">
        <w:rPr>
          <w:rFonts w:eastAsia="Calibri"/>
        </w:rPr>
        <w:t xml:space="preserve"> staff</w:t>
      </w:r>
      <w:r w:rsidR="00E4005C" w:rsidRPr="00A028B3">
        <w:rPr>
          <w:rFonts w:eastAsia="Calibri"/>
        </w:rPr>
        <w:t xml:space="preserve"> and </w:t>
      </w:r>
      <w:r w:rsidRPr="00A028B3">
        <w:rPr>
          <w:rFonts w:eastAsia="Calibri"/>
        </w:rPr>
        <w:t>the</w:t>
      </w:r>
      <w:r w:rsidR="006C7C6E">
        <w:rPr>
          <w:rFonts w:eastAsia="Calibri"/>
        </w:rPr>
        <w:t xml:space="preserve"> funded</w:t>
      </w:r>
      <w:r w:rsidRPr="00A028B3">
        <w:rPr>
          <w:rFonts w:eastAsia="Calibri"/>
        </w:rPr>
        <w:t xml:space="preserve"> </w:t>
      </w:r>
      <w:r w:rsidRPr="00A028B3">
        <w:rPr>
          <w:rFonts w:eastAsia="Calibri"/>
        </w:rPr>
        <w:lastRenderedPageBreak/>
        <w:t>LEA</w:t>
      </w:r>
      <w:r w:rsidR="00BB1878" w:rsidRPr="00A028B3">
        <w:rPr>
          <w:rFonts w:eastAsia="Calibri"/>
        </w:rPr>
        <w:t>s</w:t>
      </w:r>
      <w:r w:rsidR="00E4005C" w:rsidRPr="00A028B3">
        <w:rPr>
          <w:rFonts w:eastAsia="Calibri"/>
        </w:rPr>
        <w:t xml:space="preserve">, will develop </w:t>
      </w:r>
      <w:r w:rsidRPr="00A028B3">
        <w:rPr>
          <w:rFonts w:eastAsia="Calibri"/>
        </w:rPr>
        <w:t>specific reports for the LEA</w:t>
      </w:r>
      <w:r w:rsidR="00BB1878" w:rsidRPr="00A028B3">
        <w:rPr>
          <w:rFonts w:eastAsia="Calibri"/>
        </w:rPr>
        <w:t>s</w:t>
      </w:r>
      <w:r w:rsidRPr="00A028B3">
        <w:rPr>
          <w:rFonts w:eastAsia="Calibri"/>
        </w:rPr>
        <w:t xml:space="preserve"> to use for program improvement and communication with the LEA</w:t>
      </w:r>
      <w:r w:rsidR="00BB1878" w:rsidRPr="00A028B3">
        <w:rPr>
          <w:rFonts w:eastAsia="Calibri"/>
        </w:rPr>
        <w:t>s</w:t>
      </w:r>
      <w:r w:rsidRPr="00A028B3">
        <w:rPr>
          <w:rFonts w:eastAsia="Calibri"/>
        </w:rPr>
        <w:t>’ stakeholders.  CDC</w:t>
      </w:r>
      <w:r w:rsidR="00E4005C" w:rsidRPr="00A028B3">
        <w:rPr>
          <w:rFonts w:eastAsia="Calibri"/>
        </w:rPr>
        <w:t xml:space="preserve"> will use </w:t>
      </w:r>
      <w:r w:rsidR="00674CF0" w:rsidRPr="00A028B3">
        <w:rPr>
          <w:rFonts w:eastAsia="Calibri"/>
        </w:rPr>
        <w:t>the LEA</w:t>
      </w:r>
      <w:r w:rsidR="00BB1878" w:rsidRPr="00A028B3">
        <w:rPr>
          <w:rFonts w:eastAsia="Calibri"/>
        </w:rPr>
        <w:t>s</w:t>
      </w:r>
      <w:r w:rsidR="00674CF0" w:rsidRPr="00A028B3">
        <w:rPr>
          <w:rFonts w:eastAsia="Calibri"/>
        </w:rPr>
        <w:t xml:space="preserve">’ </w:t>
      </w:r>
      <w:r w:rsidR="000E2A87" w:rsidRPr="00A028B3">
        <w:rPr>
          <w:rFonts w:eastAsia="Calibri"/>
        </w:rPr>
        <w:t>assessment</w:t>
      </w:r>
      <w:r w:rsidR="00E4005C" w:rsidRPr="00A028B3">
        <w:rPr>
          <w:rFonts w:eastAsia="Calibri"/>
        </w:rPr>
        <w:t xml:space="preserve"> findings during the project period to establish key recommendations for partners on program impact, sustainability, and continued program improvement. </w:t>
      </w:r>
    </w:p>
    <w:p w14:paraId="5CC6FF9C" w14:textId="77777777" w:rsidR="003C77A9" w:rsidRPr="00A028B3" w:rsidRDefault="003C77A9" w:rsidP="00A028B3">
      <w:pPr>
        <w:spacing w:before="120" w:line="240" w:lineRule="auto"/>
        <w:ind w:firstLine="720"/>
        <w:rPr>
          <w:rFonts w:eastAsia="Calibri"/>
        </w:rPr>
      </w:pPr>
    </w:p>
    <w:p w14:paraId="5948EA19" w14:textId="77777777" w:rsidR="00B6728A" w:rsidRPr="00A028B3" w:rsidRDefault="00E4005C" w:rsidP="00A028B3">
      <w:pPr>
        <w:pStyle w:val="Heading1"/>
        <w:spacing w:before="120" w:after="0" w:line="240" w:lineRule="auto"/>
        <w:rPr>
          <w:rFonts w:cs="Times New Roman"/>
          <w:szCs w:val="24"/>
        </w:rPr>
      </w:pPr>
      <w:bookmarkStart w:id="32" w:name="_Toc386703712"/>
      <w:r w:rsidRPr="00A028B3">
        <w:rPr>
          <w:rFonts w:cs="Times New Roman"/>
          <w:szCs w:val="24"/>
        </w:rPr>
        <w:t>Reason(s) Display of OMB Expiration Date is Inappropriate</w:t>
      </w:r>
      <w:bookmarkEnd w:id="32"/>
      <w:r w:rsidRPr="00A028B3">
        <w:rPr>
          <w:rFonts w:cs="Times New Roman"/>
          <w:szCs w:val="24"/>
        </w:rPr>
        <w:t xml:space="preserve">  </w:t>
      </w:r>
    </w:p>
    <w:p w14:paraId="5D49A689" w14:textId="77777777" w:rsidR="00BB1878" w:rsidRDefault="00681301" w:rsidP="00A028B3">
      <w:pPr>
        <w:spacing w:before="120" w:line="240" w:lineRule="auto"/>
      </w:pPr>
      <w:r w:rsidRPr="00BC6542">
        <w:t>The display of the OMB expiration date is not inappropriate. All data collection instruments will display the expiration date for OMB approval of the information collection. We are requesting no exemption.</w:t>
      </w:r>
      <w:bookmarkStart w:id="33" w:name="_Toc386703713"/>
      <w:r w:rsidR="000C533F" w:rsidRPr="00BC6542">
        <w:t xml:space="preserve"> </w:t>
      </w:r>
    </w:p>
    <w:p w14:paraId="6D86AD5C" w14:textId="77777777" w:rsidR="003C77A9" w:rsidRPr="00BC6542" w:rsidRDefault="003C77A9" w:rsidP="00A028B3">
      <w:pPr>
        <w:spacing w:before="120" w:line="240" w:lineRule="auto"/>
      </w:pPr>
    </w:p>
    <w:p w14:paraId="62B58939" w14:textId="77777777" w:rsidR="00B6728A" w:rsidRPr="00A028B3" w:rsidRDefault="00E4005C" w:rsidP="00A028B3">
      <w:pPr>
        <w:pStyle w:val="Heading1"/>
        <w:spacing w:before="120" w:after="0" w:line="240" w:lineRule="auto"/>
        <w:rPr>
          <w:rFonts w:cs="Times New Roman"/>
          <w:szCs w:val="24"/>
        </w:rPr>
      </w:pPr>
      <w:r w:rsidRPr="00A028B3">
        <w:rPr>
          <w:rFonts w:cs="Times New Roman"/>
          <w:szCs w:val="24"/>
        </w:rPr>
        <w:t>Exceptions to Certification for Paperwork Reduction Act Submissions</w:t>
      </w:r>
      <w:bookmarkEnd w:id="33"/>
      <w:r w:rsidRPr="00A028B3">
        <w:rPr>
          <w:rFonts w:cs="Times New Roman"/>
          <w:szCs w:val="24"/>
        </w:rPr>
        <w:t xml:space="preserve">  </w:t>
      </w:r>
    </w:p>
    <w:p w14:paraId="695E31A3" w14:textId="77777777" w:rsidR="004A6988" w:rsidRPr="00A028B3" w:rsidRDefault="00681301" w:rsidP="00A028B3">
      <w:pPr>
        <w:widowControl/>
        <w:autoSpaceDE/>
        <w:autoSpaceDN/>
        <w:adjustRightInd/>
        <w:spacing w:before="120" w:line="240" w:lineRule="auto"/>
      </w:pPr>
      <w:r w:rsidRPr="00A028B3">
        <w:t>There are no exceptions to the certification.  These activities comply with the requirements in 5 CFR 1320.9.</w:t>
      </w:r>
      <w:r w:rsidR="004A6988" w:rsidRPr="00A028B3">
        <w:br w:type="page"/>
      </w:r>
    </w:p>
    <w:p w14:paraId="5DA32390" w14:textId="77777777" w:rsidR="004A6988" w:rsidRPr="00A028B3" w:rsidRDefault="004A6988" w:rsidP="00A028B3">
      <w:pPr>
        <w:spacing w:before="120" w:line="240" w:lineRule="auto"/>
        <w:rPr>
          <w:b/>
        </w:rPr>
      </w:pPr>
      <w:r w:rsidRPr="00A028B3">
        <w:rPr>
          <w:b/>
        </w:rPr>
        <w:lastRenderedPageBreak/>
        <w:t>References</w:t>
      </w:r>
    </w:p>
    <w:p w14:paraId="569833FC" w14:textId="77777777" w:rsidR="004A6988" w:rsidRPr="00A028B3" w:rsidRDefault="004A6988" w:rsidP="00A028B3">
      <w:pPr>
        <w:spacing w:before="120" w:line="240" w:lineRule="auto"/>
        <w:ind w:left="360" w:hanging="360"/>
        <w:rPr>
          <w:noProof/>
        </w:rPr>
      </w:pPr>
      <w:r w:rsidRPr="00A028B3">
        <w:t xml:space="preserve">[1] </w:t>
      </w:r>
      <w:r w:rsidRPr="00A028B3">
        <w:rPr>
          <w:noProof/>
        </w:rPr>
        <w:t xml:space="preserve">Centers for Disease Control and Prevention. (2013a). HIV among gay and bisexual men.   Retrieved March 3, 2014, from </w:t>
      </w:r>
      <w:hyperlink r:id="rId14" w:history="1">
        <w:r w:rsidRPr="00A028B3">
          <w:rPr>
            <w:rStyle w:val="Hyperlink"/>
            <w:noProof/>
          </w:rPr>
          <w:t>http://www.cdc.gov/hiv/pdf/risk_gender_238900B_HIV_Gay_Bisexual_MSM_FS_final.pdf</w:t>
        </w:r>
      </w:hyperlink>
    </w:p>
    <w:p w14:paraId="280F413C" w14:textId="77777777" w:rsidR="004A6988" w:rsidRPr="00A028B3" w:rsidRDefault="004A6988" w:rsidP="00A028B3">
      <w:pPr>
        <w:spacing w:before="120" w:line="240" w:lineRule="auto"/>
        <w:ind w:left="360" w:hanging="360"/>
        <w:rPr>
          <w:noProof/>
        </w:rPr>
      </w:pPr>
      <w:r w:rsidRPr="00A028B3">
        <w:t xml:space="preserve">[2] </w:t>
      </w:r>
      <w:r w:rsidRPr="00A028B3">
        <w:rPr>
          <w:noProof/>
        </w:rPr>
        <w:t xml:space="preserve">Centers for Disease Control and Prevention. (2012a). Estimated HIV incidence in the United States, 2007-2010. </w:t>
      </w:r>
      <w:r w:rsidRPr="00A028B3">
        <w:rPr>
          <w:i/>
          <w:noProof/>
        </w:rPr>
        <w:t>HIV Surveillance Supplemental Report, 17</w:t>
      </w:r>
      <w:r w:rsidRPr="00A028B3">
        <w:rPr>
          <w:noProof/>
        </w:rPr>
        <w:t>(4).</w:t>
      </w:r>
    </w:p>
    <w:p w14:paraId="6C4669D8" w14:textId="77777777" w:rsidR="004A6988" w:rsidRPr="00A028B3" w:rsidRDefault="004A6988" w:rsidP="00A028B3">
      <w:pPr>
        <w:spacing w:before="120" w:line="240" w:lineRule="auto"/>
        <w:ind w:left="360" w:hanging="360"/>
        <w:rPr>
          <w:noProof/>
        </w:rPr>
      </w:pPr>
      <w:r w:rsidRPr="00A028B3">
        <w:t xml:space="preserve">[3] </w:t>
      </w:r>
      <w:r w:rsidRPr="00A028B3">
        <w:rPr>
          <w:noProof/>
        </w:rPr>
        <w:t xml:space="preserve">Centers for Disease Control and Prevention. (2012b). Youth Risk Behavior Surveillance--United States, 2011. </w:t>
      </w:r>
      <w:r w:rsidRPr="00A028B3">
        <w:rPr>
          <w:i/>
          <w:noProof/>
        </w:rPr>
        <w:t>MMWR Surveillance Summaries, 61</w:t>
      </w:r>
      <w:r w:rsidRPr="00A028B3">
        <w:rPr>
          <w:noProof/>
        </w:rPr>
        <w:t xml:space="preserve">(4), 1-168. </w:t>
      </w:r>
    </w:p>
    <w:p w14:paraId="64577582" w14:textId="77777777" w:rsidR="004A6988" w:rsidRPr="00A028B3" w:rsidRDefault="004A6988" w:rsidP="00A028B3">
      <w:pPr>
        <w:pStyle w:val="FootnoteText"/>
        <w:spacing w:before="120" w:line="240" w:lineRule="auto"/>
        <w:ind w:left="360" w:hanging="360"/>
        <w:rPr>
          <w:szCs w:val="24"/>
        </w:rPr>
      </w:pPr>
      <w:r w:rsidRPr="00A028B3">
        <w:rPr>
          <w:szCs w:val="24"/>
        </w:rPr>
        <w:t xml:space="preserve">[4] </w:t>
      </w:r>
      <w:r w:rsidRPr="00A028B3">
        <w:rPr>
          <w:noProof/>
          <w:szCs w:val="24"/>
        </w:rPr>
        <w:t xml:space="preserve">Centers for Disease Control and Prevention. (2011). Sexual identity, sex of sexual contact, and health-risk behaviors among students in grades 9-12--Youth Risk Behavior Surveillance, selected sites, United State, 2001-2009. </w:t>
      </w:r>
      <w:r w:rsidRPr="00A028B3">
        <w:rPr>
          <w:i/>
          <w:noProof/>
          <w:szCs w:val="24"/>
        </w:rPr>
        <w:t>MMWR, 60</w:t>
      </w:r>
      <w:r w:rsidRPr="00A028B3">
        <w:rPr>
          <w:noProof/>
          <w:szCs w:val="24"/>
        </w:rPr>
        <w:t>(SS7), 1-133.</w:t>
      </w:r>
    </w:p>
    <w:p w14:paraId="0A43E7C1" w14:textId="77777777" w:rsidR="004A6988" w:rsidRPr="00A028B3" w:rsidRDefault="004A6988" w:rsidP="00A028B3">
      <w:pPr>
        <w:spacing w:before="120" w:line="240" w:lineRule="auto"/>
        <w:ind w:left="360" w:hanging="360"/>
      </w:pPr>
      <w:r w:rsidRPr="00A028B3">
        <w:t xml:space="preserve">[5] </w:t>
      </w:r>
      <w:r w:rsidRPr="00A028B3">
        <w:rPr>
          <w:noProof/>
        </w:rPr>
        <w:t xml:space="preserve">United States Census Bureau. (2013, September 3, 2013). School enrollment: CPS October 2012--Detailed Tables.   Retrieved March 7, 2014, from </w:t>
      </w:r>
      <w:hyperlink r:id="rId15" w:history="1">
        <w:r w:rsidRPr="00A028B3">
          <w:rPr>
            <w:rStyle w:val="Hyperlink"/>
            <w:noProof/>
          </w:rPr>
          <w:t>http://www.census.gov/hhes/school/</w:t>
        </w:r>
      </w:hyperlink>
    </w:p>
    <w:p w14:paraId="6A1E7D53" w14:textId="77777777" w:rsidR="004A6988" w:rsidRPr="00A028B3" w:rsidRDefault="00823645" w:rsidP="00A028B3">
      <w:pPr>
        <w:pStyle w:val="Default"/>
        <w:spacing w:before="120"/>
        <w:ind w:left="360" w:hanging="360"/>
        <w:rPr>
          <w:rFonts w:ascii="Times New Roman" w:eastAsia="Calibri" w:hAnsi="Times New Roman" w:cs="Times New Roman"/>
        </w:rPr>
      </w:pPr>
      <w:r w:rsidRPr="00A028B3">
        <w:rPr>
          <w:rFonts w:ascii="Times New Roman" w:hAnsi="Times New Roman" w:cs="Times New Roman"/>
        </w:rPr>
        <w:t>[</w:t>
      </w:r>
      <w:r w:rsidR="00AD0540">
        <w:rPr>
          <w:rFonts w:ascii="Times New Roman" w:hAnsi="Times New Roman" w:cs="Times New Roman"/>
        </w:rPr>
        <w:t>6</w:t>
      </w:r>
      <w:r w:rsidR="004A6988" w:rsidRPr="00A028B3">
        <w:rPr>
          <w:rFonts w:ascii="Times New Roman" w:hAnsi="Times New Roman" w:cs="Times New Roman"/>
        </w:rPr>
        <w:t xml:space="preserve">] </w:t>
      </w:r>
      <w:r w:rsidRPr="00A028B3">
        <w:rPr>
          <w:rFonts w:ascii="Times New Roman" w:hAnsi="Times New Roman" w:cs="Times New Roman"/>
        </w:rPr>
        <w:t xml:space="preserve">White House Office of National AIDS Policy.  National HIV/AIDS Strategy for the United States.  </w:t>
      </w:r>
      <w:r w:rsidR="004A6988" w:rsidRPr="00A028B3">
        <w:rPr>
          <w:rFonts w:ascii="Times New Roman" w:eastAsia="Calibri" w:hAnsi="Times New Roman" w:cs="Times New Roman"/>
        </w:rPr>
        <w:t xml:space="preserve">Available at </w:t>
      </w:r>
      <w:r w:rsidRPr="00A028B3">
        <w:rPr>
          <w:rFonts w:ascii="Times New Roman" w:eastAsia="Calibri" w:hAnsi="Times New Roman" w:cs="Times New Roman"/>
        </w:rPr>
        <w:t xml:space="preserve">http://aids.gov/federal-resources/national-hiv-aids-strategy/nhas.pdf. </w:t>
      </w:r>
      <w:r w:rsidR="004A6988" w:rsidRPr="00A028B3">
        <w:rPr>
          <w:rFonts w:ascii="Times New Roman" w:eastAsia="Calibri" w:hAnsi="Times New Roman" w:cs="Times New Roman"/>
        </w:rPr>
        <w:t xml:space="preserve">Accessed October 22, 2012. </w:t>
      </w:r>
    </w:p>
    <w:p w14:paraId="2EBACB6B" w14:textId="77777777" w:rsidR="004A6988" w:rsidRPr="00A028B3" w:rsidRDefault="00823645" w:rsidP="00A028B3">
      <w:pPr>
        <w:pStyle w:val="Default"/>
        <w:spacing w:before="120"/>
        <w:ind w:left="360" w:hanging="360"/>
        <w:rPr>
          <w:rFonts w:ascii="Times New Roman" w:eastAsia="Calibri" w:hAnsi="Times New Roman" w:cs="Times New Roman"/>
        </w:rPr>
      </w:pPr>
      <w:r w:rsidRPr="00A028B3">
        <w:rPr>
          <w:rFonts w:ascii="Times New Roman" w:hAnsi="Times New Roman" w:cs="Times New Roman"/>
        </w:rPr>
        <w:t>[</w:t>
      </w:r>
      <w:r w:rsidR="00AD0540">
        <w:rPr>
          <w:rFonts w:ascii="Times New Roman" w:hAnsi="Times New Roman" w:cs="Times New Roman"/>
        </w:rPr>
        <w:t>7</w:t>
      </w:r>
      <w:r w:rsidR="004A6988" w:rsidRPr="00A028B3">
        <w:rPr>
          <w:rFonts w:ascii="Times New Roman" w:hAnsi="Times New Roman" w:cs="Times New Roman"/>
        </w:rPr>
        <w:t xml:space="preserve">] </w:t>
      </w:r>
      <w:r w:rsidR="004A6988" w:rsidRPr="00A028B3">
        <w:rPr>
          <w:rFonts w:ascii="Times New Roman" w:eastAsia="Calibri" w:hAnsi="Times New Roman" w:cs="Times New Roman"/>
        </w:rPr>
        <w:t xml:space="preserve">Centers for Disease Control and Prevention. Establishing a Holistic Framework to Reduce Inequities in HIV, Viral Hepatitis, STDs, and Tuberculosis in the United States. Atlanta (GA): U.S. Department of Health and Human Services, Centers for Disease Control and Prevention; October 2010 (www.healthypeople.gov/hp2020/advisory/phaseI/glossary.htm and www.cdc.gov/socialdeterminants/docs/SDH-White-Paper-2010.pdf). </w:t>
      </w:r>
    </w:p>
    <w:p w14:paraId="4F1AA1C9" w14:textId="77777777" w:rsidR="004A6988" w:rsidRPr="00A028B3" w:rsidRDefault="00823645" w:rsidP="00A028B3">
      <w:pPr>
        <w:pStyle w:val="Default"/>
        <w:spacing w:before="120"/>
        <w:ind w:left="360" w:hanging="360"/>
        <w:rPr>
          <w:rFonts w:ascii="Times New Roman" w:eastAsia="Calibri" w:hAnsi="Times New Roman" w:cs="Times New Roman"/>
        </w:rPr>
      </w:pPr>
      <w:r w:rsidRPr="00A028B3">
        <w:rPr>
          <w:rFonts w:ascii="Times New Roman" w:hAnsi="Times New Roman" w:cs="Times New Roman"/>
        </w:rPr>
        <w:t>[</w:t>
      </w:r>
      <w:r w:rsidR="00AD0540">
        <w:rPr>
          <w:rFonts w:ascii="Times New Roman" w:hAnsi="Times New Roman" w:cs="Times New Roman"/>
        </w:rPr>
        <w:t>8</w:t>
      </w:r>
      <w:r w:rsidR="004A6988" w:rsidRPr="00A028B3">
        <w:rPr>
          <w:rFonts w:ascii="Times New Roman" w:hAnsi="Times New Roman" w:cs="Times New Roman"/>
        </w:rPr>
        <w:t xml:space="preserve">] </w:t>
      </w:r>
      <w:r w:rsidR="004A6988" w:rsidRPr="00A028B3">
        <w:rPr>
          <w:rFonts w:ascii="Times New Roman" w:eastAsia="Calibri" w:hAnsi="Times New Roman" w:cs="Times New Roman"/>
        </w:rPr>
        <w:t>Centers for Disease Control and Prevention. Winnable Battles. Available at http://www.cdc.gov/winnablebattles. Accessed October 22, 2012.</w:t>
      </w:r>
    </w:p>
    <w:sectPr w:rsidR="004A6988" w:rsidRPr="00A028B3" w:rsidSect="006C753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EC75A" w14:textId="77777777" w:rsidR="00480E96" w:rsidRDefault="00480E96" w:rsidP="00036B1E">
      <w:r>
        <w:separator/>
      </w:r>
    </w:p>
    <w:p w14:paraId="33529ADE" w14:textId="77777777" w:rsidR="00480E96" w:rsidRDefault="00480E96" w:rsidP="00036B1E"/>
    <w:p w14:paraId="030C01F5" w14:textId="77777777" w:rsidR="00480E96" w:rsidRDefault="00480E96" w:rsidP="00036B1E"/>
    <w:p w14:paraId="7EB3B62B" w14:textId="77777777" w:rsidR="00480E96" w:rsidRDefault="00480E96" w:rsidP="00036B1E"/>
    <w:p w14:paraId="4F60893B" w14:textId="77777777" w:rsidR="00480E96" w:rsidRDefault="00480E96" w:rsidP="00036B1E"/>
  </w:endnote>
  <w:endnote w:type="continuationSeparator" w:id="0">
    <w:p w14:paraId="7B7F5275" w14:textId="77777777" w:rsidR="00480E96" w:rsidRDefault="00480E96" w:rsidP="00036B1E">
      <w:r>
        <w:continuationSeparator/>
      </w:r>
    </w:p>
    <w:p w14:paraId="5E8B4D4F" w14:textId="77777777" w:rsidR="00480E96" w:rsidRDefault="00480E96" w:rsidP="00036B1E"/>
    <w:p w14:paraId="2121C4D0" w14:textId="77777777" w:rsidR="00480E96" w:rsidRDefault="00480E96" w:rsidP="00036B1E"/>
    <w:p w14:paraId="278835BB" w14:textId="77777777" w:rsidR="00480E96" w:rsidRDefault="00480E96" w:rsidP="00036B1E"/>
    <w:p w14:paraId="2F821C6E" w14:textId="77777777" w:rsidR="00480E96" w:rsidRDefault="00480E96"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346602"/>
      <w:docPartObj>
        <w:docPartGallery w:val="Page Numbers (Bottom of Page)"/>
        <w:docPartUnique/>
      </w:docPartObj>
    </w:sdtPr>
    <w:sdtEndPr>
      <w:rPr>
        <w:noProof/>
      </w:rPr>
    </w:sdtEndPr>
    <w:sdtContent>
      <w:p w14:paraId="75052C52" w14:textId="77777777" w:rsidR="00A93EC4" w:rsidRDefault="00A93EC4">
        <w:pPr>
          <w:pStyle w:val="Footer"/>
          <w:jc w:val="center"/>
        </w:pPr>
        <w:r>
          <w:fldChar w:fldCharType="begin"/>
        </w:r>
        <w:r>
          <w:instrText xml:space="preserve"> PAGE   \* MERGEFORMAT </w:instrText>
        </w:r>
        <w:r>
          <w:fldChar w:fldCharType="separate"/>
        </w:r>
        <w:r w:rsidR="00BB188E">
          <w:rPr>
            <w:noProof/>
          </w:rPr>
          <w:t>1</w:t>
        </w:r>
        <w:r>
          <w:rPr>
            <w:noProof/>
          </w:rPr>
          <w:fldChar w:fldCharType="end"/>
        </w:r>
      </w:p>
    </w:sdtContent>
  </w:sdt>
  <w:p w14:paraId="62822F10" w14:textId="77777777" w:rsidR="00A93EC4" w:rsidRDefault="00A93EC4" w:rsidP="00036B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38F6F" w14:textId="77777777" w:rsidR="00480E96" w:rsidRDefault="00480E96" w:rsidP="00036B1E">
      <w:r>
        <w:separator/>
      </w:r>
    </w:p>
  </w:footnote>
  <w:footnote w:type="continuationSeparator" w:id="0">
    <w:p w14:paraId="7C81F487" w14:textId="77777777" w:rsidR="00480E96" w:rsidRDefault="00480E96" w:rsidP="00036B1E">
      <w:r>
        <w:continuationSeparator/>
      </w:r>
    </w:p>
    <w:p w14:paraId="208EC7CC" w14:textId="77777777" w:rsidR="00480E96" w:rsidRDefault="00480E96" w:rsidP="00036B1E"/>
    <w:p w14:paraId="20938E31" w14:textId="77777777" w:rsidR="00480E96" w:rsidRDefault="00480E96" w:rsidP="00036B1E"/>
    <w:p w14:paraId="57C2A04D" w14:textId="77777777" w:rsidR="00480E96" w:rsidRDefault="00480E96" w:rsidP="00036B1E"/>
    <w:p w14:paraId="608C9425" w14:textId="77777777" w:rsidR="00480E96" w:rsidRDefault="00480E96"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9" w15:restartNumberingAfterBreak="0">
    <w:nsid w:val="41D00BF2"/>
    <w:multiLevelType w:val="hybridMultilevel"/>
    <w:tmpl w:val="4A18CBE6"/>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1"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942C84"/>
    <w:multiLevelType w:val="hybridMultilevel"/>
    <w:tmpl w:val="313AD844"/>
    <w:lvl w:ilvl="0" w:tplc="AB7C3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E1055AC"/>
    <w:multiLevelType w:val="hybridMultilevel"/>
    <w:tmpl w:val="C0087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DB0242"/>
    <w:multiLevelType w:val="hybridMultilevel"/>
    <w:tmpl w:val="9B3CD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8D5587"/>
    <w:multiLevelType w:val="hybridMultilevel"/>
    <w:tmpl w:val="CFCED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2"/>
  </w:num>
  <w:num w:numId="4">
    <w:abstractNumId w:val="9"/>
  </w:num>
  <w:num w:numId="5">
    <w:abstractNumId w:val="3"/>
  </w:num>
  <w:num w:numId="6">
    <w:abstractNumId w:val="8"/>
  </w:num>
  <w:num w:numId="7">
    <w:abstractNumId w:val="1"/>
  </w:num>
  <w:num w:numId="8">
    <w:abstractNumId w:val="2"/>
  </w:num>
  <w:num w:numId="9">
    <w:abstractNumId w:val="6"/>
  </w:num>
  <w:num w:numId="10">
    <w:abstractNumId w:val="16"/>
  </w:num>
  <w:num w:numId="11">
    <w:abstractNumId w:val="4"/>
  </w:num>
  <w:num w:numId="12">
    <w:abstractNumId w:val="13"/>
  </w:num>
  <w:num w:numId="13">
    <w:abstractNumId w:val="0"/>
  </w:num>
  <w:num w:numId="14">
    <w:abstractNumId w:val="18"/>
  </w:num>
  <w:num w:numId="15">
    <w:abstractNumId w:val="7"/>
  </w:num>
  <w:num w:numId="16">
    <w:abstractNumId w:val="14"/>
  </w:num>
  <w:num w:numId="17">
    <w:abstractNumId w:val="15"/>
  </w:num>
  <w:num w:numId="18">
    <w:abstractNumId w:val="17"/>
  </w:num>
  <w:num w:numId="1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1CA0"/>
    <w:rsid w:val="00013E25"/>
    <w:rsid w:val="00015735"/>
    <w:rsid w:val="0001677E"/>
    <w:rsid w:val="00016FAA"/>
    <w:rsid w:val="00017113"/>
    <w:rsid w:val="0001715C"/>
    <w:rsid w:val="00020293"/>
    <w:rsid w:val="00021B6F"/>
    <w:rsid w:val="00024201"/>
    <w:rsid w:val="0002568B"/>
    <w:rsid w:val="00025AD9"/>
    <w:rsid w:val="00026321"/>
    <w:rsid w:val="00027127"/>
    <w:rsid w:val="000302A1"/>
    <w:rsid w:val="00031D0B"/>
    <w:rsid w:val="0003284A"/>
    <w:rsid w:val="000344C8"/>
    <w:rsid w:val="000352C7"/>
    <w:rsid w:val="000362AA"/>
    <w:rsid w:val="00036B1E"/>
    <w:rsid w:val="00041206"/>
    <w:rsid w:val="000414AE"/>
    <w:rsid w:val="000417D0"/>
    <w:rsid w:val="00042D88"/>
    <w:rsid w:val="00044387"/>
    <w:rsid w:val="000465D0"/>
    <w:rsid w:val="000467C2"/>
    <w:rsid w:val="00051A54"/>
    <w:rsid w:val="000549F6"/>
    <w:rsid w:val="00054C56"/>
    <w:rsid w:val="000635F4"/>
    <w:rsid w:val="000639DE"/>
    <w:rsid w:val="00065CA6"/>
    <w:rsid w:val="00065EC2"/>
    <w:rsid w:val="00065F76"/>
    <w:rsid w:val="00066265"/>
    <w:rsid w:val="0007277D"/>
    <w:rsid w:val="00074538"/>
    <w:rsid w:val="00074812"/>
    <w:rsid w:val="00074864"/>
    <w:rsid w:val="000761A1"/>
    <w:rsid w:val="0007705A"/>
    <w:rsid w:val="0008013B"/>
    <w:rsid w:val="00082C63"/>
    <w:rsid w:val="00082D49"/>
    <w:rsid w:val="00083539"/>
    <w:rsid w:val="00083F51"/>
    <w:rsid w:val="00084BB8"/>
    <w:rsid w:val="00085818"/>
    <w:rsid w:val="00085A3E"/>
    <w:rsid w:val="00085D4F"/>
    <w:rsid w:val="00085D78"/>
    <w:rsid w:val="00086092"/>
    <w:rsid w:val="00086DBC"/>
    <w:rsid w:val="00086EB5"/>
    <w:rsid w:val="00090CC5"/>
    <w:rsid w:val="00091B5B"/>
    <w:rsid w:val="000978FA"/>
    <w:rsid w:val="000A0892"/>
    <w:rsid w:val="000A0BD8"/>
    <w:rsid w:val="000A0E08"/>
    <w:rsid w:val="000A1762"/>
    <w:rsid w:val="000A1A6C"/>
    <w:rsid w:val="000A277E"/>
    <w:rsid w:val="000A2864"/>
    <w:rsid w:val="000A301F"/>
    <w:rsid w:val="000A3ED7"/>
    <w:rsid w:val="000A4B86"/>
    <w:rsid w:val="000A54CA"/>
    <w:rsid w:val="000A588F"/>
    <w:rsid w:val="000A5D35"/>
    <w:rsid w:val="000A5E7B"/>
    <w:rsid w:val="000A68B7"/>
    <w:rsid w:val="000A6F8C"/>
    <w:rsid w:val="000A7273"/>
    <w:rsid w:val="000B1286"/>
    <w:rsid w:val="000B2EB2"/>
    <w:rsid w:val="000B4695"/>
    <w:rsid w:val="000B67A3"/>
    <w:rsid w:val="000B699B"/>
    <w:rsid w:val="000C01F0"/>
    <w:rsid w:val="000C07AC"/>
    <w:rsid w:val="000C248A"/>
    <w:rsid w:val="000C260B"/>
    <w:rsid w:val="000C2831"/>
    <w:rsid w:val="000C2C78"/>
    <w:rsid w:val="000C474E"/>
    <w:rsid w:val="000C4950"/>
    <w:rsid w:val="000C533F"/>
    <w:rsid w:val="000C7AE7"/>
    <w:rsid w:val="000D37F0"/>
    <w:rsid w:val="000D5175"/>
    <w:rsid w:val="000D54E0"/>
    <w:rsid w:val="000D5CD9"/>
    <w:rsid w:val="000D6132"/>
    <w:rsid w:val="000D67A3"/>
    <w:rsid w:val="000D7B54"/>
    <w:rsid w:val="000E0044"/>
    <w:rsid w:val="000E00AE"/>
    <w:rsid w:val="000E2A87"/>
    <w:rsid w:val="000E3043"/>
    <w:rsid w:val="000E4EE5"/>
    <w:rsid w:val="000E5225"/>
    <w:rsid w:val="000E5B81"/>
    <w:rsid w:val="000E5C45"/>
    <w:rsid w:val="000E65D4"/>
    <w:rsid w:val="000F0E5F"/>
    <w:rsid w:val="000F4983"/>
    <w:rsid w:val="000F5A59"/>
    <w:rsid w:val="000F6DD7"/>
    <w:rsid w:val="000F7453"/>
    <w:rsid w:val="000F7A4C"/>
    <w:rsid w:val="000F7E7F"/>
    <w:rsid w:val="00101744"/>
    <w:rsid w:val="0010345E"/>
    <w:rsid w:val="00104E97"/>
    <w:rsid w:val="001052FE"/>
    <w:rsid w:val="0010636A"/>
    <w:rsid w:val="00106D25"/>
    <w:rsid w:val="00111290"/>
    <w:rsid w:val="0011144B"/>
    <w:rsid w:val="001158C2"/>
    <w:rsid w:val="0012023B"/>
    <w:rsid w:val="00121ADB"/>
    <w:rsid w:val="00121E8C"/>
    <w:rsid w:val="00123349"/>
    <w:rsid w:val="00125019"/>
    <w:rsid w:val="00125848"/>
    <w:rsid w:val="00126B4F"/>
    <w:rsid w:val="001278CF"/>
    <w:rsid w:val="00132839"/>
    <w:rsid w:val="00137EC5"/>
    <w:rsid w:val="0014310C"/>
    <w:rsid w:val="001442DC"/>
    <w:rsid w:val="001448DF"/>
    <w:rsid w:val="00144F71"/>
    <w:rsid w:val="00146F6C"/>
    <w:rsid w:val="001474FA"/>
    <w:rsid w:val="00151CF3"/>
    <w:rsid w:val="00152441"/>
    <w:rsid w:val="00152486"/>
    <w:rsid w:val="00154254"/>
    <w:rsid w:val="00154EAD"/>
    <w:rsid w:val="00155131"/>
    <w:rsid w:val="00157AB2"/>
    <w:rsid w:val="00157B98"/>
    <w:rsid w:val="00161D2D"/>
    <w:rsid w:val="00166642"/>
    <w:rsid w:val="0016698A"/>
    <w:rsid w:val="001669F0"/>
    <w:rsid w:val="00166CA4"/>
    <w:rsid w:val="00170034"/>
    <w:rsid w:val="00170107"/>
    <w:rsid w:val="001713FB"/>
    <w:rsid w:val="00172D5C"/>
    <w:rsid w:val="001738A1"/>
    <w:rsid w:val="00174699"/>
    <w:rsid w:val="001758B1"/>
    <w:rsid w:val="001758C2"/>
    <w:rsid w:val="001758F9"/>
    <w:rsid w:val="0017767F"/>
    <w:rsid w:val="00177F4C"/>
    <w:rsid w:val="001802B2"/>
    <w:rsid w:val="00181FAC"/>
    <w:rsid w:val="00183085"/>
    <w:rsid w:val="00184D40"/>
    <w:rsid w:val="00185C77"/>
    <w:rsid w:val="00186CAA"/>
    <w:rsid w:val="00187692"/>
    <w:rsid w:val="001902D0"/>
    <w:rsid w:val="001903CD"/>
    <w:rsid w:val="001939B4"/>
    <w:rsid w:val="001944DF"/>
    <w:rsid w:val="00196350"/>
    <w:rsid w:val="0019727A"/>
    <w:rsid w:val="001A1101"/>
    <w:rsid w:val="001A18B3"/>
    <w:rsid w:val="001A341B"/>
    <w:rsid w:val="001A4996"/>
    <w:rsid w:val="001A5D32"/>
    <w:rsid w:val="001A5F48"/>
    <w:rsid w:val="001A5F79"/>
    <w:rsid w:val="001A6501"/>
    <w:rsid w:val="001A6558"/>
    <w:rsid w:val="001A7A5C"/>
    <w:rsid w:val="001B19A9"/>
    <w:rsid w:val="001B359D"/>
    <w:rsid w:val="001B3D09"/>
    <w:rsid w:val="001B4662"/>
    <w:rsid w:val="001B4725"/>
    <w:rsid w:val="001B6301"/>
    <w:rsid w:val="001B73B9"/>
    <w:rsid w:val="001C0E7E"/>
    <w:rsid w:val="001C1706"/>
    <w:rsid w:val="001C1F6A"/>
    <w:rsid w:val="001C3ADE"/>
    <w:rsid w:val="001C3E04"/>
    <w:rsid w:val="001C43BE"/>
    <w:rsid w:val="001C5122"/>
    <w:rsid w:val="001C70D1"/>
    <w:rsid w:val="001C78B5"/>
    <w:rsid w:val="001D0212"/>
    <w:rsid w:val="001D08D3"/>
    <w:rsid w:val="001D09DC"/>
    <w:rsid w:val="001D3469"/>
    <w:rsid w:val="001D4596"/>
    <w:rsid w:val="001D4E09"/>
    <w:rsid w:val="001D71B9"/>
    <w:rsid w:val="001D7725"/>
    <w:rsid w:val="001E070B"/>
    <w:rsid w:val="001E11F3"/>
    <w:rsid w:val="001E1FEE"/>
    <w:rsid w:val="001E2F26"/>
    <w:rsid w:val="001E3675"/>
    <w:rsid w:val="001F1E5B"/>
    <w:rsid w:val="001F1E87"/>
    <w:rsid w:val="001F40B3"/>
    <w:rsid w:val="001F4683"/>
    <w:rsid w:val="001F4ED9"/>
    <w:rsid w:val="001F5BEF"/>
    <w:rsid w:val="001F6554"/>
    <w:rsid w:val="00201205"/>
    <w:rsid w:val="00201904"/>
    <w:rsid w:val="00201A21"/>
    <w:rsid w:val="00201BE1"/>
    <w:rsid w:val="00203BD6"/>
    <w:rsid w:val="00205A50"/>
    <w:rsid w:val="002104F7"/>
    <w:rsid w:val="00210CE7"/>
    <w:rsid w:val="00213224"/>
    <w:rsid w:val="00213371"/>
    <w:rsid w:val="002142AC"/>
    <w:rsid w:val="0021449D"/>
    <w:rsid w:val="002170C2"/>
    <w:rsid w:val="00217684"/>
    <w:rsid w:val="00224A28"/>
    <w:rsid w:val="00225247"/>
    <w:rsid w:val="00225734"/>
    <w:rsid w:val="0022772E"/>
    <w:rsid w:val="002301D7"/>
    <w:rsid w:val="002303DE"/>
    <w:rsid w:val="0023047A"/>
    <w:rsid w:val="00231F71"/>
    <w:rsid w:val="00232940"/>
    <w:rsid w:val="002330AA"/>
    <w:rsid w:val="002331C4"/>
    <w:rsid w:val="00233843"/>
    <w:rsid w:val="0023478C"/>
    <w:rsid w:val="002355F2"/>
    <w:rsid w:val="00235D0C"/>
    <w:rsid w:val="002379E1"/>
    <w:rsid w:val="0024133A"/>
    <w:rsid w:val="002425F7"/>
    <w:rsid w:val="00242602"/>
    <w:rsid w:val="002440DE"/>
    <w:rsid w:val="00247137"/>
    <w:rsid w:val="00247213"/>
    <w:rsid w:val="00247E1F"/>
    <w:rsid w:val="00247F8A"/>
    <w:rsid w:val="0025154E"/>
    <w:rsid w:val="00253434"/>
    <w:rsid w:val="00254597"/>
    <w:rsid w:val="00255336"/>
    <w:rsid w:val="002557D3"/>
    <w:rsid w:val="002568EC"/>
    <w:rsid w:val="00256B90"/>
    <w:rsid w:val="00257F6F"/>
    <w:rsid w:val="00260D84"/>
    <w:rsid w:val="0026128B"/>
    <w:rsid w:val="0026183C"/>
    <w:rsid w:val="00263206"/>
    <w:rsid w:val="00264A6F"/>
    <w:rsid w:val="0026581C"/>
    <w:rsid w:val="00265858"/>
    <w:rsid w:val="00267C81"/>
    <w:rsid w:val="00270051"/>
    <w:rsid w:val="002714A5"/>
    <w:rsid w:val="00271B75"/>
    <w:rsid w:val="00272F27"/>
    <w:rsid w:val="002739B4"/>
    <w:rsid w:val="00273B2F"/>
    <w:rsid w:val="00274288"/>
    <w:rsid w:val="002748BE"/>
    <w:rsid w:val="00274DAA"/>
    <w:rsid w:val="00275EF2"/>
    <w:rsid w:val="002760EC"/>
    <w:rsid w:val="0027683C"/>
    <w:rsid w:val="00276959"/>
    <w:rsid w:val="00276CE5"/>
    <w:rsid w:val="00277C21"/>
    <w:rsid w:val="00280355"/>
    <w:rsid w:val="00280BB8"/>
    <w:rsid w:val="002812A6"/>
    <w:rsid w:val="00281636"/>
    <w:rsid w:val="00282337"/>
    <w:rsid w:val="00283D05"/>
    <w:rsid w:val="00283DCB"/>
    <w:rsid w:val="002866EE"/>
    <w:rsid w:val="00286BDB"/>
    <w:rsid w:val="00286CFC"/>
    <w:rsid w:val="0028727A"/>
    <w:rsid w:val="0029051D"/>
    <w:rsid w:val="002921E2"/>
    <w:rsid w:val="00293630"/>
    <w:rsid w:val="0029365B"/>
    <w:rsid w:val="00294872"/>
    <w:rsid w:val="002948AC"/>
    <w:rsid w:val="00296919"/>
    <w:rsid w:val="00296ADC"/>
    <w:rsid w:val="002A0619"/>
    <w:rsid w:val="002A21EE"/>
    <w:rsid w:val="002A245D"/>
    <w:rsid w:val="002A282A"/>
    <w:rsid w:val="002A4430"/>
    <w:rsid w:val="002A4B64"/>
    <w:rsid w:val="002A5340"/>
    <w:rsid w:val="002A5427"/>
    <w:rsid w:val="002A72DA"/>
    <w:rsid w:val="002B01AB"/>
    <w:rsid w:val="002B01B6"/>
    <w:rsid w:val="002B1997"/>
    <w:rsid w:val="002B1C80"/>
    <w:rsid w:val="002B2960"/>
    <w:rsid w:val="002B2B6A"/>
    <w:rsid w:val="002B2C27"/>
    <w:rsid w:val="002B31C1"/>
    <w:rsid w:val="002B3440"/>
    <w:rsid w:val="002B4891"/>
    <w:rsid w:val="002B4C68"/>
    <w:rsid w:val="002B5409"/>
    <w:rsid w:val="002C113E"/>
    <w:rsid w:val="002C44B9"/>
    <w:rsid w:val="002C4654"/>
    <w:rsid w:val="002C4848"/>
    <w:rsid w:val="002C4F78"/>
    <w:rsid w:val="002C5513"/>
    <w:rsid w:val="002C5B7E"/>
    <w:rsid w:val="002C6CC5"/>
    <w:rsid w:val="002D5F9C"/>
    <w:rsid w:val="002D6150"/>
    <w:rsid w:val="002D7A24"/>
    <w:rsid w:val="002E40F7"/>
    <w:rsid w:val="002E43CF"/>
    <w:rsid w:val="002E5B72"/>
    <w:rsid w:val="002E7AEB"/>
    <w:rsid w:val="002F0804"/>
    <w:rsid w:val="002F0D86"/>
    <w:rsid w:val="002F0DB1"/>
    <w:rsid w:val="002F1DF4"/>
    <w:rsid w:val="002F2AD5"/>
    <w:rsid w:val="002F2BEC"/>
    <w:rsid w:val="002F3E1A"/>
    <w:rsid w:val="002F4AC3"/>
    <w:rsid w:val="002F722E"/>
    <w:rsid w:val="0030122D"/>
    <w:rsid w:val="003014D7"/>
    <w:rsid w:val="00301628"/>
    <w:rsid w:val="00301A5F"/>
    <w:rsid w:val="0030209F"/>
    <w:rsid w:val="00302EB2"/>
    <w:rsid w:val="0030318A"/>
    <w:rsid w:val="00305C6C"/>
    <w:rsid w:val="00310960"/>
    <w:rsid w:val="00311F37"/>
    <w:rsid w:val="00312E64"/>
    <w:rsid w:val="0031419C"/>
    <w:rsid w:val="00314498"/>
    <w:rsid w:val="00316420"/>
    <w:rsid w:val="00317FD4"/>
    <w:rsid w:val="00320CAD"/>
    <w:rsid w:val="00321C29"/>
    <w:rsid w:val="00322D38"/>
    <w:rsid w:val="0032750A"/>
    <w:rsid w:val="00327936"/>
    <w:rsid w:val="00327FE2"/>
    <w:rsid w:val="00330B51"/>
    <w:rsid w:val="00330E3E"/>
    <w:rsid w:val="00335A38"/>
    <w:rsid w:val="00336148"/>
    <w:rsid w:val="003361E3"/>
    <w:rsid w:val="00336439"/>
    <w:rsid w:val="003402FA"/>
    <w:rsid w:val="00340811"/>
    <w:rsid w:val="00340DE3"/>
    <w:rsid w:val="00343BEF"/>
    <w:rsid w:val="0034577B"/>
    <w:rsid w:val="003479C0"/>
    <w:rsid w:val="003501F9"/>
    <w:rsid w:val="00351444"/>
    <w:rsid w:val="003519AD"/>
    <w:rsid w:val="00351F65"/>
    <w:rsid w:val="00353B82"/>
    <w:rsid w:val="00353C78"/>
    <w:rsid w:val="003541F4"/>
    <w:rsid w:val="00355352"/>
    <w:rsid w:val="003554B0"/>
    <w:rsid w:val="00355834"/>
    <w:rsid w:val="00355E82"/>
    <w:rsid w:val="00357438"/>
    <w:rsid w:val="00360496"/>
    <w:rsid w:val="00362134"/>
    <w:rsid w:val="00364800"/>
    <w:rsid w:val="00364D04"/>
    <w:rsid w:val="003675AD"/>
    <w:rsid w:val="00376568"/>
    <w:rsid w:val="00382F45"/>
    <w:rsid w:val="00384DB1"/>
    <w:rsid w:val="00385219"/>
    <w:rsid w:val="0038521D"/>
    <w:rsid w:val="003863D7"/>
    <w:rsid w:val="003868EF"/>
    <w:rsid w:val="00387D79"/>
    <w:rsid w:val="00387F7E"/>
    <w:rsid w:val="003920C9"/>
    <w:rsid w:val="0039254E"/>
    <w:rsid w:val="00392759"/>
    <w:rsid w:val="00392EEE"/>
    <w:rsid w:val="003931DA"/>
    <w:rsid w:val="00394692"/>
    <w:rsid w:val="00395D22"/>
    <w:rsid w:val="00396D2B"/>
    <w:rsid w:val="003972C2"/>
    <w:rsid w:val="003979EA"/>
    <w:rsid w:val="003A12F1"/>
    <w:rsid w:val="003A1AE5"/>
    <w:rsid w:val="003A5C59"/>
    <w:rsid w:val="003A5DFD"/>
    <w:rsid w:val="003A668E"/>
    <w:rsid w:val="003B04FB"/>
    <w:rsid w:val="003B26E1"/>
    <w:rsid w:val="003B2CC0"/>
    <w:rsid w:val="003B425B"/>
    <w:rsid w:val="003B48D3"/>
    <w:rsid w:val="003B4CDD"/>
    <w:rsid w:val="003B59AF"/>
    <w:rsid w:val="003B5A9A"/>
    <w:rsid w:val="003B5B28"/>
    <w:rsid w:val="003B6EF1"/>
    <w:rsid w:val="003B7DC4"/>
    <w:rsid w:val="003C046F"/>
    <w:rsid w:val="003C1081"/>
    <w:rsid w:val="003C181B"/>
    <w:rsid w:val="003C467D"/>
    <w:rsid w:val="003C4707"/>
    <w:rsid w:val="003C4AC4"/>
    <w:rsid w:val="003C5942"/>
    <w:rsid w:val="003C5EE6"/>
    <w:rsid w:val="003C67EE"/>
    <w:rsid w:val="003C73CE"/>
    <w:rsid w:val="003C77A9"/>
    <w:rsid w:val="003D0783"/>
    <w:rsid w:val="003D0BAF"/>
    <w:rsid w:val="003D0F64"/>
    <w:rsid w:val="003D143E"/>
    <w:rsid w:val="003D15A7"/>
    <w:rsid w:val="003D2769"/>
    <w:rsid w:val="003D3343"/>
    <w:rsid w:val="003D35EE"/>
    <w:rsid w:val="003D564F"/>
    <w:rsid w:val="003D5827"/>
    <w:rsid w:val="003D5EAD"/>
    <w:rsid w:val="003D6C5A"/>
    <w:rsid w:val="003D7324"/>
    <w:rsid w:val="003E1D6A"/>
    <w:rsid w:val="003E3066"/>
    <w:rsid w:val="003E3733"/>
    <w:rsid w:val="003E436C"/>
    <w:rsid w:val="003E4BE6"/>
    <w:rsid w:val="003E73B0"/>
    <w:rsid w:val="003E74A2"/>
    <w:rsid w:val="003F4216"/>
    <w:rsid w:val="003F5DC2"/>
    <w:rsid w:val="003F6CD5"/>
    <w:rsid w:val="003F6ECE"/>
    <w:rsid w:val="004009CC"/>
    <w:rsid w:val="00401AB4"/>
    <w:rsid w:val="00403C53"/>
    <w:rsid w:val="00407079"/>
    <w:rsid w:val="004071CB"/>
    <w:rsid w:val="0041024B"/>
    <w:rsid w:val="00411528"/>
    <w:rsid w:val="004118C6"/>
    <w:rsid w:val="004120A8"/>
    <w:rsid w:val="00412388"/>
    <w:rsid w:val="00412E54"/>
    <w:rsid w:val="004142E9"/>
    <w:rsid w:val="00414ED3"/>
    <w:rsid w:val="0041646D"/>
    <w:rsid w:val="00416604"/>
    <w:rsid w:val="00417BA8"/>
    <w:rsid w:val="0042095C"/>
    <w:rsid w:val="00420DFE"/>
    <w:rsid w:val="00420FA6"/>
    <w:rsid w:val="0042258D"/>
    <w:rsid w:val="00423F82"/>
    <w:rsid w:val="00425340"/>
    <w:rsid w:val="0042628C"/>
    <w:rsid w:val="0042739B"/>
    <w:rsid w:val="004311D7"/>
    <w:rsid w:val="00431481"/>
    <w:rsid w:val="0043150F"/>
    <w:rsid w:val="00432255"/>
    <w:rsid w:val="00432515"/>
    <w:rsid w:val="00435FA6"/>
    <w:rsid w:val="004362D0"/>
    <w:rsid w:val="0043633A"/>
    <w:rsid w:val="00436770"/>
    <w:rsid w:val="00436D01"/>
    <w:rsid w:val="00436EAC"/>
    <w:rsid w:val="00437D15"/>
    <w:rsid w:val="00440680"/>
    <w:rsid w:val="00441104"/>
    <w:rsid w:val="00443459"/>
    <w:rsid w:val="0044413A"/>
    <w:rsid w:val="00444234"/>
    <w:rsid w:val="00444F7B"/>
    <w:rsid w:val="004457BA"/>
    <w:rsid w:val="00445FC5"/>
    <w:rsid w:val="00446489"/>
    <w:rsid w:val="00446712"/>
    <w:rsid w:val="00451DF2"/>
    <w:rsid w:val="004523AA"/>
    <w:rsid w:val="0045688D"/>
    <w:rsid w:val="0045790F"/>
    <w:rsid w:val="00462C22"/>
    <w:rsid w:val="00463008"/>
    <w:rsid w:val="00464FAB"/>
    <w:rsid w:val="00465266"/>
    <w:rsid w:val="00465818"/>
    <w:rsid w:val="00466CD4"/>
    <w:rsid w:val="0046732A"/>
    <w:rsid w:val="00467FA3"/>
    <w:rsid w:val="00470C36"/>
    <w:rsid w:val="00470FEF"/>
    <w:rsid w:val="004713FB"/>
    <w:rsid w:val="00472460"/>
    <w:rsid w:val="004731E8"/>
    <w:rsid w:val="00473A7A"/>
    <w:rsid w:val="00475241"/>
    <w:rsid w:val="00476C4D"/>
    <w:rsid w:val="00477ADE"/>
    <w:rsid w:val="00480E96"/>
    <w:rsid w:val="0048217C"/>
    <w:rsid w:val="004823F3"/>
    <w:rsid w:val="00483DA6"/>
    <w:rsid w:val="00484543"/>
    <w:rsid w:val="004845E9"/>
    <w:rsid w:val="00484A26"/>
    <w:rsid w:val="004868C0"/>
    <w:rsid w:val="004876D6"/>
    <w:rsid w:val="004912F1"/>
    <w:rsid w:val="004923C8"/>
    <w:rsid w:val="0049630A"/>
    <w:rsid w:val="004965D7"/>
    <w:rsid w:val="00497F00"/>
    <w:rsid w:val="004A319B"/>
    <w:rsid w:val="004A3886"/>
    <w:rsid w:val="004A3B91"/>
    <w:rsid w:val="004A47B0"/>
    <w:rsid w:val="004A6988"/>
    <w:rsid w:val="004B1450"/>
    <w:rsid w:val="004B415B"/>
    <w:rsid w:val="004B53B2"/>
    <w:rsid w:val="004B5D34"/>
    <w:rsid w:val="004C1BC8"/>
    <w:rsid w:val="004C3C1E"/>
    <w:rsid w:val="004C3E01"/>
    <w:rsid w:val="004C411E"/>
    <w:rsid w:val="004C46D2"/>
    <w:rsid w:val="004C56EB"/>
    <w:rsid w:val="004C679B"/>
    <w:rsid w:val="004D0171"/>
    <w:rsid w:val="004D1CCB"/>
    <w:rsid w:val="004D3C9C"/>
    <w:rsid w:val="004D4098"/>
    <w:rsid w:val="004D6C32"/>
    <w:rsid w:val="004E073D"/>
    <w:rsid w:val="004E157B"/>
    <w:rsid w:val="004E1BDC"/>
    <w:rsid w:val="004E2868"/>
    <w:rsid w:val="004E47D6"/>
    <w:rsid w:val="004E4FDB"/>
    <w:rsid w:val="004E6018"/>
    <w:rsid w:val="004F23CB"/>
    <w:rsid w:val="004F2B14"/>
    <w:rsid w:val="004F2FE3"/>
    <w:rsid w:val="004F3761"/>
    <w:rsid w:val="004F3E47"/>
    <w:rsid w:val="004F510B"/>
    <w:rsid w:val="004F745C"/>
    <w:rsid w:val="005005FD"/>
    <w:rsid w:val="00503EB1"/>
    <w:rsid w:val="00505EED"/>
    <w:rsid w:val="005068EC"/>
    <w:rsid w:val="00507B49"/>
    <w:rsid w:val="00515C78"/>
    <w:rsid w:val="00521443"/>
    <w:rsid w:val="00521690"/>
    <w:rsid w:val="00522A27"/>
    <w:rsid w:val="00527618"/>
    <w:rsid w:val="00527A0B"/>
    <w:rsid w:val="00527BCA"/>
    <w:rsid w:val="00527C26"/>
    <w:rsid w:val="00527C7C"/>
    <w:rsid w:val="00530E9A"/>
    <w:rsid w:val="00530F5D"/>
    <w:rsid w:val="00531EA8"/>
    <w:rsid w:val="00533FA9"/>
    <w:rsid w:val="00535177"/>
    <w:rsid w:val="005359F8"/>
    <w:rsid w:val="00535A61"/>
    <w:rsid w:val="0053614A"/>
    <w:rsid w:val="0053676B"/>
    <w:rsid w:val="00536A88"/>
    <w:rsid w:val="00536DBE"/>
    <w:rsid w:val="00537368"/>
    <w:rsid w:val="005445E7"/>
    <w:rsid w:val="00544694"/>
    <w:rsid w:val="005446D6"/>
    <w:rsid w:val="00544C65"/>
    <w:rsid w:val="00547B32"/>
    <w:rsid w:val="0055109D"/>
    <w:rsid w:val="00551D2A"/>
    <w:rsid w:val="00552E42"/>
    <w:rsid w:val="005530CB"/>
    <w:rsid w:val="00553CC6"/>
    <w:rsid w:val="00553F8B"/>
    <w:rsid w:val="00554729"/>
    <w:rsid w:val="00554D74"/>
    <w:rsid w:val="00555460"/>
    <w:rsid w:val="005565EE"/>
    <w:rsid w:val="00560B3D"/>
    <w:rsid w:val="0056457D"/>
    <w:rsid w:val="00564645"/>
    <w:rsid w:val="0056497B"/>
    <w:rsid w:val="00564B1E"/>
    <w:rsid w:val="005665D4"/>
    <w:rsid w:val="005707C7"/>
    <w:rsid w:val="00571E73"/>
    <w:rsid w:val="005738EE"/>
    <w:rsid w:val="0057428A"/>
    <w:rsid w:val="0057510D"/>
    <w:rsid w:val="00575F42"/>
    <w:rsid w:val="00576095"/>
    <w:rsid w:val="005771E7"/>
    <w:rsid w:val="00583EB8"/>
    <w:rsid w:val="0058423A"/>
    <w:rsid w:val="00585E63"/>
    <w:rsid w:val="00586667"/>
    <w:rsid w:val="00587087"/>
    <w:rsid w:val="005876C7"/>
    <w:rsid w:val="0059159E"/>
    <w:rsid w:val="0059386F"/>
    <w:rsid w:val="00597949"/>
    <w:rsid w:val="00597C8F"/>
    <w:rsid w:val="005A0BAA"/>
    <w:rsid w:val="005A117F"/>
    <w:rsid w:val="005A36B9"/>
    <w:rsid w:val="005A473B"/>
    <w:rsid w:val="005A5C90"/>
    <w:rsid w:val="005A6C8C"/>
    <w:rsid w:val="005B02A7"/>
    <w:rsid w:val="005B0844"/>
    <w:rsid w:val="005B1B2D"/>
    <w:rsid w:val="005B30C3"/>
    <w:rsid w:val="005B3430"/>
    <w:rsid w:val="005B4CBF"/>
    <w:rsid w:val="005B6F7E"/>
    <w:rsid w:val="005C088F"/>
    <w:rsid w:val="005C1E86"/>
    <w:rsid w:val="005C2FAC"/>
    <w:rsid w:val="005C7A03"/>
    <w:rsid w:val="005D068F"/>
    <w:rsid w:val="005D0C3B"/>
    <w:rsid w:val="005D28C8"/>
    <w:rsid w:val="005D28F1"/>
    <w:rsid w:val="005D2DAF"/>
    <w:rsid w:val="005D4294"/>
    <w:rsid w:val="005D75A1"/>
    <w:rsid w:val="005E12E0"/>
    <w:rsid w:val="005E1C1D"/>
    <w:rsid w:val="005E3142"/>
    <w:rsid w:val="005E3472"/>
    <w:rsid w:val="005E5A1A"/>
    <w:rsid w:val="005E6252"/>
    <w:rsid w:val="005E66FB"/>
    <w:rsid w:val="005E6DD1"/>
    <w:rsid w:val="005E7F42"/>
    <w:rsid w:val="005E7FA5"/>
    <w:rsid w:val="005F2FA8"/>
    <w:rsid w:val="005F3A68"/>
    <w:rsid w:val="005F483C"/>
    <w:rsid w:val="005F6CF1"/>
    <w:rsid w:val="005F6EBA"/>
    <w:rsid w:val="00601786"/>
    <w:rsid w:val="00602096"/>
    <w:rsid w:val="00602133"/>
    <w:rsid w:val="00604B70"/>
    <w:rsid w:val="006055D0"/>
    <w:rsid w:val="00607539"/>
    <w:rsid w:val="00607869"/>
    <w:rsid w:val="00611395"/>
    <w:rsid w:val="00612EEC"/>
    <w:rsid w:val="006134DC"/>
    <w:rsid w:val="00614B05"/>
    <w:rsid w:val="00614FB8"/>
    <w:rsid w:val="00621242"/>
    <w:rsid w:val="006217A8"/>
    <w:rsid w:val="0062269B"/>
    <w:rsid w:val="0062483E"/>
    <w:rsid w:val="00631DA6"/>
    <w:rsid w:val="00632400"/>
    <w:rsid w:val="006355ED"/>
    <w:rsid w:val="0063710B"/>
    <w:rsid w:val="00643F08"/>
    <w:rsid w:val="0064423E"/>
    <w:rsid w:val="00645B4D"/>
    <w:rsid w:val="00645CA5"/>
    <w:rsid w:val="006464BA"/>
    <w:rsid w:val="00647990"/>
    <w:rsid w:val="00647EC4"/>
    <w:rsid w:val="00652785"/>
    <w:rsid w:val="006530F2"/>
    <w:rsid w:val="0065473D"/>
    <w:rsid w:val="00654A35"/>
    <w:rsid w:val="00654ABE"/>
    <w:rsid w:val="00655CF4"/>
    <w:rsid w:val="00661E87"/>
    <w:rsid w:val="00662162"/>
    <w:rsid w:val="006650AC"/>
    <w:rsid w:val="006652A8"/>
    <w:rsid w:val="0066533B"/>
    <w:rsid w:val="00665BE6"/>
    <w:rsid w:val="00665E7E"/>
    <w:rsid w:val="00665FAA"/>
    <w:rsid w:val="0066640B"/>
    <w:rsid w:val="00667F2E"/>
    <w:rsid w:val="00672C7C"/>
    <w:rsid w:val="00673D69"/>
    <w:rsid w:val="00673E4B"/>
    <w:rsid w:val="00674CF0"/>
    <w:rsid w:val="00674F27"/>
    <w:rsid w:val="00676BCD"/>
    <w:rsid w:val="006772F9"/>
    <w:rsid w:val="006778A4"/>
    <w:rsid w:val="00681301"/>
    <w:rsid w:val="00681EEF"/>
    <w:rsid w:val="00683151"/>
    <w:rsid w:val="006849A5"/>
    <w:rsid w:val="00685715"/>
    <w:rsid w:val="00685B08"/>
    <w:rsid w:val="00687A84"/>
    <w:rsid w:val="00687D01"/>
    <w:rsid w:val="006901A4"/>
    <w:rsid w:val="006910AF"/>
    <w:rsid w:val="00692290"/>
    <w:rsid w:val="00693967"/>
    <w:rsid w:val="00693B1F"/>
    <w:rsid w:val="00694862"/>
    <w:rsid w:val="00695DE4"/>
    <w:rsid w:val="00695E41"/>
    <w:rsid w:val="0069778E"/>
    <w:rsid w:val="0069784F"/>
    <w:rsid w:val="00697BFD"/>
    <w:rsid w:val="006A17DA"/>
    <w:rsid w:val="006A24AF"/>
    <w:rsid w:val="006A32DB"/>
    <w:rsid w:val="006A3ACF"/>
    <w:rsid w:val="006A4740"/>
    <w:rsid w:val="006A4E7A"/>
    <w:rsid w:val="006A6E14"/>
    <w:rsid w:val="006A79AB"/>
    <w:rsid w:val="006B2A81"/>
    <w:rsid w:val="006B637C"/>
    <w:rsid w:val="006B7C2C"/>
    <w:rsid w:val="006C08C9"/>
    <w:rsid w:val="006C1265"/>
    <w:rsid w:val="006C1599"/>
    <w:rsid w:val="006C237A"/>
    <w:rsid w:val="006C74DB"/>
    <w:rsid w:val="006C7530"/>
    <w:rsid w:val="006C7AAB"/>
    <w:rsid w:val="006C7C6E"/>
    <w:rsid w:val="006D0127"/>
    <w:rsid w:val="006D1289"/>
    <w:rsid w:val="006D1DD3"/>
    <w:rsid w:val="006D3A76"/>
    <w:rsid w:val="006D4D35"/>
    <w:rsid w:val="006D61ED"/>
    <w:rsid w:val="006D754B"/>
    <w:rsid w:val="006D7BF6"/>
    <w:rsid w:val="006E0DA9"/>
    <w:rsid w:val="006E235B"/>
    <w:rsid w:val="006E30C1"/>
    <w:rsid w:val="006E4F6D"/>
    <w:rsid w:val="006E5312"/>
    <w:rsid w:val="006E6B84"/>
    <w:rsid w:val="006F0AF5"/>
    <w:rsid w:val="006F150A"/>
    <w:rsid w:val="006F1A29"/>
    <w:rsid w:val="006F350A"/>
    <w:rsid w:val="006F3B03"/>
    <w:rsid w:val="006F52E5"/>
    <w:rsid w:val="006F5CDB"/>
    <w:rsid w:val="00700CD2"/>
    <w:rsid w:val="007018BD"/>
    <w:rsid w:val="00702800"/>
    <w:rsid w:val="00702D38"/>
    <w:rsid w:val="00703510"/>
    <w:rsid w:val="007046A6"/>
    <w:rsid w:val="00704720"/>
    <w:rsid w:val="00704C3D"/>
    <w:rsid w:val="00704CA8"/>
    <w:rsid w:val="00705B95"/>
    <w:rsid w:val="00706DFB"/>
    <w:rsid w:val="00707566"/>
    <w:rsid w:val="007100A4"/>
    <w:rsid w:val="00712317"/>
    <w:rsid w:val="00712D5E"/>
    <w:rsid w:val="00720639"/>
    <w:rsid w:val="00722924"/>
    <w:rsid w:val="0072483F"/>
    <w:rsid w:val="00727368"/>
    <w:rsid w:val="00730B36"/>
    <w:rsid w:val="00730E56"/>
    <w:rsid w:val="00731459"/>
    <w:rsid w:val="00733C85"/>
    <w:rsid w:val="00735814"/>
    <w:rsid w:val="007503F4"/>
    <w:rsid w:val="00751884"/>
    <w:rsid w:val="0075568C"/>
    <w:rsid w:val="00755B8D"/>
    <w:rsid w:val="00756996"/>
    <w:rsid w:val="00760E9C"/>
    <w:rsid w:val="007630C5"/>
    <w:rsid w:val="0076610B"/>
    <w:rsid w:val="007675A8"/>
    <w:rsid w:val="0077164D"/>
    <w:rsid w:val="007721D2"/>
    <w:rsid w:val="00772DB9"/>
    <w:rsid w:val="0077339B"/>
    <w:rsid w:val="007747FB"/>
    <w:rsid w:val="00775214"/>
    <w:rsid w:val="00775EBB"/>
    <w:rsid w:val="007811F1"/>
    <w:rsid w:val="00781CF8"/>
    <w:rsid w:val="007830DA"/>
    <w:rsid w:val="00785870"/>
    <w:rsid w:val="00786106"/>
    <w:rsid w:val="00787AF2"/>
    <w:rsid w:val="00790D31"/>
    <w:rsid w:val="00793364"/>
    <w:rsid w:val="00795154"/>
    <w:rsid w:val="0079620D"/>
    <w:rsid w:val="00796C00"/>
    <w:rsid w:val="007A1938"/>
    <w:rsid w:val="007A1CCA"/>
    <w:rsid w:val="007A32A7"/>
    <w:rsid w:val="007A5C83"/>
    <w:rsid w:val="007B0493"/>
    <w:rsid w:val="007B04AC"/>
    <w:rsid w:val="007B04DC"/>
    <w:rsid w:val="007B0FC0"/>
    <w:rsid w:val="007B211E"/>
    <w:rsid w:val="007B47DB"/>
    <w:rsid w:val="007B72CA"/>
    <w:rsid w:val="007C20AA"/>
    <w:rsid w:val="007C2F91"/>
    <w:rsid w:val="007C3089"/>
    <w:rsid w:val="007C53FF"/>
    <w:rsid w:val="007C5DC4"/>
    <w:rsid w:val="007C74D0"/>
    <w:rsid w:val="007D51F9"/>
    <w:rsid w:val="007E1FFE"/>
    <w:rsid w:val="007E3B66"/>
    <w:rsid w:val="007E4AA7"/>
    <w:rsid w:val="007E4D54"/>
    <w:rsid w:val="007E5554"/>
    <w:rsid w:val="007E59D5"/>
    <w:rsid w:val="007E5B87"/>
    <w:rsid w:val="007E62C1"/>
    <w:rsid w:val="007F0C50"/>
    <w:rsid w:val="007F1CD6"/>
    <w:rsid w:val="007F1DE6"/>
    <w:rsid w:val="007F7F52"/>
    <w:rsid w:val="00800148"/>
    <w:rsid w:val="008005AD"/>
    <w:rsid w:val="0080069A"/>
    <w:rsid w:val="008031F3"/>
    <w:rsid w:val="00803DB1"/>
    <w:rsid w:val="0080532B"/>
    <w:rsid w:val="008120C2"/>
    <w:rsid w:val="00812254"/>
    <w:rsid w:val="00813A66"/>
    <w:rsid w:val="008148A7"/>
    <w:rsid w:val="008215E5"/>
    <w:rsid w:val="00823645"/>
    <w:rsid w:val="00823980"/>
    <w:rsid w:val="008239F9"/>
    <w:rsid w:val="0082409E"/>
    <w:rsid w:val="00825F81"/>
    <w:rsid w:val="00826C46"/>
    <w:rsid w:val="008278A5"/>
    <w:rsid w:val="008307E0"/>
    <w:rsid w:val="008313AA"/>
    <w:rsid w:val="00831443"/>
    <w:rsid w:val="0083316A"/>
    <w:rsid w:val="00833409"/>
    <w:rsid w:val="00836173"/>
    <w:rsid w:val="00836426"/>
    <w:rsid w:val="00841A2B"/>
    <w:rsid w:val="008435B7"/>
    <w:rsid w:val="00843B59"/>
    <w:rsid w:val="00845258"/>
    <w:rsid w:val="008452A0"/>
    <w:rsid w:val="008454D9"/>
    <w:rsid w:val="00845C97"/>
    <w:rsid w:val="0084765B"/>
    <w:rsid w:val="008534C7"/>
    <w:rsid w:val="00854D59"/>
    <w:rsid w:val="008564BF"/>
    <w:rsid w:val="00856538"/>
    <w:rsid w:val="00856F48"/>
    <w:rsid w:val="0085723B"/>
    <w:rsid w:val="008573E2"/>
    <w:rsid w:val="00857E21"/>
    <w:rsid w:val="00857EC0"/>
    <w:rsid w:val="008637F1"/>
    <w:rsid w:val="008638F5"/>
    <w:rsid w:val="00863B06"/>
    <w:rsid w:val="00864323"/>
    <w:rsid w:val="00864D92"/>
    <w:rsid w:val="00865BA1"/>
    <w:rsid w:val="0086647F"/>
    <w:rsid w:val="00866672"/>
    <w:rsid w:val="00873BC0"/>
    <w:rsid w:val="00874BD0"/>
    <w:rsid w:val="00875AA9"/>
    <w:rsid w:val="00876123"/>
    <w:rsid w:val="00877216"/>
    <w:rsid w:val="00877265"/>
    <w:rsid w:val="008806B8"/>
    <w:rsid w:val="00880E26"/>
    <w:rsid w:val="0088117D"/>
    <w:rsid w:val="008857F5"/>
    <w:rsid w:val="00885CD4"/>
    <w:rsid w:val="008903A6"/>
    <w:rsid w:val="00890752"/>
    <w:rsid w:val="00890EBF"/>
    <w:rsid w:val="0089109D"/>
    <w:rsid w:val="00891137"/>
    <w:rsid w:val="00891BB6"/>
    <w:rsid w:val="00892F11"/>
    <w:rsid w:val="0089345A"/>
    <w:rsid w:val="00894926"/>
    <w:rsid w:val="00894A46"/>
    <w:rsid w:val="00897217"/>
    <w:rsid w:val="008A13A5"/>
    <w:rsid w:val="008A1D50"/>
    <w:rsid w:val="008A1EC9"/>
    <w:rsid w:val="008A25C3"/>
    <w:rsid w:val="008A4F38"/>
    <w:rsid w:val="008A54FE"/>
    <w:rsid w:val="008A5A74"/>
    <w:rsid w:val="008A60AF"/>
    <w:rsid w:val="008A7BDB"/>
    <w:rsid w:val="008B0BCB"/>
    <w:rsid w:val="008B375D"/>
    <w:rsid w:val="008B4ED3"/>
    <w:rsid w:val="008B5806"/>
    <w:rsid w:val="008C068F"/>
    <w:rsid w:val="008C1012"/>
    <w:rsid w:val="008C1217"/>
    <w:rsid w:val="008C1F4E"/>
    <w:rsid w:val="008C2357"/>
    <w:rsid w:val="008C396D"/>
    <w:rsid w:val="008C4C94"/>
    <w:rsid w:val="008C5139"/>
    <w:rsid w:val="008C5653"/>
    <w:rsid w:val="008D1B40"/>
    <w:rsid w:val="008D3CD4"/>
    <w:rsid w:val="008D4791"/>
    <w:rsid w:val="008D50EE"/>
    <w:rsid w:val="008D563A"/>
    <w:rsid w:val="008D5DE3"/>
    <w:rsid w:val="008D5E10"/>
    <w:rsid w:val="008D5F41"/>
    <w:rsid w:val="008D6CA1"/>
    <w:rsid w:val="008D6D96"/>
    <w:rsid w:val="008D713E"/>
    <w:rsid w:val="008E14B7"/>
    <w:rsid w:val="008E240A"/>
    <w:rsid w:val="008E3A4B"/>
    <w:rsid w:val="008E4202"/>
    <w:rsid w:val="008E5D94"/>
    <w:rsid w:val="008F13A4"/>
    <w:rsid w:val="008F1662"/>
    <w:rsid w:val="008F1F88"/>
    <w:rsid w:val="008F2CF3"/>
    <w:rsid w:val="008F2E31"/>
    <w:rsid w:val="008F33C4"/>
    <w:rsid w:val="008F37F4"/>
    <w:rsid w:val="008F4C0D"/>
    <w:rsid w:val="008F5148"/>
    <w:rsid w:val="008F5347"/>
    <w:rsid w:val="009019B2"/>
    <w:rsid w:val="009021C6"/>
    <w:rsid w:val="00903E1D"/>
    <w:rsid w:val="0090419A"/>
    <w:rsid w:val="009048AE"/>
    <w:rsid w:val="00904B01"/>
    <w:rsid w:val="0090667B"/>
    <w:rsid w:val="009073EC"/>
    <w:rsid w:val="00912FF3"/>
    <w:rsid w:val="0091355F"/>
    <w:rsid w:val="00916CD6"/>
    <w:rsid w:val="009172D0"/>
    <w:rsid w:val="00921D99"/>
    <w:rsid w:val="00921DBB"/>
    <w:rsid w:val="0092459D"/>
    <w:rsid w:val="009248A4"/>
    <w:rsid w:val="00924A2B"/>
    <w:rsid w:val="00926148"/>
    <w:rsid w:val="00926190"/>
    <w:rsid w:val="00926791"/>
    <w:rsid w:val="00926FD9"/>
    <w:rsid w:val="009277EF"/>
    <w:rsid w:val="00930046"/>
    <w:rsid w:val="0093068D"/>
    <w:rsid w:val="009313B1"/>
    <w:rsid w:val="00931A19"/>
    <w:rsid w:val="00933B05"/>
    <w:rsid w:val="00933B9C"/>
    <w:rsid w:val="009347AB"/>
    <w:rsid w:val="00934EFC"/>
    <w:rsid w:val="00935CD1"/>
    <w:rsid w:val="00937BB3"/>
    <w:rsid w:val="00937FDD"/>
    <w:rsid w:val="0094041B"/>
    <w:rsid w:val="009404ED"/>
    <w:rsid w:val="00940A82"/>
    <w:rsid w:val="00941285"/>
    <w:rsid w:val="00941BD6"/>
    <w:rsid w:val="00942561"/>
    <w:rsid w:val="00944E15"/>
    <w:rsid w:val="00945F56"/>
    <w:rsid w:val="0094613C"/>
    <w:rsid w:val="00947142"/>
    <w:rsid w:val="00950167"/>
    <w:rsid w:val="009507A7"/>
    <w:rsid w:val="00952AB6"/>
    <w:rsid w:val="00954B24"/>
    <w:rsid w:val="00955373"/>
    <w:rsid w:val="00955BE6"/>
    <w:rsid w:val="009614EB"/>
    <w:rsid w:val="00962D24"/>
    <w:rsid w:val="009645D8"/>
    <w:rsid w:val="00964C88"/>
    <w:rsid w:val="009655BC"/>
    <w:rsid w:val="00967CA3"/>
    <w:rsid w:val="00972829"/>
    <w:rsid w:val="0097283E"/>
    <w:rsid w:val="00974254"/>
    <w:rsid w:val="00975708"/>
    <w:rsid w:val="00975A69"/>
    <w:rsid w:val="0097707D"/>
    <w:rsid w:val="0097743C"/>
    <w:rsid w:val="009814A1"/>
    <w:rsid w:val="00981567"/>
    <w:rsid w:val="00981D0B"/>
    <w:rsid w:val="009827EC"/>
    <w:rsid w:val="0098314C"/>
    <w:rsid w:val="0098354B"/>
    <w:rsid w:val="009838A3"/>
    <w:rsid w:val="00984BCB"/>
    <w:rsid w:val="00986803"/>
    <w:rsid w:val="009870C4"/>
    <w:rsid w:val="00990976"/>
    <w:rsid w:val="009909CC"/>
    <w:rsid w:val="00990DB0"/>
    <w:rsid w:val="00992B44"/>
    <w:rsid w:val="00993EB5"/>
    <w:rsid w:val="00995815"/>
    <w:rsid w:val="00996068"/>
    <w:rsid w:val="00996EF4"/>
    <w:rsid w:val="00996F86"/>
    <w:rsid w:val="009A3736"/>
    <w:rsid w:val="009A4C1E"/>
    <w:rsid w:val="009A7EB5"/>
    <w:rsid w:val="009B14BF"/>
    <w:rsid w:val="009B25E2"/>
    <w:rsid w:val="009B6E14"/>
    <w:rsid w:val="009C1F97"/>
    <w:rsid w:val="009C2838"/>
    <w:rsid w:val="009C30E6"/>
    <w:rsid w:val="009C41F5"/>
    <w:rsid w:val="009C4E10"/>
    <w:rsid w:val="009C55BD"/>
    <w:rsid w:val="009C75C9"/>
    <w:rsid w:val="009C7DE3"/>
    <w:rsid w:val="009D03F3"/>
    <w:rsid w:val="009D2143"/>
    <w:rsid w:val="009D2271"/>
    <w:rsid w:val="009D2BA7"/>
    <w:rsid w:val="009D42C5"/>
    <w:rsid w:val="009D4501"/>
    <w:rsid w:val="009D5849"/>
    <w:rsid w:val="009D5BD5"/>
    <w:rsid w:val="009D73BC"/>
    <w:rsid w:val="009D7A19"/>
    <w:rsid w:val="009E1647"/>
    <w:rsid w:val="009E5C6E"/>
    <w:rsid w:val="009F001E"/>
    <w:rsid w:val="009F009F"/>
    <w:rsid w:val="009F1437"/>
    <w:rsid w:val="009F15E4"/>
    <w:rsid w:val="009F2B5C"/>
    <w:rsid w:val="009F5B81"/>
    <w:rsid w:val="009F767D"/>
    <w:rsid w:val="009F7B45"/>
    <w:rsid w:val="00A02428"/>
    <w:rsid w:val="00A028B3"/>
    <w:rsid w:val="00A02EEA"/>
    <w:rsid w:val="00A04E5F"/>
    <w:rsid w:val="00A0577B"/>
    <w:rsid w:val="00A071D4"/>
    <w:rsid w:val="00A07D2B"/>
    <w:rsid w:val="00A11D58"/>
    <w:rsid w:val="00A11FAB"/>
    <w:rsid w:val="00A142A1"/>
    <w:rsid w:val="00A15371"/>
    <w:rsid w:val="00A17FDF"/>
    <w:rsid w:val="00A20C41"/>
    <w:rsid w:val="00A21343"/>
    <w:rsid w:val="00A23E5D"/>
    <w:rsid w:val="00A27694"/>
    <w:rsid w:val="00A30183"/>
    <w:rsid w:val="00A32D00"/>
    <w:rsid w:val="00A33404"/>
    <w:rsid w:val="00A344C7"/>
    <w:rsid w:val="00A3524F"/>
    <w:rsid w:val="00A353AA"/>
    <w:rsid w:val="00A354C1"/>
    <w:rsid w:val="00A379DD"/>
    <w:rsid w:val="00A37F0A"/>
    <w:rsid w:val="00A44113"/>
    <w:rsid w:val="00A451CB"/>
    <w:rsid w:val="00A50230"/>
    <w:rsid w:val="00A510BA"/>
    <w:rsid w:val="00A547EA"/>
    <w:rsid w:val="00A54B42"/>
    <w:rsid w:val="00A54D7A"/>
    <w:rsid w:val="00A551D2"/>
    <w:rsid w:val="00A573E8"/>
    <w:rsid w:val="00A5773E"/>
    <w:rsid w:val="00A60D53"/>
    <w:rsid w:val="00A610B3"/>
    <w:rsid w:val="00A61486"/>
    <w:rsid w:val="00A621D9"/>
    <w:rsid w:val="00A63AB2"/>
    <w:rsid w:val="00A63C0F"/>
    <w:rsid w:val="00A65E0D"/>
    <w:rsid w:val="00A66512"/>
    <w:rsid w:val="00A6683F"/>
    <w:rsid w:val="00A6695F"/>
    <w:rsid w:val="00A66C89"/>
    <w:rsid w:val="00A7059A"/>
    <w:rsid w:val="00A7167E"/>
    <w:rsid w:val="00A719A1"/>
    <w:rsid w:val="00A71DE0"/>
    <w:rsid w:val="00A72A67"/>
    <w:rsid w:val="00A72EEF"/>
    <w:rsid w:val="00A77DDE"/>
    <w:rsid w:val="00A80129"/>
    <w:rsid w:val="00A81E7C"/>
    <w:rsid w:val="00A829C3"/>
    <w:rsid w:val="00A83D89"/>
    <w:rsid w:val="00A865A2"/>
    <w:rsid w:val="00A87BC0"/>
    <w:rsid w:val="00A936DB"/>
    <w:rsid w:val="00A93EC4"/>
    <w:rsid w:val="00A972D8"/>
    <w:rsid w:val="00A974CE"/>
    <w:rsid w:val="00AA1BDA"/>
    <w:rsid w:val="00AA1E85"/>
    <w:rsid w:val="00AA2874"/>
    <w:rsid w:val="00AA4DAE"/>
    <w:rsid w:val="00AA60AA"/>
    <w:rsid w:val="00AA6392"/>
    <w:rsid w:val="00AB09CB"/>
    <w:rsid w:val="00AB6F04"/>
    <w:rsid w:val="00AB71BC"/>
    <w:rsid w:val="00AC1EA9"/>
    <w:rsid w:val="00AC2F05"/>
    <w:rsid w:val="00AC3619"/>
    <w:rsid w:val="00AC4DC8"/>
    <w:rsid w:val="00AD0540"/>
    <w:rsid w:val="00AD3135"/>
    <w:rsid w:val="00AD34E9"/>
    <w:rsid w:val="00AD4B18"/>
    <w:rsid w:val="00AD512F"/>
    <w:rsid w:val="00AD6447"/>
    <w:rsid w:val="00AE0071"/>
    <w:rsid w:val="00AE19DF"/>
    <w:rsid w:val="00AE206C"/>
    <w:rsid w:val="00AE78A7"/>
    <w:rsid w:val="00AF0AC3"/>
    <w:rsid w:val="00AF0F71"/>
    <w:rsid w:val="00AF17AC"/>
    <w:rsid w:val="00AF2DEB"/>
    <w:rsid w:val="00AF2E9D"/>
    <w:rsid w:val="00AF30A6"/>
    <w:rsid w:val="00AF30C2"/>
    <w:rsid w:val="00AF34E0"/>
    <w:rsid w:val="00AF3A59"/>
    <w:rsid w:val="00AF5463"/>
    <w:rsid w:val="00AF6992"/>
    <w:rsid w:val="00AF6CC6"/>
    <w:rsid w:val="00AF707B"/>
    <w:rsid w:val="00B00D37"/>
    <w:rsid w:val="00B01E1B"/>
    <w:rsid w:val="00B03300"/>
    <w:rsid w:val="00B04DAA"/>
    <w:rsid w:val="00B05018"/>
    <w:rsid w:val="00B0572E"/>
    <w:rsid w:val="00B0598F"/>
    <w:rsid w:val="00B06016"/>
    <w:rsid w:val="00B070B2"/>
    <w:rsid w:val="00B14A39"/>
    <w:rsid w:val="00B15D49"/>
    <w:rsid w:val="00B16C61"/>
    <w:rsid w:val="00B174FB"/>
    <w:rsid w:val="00B1778C"/>
    <w:rsid w:val="00B20954"/>
    <w:rsid w:val="00B20F37"/>
    <w:rsid w:val="00B21C19"/>
    <w:rsid w:val="00B21D16"/>
    <w:rsid w:val="00B23D46"/>
    <w:rsid w:val="00B24C44"/>
    <w:rsid w:val="00B25B90"/>
    <w:rsid w:val="00B2792E"/>
    <w:rsid w:val="00B27C65"/>
    <w:rsid w:val="00B30903"/>
    <w:rsid w:val="00B321C4"/>
    <w:rsid w:val="00B32A4D"/>
    <w:rsid w:val="00B34245"/>
    <w:rsid w:val="00B34516"/>
    <w:rsid w:val="00B3536B"/>
    <w:rsid w:val="00B35669"/>
    <w:rsid w:val="00B357DA"/>
    <w:rsid w:val="00B375CB"/>
    <w:rsid w:val="00B37E21"/>
    <w:rsid w:val="00B44F8B"/>
    <w:rsid w:val="00B451A8"/>
    <w:rsid w:val="00B452A7"/>
    <w:rsid w:val="00B4781C"/>
    <w:rsid w:val="00B51DB4"/>
    <w:rsid w:val="00B52424"/>
    <w:rsid w:val="00B5290B"/>
    <w:rsid w:val="00B53A4D"/>
    <w:rsid w:val="00B553EC"/>
    <w:rsid w:val="00B5567F"/>
    <w:rsid w:val="00B56646"/>
    <w:rsid w:val="00B57EE8"/>
    <w:rsid w:val="00B635BF"/>
    <w:rsid w:val="00B63955"/>
    <w:rsid w:val="00B63A44"/>
    <w:rsid w:val="00B64464"/>
    <w:rsid w:val="00B6728A"/>
    <w:rsid w:val="00B71D81"/>
    <w:rsid w:val="00B74387"/>
    <w:rsid w:val="00B748BD"/>
    <w:rsid w:val="00B74F5F"/>
    <w:rsid w:val="00B75C9E"/>
    <w:rsid w:val="00B7705C"/>
    <w:rsid w:val="00B80ADB"/>
    <w:rsid w:val="00B80B73"/>
    <w:rsid w:val="00B812BD"/>
    <w:rsid w:val="00B82CFB"/>
    <w:rsid w:val="00B83DC4"/>
    <w:rsid w:val="00B85225"/>
    <w:rsid w:val="00B86838"/>
    <w:rsid w:val="00B91287"/>
    <w:rsid w:val="00B91E97"/>
    <w:rsid w:val="00B92A41"/>
    <w:rsid w:val="00B95461"/>
    <w:rsid w:val="00B95A6D"/>
    <w:rsid w:val="00B97639"/>
    <w:rsid w:val="00B97A61"/>
    <w:rsid w:val="00BA1114"/>
    <w:rsid w:val="00BA1EB0"/>
    <w:rsid w:val="00BA1F65"/>
    <w:rsid w:val="00BA28AF"/>
    <w:rsid w:val="00BA51A6"/>
    <w:rsid w:val="00BA548C"/>
    <w:rsid w:val="00BA7653"/>
    <w:rsid w:val="00BB15CC"/>
    <w:rsid w:val="00BB1878"/>
    <w:rsid w:val="00BB188E"/>
    <w:rsid w:val="00BB254C"/>
    <w:rsid w:val="00BB282B"/>
    <w:rsid w:val="00BB3B89"/>
    <w:rsid w:val="00BB4CCB"/>
    <w:rsid w:val="00BB5E00"/>
    <w:rsid w:val="00BB6446"/>
    <w:rsid w:val="00BB682D"/>
    <w:rsid w:val="00BC0903"/>
    <w:rsid w:val="00BC0956"/>
    <w:rsid w:val="00BC0A60"/>
    <w:rsid w:val="00BC216F"/>
    <w:rsid w:val="00BC347F"/>
    <w:rsid w:val="00BC380C"/>
    <w:rsid w:val="00BC3B86"/>
    <w:rsid w:val="00BC3F46"/>
    <w:rsid w:val="00BC4D09"/>
    <w:rsid w:val="00BC6542"/>
    <w:rsid w:val="00BD1214"/>
    <w:rsid w:val="00BD21BB"/>
    <w:rsid w:val="00BD2802"/>
    <w:rsid w:val="00BD38B9"/>
    <w:rsid w:val="00BD5A82"/>
    <w:rsid w:val="00BE0AF6"/>
    <w:rsid w:val="00BE390D"/>
    <w:rsid w:val="00BE3E2A"/>
    <w:rsid w:val="00BE3F28"/>
    <w:rsid w:val="00BE46BC"/>
    <w:rsid w:val="00BE4D8F"/>
    <w:rsid w:val="00BE57FC"/>
    <w:rsid w:val="00BE6668"/>
    <w:rsid w:val="00BE6D5A"/>
    <w:rsid w:val="00BF1059"/>
    <w:rsid w:val="00BF377E"/>
    <w:rsid w:val="00BF46D3"/>
    <w:rsid w:val="00BF4752"/>
    <w:rsid w:val="00BF5B67"/>
    <w:rsid w:val="00BF5DD2"/>
    <w:rsid w:val="00BF68E1"/>
    <w:rsid w:val="00C025BD"/>
    <w:rsid w:val="00C02CE1"/>
    <w:rsid w:val="00C02DFE"/>
    <w:rsid w:val="00C03CEB"/>
    <w:rsid w:val="00C05BEF"/>
    <w:rsid w:val="00C05F1A"/>
    <w:rsid w:val="00C06439"/>
    <w:rsid w:val="00C06B79"/>
    <w:rsid w:val="00C10310"/>
    <w:rsid w:val="00C10D41"/>
    <w:rsid w:val="00C138A9"/>
    <w:rsid w:val="00C217C3"/>
    <w:rsid w:val="00C219B4"/>
    <w:rsid w:val="00C23441"/>
    <w:rsid w:val="00C23F8B"/>
    <w:rsid w:val="00C2564B"/>
    <w:rsid w:val="00C27EAE"/>
    <w:rsid w:val="00C30D2C"/>
    <w:rsid w:val="00C32069"/>
    <w:rsid w:val="00C32436"/>
    <w:rsid w:val="00C332DD"/>
    <w:rsid w:val="00C3340B"/>
    <w:rsid w:val="00C41B78"/>
    <w:rsid w:val="00C42896"/>
    <w:rsid w:val="00C43670"/>
    <w:rsid w:val="00C4460B"/>
    <w:rsid w:val="00C465B1"/>
    <w:rsid w:val="00C465C4"/>
    <w:rsid w:val="00C50F3F"/>
    <w:rsid w:val="00C53CA8"/>
    <w:rsid w:val="00C547FB"/>
    <w:rsid w:val="00C55072"/>
    <w:rsid w:val="00C5608A"/>
    <w:rsid w:val="00C6034D"/>
    <w:rsid w:val="00C60844"/>
    <w:rsid w:val="00C6163D"/>
    <w:rsid w:val="00C63635"/>
    <w:rsid w:val="00C63925"/>
    <w:rsid w:val="00C64765"/>
    <w:rsid w:val="00C660EA"/>
    <w:rsid w:val="00C66E1A"/>
    <w:rsid w:val="00C71BBD"/>
    <w:rsid w:val="00C71E07"/>
    <w:rsid w:val="00C75AFC"/>
    <w:rsid w:val="00C75DC8"/>
    <w:rsid w:val="00C77B3A"/>
    <w:rsid w:val="00C77C68"/>
    <w:rsid w:val="00C84DC6"/>
    <w:rsid w:val="00C87BA3"/>
    <w:rsid w:val="00C90537"/>
    <w:rsid w:val="00C913A3"/>
    <w:rsid w:val="00C91B33"/>
    <w:rsid w:val="00C92326"/>
    <w:rsid w:val="00C94DE3"/>
    <w:rsid w:val="00C967CC"/>
    <w:rsid w:val="00CA039B"/>
    <w:rsid w:val="00CA0C93"/>
    <w:rsid w:val="00CA0CF8"/>
    <w:rsid w:val="00CA10AF"/>
    <w:rsid w:val="00CA25DF"/>
    <w:rsid w:val="00CA42F5"/>
    <w:rsid w:val="00CA6281"/>
    <w:rsid w:val="00CA6A49"/>
    <w:rsid w:val="00CB068D"/>
    <w:rsid w:val="00CB2691"/>
    <w:rsid w:val="00CB2C26"/>
    <w:rsid w:val="00CB64AC"/>
    <w:rsid w:val="00CB6D69"/>
    <w:rsid w:val="00CB75AB"/>
    <w:rsid w:val="00CB79DE"/>
    <w:rsid w:val="00CB7FE5"/>
    <w:rsid w:val="00CC005A"/>
    <w:rsid w:val="00CC0362"/>
    <w:rsid w:val="00CC0927"/>
    <w:rsid w:val="00CC0B17"/>
    <w:rsid w:val="00CC27A4"/>
    <w:rsid w:val="00CC28FC"/>
    <w:rsid w:val="00CC3589"/>
    <w:rsid w:val="00CC359B"/>
    <w:rsid w:val="00CC3CE6"/>
    <w:rsid w:val="00CC43F0"/>
    <w:rsid w:val="00CC4988"/>
    <w:rsid w:val="00CC728E"/>
    <w:rsid w:val="00CC73B5"/>
    <w:rsid w:val="00CC7592"/>
    <w:rsid w:val="00CD1EF3"/>
    <w:rsid w:val="00CD21DA"/>
    <w:rsid w:val="00CD2EF3"/>
    <w:rsid w:val="00CD4354"/>
    <w:rsid w:val="00CD47E4"/>
    <w:rsid w:val="00CD57B4"/>
    <w:rsid w:val="00CD5839"/>
    <w:rsid w:val="00CD5BD6"/>
    <w:rsid w:val="00CD5E67"/>
    <w:rsid w:val="00CD6C40"/>
    <w:rsid w:val="00CD6E5D"/>
    <w:rsid w:val="00CD743D"/>
    <w:rsid w:val="00CD7A33"/>
    <w:rsid w:val="00CE00E1"/>
    <w:rsid w:val="00CE0DB0"/>
    <w:rsid w:val="00CE3386"/>
    <w:rsid w:val="00CE66EB"/>
    <w:rsid w:val="00CF20B9"/>
    <w:rsid w:val="00CF3A61"/>
    <w:rsid w:val="00CF4CF4"/>
    <w:rsid w:val="00D00B0E"/>
    <w:rsid w:val="00D022F6"/>
    <w:rsid w:val="00D04F78"/>
    <w:rsid w:val="00D066C4"/>
    <w:rsid w:val="00D1203D"/>
    <w:rsid w:val="00D224B2"/>
    <w:rsid w:val="00D224EC"/>
    <w:rsid w:val="00D26D80"/>
    <w:rsid w:val="00D27995"/>
    <w:rsid w:val="00D31B77"/>
    <w:rsid w:val="00D31E9C"/>
    <w:rsid w:val="00D32082"/>
    <w:rsid w:val="00D33146"/>
    <w:rsid w:val="00D3799E"/>
    <w:rsid w:val="00D379B9"/>
    <w:rsid w:val="00D40FB4"/>
    <w:rsid w:val="00D4118A"/>
    <w:rsid w:val="00D41277"/>
    <w:rsid w:val="00D412C0"/>
    <w:rsid w:val="00D4768C"/>
    <w:rsid w:val="00D47CC0"/>
    <w:rsid w:val="00D511D8"/>
    <w:rsid w:val="00D51618"/>
    <w:rsid w:val="00D51B01"/>
    <w:rsid w:val="00D51B67"/>
    <w:rsid w:val="00D52CA1"/>
    <w:rsid w:val="00D546CB"/>
    <w:rsid w:val="00D55054"/>
    <w:rsid w:val="00D557AC"/>
    <w:rsid w:val="00D57741"/>
    <w:rsid w:val="00D617B9"/>
    <w:rsid w:val="00D6223E"/>
    <w:rsid w:val="00D62948"/>
    <w:rsid w:val="00D669ED"/>
    <w:rsid w:val="00D677A6"/>
    <w:rsid w:val="00D71144"/>
    <w:rsid w:val="00D747FB"/>
    <w:rsid w:val="00D76AF7"/>
    <w:rsid w:val="00D76FC0"/>
    <w:rsid w:val="00D77513"/>
    <w:rsid w:val="00D77FA0"/>
    <w:rsid w:val="00D800D8"/>
    <w:rsid w:val="00D84E20"/>
    <w:rsid w:val="00D862D2"/>
    <w:rsid w:val="00D868F5"/>
    <w:rsid w:val="00D90F0C"/>
    <w:rsid w:val="00D915C2"/>
    <w:rsid w:val="00D91B97"/>
    <w:rsid w:val="00D9258B"/>
    <w:rsid w:val="00D9414D"/>
    <w:rsid w:val="00D9528D"/>
    <w:rsid w:val="00D9724B"/>
    <w:rsid w:val="00DA2B48"/>
    <w:rsid w:val="00DA6D1C"/>
    <w:rsid w:val="00DB0603"/>
    <w:rsid w:val="00DB0C0C"/>
    <w:rsid w:val="00DB1A4F"/>
    <w:rsid w:val="00DC0B6F"/>
    <w:rsid w:val="00DC2BCF"/>
    <w:rsid w:val="00DC635D"/>
    <w:rsid w:val="00DD011B"/>
    <w:rsid w:val="00DD1B31"/>
    <w:rsid w:val="00DD3B65"/>
    <w:rsid w:val="00DD53BA"/>
    <w:rsid w:val="00DD71A3"/>
    <w:rsid w:val="00DE21E2"/>
    <w:rsid w:val="00DE2706"/>
    <w:rsid w:val="00DE63B7"/>
    <w:rsid w:val="00DF0C54"/>
    <w:rsid w:val="00DF1BA2"/>
    <w:rsid w:val="00DF1BDF"/>
    <w:rsid w:val="00DF286D"/>
    <w:rsid w:val="00DF73A8"/>
    <w:rsid w:val="00DF794D"/>
    <w:rsid w:val="00DF7E90"/>
    <w:rsid w:val="00E02360"/>
    <w:rsid w:val="00E067A3"/>
    <w:rsid w:val="00E07F42"/>
    <w:rsid w:val="00E10525"/>
    <w:rsid w:val="00E1075D"/>
    <w:rsid w:val="00E10AE0"/>
    <w:rsid w:val="00E10CE2"/>
    <w:rsid w:val="00E14449"/>
    <w:rsid w:val="00E1624A"/>
    <w:rsid w:val="00E168FE"/>
    <w:rsid w:val="00E16C30"/>
    <w:rsid w:val="00E1795F"/>
    <w:rsid w:val="00E17C88"/>
    <w:rsid w:val="00E22E90"/>
    <w:rsid w:val="00E24424"/>
    <w:rsid w:val="00E24653"/>
    <w:rsid w:val="00E24859"/>
    <w:rsid w:val="00E24A3B"/>
    <w:rsid w:val="00E26505"/>
    <w:rsid w:val="00E3016B"/>
    <w:rsid w:val="00E305B7"/>
    <w:rsid w:val="00E35112"/>
    <w:rsid w:val="00E36F9F"/>
    <w:rsid w:val="00E3739B"/>
    <w:rsid w:val="00E373DC"/>
    <w:rsid w:val="00E3783B"/>
    <w:rsid w:val="00E37D9F"/>
    <w:rsid w:val="00E4005C"/>
    <w:rsid w:val="00E40CFC"/>
    <w:rsid w:val="00E41B3E"/>
    <w:rsid w:val="00E42B88"/>
    <w:rsid w:val="00E50484"/>
    <w:rsid w:val="00E50BBA"/>
    <w:rsid w:val="00E52BA9"/>
    <w:rsid w:val="00E53EE8"/>
    <w:rsid w:val="00E557A2"/>
    <w:rsid w:val="00E60443"/>
    <w:rsid w:val="00E60CBF"/>
    <w:rsid w:val="00E64846"/>
    <w:rsid w:val="00E658CB"/>
    <w:rsid w:val="00E665BB"/>
    <w:rsid w:val="00E66BDA"/>
    <w:rsid w:val="00E70338"/>
    <w:rsid w:val="00E727B7"/>
    <w:rsid w:val="00E72CAD"/>
    <w:rsid w:val="00E73569"/>
    <w:rsid w:val="00E75C43"/>
    <w:rsid w:val="00E7630A"/>
    <w:rsid w:val="00E77D44"/>
    <w:rsid w:val="00E8035F"/>
    <w:rsid w:val="00E811E6"/>
    <w:rsid w:val="00E8269F"/>
    <w:rsid w:val="00E84352"/>
    <w:rsid w:val="00E84623"/>
    <w:rsid w:val="00E84FD4"/>
    <w:rsid w:val="00E865AC"/>
    <w:rsid w:val="00E872E6"/>
    <w:rsid w:val="00E879A4"/>
    <w:rsid w:val="00E9103A"/>
    <w:rsid w:val="00E913E1"/>
    <w:rsid w:val="00E96228"/>
    <w:rsid w:val="00EA05A7"/>
    <w:rsid w:val="00EA1A63"/>
    <w:rsid w:val="00EA3D21"/>
    <w:rsid w:val="00EA572E"/>
    <w:rsid w:val="00EA60E3"/>
    <w:rsid w:val="00EA670F"/>
    <w:rsid w:val="00EA6C00"/>
    <w:rsid w:val="00EB034B"/>
    <w:rsid w:val="00EB0E70"/>
    <w:rsid w:val="00EB208A"/>
    <w:rsid w:val="00EB2519"/>
    <w:rsid w:val="00EB46C4"/>
    <w:rsid w:val="00EB5A1D"/>
    <w:rsid w:val="00EC0EDD"/>
    <w:rsid w:val="00EC3131"/>
    <w:rsid w:val="00EC4201"/>
    <w:rsid w:val="00EC422F"/>
    <w:rsid w:val="00EC4AC9"/>
    <w:rsid w:val="00EC6299"/>
    <w:rsid w:val="00EC78CE"/>
    <w:rsid w:val="00ED021D"/>
    <w:rsid w:val="00ED0484"/>
    <w:rsid w:val="00ED06C3"/>
    <w:rsid w:val="00ED1832"/>
    <w:rsid w:val="00ED215A"/>
    <w:rsid w:val="00ED558A"/>
    <w:rsid w:val="00ED5671"/>
    <w:rsid w:val="00EE0536"/>
    <w:rsid w:val="00EE0D0A"/>
    <w:rsid w:val="00EE1370"/>
    <w:rsid w:val="00EE563E"/>
    <w:rsid w:val="00EE6206"/>
    <w:rsid w:val="00EE6869"/>
    <w:rsid w:val="00EE7012"/>
    <w:rsid w:val="00EE76AC"/>
    <w:rsid w:val="00EF0D80"/>
    <w:rsid w:val="00EF14AF"/>
    <w:rsid w:val="00EF5DF7"/>
    <w:rsid w:val="00EF6805"/>
    <w:rsid w:val="00EF6851"/>
    <w:rsid w:val="00EF71A3"/>
    <w:rsid w:val="00EF76AB"/>
    <w:rsid w:val="00EF7D70"/>
    <w:rsid w:val="00F011BB"/>
    <w:rsid w:val="00F03F2B"/>
    <w:rsid w:val="00F042A6"/>
    <w:rsid w:val="00F045C7"/>
    <w:rsid w:val="00F0551D"/>
    <w:rsid w:val="00F05D6A"/>
    <w:rsid w:val="00F0707A"/>
    <w:rsid w:val="00F07681"/>
    <w:rsid w:val="00F1112F"/>
    <w:rsid w:val="00F12EDA"/>
    <w:rsid w:val="00F13122"/>
    <w:rsid w:val="00F155E5"/>
    <w:rsid w:val="00F17675"/>
    <w:rsid w:val="00F20B92"/>
    <w:rsid w:val="00F20CDC"/>
    <w:rsid w:val="00F213C5"/>
    <w:rsid w:val="00F226B4"/>
    <w:rsid w:val="00F2576F"/>
    <w:rsid w:val="00F27E5E"/>
    <w:rsid w:val="00F30178"/>
    <w:rsid w:val="00F327B3"/>
    <w:rsid w:val="00F32A54"/>
    <w:rsid w:val="00F34EB0"/>
    <w:rsid w:val="00F373C6"/>
    <w:rsid w:val="00F41DD3"/>
    <w:rsid w:val="00F42907"/>
    <w:rsid w:val="00F46E77"/>
    <w:rsid w:val="00F474F2"/>
    <w:rsid w:val="00F4784E"/>
    <w:rsid w:val="00F508A9"/>
    <w:rsid w:val="00F5132D"/>
    <w:rsid w:val="00F52C33"/>
    <w:rsid w:val="00F53B70"/>
    <w:rsid w:val="00F53D4B"/>
    <w:rsid w:val="00F54376"/>
    <w:rsid w:val="00F55468"/>
    <w:rsid w:val="00F5553C"/>
    <w:rsid w:val="00F555C3"/>
    <w:rsid w:val="00F56E55"/>
    <w:rsid w:val="00F5715B"/>
    <w:rsid w:val="00F60BEC"/>
    <w:rsid w:val="00F61616"/>
    <w:rsid w:val="00F61C49"/>
    <w:rsid w:val="00F64E3A"/>
    <w:rsid w:val="00F6623A"/>
    <w:rsid w:val="00F66707"/>
    <w:rsid w:val="00F6797F"/>
    <w:rsid w:val="00F70B8B"/>
    <w:rsid w:val="00F70DEF"/>
    <w:rsid w:val="00F72409"/>
    <w:rsid w:val="00F737DC"/>
    <w:rsid w:val="00F744D2"/>
    <w:rsid w:val="00F754EB"/>
    <w:rsid w:val="00F75A7F"/>
    <w:rsid w:val="00F801B2"/>
    <w:rsid w:val="00F8056F"/>
    <w:rsid w:val="00F80BEA"/>
    <w:rsid w:val="00F81C00"/>
    <w:rsid w:val="00F82BBC"/>
    <w:rsid w:val="00F844C0"/>
    <w:rsid w:val="00F84B01"/>
    <w:rsid w:val="00F85F90"/>
    <w:rsid w:val="00F86935"/>
    <w:rsid w:val="00F86C32"/>
    <w:rsid w:val="00F86E45"/>
    <w:rsid w:val="00F86FB8"/>
    <w:rsid w:val="00F87A27"/>
    <w:rsid w:val="00F95A5E"/>
    <w:rsid w:val="00F972A4"/>
    <w:rsid w:val="00F97479"/>
    <w:rsid w:val="00FA15AF"/>
    <w:rsid w:val="00FA2E12"/>
    <w:rsid w:val="00FA44FF"/>
    <w:rsid w:val="00FA49C9"/>
    <w:rsid w:val="00FA68C8"/>
    <w:rsid w:val="00FB107C"/>
    <w:rsid w:val="00FB1730"/>
    <w:rsid w:val="00FB2476"/>
    <w:rsid w:val="00FB2D53"/>
    <w:rsid w:val="00FB5EDF"/>
    <w:rsid w:val="00FB5EE2"/>
    <w:rsid w:val="00FB5EE6"/>
    <w:rsid w:val="00FB6635"/>
    <w:rsid w:val="00FB76A1"/>
    <w:rsid w:val="00FC0EB3"/>
    <w:rsid w:val="00FC28F1"/>
    <w:rsid w:val="00FC3F1A"/>
    <w:rsid w:val="00FC487B"/>
    <w:rsid w:val="00FC543C"/>
    <w:rsid w:val="00FC7F28"/>
    <w:rsid w:val="00FD3595"/>
    <w:rsid w:val="00FD36EE"/>
    <w:rsid w:val="00FD3AB3"/>
    <w:rsid w:val="00FD3F78"/>
    <w:rsid w:val="00FD5338"/>
    <w:rsid w:val="00FD5CDE"/>
    <w:rsid w:val="00FD6741"/>
    <w:rsid w:val="00FD766B"/>
    <w:rsid w:val="00FD7F7B"/>
    <w:rsid w:val="00FE2F2B"/>
    <w:rsid w:val="00FE46F4"/>
    <w:rsid w:val="00FE5435"/>
    <w:rsid w:val="00FE5947"/>
    <w:rsid w:val="00FE5FCB"/>
    <w:rsid w:val="00FE7610"/>
    <w:rsid w:val="00FE78CA"/>
    <w:rsid w:val="00FF0257"/>
    <w:rsid w:val="00FF1F94"/>
    <w:rsid w:val="00FF35F3"/>
    <w:rsid w:val="00FF41EA"/>
    <w:rsid w:val="00FF4299"/>
    <w:rsid w:val="00FF4672"/>
    <w:rsid w:val="00FF5D02"/>
    <w:rsid w:val="00FF7526"/>
    <w:rsid w:val="00FF7761"/>
    <w:rsid w:val="00FF7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70963F0"/>
  <w15:docId w15:val="{8088ACF4-D1E1-4D3F-9BB8-6C7B241E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ind w:left="0" w:firstLine="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A21343"/>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semiHidden/>
    <w:unhideWhenUsed/>
    <w:rsid w:val="00D9414D"/>
    <w:rPr>
      <w:sz w:val="16"/>
      <w:szCs w:val="16"/>
    </w:rPr>
  </w:style>
  <w:style w:type="paragraph" w:styleId="CommentText">
    <w:name w:val="annotation text"/>
    <w:basedOn w:val="Normal"/>
    <w:link w:val="CommentTextChar"/>
    <w:unhideWhenUsed/>
    <w:rsid w:val="00D9414D"/>
    <w:rPr>
      <w:szCs w:val="20"/>
    </w:rPr>
  </w:style>
  <w:style w:type="character" w:customStyle="1" w:styleId="CommentTextChar">
    <w:name w:val="Comment Text Char"/>
    <w:basedOn w:val="DefaultParagraphFont"/>
    <w:link w:val="CommentText"/>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paragraph" w:styleId="PlainText">
    <w:name w:val="Plain Text"/>
    <w:basedOn w:val="Normal"/>
    <w:link w:val="PlainTextChar"/>
    <w:rsid w:val="00FE7610"/>
    <w:pPr>
      <w:widowControl/>
      <w:autoSpaceDE/>
      <w:autoSpaceDN/>
      <w:adjustRightInd/>
      <w:spacing w:line="240" w:lineRule="auto"/>
    </w:pPr>
    <w:rPr>
      <w:rFonts w:ascii="Courier New" w:hAnsi="Courier New" w:cs="Courier New"/>
      <w:b/>
      <w:bCs/>
      <w:sz w:val="20"/>
      <w:szCs w:val="20"/>
      <w:u w:val="single"/>
    </w:rPr>
  </w:style>
  <w:style w:type="character" w:customStyle="1" w:styleId="PlainTextChar">
    <w:name w:val="Plain Text Char"/>
    <w:basedOn w:val="DefaultParagraphFont"/>
    <w:link w:val="PlainText"/>
    <w:rsid w:val="00FE7610"/>
    <w:rPr>
      <w:rFonts w:ascii="Courier New" w:eastAsia="Times New Roman" w:hAnsi="Courier New" w:cs="Courier New"/>
      <w:b/>
      <w:bCs/>
      <w:u w:val="single"/>
    </w:rPr>
  </w:style>
  <w:style w:type="character" w:customStyle="1" w:styleId="Heading6Char">
    <w:name w:val="Heading 6 Char"/>
    <w:basedOn w:val="DefaultParagraphFont"/>
    <w:link w:val="Heading6"/>
    <w:uiPriority w:val="9"/>
    <w:semiHidden/>
    <w:rsid w:val="00A2134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532767274">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21257433">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ls.gov/oes/current/naics4_9992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fm9@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h6@cdc.gov" TargetMode="External"/><Relationship Id="rId5" Type="http://schemas.openxmlformats.org/officeDocument/2006/relationships/numbering" Target="numbering.xml"/><Relationship Id="rId15" Type="http://schemas.openxmlformats.org/officeDocument/2006/relationships/hyperlink" Target="http://www.census.gov/hhes/schoo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hiv/pdf/risk_gender_238900B_HIV_Gay_Bisexual_MSM_F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ABA4F-C282-4E33-B656-FC0232E7C395}">
  <ds:schemaRefs>
    <ds:schemaRef ds:uri="http://schemas.openxmlformats.org/officeDocument/2006/bibliography"/>
  </ds:schemaRefs>
</ds:datastoreItem>
</file>

<file path=customXml/itemProps2.xml><?xml version="1.0" encoding="utf-8"?>
<ds:datastoreItem xmlns:ds="http://schemas.openxmlformats.org/officeDocument/2006/customXml" ds:itemID="{DDA2260C-AE03-4DF9-94BC-7A2B65D3F681}">
  <ds:schemaRefs>
    <ds:schemaRef ds:uri="http://schemas.openxmlformats.org/officeDocument/2006/bibliography"/>
  </ds:schemaRefs>
</ds:datastoreItem>
</file>

<file path=customXml/itemProps3.xml><?xml version="1.0" encoding="utf-8"?>
<ds:datastoreItem xmlns:ds="http://schemas.openxmlformats.org/officeDocument/2006/customXml" ds:itemID="{A5D7758B-748B-49BA-9245-BE540BDA8D41}">
  <ds:schemaRefs>
    <ds:schemaRef ds:uri="http://schemas.openxmlformats.org/officeDocument/2006/bibliography"/>
  </ds:schemaRefs>
</ds:datastoreItem>
</file>

<file path=customXml/itemProps4.xml><?xml version="1.0" encoding="utf-8"?>
<ds:datastoreItem xmlns:ds="http://schemas.openxmlformats.org/officeDocument/2006/customXml" ds:itemID="{181EE28B-C53A-4364-B731-33F2C1CD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7635</Words>
  <Characters>43524</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51057</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Zirger, Jeffrey (CDC/OD/OADS)</cp:lastModifiedBy>
  <cp:revision>4</cp:revision>
  <cp:lastPrinted>2013-05-29T15:27:00Z</cp:lastPrinted>
  <dcterms:created xsi:type="dcterms:W3CDTF">2015-08-31T19:44:00Z</dcterms:created>
  <dcterms:modified xsi:type="dcterms:W3CDTF">2015-09-08T19:21:00Z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