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8374A" w14:textId="77777777" w:rsidR="00C361B7" w:rsidRPr="0091086A" w:rsidRDefault="005D06D3" w:rsidP="001E44B1">
      <w:pPr>
        <w:jc w:val="center"/>
        <w:rPr>
          <w:b/>
        </w:rPr>
      </w:pPr>
      <w:bookmarkStart w:id="0" w:name="_Toc395102849"/>
      <w:bookmarkStart w:id="1" w:name="_GoBack"/>
      <w:bookmarkEnd w:id="1"/>
      <w:r w:rsidRPr="0091086A">
        <w:rPr>
          <w:b/>
        </w:rPr>
        <w:t>Public Surv</w:t>
      </w:r>
      <w:r w:rsidR="00DA6DC6" w:rsidRPr="0091086A">
        <w:rPr>
          <w:b/>
        </w:rPr>
        <w:t xml:space="preserve">ey </w:t>
      </w:r>
    </w:p>
    <w:p w14:paraId="3F3E0DE4" w14:textId="78961068" w:rsidR="003B7A0E" w:rsidRPr="0091086A" w:rsidRDefault="00DA6DC6" w:rsidP="001E44B1">
      <w:pPr>
        <w:jc w:val="center"/>
        <w:rPr>
          <w:b/>
        </w:rPr>
      </w:pPr>
      <w:r w:rsidRPr="0091086A">
        <w:rPr>
          <w:b/>
        </w:rPr>
        <w:t xml:space="preserve">for NOAA’s </w:t>
      </w:r>
      <w:r w:rsidR="0075059C">
        <w:rPr>
          <w:b/>
        </w:rPr>
        <w:t>Fire Weather Risk Messages</w:t>
      </w:r>
    </w:p>
    <w:p w14:paraId="4AA7AEFB" w14:textId="47469C92" w:rsidR="003B7A0E" w:rsidRPr="0091086A" w:rsidRDefault="005209C7" w:rsidP="003B7A0E">
      <w:pPr>
        <w:jc w:val="center"/>
        <w:rPr>
          <w:rFonts w:ascii="Times New Roman Bold" w:hAnsi="Times New Roman Bold"/>
          <w:b/>
        </w:rPr>
      </w:pPr>
      <w:r w:rsidRPr="00C962AB">
        <w:rPr>
          <w:rFonts w:ascii="Times New Roman Bold" w:hAnsi="Times New Roman Bold"/>
          <w:b/>
        </w:rPr>
        <w:t>December 1</w:t>
      </w:r>
      <w:r w:rsidR="00C962AB" w:rsidRPr="00C962AB">
        <w:rPr>
          <w:rFonts w:ascii="Times New Roman Bold" w:hAnsi="Times New Roman Bold"/>
          <w:b/>
        </w:rPr>
        <w:t>8</w:t>
      </w:r>
      <w:r w:rsidR="005D06D3" w:rsidRPr="00C962AB">
        <w:rPr>
          <w:rFonts w:ascii="Times New Roman Bold" w:hAnsi="Times New Roman Bold"/>
          <w:b/>
        </w:rPr>
        <w:t>, 2017</w:t>
      </w:r>
    </w:p>
    <w:p w14:paraId="1DF0B425" w14:textId="77777777" w:rsidR="003B7A0E" w:rsidRPr="0091086A" w:rsidRDefault="003B7A0E" w:rsidP="003B7A0E">
      <w:pPr>
        <w:jc w:val="center"/>
        <w:rPr>
          <w:b/>
          <w:smallCaps/>
        </w:rPr>
      </w:pPr>
    </w:p>
    <w:bookmarkEnd w:id="0"/>
    <w:p w14:paraId="363BA491" w14:textId="77777777" w:rsidR="003B7A0E" w:rsidRPr="0091086A" w:rsidRDefault="003B7A0E" w:rsidP="003B7A0E">
      <w:pPr>
        <w:autoSpaceDE w:val="0"/>
        <w:autoSpaceDN w:val="0"/>
        <w:adjustRightInd w:val="0"/>
        <w:rPr>
          <w:b/>
          <w:bCs/>
        </w:rPr>
      </w:pPr>
    </w:p>
    <w:p w14:paraId="29252033" w14:textId="77777777" w:rsidR="004B2986" w:rsidRPr="0091086A" w:rsidRDefault="004B2986" w:rsidP="003B7A0E">
      <w:pPr>
        <w:pStyle w:val="ListParagraph"/>
        <w:numPr>
          <w:ilvl w:val="0"/>
          <w:numId w:val="21"/>
        </w:numPr>
        <w:autoSpaceDE w:val="0"/>
        <w:autoSpaceDN w:val="0"/>
        <w:adjustRightInd w:val="0"/>
        <w:rPr>
          <w:b/>
          <w:bCs/>
          <w:sz w:val="24"/>
          <w:szCs w:val="24"/>
        </w:rPr>
      </w:pPr>
      <w:r w:rsidRPr="0091086A">
        <w:rPr>
          <w:b/>
          <w:bCs/>
          <w:sz w:val="24"/>
          <w:szCs w:val="24"/>
        </w:rPr>
        <w:t>Supplemental Questions for DOC/NOAA Customer Survey Clearance</w:t>
      </w:r>
      <w:r w:rsidRPr="0091086A">
        <w:rPr>
          <w:b/>
          <w:bCs/>
          <w:sz w:val="24"/>
          <w:szCs w:val="24"/>
        </w:rPr>
        <w:br/>
        <w:t>(OMB Control Number 0648-0342)</w:t>
      </w:r>
    </w:p>
    <w:p w14:paraId="10510FFC" w14:textId="77777777" w:rsidR="004B2986" w:rsidRPr="0091086A" w:rsidRDefault="004B2986">
      <w:pPr>
        <w:autoSpaceDE w:val="0"/>
        <w:autoSpaceDN w:val="0"/>
        <w:adjustRightInd w:val="0"/>
        <w:rPr>
          <w:b/>
          <w:bCs/>
        </w:rPr>
      </w:pPr>
    </w:p>
    <w:p w14:paraId="10DEE6A7" w14:textId="77777777" w:rsidR="00475267" w:rsidRPr="0091086A" w:rsidRDefault="00475267">
      <w:pPr>
        <w:autoSpaceDE w:val="0"/>
        <w:autoSpaceDN w:val="0"/>
        <w:adjustRightInd w:val="0"/>
        <w:rPr>
          <w:b/>
          <w:bCs/>
        </w:rPr>
      </w:pPr>
    </w:p>
    <w:p w14:paraId="52435FAC" w14:textId="77777777" w:rsidR="004B2986" w:rsidRPr="0091086A" w:rsidRDefault="004B2986" w:rsidP="00676FF8">
      <w:pPr>
        <w:numPr>
          <w:ilvl w:val="0"/>
          <w:numId w:val="1"/>
        </w:numPr>
        <w:tabs>
          <w:tab w:val="left" w:pos="450"/>
        </w:tabs>
        <w:autoSpaceDE w:val="0"/>
        <w:autoSpaceDN w:val="0"/>
        <w:adjustRightInd w:val="0"/>
        <w:ind w:left="450"/>
        <w:rPr>
          <w:b/>
        </w:rPr>
      </w:pPr>
      <w:r w:rsidRPr="0091086A">
        <w:rPr>
          <w:b/>
        </w:rPr>
        <w:t xml:space="preserve">Explain who will be conducting this survey. What program office will be </w:t>
      </w:r>
      <w:r w:rsidRPr="0091086A">
        <w:rPr>
          <w:b/>
        </w:rPr>
        <w:br/>
        <w:t>conducting the survey? What services does this program provide? Who are the customers? How are these services provided to the customer?</w:t>
      </w:r>
    </w:p>
    <w:p w14:paraId="7DBA1C80" w14:textId="77777777" w:rsidR="00783182" w:rsidRPr="0091086A" w:rsidRDefault="00783182" w:rsidP="00783182">
      <w:pPr>
        <w:tabs>
          <w:tab w:val="left" w:pos="450"/>
        </w:tabs>
        <w:autoSpaceDE w:val="0"/>
        <w:autoSpaceDN w:val="0"/>
        <w:adjustRightInd w:val="0"/>
        <w:rPr>
          <w:b/>
        </w:rPr>
      </w:pPr>
    </w:p>
    <w:p w14:paraId="67E46497" w14:textId="4963C568" w:rsidR="00862787" w:rsidRPr="0091086A" w:rsidRDefault="00862787" w:rsidP="00A3132E">
      <w:pPr>
        <w:ind w:left="90"/>
        <w:rPr>
          <w:rFonts w:eastAsiaTheme="minorHAnsi"/>
        </w:rPr>
      </w:pPr>
      <w:r w:rsidRPr="0091086A">
        <w:rPr>
          <w:rFonts w:eastAsiaTheme="minorHAnsi"/>
        </w:rPr>
        <w:t xml:space="preserve">This request is for a </w:t>
      </w:r>
      <w:r w:rsidR="00834AA1">
        <w:rPr>
          <w:rFonts w:eastAsiaTheme="minorHAnsi"/>
        </w:rPr>
        <w:t>public</w:t>
      </w:r>
      <w:r w:rsidR="00DA6DC6" w:rsidRPr="0091086A">
        <w:rPr>
          <w:rFonts w:eastAsiaTheme="minorHAnsi"/>
        </w:rPr>
        <w:t xml:space="preserve"> survey</w:t>
      </w:r>
      <w:r w:rsidRPr="0091086A">
        <w:rPr>
          <w:rFonts w:eastAsiaTheme="minorHAnsi"/>
        </w:rPr>
        <w:t xml:space="preserve"> to be</w:t>
      </w:r>
      <w:r w:rsidR="00DA6DC6" w:rsidRPr="0091086A">
        <w:rPr>
          <w:rFonts w:eastAsiaTheme="minorHAnsi"/>
        </w:rPr>
        <w:t xml:space="preserve"> conducted by NOAA’s</w:t>
      </w:r>
      <w:r w:rsidR="00783182" w:rsidRPr="0091086A">
        <w:rPr>
          <w:rFonts w:eastAsiaTheme="minorHAnsi"/>
        </w:rPr>
        <w:t xml:space="preserve"> National Weather Service (NWS)</w:t>
      </w:r>
      <w:r w:rsidRPr="0091086A">
        <w:rPr>
          <w:rFonts w:eastAsiaTheme="minorHAnsi"/>
        </w:rPr>
        <w:t xml:space="preserve"> to assess how best to communicate </w:t>
      </w:r>
      <w:r w:rsidR="0075059C">
        <w:rPr>
          <w:rFonts w:eastAsiaTheme="minorHAnsi"/>
        </w:rPr>
        <w:t xml:space="preserve">fire </w:t>
      </w:r>
      <w:r w:rsidR="0075059C" w:rsidRPr="00A3132E">
        <w:rPr>
          <w:rFonts w:eastAsiaTheme="minorHAnsi"/>
        </w:rPr>
        <w:t xml:space="preserve">weather risk </w:t>
      </w:r>
      <w:r w:rsidRPr="00A3132E">
        <w:rPr>
          <w:rFonts w:eastAsiaTheme="minorHAnsi"/>
        </w:rPr>
        <w:t>information</w:t>
      </w:r>
      <w:r w:rsidR="00DA6DC6" w:rsidRPr="00A3132E">
        <w:rPr>
          <w:rFonts w:eastAsiaTheme="minorHAnsi"/>
        </w:rPr>
        <w:t xml:space="preserve">. </w:t>
      </w:r>
      <w:r w:rsidRPr="00A3132E">
        <w:rPr>
          <w:rFonts w:eastAsiaTheme="minorHAnsi"/>
        </w:rPr>
        <w:t>The surveys are similar</w:t>
      </w:r>
      <w:r w:rsidR="0075059C" w:rsidRPr="00A3132E">
        <w:rPr>
          <w:rFonts w:eastAsiaTheme="minorHAnsi"/>
        </w:rPr>
        <w:t xml:space="preserve"> to a set of surveys approved by OMB under this control number on </w:t>
      </w:r>
      <w:r w:rsidR="00A3132E">
        <w:rPr>
          <w:rFonts w:eastAsiaTheme="minorHAnsi"/>
        </w:rPr>
        <w:t xml:space="preserve">11/20/17 </w:t>
      </w:r>
      <w:r w:rsidR="00A3132E" w:rsidRPr="00A3132E">
        <w:rPr>
          <w:rFonts w:eastAsiaTheme="minorHAnsi"/>
        </w:rPr>
        <w:t>(</w:t>
      </w:r>
      <w:r w:rsidR="00A3132E" w:rsidRPr="00A3132E">
        <w:rPr>
          <w:rFonts w:eastAsiaTheme="minorHAnsi"/>
          <w:i/>
        </w:rPr>
        <w:t>Public Survey for NOAA’s National Weather Service Hazard Simplification Project</w:t>
      </w:r>
      <w:r w:rsidR="00A3132E" w:rsidRPr="00A3132E">
        <w:rPr>
          <w:rFonts w:eastAsiaTheme="minorHAnsi"/>
        </w:rPr>
        <w:t>)</w:t>
      </w:r>
      <w:r w:rsidR="0075059C" w:rsidRPr="00A3132E">
        <w:rPr>
          <w:rFonts w:eastAsiaTheme="minorHAnsi"/>
        </w:rPr>
        <w:t>. Those surveys</w:t>
      </w:r>
      <w:r w:rsidR="0075059C">
        <w:rPr>
          <w:rFonts w:eastAsiaTheme="minorHAnsi"/>
        </w:rPr>
        <w:t xml:space="preserve"> covered a number of hazards, but did not include fire weather. Furthermore, the survey being described in this submission is part of a separate effort at </w:t>
      </w:r>
      <w:r w:rsidR="00995B80">
        <w:rPr>
          <w:rFonts w:eastAsiaTheme="minorHAnsi"/>
        </w:rPr>
        <w:t xml:space="preserve">the </w:t>
      </w:r>
      <w:r w:rsidR="0075059C">
        <w:rPr>
          <w:rFonts w:eastAsiaTheme="minorHAnsi"/>
        </w:rPr>
        <w:t xml:space="preserve">NWS. </w:t>
      </w:r>
      <w:r w:rsidR="00995B80">
        <w:rPr>
          <w:rFonts w:eastAsiaTheme="minorHAnsi"/>
        </w:rPr>
        <w:t xml:space="preserve">The </w:t>
      </w:r>
      <w:r w:rsidR="0075059C">
        <w:rPr>
          <w:rFonts w:eastAsiaTheme="minorHAnsi"/>
        </w:rPr>
        <w:t xml:space="preserve">NWS has designed this survey to be consistent with the surveys that were previously approved to build a stronger base of information to assess </w:t>
      </w:r>
      <w:r w:rsidR="00995B80">
        <w:rPr>
          <w:rFonts w:eastAsiaTheme="minorHAnsi"/>
        </w:rPr>
        <w:t xml:space="preserve">potential </w:t>
      </w:r>
      <w:r w:rsidR="0075059C">
        <w:rPr>
          <w:rFonts w:eastAsiaTheme="minorHAnsi"/>
        </w:rPr>
        <w:t xml:space="preserve">changes to the NWS messaging overall. </w:t>
      </w:r>
    </w:p>
    <w:p w14:paraId="3FF3EC11" w14:textId="77777777" w:rsidR="00862787" w:rsidRPr="0091086A" w:rsidRDefault="00862787" w:rsidP="00405E94">
      <w:pPr>
        <w:ind w:left="90"/>
        <w:rPr>
          <w:rFonts w:eastAsiaTheme="minorHAnsi"/>
        </w:rPr>
      </w:pPr>
    </w:p>
    <w:p w14:paraId="4EE62EE9" w14:textId="5919B097" w:rsidR="00A847D2" w:rsidRDefault="00DA6DC6" w:rsidP="00405E94">
      <w:pPr>
        <w:ind w:left="90"/>
        <w:rPr>
          <w:rFonts w:eastAsia="Calibri"/>
        </w:rPr>
      </w:pPr>
      <w:r w:rsidRPr="0091086A">
        <w:rPr>
          <w:rFonts w:eastAsiaTheme="minorHAnsi"/>
        </w:rPr>
        <w:t>The NWS</w:t>
      </w:r>
      <w:r w:rsidR="00783182" w:rsidRPr="0091086A">
        <w:rPr>
          <w:rFonts w:eastAsiaTheme="minorHAnsi"/>
        </w:rPr>
        <w:t xml:space="preserve"> </w:t>
      </w:r>
      <w:r w:rsidR="00995B80">
        <w:rPr>
          <w:rFonts w:eastAsiaTheme="minorHAnsi"/>
        </w:rPr>
        <w:t xml:space="preserve">currently </w:t>
      </w:r>
      <w:r w:rsidRPr="0091086A">
        <w:rPr>
          <w:rFonts w:eastAsiaTheme="minorHAnsi"/>
        </w:rPr>
        <w:t xml:space="preserve">forecasts </w:t>
      </w:r>
      <w:r w:rsidR="0075059C">
        <w:rPr>
          <w:rFonts w:eastAsiaTheme="minorHAnsi"/>
        </w:rPr>
        <w:t>fire</w:t>
      </w:r>
      <w:r w:rsidRPr="0091086A">
        <w:rPr>
          <w:rFonts w:eastAsiaTheme="minorHAnsi"/>
        </w:rPr>
        <w:t xml:space="preserve"> weather situations and </w:t>
      </w:r>
      <w:r w:rsidRPr="0091086A">
        <w:rPr>
          <w:rFonts w:eastAsia="Calibri"/>
        </w:rPr>
        <w:t xml:space="preserve">issues </w:t>
      </w:r>
      <w:r w:rsidR="0075059C">
        <w:rPr>
          <w:rFonts w:eastAsia="Calibri"/>
        </w:rPr>
        <w:t>“</w:t>
      </w:r>
      <w:r w:rsidR="007E12C9">
        <w:rPr>
          <w:rFonts w:eastAsia="Calibri"/>
        </w:rPr>
        <w:t>F</w:t>
      </w:r>
      <w:r w:rsidR="0075059C">
        <w:rPr>
          <w:rFonts w:eastAsia="Calibri"/>
        </w:rPr>
        <w:t xml:space="preserve">ire </w:t>
      </w:r>
      <w:r w:rsidR="007E12C9">
        <w:rPr>
          <w:rFonts w:eastAsia="Calibri"/>
        </w:rPr>
        <w:t>W</w:t>
      </w:r>
      <w:r w:rsidR="0075059C">
        <w:rPr>
          <w:rFonts w:eastAsia="Calibri"/>
        </w:rPr>
        <w:t xml:space="preserve">eather </w:t>
      </w:r>
      <w:r w:rsidR="007E12C9">
        <w:rPr>
          <w:rFonts w:eastAsia="Calibri"/>
        </w:rPr>
        <w:t>W</w:t>
      </w:r>
      <w:r w:rsidR="0075059C">
        <w:rPr>
          <w:rFonts w:eastAsia="Calibri"/>
        </w:rPr>
        <w:t>atches” and “</w:t>
      </w:r>
      <w:r w:rsidR="007E12C9">
        <w:rPr>
          <w:rFonts w:eastAsia="Calibri"/>
        </w:rPr>
        <w:t>R</w:t>
      </w:r>
      <w:r w:rsidR="0075059C">
        <w:rPr>
          <w:rFonts w:eastAsia="Calibri"/>
        </w:rPr>
        <w:t xml:space="preserve">ed </w:t>
      </w:r>
      <w:r w:rsidR="007E12C9">
        <w:rPr>
          <w:rFonts w:eastAsia="Calibri"/>
        </w:rPr>
        <w:t>F</w:t>
      </w:r>
      <w:r w:rsidR="0075059C">
        <w:rPr>
          <w:rFonts w:eastAsia="Calibri"/>
        </w:rPr>
        <w:t xml:space="preserve">lag </w:t>
      </w:r>
      <w:r w:rsidR="007E12C9">
        <w:rPr>
          <w:rFonts w:eastAsia="Calibri"/>
        </w:rPr>
        <w:t>W</w:t>
      </w:r>
      <w:r w:rsidRPr="0091086A">
        <w:rPr>
          <w:rFonts w:eastAsia="Calibri"/>
        </w:rPr>
        <w:t>arnings</w:t>
      </w:r>
      <w:r w:rsidR="0075059C">
        <w:rPr>
          <w:rFonts w:eastAsia="Calibri"/>
        </w:rPr>
        <w:t>” in response to forecasted conditions in wind, humidity, and moisture content of fuels (e.g., grass).</w:t>
      </w:r>
      <w:r w:rsidR="00995B80">
        <w:rPr>
          <w:rFonts w:eastAsia="Calibri"/>
        </w:rPr>
        <w:t xml:space="preserve"> Historically</w:t>
      </w:r>
      <w:r w:rsidR="0075059C">
        <w:rPr>
          <w:rFonts w:eastAsia="Calibri"/>
        </w:rPr>
        <w:t xml:space="preserve">, </w:t>
      </w:r>
      <w:r w:rsidR="00995B80">
        <w:rPr>
          <w:rFonts w:eastAsia="Calibri"/>
        </w:rPr>
        <w:t xml:space="preserve">the </w:t>
      </w:r>
      <w:r w:rsidR="0075059C">
        <w:rPr>
          <w:rFonts w:eastAsia="Calibri"/>
        </w:rPr>
        <w:t xml:space="preserve">NWS has targeted watches and warnings </w:t>
      </w:r>
      <w:r w:rsidR="00995B80">
        <w:rPr>
          <w:rFonts w:eastAsia="Calibri"/>
        </w:rPr>
        <w:t xml:space="preserve">only </w:t>
      </w:r>
      <w:r w:rsidR="00C8678D">
        <w:rPr>
          <w:rFonts w:eastAsia="Calibri"/>
        </w:rPr>
        <w:t>to</w:t>
      </w:r>
      <w:r w:rsidR="0075059C">
        <w:rPr>
          <w:rFonts w:eastAsia="Calibri"/>
        </w:rPr>
        <w:t xml:space="preserve"> public officials such as emergency planners, first responders, and firemen.</w:t>
      </w:r>
      <w:r w:rsidRPr="0091086A">
        <w:rPr>
          <w:rFonts w:eastAsia="Calibri"/>
        </w:rPr>
        <w:t xml:space="preserve"> </w:t>
      </w:r>
      <w:r w:rsidR="0075059C">
        <w:rPr>
          <w:rFonts w:eastAsia="Calibri"/>
        </w:rPr>
        <w:t>These terms (</w:t>
      </w:r>
      <w:r w:rsidR="00C962AB">
        <w:rPr>
          <w:rFonts w:eastAsia="Calibri"/>
        </w:rPr>
        <w:t>F</w:t>
      </w:r>
      <w:r w:rsidR="0075059C">
        <w:rPr>
          <w:rFonts w:eastAsia="Calibri"/>
        </w:rPr>
        <w:t xml:space="preserve">ire </w:t>
      </w:r>
      <w:r w:rsidR="00C962AB">
        <w:rPr>
          <w:rFonts w:eastAsia="Calibri"/>
        </w:rPr>
        <w:t>W</w:t>
      </w:r>
      <w:r w:rsidR="0075059C">
        <w:rPr>
          <w:rFonts w:eastAsia="Calibri"/>
        </w:rPr>
        <w:t xml:space="preserve">eather </w:t>
      </w:r>
      <w:r w:rsidR="00C962AB">
        <w:rPr>
          <w:rFonts w:eastAsia="Calibri"/>
        </w:rPr>
        <w:t>W</w:t>
      </w:r>
      <w:r w:rsidR="0075059C">
        <w:rPr>
          <w:rFonts w:eastAsia="Calibri"/>
        </w:rPr>
        <w:t xml:space="preserve">atch and </w:t>
      </w:r>
      <w:r w:rsidR="00C962AB">
        <w:rPr>
          <w:rFonts w:eastAsia="Calibri"/>
        </w:rPr>
        <w:t>R</w:t>
      </w:r>
      <w:r w:rsidR="0075059C">
        <w:rPr>
          <w:rFonts w:eastAsia="Calibri"/>
        </w:rPr>
        <w:t xml:space="preserve">ed </w:t>
      </w:r>
      <w:r w:rsidR="00C962AB">
        <w:rPr>
          <w:rFonts w:eastAsia="Calibri"/>
        </w:rPr>
        <w:t>F</w:t>
      </w:r>
      <w:r w:rsidR="0075059C">
        <w:rPr>
          <w:rFonts w:eastAsia="Calibri"/>
        </w:rPr>
        <w:t xml:space="preserve">lag </w:t>
      </w:r>
      <w:r w:rsidR="00C962AB">
        <w:rPr>
          <w:rFonts w:eastAsia="Calibri"/>
        </w:rPr>
        <w:t>W</w:t>
      </w:r>
      <w:r w:rsidR="0075059C">
        <w:rPr>
          <w:rFonts w:eastAsia="Calibri"/>
        </w:rPr>
        <w:t xml:space="preserve">arning), however, </w:t>
      </w:r>
      <w:r w:rsidR="00087468">
        <w:rPr>
          <w:rFonts w:eastAsia="Calibri"/>
        </w:rPr>
        <w:t xml:space="preserve">have </w:t>
      </w:r>
      <w:r w:rsidR="00995B80">
        <w:rPr>
          <w:rFonts w:eastAsia="Calibri"/>
        </w:rPr>
        <w:t xml:space="preserve">also </w:t>
      </w:r>
      <w:r w:rsidR="00087468">
        <w:rPr>
          <w:rFonts w:eastAsia="Calibri"/>
        </w:rPr>
        <w:t xml:space="preserve">been </w:t>
      </w:r>
      <w:r w:rsidR="0075059C">
        <w:rPr>
          <w:rFonts w:eastAsia="Calibri"/>
        </w:rPr>
        <w:t>disseminated to the public through the media, websites, and social media</w:t>
      </w:r>
      <w:r w:rsidR="00087468">
        <w:rPr>
          <w:rFonts w:eastAsia="Calibri"/>
        </w:rPr>
        <w:t>—and this dissemination has expanded in recent years along with people’s use of the internet</w:t>
      </w:r>
      <w:r w:rsidR="0075059C">
        <w:rPr>
          <w:rFonts w:eastAsia="Calibri"/>
        </w:rPr>
        <w:t>. Thus,</w:t>
      </w:r>
      <w:r w:rsidR="00A847D2">
        <w:rPr>
          <w:rFonts w:eastAsia="Calibri"/>
        </w:rPr>
        <w:t xml:space="preserve"> </w:t>
      </w:r>
      <w:r w:rsidR="00087468">
        <w:rPr>
          <w:rFonts w:eastAsia="Calibri"/>
        </w:rPr>
        <w:t xml:space="preserve">the </w:t>
      </w:r>
      <w:r w:rsidR="00A847D2">
        <w:rPr>
          <w:rFonts w:eastAsia="Calibri"/>
        </w:rPr>
        <w:t xml:space="preserve">NWS is interested in knowing how well these terms are understood, whether they need to be changed, and the extent to which changes would be welcomed by the public. Presumably, a better-informed public in the face of wildfires should result in fewer fatalities and injuries associated with wildfires. </w:t>
      </w:r>
    </w:p>
    <w:p w14:paraId="46560353" w14:textId="77777777" w:rsidR="00A847D2" w:rsidRDefault="00A847D2" w:rsidP="00405E94">
      <w:pPr>
        <w:ind w:left="90"/>
        <w:rPr>
          <w:rFonts w:eastAsia="Calibri"/>
        </w:rPr>
      </w:pPr>
    </w:p>
    <w:p w14:paraId="2EFBC0F5" w14:textId="049E2F97" w:rsidR="00A3132E" w:rsidRDefault="00DB05E1" w:rsidP="00A66FF0">
      <w:pPr>
        <w:autoSpaceDE w:val="0"/>
        <w:autoSpaceDN w:val="0"/>
        <w:adjustRightInd w:val="0"/>
        <w:ind w:left="90"/>
        <w:rPr>
          <w:rFonts w:eastAsiaTheme="minorHAnsi"/>
        </w:rPr>
      </w:pPr>
      <w:r w:rsidRPr="0091086A">
        <w:rPr>
          <w:rFonts w:eastAsiaTheme="minorHAnsi"/>
        </w:rPr>
        <w:t xml:space="preserve">This survey builds on </w:t>
      </w:r>
      <w:r w:rsidR="00A3132E">
        <w:rPr>
          <w:rFonts w:eastAsiaTheme="minorHAnsi"/>
        </w:rPr>
        <w:t>a set of focus groups that was approved under this control number on 3/13/17 (</w:t>
      </w:r>
      <w:r w:rsidR="00A3132E" w:rsidRPr="00A3132E">
        <w:rPr>
          <w:rFonts w:eastAsiaTheme="minorHAnsi"/>
          <w:i/>
        </w:rPr>
        <w:t>Public Focus Groups to Assess Fire Weather Services</w:t>
      </w:r>
      <w:r w:rsidR="00A3132E">
        <w:rPr>
          <w:rFonts w:eastAsiaTheme="minorHAnsi"/>
        </w:rPr>
        <w:t>). The report presented to NWS by its subcontractor (Eastern Research Group, Inc. (ERG)) had three main findings:</w:t>
      </w:r>
    </w:p>
    <w:p w14:paraId="4394592B" w14:textId="77777777" w:rsidR="00A3132E" w:rsidRDefault="00A3132E" w:rsidP="00A66FF0">
      <w:pPr>
        <w:autoSpaceDE w:val="0"/>
        <w:autoSpaceDN w:val="0"/>
        <w:adjustRightInd w:val="0"/>
        <w:ind w:left="90"/>
        <w:rPr>
          <w:rFonts w:eastAsiaTheme="minorHAnsi"/>
        </w:rPr>
      </w:pPr>
    </w:p>
    <w:p w14:paraId="1B337053" w14:textId="510240FA" w:rsidR="00A3132E" w:rsidRDefault="00A3132E" w:rsidP="00A3132E">
      <w:pPr>
        <w:numPr>
          <w:ilvl w:val="0"/>
          <w:numId w:val="40"/>
        </w:numPr>
        <w:autoSpaceDE w:val="0"/>
        <w:autoSpaceDN w:val="0"/>
        <w:adjustRightInd w:val="0"/>
        <w:rPr>
          <w:rFonts w:eastAsiaTheme="minorHAnsi"/>
        </w:rPr>
      </w:pPr>
      <w:r w:rsidRPr="00A3132E">
        <w:rPr>
          <w:rFonts w:eastAsiaTheme="minorHAnsi"/>
          <w:b/>
        </w:rPr>
        <w:t>Is the phrase “Red Flag Warning” intuitive to the public?</w:t>
      </w:r>
      <w:r w:rsidRPr="00A3132E">
        <w:rPr>
          <w:rFonts w:eastAsiaTheme="minorHAnsi"/>
        </w:rPr>
        <w:t xml:space="preserve"> The focus group results indicated that although the phrase is very </w:t>
      </w:r>
      <w:r w:rsidRPr="00A3132E">
        <w:rPr>
          <w:rFonts w:eastAsiaTheme="minorHAnsi"/>
          <w:i/>
        </w:rPr>
        <w:t>familiar</w:t>
      </w:r>
      <w:r w:rsidRPr="00A3132E">
        <w:rPr>
          <w:rFonts w:eastAsiaTheme="minorHAnsi"/>
        </w:rPr>
        <w:t xml:space="preserve"> to residents in </w:t>
      </w:r>
      <w:r>
        <w:rPr>
          <w:rFonts w:eastAsiaTheme="minorHAnsi"/>
        </w:rPr>
        <w:t>w</w:t>
      </w:r>
      <w:r w:rsidRPr="00A3132E">
        <w:rPr>
          <w:rFonts w:eastAsiaTheme="minorHAnsi"/>
        </w:rPr>
        <w:t xml:space="preserve">estern </w:t>
      </w:r>
      <w:r>
        <w:rPr>
          <w:rFonts w:eastAsiaTheme="minorHAnsi"/>
        </w:rPr>
        <w:t>United States</w:t>
      </w:r>
      <w:r w:rsidRPr="00A3132E">
        <w:rPr>
          <w:rFonts w:eastAsiaTheme="minorHAnsi"/>
        </w:rPr>
        <w:t xml:space="preserve"> who frequently experience wildfires, it is not </w:t>
      </w:r>
      <w:r w:rsidRPr="00A3132E">
        <w:rPr>
          <w:rFonts w:eastAsiaTheme="minorHAnsi"/>
          <w:i/>
        </w:rPr>
        <w:t>intuitive</w:t>
      </w:r>
      <w:r w:rsidRPr="00A3132E">
        <w:rPr>
          <w:rFonts w:eastAsiaTheme="minorHAnsi"/>
        </w:rPr>
        <w:t xml:space="preserve"> in and of itself. Without outreach and continual education, the term does not convey wildfire risks to the public. </w:t>
      </w:r>
    </w:p>
    <w:p w14:paraId="16E4B768" w14:textId="77777777" w:rsidR="000E1C7F" w:rsidRPr="00A3132E" w:rsidRDefault="000E1C7F" w:rsidP="000E1C7F">
      <w:pPr>
        <w:autoSpaceDE w:val="0"/>
        <w:autoSpaceDN w:val="0"/>
        <w:adjustRightInd w:val="0"/>
        <w:ind w:left="720"/>
        <w:rPr>
          <w:rFonts w:eastAsiaTheme="minorHAnsi"/>
        </w:rPr>
      </w:pPr>
    </w:p>
    <w:p w14:paraId="3597648B" w14:textId="259C61FF" w:rsidR="000E1C7F" w:rsidRDefault="00A3132E" w:rsidP="000E1C7F">
      <w:pPr>
        <w:numPr>
          <w:ilvl w:val="0"/>
          <w:numId w:val="40"/>
        </w:numPr>
        <w:autoSpaceDE w:val="0"/>
        <w:autoSpaceDN w:val="0"/>
        <w:adjustRightInd w:val="0"/>
        <w:rPr>
          <w:rFonts w:eastAsiaTheme="minorHAnsi"/>
        </w:rPr>
      </w:pPr>
      <w:bookmarkStart w:id="2" w:name="_Hlk495050873"/>
      <w:r w:rsidRPr="00A3132E">
        <w:rPr>
          <w:rFonts w:eastAsiaTheme="minorHAnsi"/>
          <w:b/>
        </w:rPr>
        <w:t>Is there alternative messaging that would better convey wildfire risks to the public?</w:t>
      </w:r>
      <w:r w:rsidRPr="00A3132E">
        <w:rPr>
          <w:rFonts w:eastAsiaTheme="minorHAnsi"/>
        </w:rPr>
        <w:t xml:space="preserve"> Based on the focus group feedback, short, urgent messaging that expresses levels of </w:t>
      </w:r>
      <w:r w:rsidR="00087468">
        <w:rPr>
          <w:rFonts w:eastAsiaTheme="minorHAnsi"/>
        </w:rPr>
        <w:t xml:space="preserve">wildfire </w:t>
      </w:r>
      <w:r w:rsidRPr="00A3132E">
        <w:rPr>
          <w:rFonts w:eastAsiaTheme="minorHAnsi"/>
        </w:rPr>
        <w:t xml:space="preserve">severity (e.g., through a color scale or heightened language) and more explicitly states the weather hazard would better convey wildfire risks to the public, particularly for visitors </w:t>
      </w:r>
      <w:r w:rsidR="00087468">
        <w:rPr>
          <w:rFonts w:eastAsiaTheme="minorHAnsi"/>
        </w:rPr>
        <w:t xml:space="preserve">to wildfire-prone locations that come </w:t>
      </w:r>
      <w:r w:rsidRPr="00A3132E">
        <w:rPr>
          <w:rFonts w:eastAsiaTheme="minorHAnsi"/>
        </w:rPr>
        <w:t xml:space="preserve">from locations that </w:t>
      </w:r>
      <w:r w:rsidR="00530301">
        <w:rPr>
          <w:rFonts w:eastAsiaTheme="minorHAnsi"/>
        </w:rPr>
        <w:t>have little to no</w:t>
      </w:r>
      <w:r w:rsidRPr="00A3132E">
        <w:rPr>
          <w:rFonts w:eastAsiaTheme="minorHAnsi"/>
        </w:rPr>
        <w:t xml:space="preserve"> experience </w:t>
      </w:r>
      <w:r w:rsidR="00530301">
        <w:rPr>
          <w:rFonts w:eastAsiaTheme="minorHAnsi"/>
        </w:rPr>
        <w:t xml:space="preserve">with </w:t>
      </w:r>
      <w:r w:rsidRPr="00A3132E">
        <w:rPr>
          <w:rFonts w:eastAsiaTheme="minorHAnsi"/>
        </w:rPr>
        <w:t xml:space="preserve">wildfires. Conveying levels of severity would also help the public better prepare and avoid complacency when they experience Red Flag Warnings multiple days in a row. The </w:t>
      </w:r>
      <w:r w:rsidR="00130348">
        <w:rPr>
          <w:rFonts w:eastAsiaTheme="minorHAnsi"/>
        </w:rPr>
        <w:t>focus group participants</w:t>
      </w:r>
      <w:r w:rsidRPr="00A3132E">
        <w:rPr>
          <w:rFonts w:eastAsiaTheme="minorHAnsi"/>
        </w:rPr>
        <w:t xml:space="preserve"> also </w:t>
      </w:r>
      <w:r w:rsidR="00130348">
        <w:rPr>
          <w:rFonts w:eastAsiaTheme="minorHAnsi"/>
        </w:rPr>
        <w:t>th</w:t>
      </w:r>
      <w:r w:rsidR="007E12C9">
        <w:rPr>
          <w:rFonts w:eastAsiaTheme="minorHAnsi"/>
        </w:rPr>
        <w:t>ought</w:t>
      </w:r>
      <w:r w:rsidRPr="00A3132E">
        <w:rPr>
          <w:rFonts w:eastAsiaTheme="minorHAnsi"/>
        </w:rPr>
        <w:t xml:space="preserve"> </w:t>
      </w:r>
      <w:r w:rsidR="007E12C9">
        <w:rPr>
          <w:rFonts w:eastAsiaTheme="minorHAnsi"/>
        </w:rPr>
        <w:lastRenderedPageBreak/>
        <w:t xml:space="preserve">that </w:t>
      </w:r>
      <w:r w:rsidRPr="00A3132E">
        <w:rPr>
          <w:rFonts w:eastAsiaTheme="minorHAnsi"/>
        </w:rPr>
        <w:t xml:space="preserve">the NWS should reconsider its </w:t>
      </w:r>
      <w:r w:rsidR="00C962AB">
        <w:rPr>
          <w:rFonts w:eastAsiaTheme="minorHAnsi"/>
        </w:rPr>
        <w:t>F</w:t>
      </w:r>
      <w:r w:rsidRPr="00A3132E">
        <w:rPr>
          <w:rFonts w:eastAsiaTheme="minorHAnsi"/>
        </w:rPr>
        <w:t xml:space="preserve">ire </w:t>
      </w:r>
      <w:r w:rsidR="00C962AB">
        <w:rPr>
          <w:rFonts w:eastAsiaTheme="minorHAnsi"/>
        </w:rPr>
        <w:t>W</w:t>
      </w:r>
      <w:r w:rsidRPr="00A3132E">
        <w:rPr>
          <w:rFonts w:eastAsiaTheme="minorHAnsi"/>
        </w:rPr>
        <w:t xml:space="preserve">eather </w:t>
      </w:r>
      <w:r w:rsidR="00C962AB">
        <w:rPr>
          <w:rFonts w:eastAsiaTheme="minorHAnsi"/>
        </w:rPr>
        <w:t>W</w:t>
      </w:r>
      <w:r w:rsidRPr="00A3132E">
        <w:rPr>
          <w:rFonts w:eastAsiaTheme="minorHAnsi"/>
        </w:rPr>
        <w:t>atch, because its definition is too close to the Red Flag Warning and it does not adequately convey a lower level of severity.</w:t>
      </w:r>
    </w:p>
    <w:p w14:paraId="0BF8EB30" w14:textId="77777777" w:rsidR="000E1C7F" w:rsidRDefault="000E1C7F" w:rsidP="000E1C7F">
      <w:pPr>
        <w:pStyle w:val="ListParagraph"/>
        <w:rPr>
          <w:rFonts w:eastAsiaTheme="minorHAnsi"/>
          <w:b/>
        </w:rPr>
      </w:pPr>
    </w:p>
    <w:p w14:paraId="142C91EC" w14:textId="26431234" w:rsidR="00A3132E" w:rsidRPr="000E1C7F" w:rsidRDefault="000E1C7F" w:rsidP="00130348">
      <w:pPr>
        <w:numPr>
          <w:ilvl w:val="0"/>
          <w:numId w:val="40"/>
        </w:numPr>
        <w:autoSpaceDE w:val="0"/>
        <w:autoSpaceDN w:val="0"/>
        <w:adjustRightInd w:val="0"/>
        <w:rPr>
          <w:rFonts w:eastAsiaTheme="minorHAnsi"/>
        </w:rPr>
      </w:pPr>
      <w:r w:rsidRPr="000E1C7F">
        <w:rPr>
          <w:rFonts w:eastAsiaTheme="minorHAnsi"/>
          <w:b/>
        </w:rPr>
        <w:t>H</w:t>
      </w:r>
      <w:r w:rsidR="00A3132E" w:rsidRPr="000E1C7F">
        <w:rPr>
          <w:rFonts w:eastAsiaTheme="minorHAnsi"/>
          <w:b/>
        </w:rPr>
        <w:t>ow can the NWS and partners best disseminate fire weather messaging to the public?</w:t>
      </w:r>
      <w:r w:rsidR="00A3132E" w:rsidRPr="000E1C7F">
        <w:rPr>
          <w:rFonts w:eastAsiaTheme="minorHAnsi"/>
        </w:rPr>
        <w:t xml:space="preserve"> Focus group participants felt that a </w:t>
      </w:r>
      <w:r w:rsidR="00A3132E" w:rsidRPr="000E1C7F">
        <w:rPr>
          <w:rFonts w:eastAsiaTheme="minorHAnsi"/>
          <w:i/>
        </w:rPr>
        <w:t>combination</w:t>
      </w:r>
      <w:r w:rsidR="00A3132E" w:rsidRPr="000E1C7F">
        <w:rPr>
          <w:rFonts w:eastAsiaTheme="minorHAnsi"/>
        </w:rPr>
        <w:t xml:space="preserve"> of public outreach and education by local </w:t>
      </w:r>
      <w:r w:rsidR="007E12C9">
        <w:rPr>
          <w:rFonts w:eastAsiaTheme="minorHAnsi"/>
        </w:rPr>
        <w:t>weather forecast offices (</w:t>
      </w:r>
      <w:r w:rsidR="00A3132E" w:rsidRPr="000E1C7F">
        <w:rPr>
          <w:rFonts w:eastAsiaTheme="minorHAnsi"/>
        </w:rPr>
        <w:t>WFOs</w:t>
      </w:r>
      <w:r w:rsidR="007E12C9">
        <w:rPr>
          <w:rFonts w:eastAsiaTheme="minorHAnsi"/>
        </w:rPr>
        <w:t>)</w:t>
      </w:r>
      <w:r w:rsidR="00A3132E" w:rsidRPr="000E1C7F">
        <w:rPr>
          <w:rFonts w:eastAsiaTheme="minorHAnsi"/>
        </w:rPr>
        <w:t xml:space="preserve">, partnerships with other federal agencies and private-sector entities, highly visible and up-to-date signage on roadways and in parks, and </w:t>
      </w:r>
      <w:r w:rsidR="00130348" w:rsidRPr="00130348">
        <w:rPr>
          <w:rFonts w:eastAsiaTheme="minorHAnsi"/>
        </w:rPr>
        <w:t xml:space="preserve">Wireless Emergency Alerts </w:t>
      </w:r>
      <w:r w:rsidR="00130348">
        <w:rPr>
          <w:rFonts w:eastAsiaTheme="minorHAnsi"/>
        </w:rPr>
        <w:t>(</w:t>
      </w:r>
      <w:r w:rsidR="00A3132E" w:rsidRPr="000E1C7F">
        <w:rPr>
          <w:rFonts w:eastAsiaTheme="minorHAnsi"/>
        </w:rPr>
        <w:t>WEA</w:t>
      </w:r>
      <w:r w:rsidR="00130348">
        <w:rPr>
          <w:rFonts w:eastAsiaTheme="minorHAnsi"/>
        </w:rPr>
        <w:t>s)</w:t>
      </w:r>
      <w:r w:rsidR="00A3132E" w:rsidRPr="000E1C7F">
        <w:rPr>
          <w:rFonts w:eastAsiaTheme="minorHAnsi"/>
        </w:rPr>
        <w:t xml:space="preserve"> would all be necessary to effectively disseminate fire weather messaging to the public. </w:t>
      </w:r>
    </w:p>
    <w:bookmarkEnd w:id="2"/>
    <w:p w14:paraId="4449FCD1" w14:textId="77777777" w:rsidR="00A3132E" w:rsidRDefault="00A3132E" w:rsidP="00A66FF0">
      <w:pPr>
        <w:autoSpaceDE w:val="0"/>
        <w:autoSpaceDN w:val="0"/>
        <w:adjustRightInd w:val="0"/>
        <w:ind w:left="90"/>
        <w:rPr>
          <w:rFonts w:eastAsiaTheme="minorHAnsi"/>
        </w:rPr>
      </w:pPr>
    </w:p>
    <w:p w14:paraId="533BDF2A" w14:textId="710F404D" w:rsidR="000E1C7F" w:rsidRDefault="000E1C7F" w:rsidP="000E1C7F">
      <w:pPr>
        <w:autoSpaceDE w:val="0"/>
        <w:autoSpaceDN w:val="0"/>
        <w:adjustRightInd w:val="0"/>
        <w:rPr>
          <w:rFonts w:eastAsiaTheme="minorHAnsi"/>
        </w:rPr>
      </w:pPr>
      <w:r>
        <w:rPr>
          <w:rFonts w:eastAsiaTheme="minorHAnsi"/>
        </w:rPr>
        <w:t xml:space="preserve">The survey being submitted in this request expands on the focus group findings and tests out new messages that were derived from the discussion </w:t>
      </w:r>
      <w:r w:rsidR="00130348">
        <w:rPr>
          <w:rFonts w:eastAsiaTheme="minorHAnsi"/>
        </w:rPr>
        <w:t>in</w:t>
      </w:r>
      <w:r>
        <w:rPr>
          <w:rFonts w:eastAsiaTheme="minorHAnsi"/>
        </w:rPr>
        <w:t xml:space="preserve"> the focus groups. </w:t>
      </w:r>
    </w:p>
    <w:p w14:paraId="3702BA70" w14:textId="77777777" w:rsidR="000E1C7F" w:rsidRDefault="000E1C7F" w:rsidP="00A66FF0">
      <w:pPr>
        <w:autoSpaceDE w:val="0"/>
        <w:autoSpaceDN w:val="0"/>
        <w:adjustRightInd w:val="0"/>
        <w:ind w:left="90"/>
        <w:rPr>
          <w:rFonts w:eastAsiaTheme="minorHAnsi"/>
        </w:rPr>
      </w:pPr>
    </w:p>
    <w:p w14:paraId="296F7B1F" w14:textId="3AED2720" w:rsidR="00AA1254" w:rsidRPr="000E1C7F" w:rsidRDefault="000E1C7F" w:rsidP="000E1C7F">
      <w:r w:rsidRPr="000E1C7F">
        <w:t xml:space="preserve">NWS has created three “prototypes” for new ways of communicating fire weather information using different words and/or colors. Although these prototypes were developed with input from public focus groups, the focus groups could be considered a small and unrepresentative sample of the public potentially affected by fire weather. The survey being submitted under this request will expand to a larger sample and will include groups that were not targeted in the focus groups. </w:t>
      </w:r>
    </w:p>
    <w:p w14:paraId="0797BFFB" w14:textId="77777777" w:rsidR="00C04290" w:rsidRPr="0091086A" w:rsidRDefault="00C04290" w:rsidP="00C04290">
      <w:pPr>
        <w:ind w:left="360"/>
      </w:pPr>
    </w:p>
    <w:p w14:paraId="63ACC591" w14:textId="183BAD33" w:rsidR="00596876" w:rsidRPr="0091086A" w:rsidRDefault="00596876" w:rsidP="00405E94">
      <w:r w:rsidRPr="0091086A">
        <w:t xml:space="preserve">The current system consists of </w:t>
      </w:r>
      <w:r w:rsidR="000E1C7F">
        <w:t>two</w:t>
      </w:r>
      <w:r w:rsidRPr="0091086A">
        <w:t xml:space="preserve"> levels of </w:t>
      </w:r>
      <w:r w:rsidR="00D709E6" w:rsidRPr="0091086A">
        <w:t xml:space="preserve">conveying </w:t>
      </w:r>
      <w:r w:rsidRPr="0091086A">
        <w:t xml:space="preserve">risk: </w:t>
      </w:r>
      <w:r w:rsidR="000E1C7F">
        <w:t xml:space="preserve">a </w:t>
      </w:r>
      <w:r w:rsidR="007E12C9">
        <w:t>F</w:t>
      </w:r>
      <w:r w:rsidR="000E1C7F">
        <w:t xml:space="preserve">ire </w:t>
      </w:r>
      <w:r w:rsidR="007E12C9">
        <w:t>W</w:t>
      </w:r>
      <w:r w:rsidR="000E1C7F">
        <w:t xml:space="preserve">eather </w:t>
      </w:r>
      <w:r w:rsidR="007E12C9">
        <w:t>W</w:t>
      </w:r>
      <w:r w:rsidRPr="0091086A">
        <w:t>atch</w:t>
      </w:r>
      <w:r w:rsidR="000E1C7F">
        <w:t xml:space="preserve"> and a </w:t>
      </w:r>
      <w:r w:rsidR="007E12C9">
        <w:t>R</w:t>
      </w:r>
      <w:r w:rsidR="000E1C7F">
        <w:t xml:space="preserve">ed </w:t>
      </w:r>
      <w:r w:rsidR="007E12C9">
        <w:t>F</w:t>
      </w:r>
      <w:r w:rsidR="000E1C7F">
        <w:t xml:space="preserve">lag </w:t>
      </w:r>
      <w:r w:rsidR="007E12C9">
        <w:t>W</w:t>
      </w:r>
      <w:r w:rsidR="000E1C7F">
        <w:t xml:space="preserve">arning. </w:t>
      </w:r>
      <w:r w:rsidR="007E12C9">
        <w:t>These two current message levels correspond to situations where conditions are developing that could lead to fires. For the survey, t</w:t>
      </w:r>
      <w:r w:rsidR="003317E3">
        <w:t xml:space="preserve">he </w:t>
      </w:r>
      <w:r w:rsidRPr="0091086A">
        <w:t xml:space="preserve">NWS developed </w:t>
      </w:r>
      <w:r w:rsidR="000E1C7F">
        <w:t xml:space="preserve">three new </w:t>
      </w:r>
      <w:r w:rsidRPr="0091086A">
        <w:t xml:space="preserve">prototypes </w:t>
      </w:r>
      <w:r w:rsidR="000E1C7F">
        <w:t xml:space="preserve">that contain corresponding “watch” and “warning” level messages, but </w:t>
      </w:r>
      <w:r w:rsidR="007E12C9">
        <w:t xml:space="preserve">that </w:t>
      </w:r>
      <w:r w:rsidR="000E1C7F">
        <w:t xml:space="preserve">also add two new levels to </w:t>
      </w:r>
      <w:r w:rsidR="007E12C9">
        <w:t xml:space="preserve">these </w:t>
      </w:r>
      <w:r w:rsidR="000E1C7F">
        <w:t xml:space="preserve">messages: an “observed fire” level and an “emergency” level. </w:t>
      </w:r>
      <w:r w:rsidR="007E12C9">
        <w:t>The</w:t>
      </w:r>
      <w:r w:rsidR="00130348">
        <w:t xml:space="preserve"> NWS added the “observed” and “emergency” levels</w:t>
      </w:r>
      <w:r w:rsidR="007E12C9">
        <w:t xml:space="preserve"> because</w:t>
      </w:r>
      <w:r w:rsidR="00130348">
        <w:t xml:space="preserve"> participants in the </w:t>
      </w:r>
      <w:r w:rsidR="007E12C9">
        <w:t xml:space="preserve">focus </w:t>
      </w:r>
      <w:r w:rsidR="00130348">
        <w:t>groups indicated that some messages should correspond to situations where fire is “on the ground</w:t>
      </w:r>
      <w:r w:rsidR="007E12C9">
        <w:t>.</w:t>
      </w:r>
      <w:r w:rsidR="00130348">
        <w:t xml:space="preserve">” </w:t>
      </w:r>
      <w:r w:rsidRPr="0091086A">
        <w:t xml:space="preserve">The </w:t>
      </w:r>
      <w:r w:rsidR="000E1C7F">
        <w:t>four</w:t>
      </w:r>
      <w:r w:rsidRPr="0091086A">
        <w:t xml:space="preserve"> </w:t>
      </w:r>
      <w:r w:rsidR="000E1C7F">
        <w:t>message sets</w:t>
      </w:r>
      <w:r w:rsidRPr="0091086A">
        <w:t xml:space="preserve"> </w:t>
      </w:r>
      <w:r w:rsidR="005E4D7D">
        <w:t xml:space="preserve">(current system and </w:t>
      </w:r>
      <w:r w:rsidR="000E1C7F">
        <w:t>three</w:t>
      </w:r>
      <w:r w:rsidR="005E4D7D">
        <w:t xml:space="preserve"> </w:t>
      </w:r>
      <w:r w:rsidR="000E1C7F">
        <w:t>prototypes</w:t>
      </w:r>
      <w:r w:rsidR="005E4D7D">
        <w:t xml:space="preserve">) </w:t>
      </w:r>
      <w:r w:rsidRPr="0091086A">
        <w:t xml:space="preserve">and their corresponding levels appear in </w:t>
      </w:r>
      <w:r w:rsidRPr="0091086A">
        <w:fldChar w:fldCharType="begin"/>
      </w:r>
      <w:r w:rsidRPr="0091086A">
        <w:instrText xml:space="preserve"> REF _Ref495739470 \h </w:instrText>
      </w:r>
      <w:r w:rsidRPr="0091086A">
        <w:fldChar w:fldCharType="separate"/>
      </w:r>
      <w:r w:rsidR="00AF0CB3" w:rsidRPr="0091086A">
        <w:t xml:space="preserve">Table </w:t>
      </w:r>
      <w:r w:rsidR="00AF0CB3">
        <w:rPr>
          <w:noProof/>
        </w:rPr>
        <w:t>1</w:t>
      </w:r>
      <w:r w:rsidRPr="0091086A">
        <w:fldChar w:fldCharType="end"/>
      </w:r>
      <w:r w:rsidRPr="0091086A">
        <w:t>.</w:t>
      </w:r>
      <w:r w:rsidR="005E4D7D">
        <w:t xml:space="preserve"> </w:t>
      </w:r>
    </w:p>
    <w:p w14:paraId="76242D28" w14:textId="77777777" w:rsidR="00596876" w:rsidRPr="0091086A" w:rsidRDefault="00596876" w:rsidP="00596876">
      <w:pPr>
        <w:ind w:left="360"/>
      </w:pPr>
    </w:p>
    <w:p w14:paraId="64E53D6F" w14:textId="7330AEAA" w:rsidR="00596876" w:rsidRDefault="00596876" w:rsidP="00596876">
      <w:pPr>
        <w:pStyle w:val="Caption"/>
        <w:keepNext/>
        <w:ind w:left="360"/>
        <w:rPr>
          <w:color w:val="auto"/>
        </w:rPr>
      </w:pPr>
      <w:bookmarkStart w:id="3" w:name="_Ref495739470"/>
      <w:r w:rsidRPr="0091086A">
        <w:rPr>
          <w:color w:val="auto"/>
        </w:rPr>
        <w:t xml:space="preserve">Table </w:t>
      </w:r>
      <w:r w:rsidRPr="0091086A">
        <w:rPr>
          <w:color w:val="auto"/>
        </w:rPr>
        <w:fldChar w:fldCharType="begin"/>
      </w:r>
      <w:r w:rsidRPr="0091086A">
        <w:rPr>
          <w:color w:val="auto"/>
        </w:rPr>
        <w:instrText xml:space="preserve"> SEQ Table \* ARABIC </w:instrText>
      </w:r>
      <w:r w:rsidRPr="0091086A">
        <w:rPr>
          <w:color w:val="auto"/>
        </w:rPr>
        <w:fldChar w:fldCharType="separate"/>
      </w:r>
      <w:r w:rsidR="00AF0CB3">
        <w:rPr>
          <w:noProof/>
          <w:color w:val="auto"/>
        </w:rPr>
        <w:t>1</w:t>
      </w:r>
      <w:r w:rsidRPr="0091086A">
        <w:rPr>
          <w:color w:val="auto"/>
        </w:rPr>
        <w:fldChar w:fldCharType="end"/>
      </w:r>
      <w:bookmarkEnd w:id="3"/>
      <w:r w:rsidRPr="0091086A">
        <w:rPr>
          <w:color w:val="auto"/>
        </w:rPr>
        <w:t xml:space="preserve">: Prototypes and Their Associated Levels </w:t>
      </w:r>
    </w:p>
    <w:tbl>
      <w:tblPr>
        <w:tblStyle w:val="TableGrid"/>
        <w:tblW w:w="9360" w:type="dxa"/>
        <w:tblInd w:w="-5" w:type="dxa"/>
        <w:tblLayout w:type="fixed"/>
        <w:tblLook w:val="04A0" w:firstRow="1" w:lastRow="0" w:firstColumn="1" w:lastColumn="0" w:noHBand="0" w:noVBand="1"/>
      </w:tblPr>
      <w:tblGrid>
        <w:gridCol w:w="1890"/>
        <w:gridCol w:w="1867"/>
        <w:gridCol w:w="1868"/>
        <w:gridCol w:w="1867"/>
        <w:gridCol w:w="1868"/>
      </w:tblGrid>
      <w:tr w:rsidR="000E1C7F" w:rsidRPr="00863E1E" w14:paraId="27864FC9" w14:textId="77777777" w:rsidTr="00EF7FF7">
        <w:trPr>
          <w:trHeight w:val="530"/>
        </w:trPr>
        <w:tc>
          <w:tcPr>
            <w:tcW w:w="1890" w:type="dxa"/>
            <w:shd w:val="clear" w:color="auto" w:fill="BFBFBF" w:themeFill="background1" w:themeFillShade="BF"/>
            <w:vAlign w:val="center"/>
          </w:tcPr>
          <w:p w14:paraId="2B6ECB2C" w14:textId="77777777" w:rsidR="000E1C7F" w:rsidRPr="00863E1E" w:rsidRDefault="000E1C7F" w:rsidP="00EF7FF7">
            <w:pPr>
              <w:jc w:val="center"/>
              <w:rPr>
                <w:rFonts w:asciiTheme="minorHAnsi" w:hAnsiTheme="minorHAnsi" w:cstheme="minorHAnsi"/>
                <w:b/>
              </w:rPr>
            </w:pPr>
            <w:r w:rsidRPr="00863E1E">
              <w:rPr>
                <w:rFonts w:asciiTheme="minorHAnsi" w:hAnsiTheme="minorHAnsi" w:cstheme="minorHAnsi"/>
                <w:b/>
              </w:rPr>
              <w:t>Prompt Level</w:t>
            </w:r>
          </w:p>
        </w:tc>
        <w:tc>
          <w:tcPr>
            <w:tcW w:w="1867" w:type="dxa"/>
            <w:shd w:val="clear" w:color="auto" w:fill="BFBFBF" w:themeFill="background1" w:themeFillShade="BF"/>
            <w:vAlign w:val="center"/>
          </w:tcPr>
          <w:p w14:paraId="54751A0B" w14:textId="77777777" w:rsidR="000E1C7F" w:rsidRPr="00863E1E" w:rsidRDefault="000E1C7F" w:rsidP="00EF7FF7">
            <w:pPr>
              <w:jc w:val="center"/>
              <w:rPr>
                <w:rFonts w:asciiTheme="minorHAnsi" w:hAnsiTheme="minorHAnsi" w:cstheme="minorHAnsi"/>
                <w:b/>
              </w:rPr>
            </w:pPr>
            <w:r w:rsidRPr="00863E1E">
              <w:rPr>
                <w:rFonts w:asciiTheme="minorHAnsi" w:hAnsiTheme="minorHAnsi" w:cstheme="minorHAnsi"/>
                <w:b/>
              </w:rPr>
              <w:t>Current</w:t>
            </w:r>
          </w:p>
        </w:tc>
        <w:tc>
          <w:tcPr>
            <w:tcW w:w="1868" w:type="dxa"/>
            <w:shd w:val="clear" w:color="auto" w:fill="BFBFBF" w:themeFill="background1" w:themeFillShade="BF"/>
            <w:vAlign w:val="center"/>
          </w:tcPr>
          <w:p w14:paraId="2B7507A4" w14:textId="77777777" w:rsidR="000E1C7F" w:rsidRPr="00863E1E" w:rsidRDefault="000E1C7F" w:rsidP="00EF7FF7">
            <w:pPr>
              <w:jc w:val="center"/>
              <w:rPr>
                <w:rFonts w:asciiTheme="minorHAnsi" w:hAnsiTheme="minorHAnsi" w:cstheme="minorHAnsi"/>
                <w:b/>
              </w:rPr>
            </w:pPr>
            <w:r w:rsidRPr="00863E1E">
              <w:rPr>
                <w:rFonts w:asciiTheme="minorHAnsi" w:hAnsiTheme="minorHAnsi" w:cstheme="minorHAnsi"/>
                <w:b/>
              </w:rPr>
              <w:t>Prototype A</w:t>
            </w:r>
          </w:p>
        </w:tc>
        <w:tc>
          <w:tcPr>
            <w:tcW w:w="1867" w:type="dxa"/>
            <w:shd w:val="clear" w:color="auto" w:fill="BFBFBF" w:themeFill="background1" w:themeFillShade="BF"/>
            <w:vAlign w:val="center"/>
          </w:tcPr>
          <w:p w14:paraId="43B2EAC8" w14:textId="77777777" w:rsidR="000E1C7F" w:rsidRPr="00863E1E" w:rsidRDefault="000E1C7F" w:rsidP="00EF7FF7">
            <w:pPr>
              <w:jc w:val="center"/>
              <w:rPr>
                <w:rFonts w:asciiTheme="minorHAnsi" w:hAnsiTheme="minorHAnsi" w:cstheme="minorHAnsi"/>
                <w:b/>
              </w:rPr>
            </w:pPr>
            <w:r w:rsidRPr="00863E1E">
              <w:rPr>
                <w:rFonts w:asciiTheme="minorHAnsi" w:hAnsiTheme="minorHAnsi" w:cstheme="minorHAnsi"/>
                <w:b/>
              </w:rPr>
              <w:t>Prototype B</w:t>
            </w:r>
          </w:p>
        </w:tc>
        <w:tc>
          <w:tcPr>
            <w:tcW w:w="1868" w:type="dxa"/>
            <w:shd w:val="clear" w:color="auto" w:fill="BFBFBF" w:themeFill="background1" w:themeFillShade="BF"/>
            <w:vAlign w:val="center"/>
          </w:tcPr>
          <w:p w14:paraId="41E5CA15" w14:textId="77777777" w:rsidR="000E1C7F" w:rsidRPr="00863E1E" w:rsidRDefault="000E1C7F" w:rsidP="00EF7FF7">
            <w:pPr>
              <w:jc w:val="center"/>
              <w:rPr>
                <w:rFonts w:asciiTheme="minorHAnsi" w:hAnsiTheme="minorHAnsi" w:cstheme="minorHAnsi"/>
                <w:b/>
              </w:rPr>
            </w:pPr>
            <w:r w:rsidRPr="00863E1E">
              <w:rPr>
                <w:rFonts w:asciiTheme="minorHAnsi" w:hAnsiTheme="minorHAnsi" w:cstheme="minorHAnsi"/>
                <w:b/>
              </w:rPr>
              <w:t>Prototype C</w:t>
            </w:r>
          </w:p>
        </w:tc>
      </w:tr>
      <w:tr w:rsidR="000E1C7F" w:rsidRPr="00863E1E" w14:paraId="035AE884" w14:textId="77777777" w:rsidTr="00EF7FF7">
        <w:tc>
          <w:tcPr>
            <w:tcW w:w="1890" w:type="dxa"/>
            <w:vAlign w:val="center"/>
          </w:tcPr>
          <w:p w14:paraId="66AFA8C9" w14:textId="77777777" w:rsidR="000E1C7F" w:rsidRPr="00863E1E" w:rsidRDefault="000E1C7F" w:rsidP="00EF7FF7">
            <w:pPr>
              <w:jc w:val="center"/>
              <w:rPr>
                <w:rFonts w:asciiTheme="minorHAnsi" w:hAnsiTheme="minorHAnsi" w:cstheme="minorHAnsi"/>
              </w:rPr>
            </w:pPr>
            <w:r>
              <w:rPr>
                <w:rFonts w:asciiTheme="minorHAnsi" w:hAnsiTheme="minorHAnsi" w:cstheme="minorHAnsi"/>
              </w:rPr>
              <w:t>Watch</w:t>
            </w:r>
          </w:p>
        </w:tc>
        <w:tc>
          <w:tcPr>
            <w:tcW w:w="1867" w:type="dxa"/>
            <w:vAlign w:val="center"/>
          </w:tcPr>
          <w:p w14:paraId="7BEB0DE5"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Fire Weather Watch</w:t>
            </w:r>
          </w:p>
        </w:tc>
        <w:tc>
          <w:tcPr>
            <w:tcW w:w="1868" w:type="dxa"/>
            <w:vAlign w:val="center"/>
          </w:tcPr>
          <w:p w14:paraId="0380F318"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Fire Weather Alert</w:t>
            </w:r>
          </w:p>
        </w:tc>
        <w:tc>
          <w:tcPr>
            <w:tcW w:w="1867" w:type="dxa"/>
            <w:vAlign w:val="center"/>
          </w:tcPr>
          <w:p w14:paraId="04FA9E96"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color w:val="000000" w:themeColor="text1"/>
              </w:rPr>
              <w:t>Moderate Fire Weather Warning</w:t>
            </w:r>
          </w:p>
        </w:tc>
        <w:tc>
          <w:tcPr>
            <w:tcW w:w="1868" w:type="dxa"/>
            <w:vAlign w:val="center"/>
          </w:tcPr>
          <w:p w14:paraId="1DA2A32E"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Level Yellow Fire Weather Warning</w:t>
            </w:r>
          </w:p>
        </w:tc>
      </w:tr>
      <w:tr w:rsidR="000E1C7F" w:rsidRPr="00863E1E" w14:paraId="2D5DF824" w14:textId="77777777" w:rsidTr="00EF7FF7">
        <w:tc>
          <w:tcPr>
            <w:tcW w:w="1890" w:type="dxa"/>
            <w:vAlign w:val="center"/>
          </w:tcPr>
          <w:p w14:paraId="5196CA65" w14:textId="77777777" w:rsidR="000E1C7F" w:rsidRPr="00863E1E" w:rsidRDefault="000E1C7F" w:rsidP="00EF7FF7">
            <w:pPr>
              <w:jc w:val="center"/>
              <w:rPr>
                <w:rFonts w:asciiTheme="minorHAnsi" w:hAnsiTheme="minorHAnsi" w:cstheme="minorHAnsi"/>
              </w:rPr>
            </w:pPr>
            <w:r>
              <w:rPr>
                <w:rFonts w:asciiTheme="minorHAnsi" w:hAnsiTheme="minorHAnsi" w:cstheme="minorHAnsi"/>
              </w:rPr>
              <w:t>Warning</w:t>
            </w:r>
          </w:p>
        </w:tc>
        <w:tc>
          <w:tcPr>
            <w:tcW w:w="1867" w:type="dxa"/>
            <w:vAlign w:val="center"/>
          </w:tcPr>
          <w:p w14:paraId="20DF789C"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Red Flag Warning</w:t>
            </w:r>
          </w:p>
        </w:tc>
        <w:tc>
          <w:tcPr>
            <w:tcW w:w="1868" w:type="dxa"/>
            <w:vAlign w:val="center"/>
          </w:tcPr>
          <w:p w14:paraId="3822AC13"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Fire Weather Watch</w:t>
            </w:r>
          </w:p>
        </w:tc>
        <w:tc>
          <w:tcPr>
            <w:tcW w:w="1867" w:type="dxa"/>
            <w:vAlign w:val="center"/>
          </w:tcPr>
          <w:p w14:paraId="25301F9C"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High Fire Weather Warning</w:t>
            </w:r>
          </w:p>
        </w:tc>
        <w:tc>
          <w:tcPr>
            <w:tcW w:w="1868" w:type="dxa"/>
            <w:vAlign w:val="center"/>
          </w:tcPr>
          <w:p w14:paraId="42395AD2"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Level Orange Fire Weather Warning</w:t>
            </w:r>
          </w:p>
        </w:tc>
      </w:tr>
      <w:tr w:rsidR="000E1C7F" w:rsidRPr="00863E1E" w14:paraId="018926C2" w14:textId="77777777" w:rsidTr="00EF7FF7">
        <w:tc>
          <w:tcPr>
            <w:tcW w:w="1890" w:type="dxa"/>
            <w:vAlign w:val="center"/>
          </w:tcPr>
          <w:p w14:paraId="09054C5B" w14:textId="77777777" w:rsidR="000E1C7F" w:rsidRPr="00863E1E" w:rsidRDefault="000E1C7F" w:rsidP="00EF7FF7">
            <w:pPr>
              <w:jc w:val="center"/>
              <w:rPr>
                <w:rFonts w:asciiTheme="minorHAnsi" w:hAnsiTheme="minorHAnsi" w:cstheme="minorHAnsi"/>
              </w:rPr>
            </w:pPr>
            <w:r>
              <w:rPr>
                <w:rFonts w:asciiTheme="minorHAnsi" w:hAnsiTheme="minorHAnsi" w:cstheme="minorHAnsi"/>
              </w:rPr>
              <w:t>Observed</w:t>
            </w:r>
          </w:p>
        </w:tc>
        <w:tc>
          <w:tcPr>
            <w:tcW w:w="1867" w:type="dxa"/>
            <w:vAlign w:val="center"/>
          </w:tcPr>
          <w:p w14:paraId="2B4EF948"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NA</w:t>
            </w:r>
            <w:r>
              <w:rPr>
                <w:rFonts w:asciiTheme="minorHAnsi" w:hAnsiTheme="minorHAnsi" w:cstheme="minorHAnsi"/>
              </w:rPr>
              <w:t xml:space="preserve"> [a]</w:t>
            </w:r>
          </w:p>
        </w:tc>
        <w:tc>
          <w:tcPr>
            <w:tcW w:w="1868" w:type="dxa"/>
            <w:vAlign w:val="center"/>
          </w:tcPr>
          <w:p w14:paraId="0FBDF7CE"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Wildfire Warning</w:t>
            </w:r>
          </w:p>
        </w:tc>
        <w:tc>
          <w:tcPr>
            <w:tcW w:w="1867" w:type="dxa"/>
            <w:vAlign w:val="center"/>
          </w:tcPr>
          <w:p w14:paraId="05D8599B"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Severe Wildfire Warning</w:t>
            </w:r>
          </w:p>
        </w:tc>
        <w:tc>
          <w:tcPr>
            <w:tcW w:w="1868" w:type="dxa"/>
            <w:vAlign w:val="center"/>
          </w:tcPr>
          <w:p w14:paraId="57F23286"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Level Red Wildfire Warning</w:t>
            </w:r>
          </w:p>
        </w:tc>
      </w:tr>
      <w:tr w:rsidR="000E1C7F" w:rsidRPr="00863E1E" w14:paraId="3D256DC9" w14:textId="77777777" w:rsidTr="00EF7FF7">
        <w:tc>
          <w:tcPr>
            <w:tcW w:w="1890" w:type="dxa"/>
            <w:vAlign w:val="center"/>
          </w:tcPr>
          <w:p w14:paraId="05A09F6C" w14:textId="77777777" w:rsidR="000E1C7F" w:rsidRPr="00863E1E" w:rsidRDefault="000E1C7F" w:rsidP="00EF7FF7">
            <w:pPr>
              <w:jc w:val="center"/>
              <w:rPr>
                <w:rFonts w:asciiTheme="minorHAnsi" w:hAnsiTheme="minorHAnsi" w:cstheme="minorHAnsi"/>
              </w:rPr>
            </w:pPr>
            <w:r>
              <w:rPr>
                <w:rFonts w:asciiTheme="minorHAnsi" w:hAnsiTheme="minorHAnsi" w:cstheme="minorHAnsi"/>
              </w:rPr>
              <w:t>Emergency</w:t>
            </w:r>
          </w:p>
        </w:tc>
        <w:tc>
          <w:tcPr>
            <w:tcW w:w="1867" w:type="dxa"/>
            <w:vAlign w:val="center"/>
          </w:tcPr>
          <w:p w14:paraId="7E109586"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NA</w:t>
            </w:r>
            <w:r>
              <w:rPr>
                <w:rFonts w:asciiTheme="minorHAnsi" w:hAnsiTheme="minorHAnsi" w:cstheme="minorHAnsi"/>
              </w:rPr>
              <w:t xml:space="preserve"> [a]</w:t>
            </w:r>
          </w:p>
        </w:tc>
        <w:tc>
          <w:tcPr>
            <w:tcW w:w="1868" w:type="dxa"/>
            <w:vAlign w:val="center"/>
          </w:tcPr>
          <w:p w14:paraId="5D453038"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Wildfire Emergency</w:t>
            </w:r>
          </w:p>
        </w:tc>
        <w:tc>
          <w:tcPr>
            <w:tcW w:w="1867" w:type="dxa"/>
            <w:vAlign w:val="center"/>
          </w:tcPr>
          <w:p w14:paraId="4257BC92"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Fire Storm Warning</w:t>
            </w:r>
          </w:p>
        </w:tc>
        <w:tc>
          <w:tcPr>
            <w:tcW w:w="1868" w:type="dxa"/>
            <w:vAlign w:val="center"/>
          </w:tcPr>
          <w:p w14:paraId="3AE9F9EB" w14:textId="77777777" w:rsidR="000E1C7F" w:rsidRPr="00863E1E" w:rsidRDefault="000E1C7F" w:rsidP="00EF7FF7">
            <w:pPr>
              <w:jc w:val="center"/>
              <w:rPr>
                <w:rFonts w:asciiTheme="minorHAnsi" w:hAnsiTheme="minorHAnsi" w:cstheme="minorHAnsi"/>
              </w:rPr>
            </w:pPr>
            <w:r w:rsidRPr="00863E1E">
              <w:rPr>
                <w:rFonts w:asciiTheme="minorHAnsi" w:hAnsiTheme="minorHAnsi" w:cstheme="minorHAnsi"/>
              </w:rPr>
              <w:t>Level Purple Wildfire Warning</w:t>
            </w:r>
          </w:p>
        </w:tc>
      </w:tr>
    </w:tbl>
    <w:p w14:paraId="583A9CD7" w14:textId="77777777" w:rsidR="000E1C7F" w:rsidRPr="00863E1E" w:rsidRDefault="000E1C7F" w:rsidP="000E1C7F">
      <w:pPr>
        <w:rPr>
          <w:rFonts w:asciiTheme="minorHAnsi" w:hAnsiTheme="minorHAnsi" w:cstheme="minorHAnsi"/>
          <w:sz w:val="18"/>
        </w:rPr>
      </w:pPr>
      <w:r w:rsidRPr="00863E1E">
        <w:rPr>
          <w:rFonts w:asciiTheme="minorHAnsi" w:hAnsiTheme="minorHAnsi" w:cstheme="minorHAnsi"/>
          <w:sz w:val="18"/>
        </w:rPr>
        <w:t>[a] The current system does not have prompts at these levels and thus will not be included in the survey.</w:t>
      </w:r>
    </w:p>
    <w:p w14:paraId="1BA56ED0" w14:textId="4A17167A" w:rsidR="000E1C7F" w:rsidRDefault="000E1C7F" w:rsidP="00405E94">
      <w:pPr>
        <w:spacing w:after="120"/>
      </w:pPr>
    </w:p>
    <w:p w14:paraId="72C6131E" w14:textId="10F7115A" w:rsidR="005753BC" w:rsidRDefault="005753BC" w:rsidP="00405E94">
      <w:pPr>
        <w:spacing w:after="120"/>
      </w:pPr>
      <w:r>
        <w:t>The levels can be described as follows:</w:t>
      </w:r>
      <w:r>
        <w:rPr>
          <w:rStyle w:val="FootnoteReference"/>
        </w:rPr>
        <w:footnoteReference w:id="1"/>
      </w:r>
    </w:p>
    <w:p w14:paraId="5035E669" w14:textId="2CBA40E4" w:rsidR="005753BC" w:rsidRDefault="005753BC" w:rsidP="005753BC">
      <w:pPr>
        <w:pStyle w:val="ListParagraph"/>
        <w:numPr>
          <w:ilvl w:val="0"/>
          <w:numId w:val="41"/>
        </w:numPr>
        <w:spacing w:after="120"/>
      </w:pPr>
      <w:r w:rsidRPr="005753BC">
        <w:rPr>
          <w:b/>
        </w:rPr>
        <w:t>Watch</w:t>
      </w:r>
      <w:r>
        <w:t xml:space="preserve"> – “…upcoming weather conditions could result in critical fire weather conditions, which are expected to develop in the next 12 to 48 hours, but not more than 72 hours. In cases of dry lightning, a Fire Weather Watch may be issued for the next 12 hours.”</w:t>
      </w:r>
    </w:p>
    <w:p w14:paraId="005837EF" w14:textId="77777777" w:rsidR="005753BC" w:rsidRDefault="005753BC" w:rsidP="005753BC">
      <w:pPr>
        <w:pStyle w:val="ListParagraph"/>
        <w:spacing w:after="120"/>
      </w:pPr>
    </w:p>
    <w:p w14:paraId="3ED5215D" w14:textId="53667BC7" w:rsidR="005753BC" w:rsidRDefault="005753BC" w:rsidP="005753BC">
      <w:pPr>
        <w:pStyle w:val="ListParagraph"/>
        <w:numPr>
          <w:ilvl w:val="0"/>
          <w:numId w:val="41"/>
        </w:numPr>
        <w:spacing w:after="120"/>
      </w:pPr>
      <w:r w:rsidRPr="005753BC">
        <w:rPr>
          <w:b/>
        </w:rPr>
        <w:t>Warning</w:t>
      </w:r>
      <w:r>
        <w:t xml:space="preserve"> – “NWS issues a Red Flag Warning … to alert land managers to an ongoing or imminent critical fire weather pattern. NWS issues a Red Flag Warning when fire conditions are ongoing or expected to occur within the next 24 hours.”</w:t>
      </w:r>
    </w:p>
    <w:p w14:paraId="39CFF6DB" w14:textId="77777777" w:rsidR="005753BC" w:rsidRDefault="005753BC" w:rsidP="005753BC">
      <w:pPr>
        <w:pStyle w:val="ListParagraph"/>
      </w:pPr>
    </w:p>
    <w:p w14:paraId="116DB0C0" w14:textId="4830B915" w:rsidR="005753BC" w:rsidRDefault="005753BC" w:rsidP="005753BC">
      <w:pPr>
        <w:pStyle w:val="ListParagraph"/>
        <w:numPr>
          <w:ilvl w:val="0"/>
          <w:numId w:val="41"/>
        </w:numPr>
        <w:spacing w:after="120"/>
      </w:pPr>
      <w:r w:rsidRPr="005753BC">
        <w:rPr>
          <w:b/>
        </w:rPr>
        <w:t>Observed</w:t>
      </w:r>
      <w:r>
        <w:t xml:space="preserve"> – Fires are currently occurring on the ground, but the weather conditions are not currently driving the fire toward populated/ residential areas. </w:t>
      </w:r>
    </w:p>
    <w:p w14:paraId="7EC10433" w14:textId="77777777" w:rsidR="005753BC" w:rsidRDefault="005753BC" w:rsidP="005753BC">
      <w:pPr>
        <w:pStyle w:val="ListParagraph"/>
      </w:pPr>
    </w:p>
    <w:p w14:paraId="02A33EA2" w14:textId="711B763D" w:rsidR="005753BC" w:rsidRDefault="005753BC" w:rsidP="005753BC">
      <w:pPr>
        <w:pStyle w:val="ListParagraph"/>
        <w:numPr>
          <w:ilvl w:val="0"/>
          <w:numId w:val="41"/>
        </w:numPr>
        <w:spacing w:after="120"/>
      </w:pPr>
      <w:r w:rsidRPr="005753BC">
        <w:rPr>
          <w:b/>
        </w:rPr>
        <w:t>Emergency</w:t>
      </w:r>
      <w:r>
        <w:t xml:space="preserve"> – This level should imply a wildfire that is raging out of control. If is often hard to predict these fires because such they behave erratically, sometimes dangerously.</w:t>
      </w:r>
    </w:p>
    <w:p w14:paraId="457347C5" w14:textId="5B9FC716" w:rsidR="00596876" w:rsidRPr="0091086A" w:rsidRDefault="00596876" w:rsidP="00405E94">
      <w:pPr>
        <w:spacing w:after="120"/>
      </w:pPr>
      <w:r w:rsidRPr="0091086A">
        <w:t>The prototypes can be described as follows:</w:t>
      </w:r>
    </w:p>
    <w:p w14:paraId="72951E0A" w14:textId="7A740865" w:rsidR="00596876" w:rsidRPr="0091086A" w:rsidRDefault="00A021FF" w:rsidP="00405E94">
      <w:pPr>
        <w:pStyle w:val="ListParagraph"/>
        <w:numPr>
          <w:ilvl w:val="0"/>
          <w:numId w:val="34"/>
        </w:numPr>
        <w:spacing w:after="120"/>
        <w:ind w:left="720"/>
        <w:contextualSpacing w:val="0"/>
      </w:pPr>
      <w:r>
        <w:t>C</w:t>
      </w:r>
      <w:r w:rsidR="00596876" w:rsidRPr="0091086A">
        <w:t>urrent system</w:t>
      </w:r>
      <w:r w:rsidR="00D709E6" w:rsidRPr="0091086A">
        <w:t xml:space="preserve"> </w:t>
      </w:r>
      <w:r w:rsidR="00596876" w:rsidRPr="0091086A">
        <w:t xml:space="preserve">– This prototype is the current </w:t>
      </w:r>
      <w:r>
        <w:t xml:space="preserve">WWA </w:t>
      </w:r>
      <w:r w:rsidR="00596876" w:rsidRPr="0091086A">
        <w:t xml:space="preserve">system. </w:t>
      </w:r>
    </w:p>
    <w:p w14:paraId="5DAE5ECA" w14:textId="7EDF9F67" w:rsidR="00596876" w:rsidRPr="0091086A" w:rsidRDefault="00596876" w:rsidP="005753BC">
      <w:pPr>
        <w:pStyle w:val="ListParagraph"/>
        <w:numPr>
          <w:ilvl w:val="0"/>
          <w:numId w:val="34"/>
        </w:numPr>
        <w:spacing w:after="120"/>
        <w:ind w:left="720"/>
        <w:contextualSpacing w:val="0"/>
      </w:pPr>
      <w:r w:rsidRPr="0091086A">
        <w:t xml:space="preserve">Prototype </w:t>
      </w:r>
      <w:r w:rsidR="005753BC">
        <w:t>A</w:t>
      </w:r>
      <w:r w:rsidR="00D709E6" w:rsidRPr="0091086A">
        <w:t xml:space="preserve"> </w:t>
      </w:r>
      <w:r w:rsidRPr="0091086A">
        <w:t xml:space="preserve">– This prototype </w:t>
      </w:r>
      <w:r w:rsidR="005753BC">
        <w:t>b</w:t>
      </w:r>
      <w:r w:rsidR="005753BC" w:rsidRPr="005753BC">
        <w:t>egins with fire weather conditions and progresses to actual fire terminology.</w:t>
      </w:r>
    </w:p>
    <w:p w14:paraId="057760A6" w14:textId="33818A66" w:rsidR="00596876" w:rsidRPr="0091086A" w:rsidRDefault="00596876" w:rsidP="005753BC">
      <w:pPr>
        <w:pStyle w:val="ListParagraph"/>
        <w:numPr>
          <w:ilvl w:val="0"/>
          <w:numId w:val="34"/>
        </w:numPr>
        <w:spacing w:after="120"/>
        <w:ind w:left="720"/>
        <w:contextualSpacing w:val="0"/>
      </w:pPr>
      <w:r w:rsidRPr="0091086A">
        <w:t xml:space="preserve">Prototype </w:t>
      </w:r>
      <w:r w:rsidR="005753BC">
        <w:t>B</w:t>
      </w:r>
      <w:r w:rsidRPr="0091086A">
        <w:t xml:space="preserve"> – This prototype </w:t>
      </w:r>
      <w:r w:rsidR="005753BC">
        <w:t>u</w:t>
      </w:r>
      <w:r w:rsidR="005753BC" w:rsidRPr="005753BC">
        <w:t>ses adjectives to convey levels of risk</w:t>
      </w:r>
      <w:r w:rsidR="0092469C">
        <w:t>.</w:t>
      </w:r>
    </w:p>
    <w:p w14:paraId="19C75F9D" w14:textId="1CDB621F" w:rsidR="00596876" w:rsidRPr="0091086A" w:rsidRDefault="00596876" w:rsidP="00405E94">
      <w:pPr>
        <w:pStyle w:val="ListParagraph"/>
        <w:numPr>
          <w:ilvl w:val="0"/>
          <w:numId w:val="34"/>
        </w:numPr>
        <w:spacing w:after="120"/>
        <w:ind w:left="720"/>
        <w:contextualSpacing w:val="0"/>
      </w:pPr>
      <w:r w:rsidRPr="0091086A">
        <w:t xml:space="preserve">Prototype </w:t>
      </w:r>
      <w:r w:rsidR="005753BC">
        <w:t>C</w:t>
      </w:r>
      <w:r w:rsidRPr="0091086A">
        <w:t xml:space="preserve"> – This prototype uses a color scheme instead of risk-based wording.</w:t>
      </w:r>
    </w:p>
    <w:p w14:paraId="04D49F6C" w14:textId="6DC10A9A" w:rsidR="005753BC" w:rsidRDefault="00D709E6" w:rsidP="005753BC">
      <w:pPr>
        <w:ind w:left="90"/>
      </w:pPr>
      <w:r w:rsidRPr="0091086A">
        <w:t xml:space="preserve">A key aspect of the surveys will be </w:t>
      </w:r>
      <w:r w:rsidR="003466ED">
        <w:t xml:space="preserve">to </w:t>
      </w:r>
      <w:r w:rsidRPr="0091086A">
        <w:t>test the prototypes using changes in severity over time (</w:t>
      </w:r>
      <w:r w:rsidR="005753BC">
        <w:t xml:space="preserve">i.e., </w:t>
      </w:r>
      <w:r w:rsidRPr="0091086A">
        <w:t>upgrad</w:t>
      </w:r>
      <w:r w:rsidR="005753BC">
        <w:t>ing the risk</w:t>
      </w:r>
      <w:r w:rsidRPr="0091086A">
        <w:t xml:space="preserve">). </w:t>
      </w:r>
      <w:r w:rsidR="005753BC">
        <w:t xml:space="preserve">For example, as conditions related to fire weather develop, </w:t>
      </w:r>
      <w:r w:rsidR="007E12C9">
        <w:t xml:space="preserve">the </w:t>
      </w:r>
      <w:r w:rsidR="005753BC">
        <w:t>NWS currently issues a “</w:t>
      </w:r>
      <w:r w:rsidR="007E12C9">
        <w:t>Fire W</w:t>
      </w:r>
      <w:r w:rsidR="005753BC">
        <w:t xml:space="preserve">eather </w:t>
      </w:r>
      <w:r w:rsidR="007E12C9">
        <w:t>W</w:t>
      </w:r>
      <w:r w:rsidR="005753BC">
        <w:t>atch” which may then be later upgraded to a “</w:t>
      </w:r>
      <w:r w:rsidR="007E12C9">
        <w:t>R</w:t>
      </w:r>
      <w:r w:rsidR="005753BC">
        <w:t xml:space="preserve">ed </w:t>
      </w:r>
      <w:r w:rsidR="007E12C9">
        <w:t>F</w:t>
      </w:r>
      <w:r w:rsidR="005753BC">
        <w:t xml:space="preserve">lag </w:t>
      </w:r>
      <w:r w:rsidR="007E12C9">
        <w:t>W</w:t>
      </w:r>
      <w:r w:rsidR="005753BC">
        <w:t xml:space="preserve">arning” as the forecasted conditions worsen. </w:t>
      </w:r>
      <w:r w:rsidR="007E12C9">
        <w:t xml:space="preserve">The </w:t>
      </w:r>
      <w:r w:rsidR="005753BC">
        <w:t>NWS has developed two scenarios for this survey:</w:t>
      </w:r>
    </w:p>
    <w:p w14:paraId="6BF4B452" w14:textId="77777777" w:rsidR="005753BC" w:rsidRDefault="005753BC" w:rsidP="005753BC">
      <w:pPr>
        <w:ind w:left="90"/>
      </w:pPr>
    </w:p>
    <w:p w14:paraId="25B68F93" w14:textId="23395A43" w:rsidR="005753BC" w:rsidRDefault="005753BC" w:rsidP="005753BC">
      <w:pPr>
        <w:pStyle w:val="ListParagraph"/>
        <w:numPr>
          <w:ilvl w:val="0"/>
          <w:numId w:val="42"/>
        </w:numPr>
      </w:pPr>
      <w:r w:rsidRPr="005753BC">
        <w:rPr>
          <w:b/>
        </w:rPr>
        <w:t>Scenario 1 - A warning that is upgraded to an emergency (i.e., the occurrence of a wildfire)</w:t>
      </w:r>
      <w:r>
        <w:t>. This scenario will involve respondents seeing (1) a watch-level message, (2) a warning-level message, (3) an observed fire</w:t>
      </w:r>
      <w:r w:rsidR="00530301">
        <w:t>-</w:t>
      </w:r>
      <w:r>
        <w:t xml:space="preserve">level message, and (4) an emergency-level message. </w:t>
      </w:r>
    </w:p>
    <w:p w14:paraId="3DB32667" w14:textId="77777777" w:rsidR="005753BC" w:rsidRDefault="005753BC" w:rsidP="005753BC">
      <w:pPr>
        <w:pStyle w:val="ListParagraph"/>
        <w:ind w:left="810"/>
      </w:pPr>
    </w:p>
    <w:p w14:paraId="67AEAF86" w14:textId="619E81BA" w:rsidR="005753BC" w:rsidRDefault="005753BC" w:rsidP="005753BC">
      <w:pPr>
        <w:pStyle w:val="ListParagraph"/>
        <w:numPr>
          <w:ilvl w:val="0"/>
          <w:numId w:val="42"/>
        </w:numPr>
      </w:pPr>
      <w:r w:rsidRPr="005753BC">
        <w:rPr>
          <w:b/>
        </w:rPr>
        <w:t>Scenario 2 - A warning that is repeated (i.e., no wildfire develops).</w:t>
      </w:r>
      <w:r>
        <w:t xml:space="preserve"> This scenario will involve respondents seeing (1) a watch-level message, (2) a warning-level message, and (3) a repeat of the warning-level message.</w:t>
      </w:r>
    </w:p>
    <w:p w14:paraId="736C0DFF" w14:textId="77777777" w:rsidR="005753BC" w:rsidRDefault="005753BC" w:rsidP="005753BC">
      <w:pPr>
        <w:pStyle w:val="ListParagraph"/>
      </w:pPr>
    </w:p>
    <w:p w14:paraId="18E3BA3A" w14:textId="4AB74729" w:rsidR="005753BC" w:rsidRDefault="00530301" w:rsidP="005753BC">
      <w:r>
        <w:t xml:space="preserve">The </w:t>
      </w:r>
      <w:r w:rsidR="005753BC">
        <w:t xml:space="preserve">NWS determined that these two scenarios reflected likely cases in the ways in which the public may experience fire weather messages. Additionally, prior to receiving the watch-level prompt in both scenarios, respondents will see a generic “base information” prompt that includes none of the language being tested, but sets a baseline level of response for each respondent. </w:t>
      </w:r>
    </w:p>
    <w:p w14:paraId="2921AA49" w14:textId="16A2F66E" w:rsidR="00C04290" w:rsidRPr="0091086A" w:rsidRDefault="00C04290" w:rsidP="005753BC">
      <w:pPr>
        <w:ind w:left="90"/>
      </w:pPr>
    </w:p>
    <w:p w14:paraId="0B8E8E89" w14:textId="77777777" w:rsidR="004B2986" w:rsidRPr="0091086A" w:rsidRDefault="004B2986" w:rsidP="00676FF8">
      <w:pPr>
        <w:numPr>
          <w:ilvl w:val="0"/>
          <w:numId w:val="1"/>
        </w:numPr>
        <w:autoSpaceDE w:val="0"/>
        <w:autoSpaceDN w:val="0"/>
        <w:adjustRightInd w:val="0"/>
        <w:ind w:left="450"/>
        <w:rPr>
          <w:b/>
        </w:rPr>
      </w:pPr>
      <w:r w:rsidRPr="0091086A">
        <w:rPr>
          <w:b/>
        </w:rPr>
        <w:t xml:space="preserve">Explain how this survey was developed. With whom did you consult </w:t>
      </w:r>
      <w:r w:rsidR="009C4A4A" w:rsidRPr="0091086A">
        <w:rPr>
          <w:b/>
        </w:rPr>
        <w:t xml:space="preserve">regarding content </w:t>
      </w:r>
      <w:r w:rsidRPr="0091086A">
        <w:rPr>
          <w:b/>
        </w:rPr>
        <w:t>during the development of this survey? Statistics? What suggestions did you get about improving the survey?</w:t>
      </w:r>
    </w:p>
    <w:p w14:paraId="76FED357" w14:textId="77777777" w:rsidR="004B2986" w:rsidRPr="0091086A" w:rsidRDefault="004B2986" w:rsidP="00676FF8">
      <w:pPr>
        <w:ind w:left="450" w:hanging="360"/>
        <w:rPr>
          <w:b/>
        </w:rPr>
      </w:pPr>
    </w:p>
    <w:p w14:paraId="28FEABF0" w14:textId="5F71A4FB" w:rsidR="001336E9" w:rsidRPr="0091086A" w:rsidRDefault="00530301" w:rsidP="00405E94">
      <w:pPr>
        <w:autoSpaceDE w:val="0"/>
        <w:autoSpaceDN w:val="0"/>
        <w:adjustRightInd w:val="0"/>
      </w:pPr>
      <w:r>
        <w:t xml:space="preserve">The </w:t>
      </w:r>
      <w:r w:rsidR="00651243" w:rsidRPr="0091086A">
        <w:t>NWS</w:t>
      </w:r>
      <w:r w:rsidR="004B2986" w:rsidRPr="0091086A">
        <w:t xml:space="preserve"> con</w:t>
      </w:r>
      <w:r w:rsidR="00651243" w:rsidRPr="0091086A">
        <w:t xml:space="preserve">tracted with </w:t>
      </w:r>
      <w:r w:rsidR="00A61C62" w:rsidRPr="0091086A">
        <w:t xml:space="preserve">ERG </w:t>
      </w:r>
      <w:r w:rsidR="00952BDA" w:rsidRPr="0091086A">
        <w:t>to develop the survey</w:t>
      </w:r>
      <w:r w:rsidR="000F0057">
        <w:t>s</w:t>
      </w:r>
      <w:r w:rsidR="00952BDA" w:rsidRPr="0091086A">
        <w:t xml:space="preserve">. </w:t>
      </w:r>
      <w:r w:rsidR="004B2986" w:rsidRPr="0091086A">
        <w:t xml:space="preserve">ERG has significant experience assessing technical assistance provided by </w:t>
      </w:r>
      <w:r w:rsidR="00651243" w:rsidRPr="0091086A">
        <w:t>f</w:t>
      </w:r>
      <w:r w:rsidR="004B2986" w:rsidRPr="0091086A">
        <w:t xml:space="preserve">ederal agencies through detailed interviews, focus groups, and surveys that focus on customer satisfaction and outcome attainment. </w:t>
      </w:r>
    </w:p>
    <w:p w14:paraId="4D16EF6D" w14:textId="77777777" w:rsidR="001336E9" w:rsidRPr="0091086A" w:rsidRDefault="001336E9" w:rsidP="0022410D">
      <w:pPr>
        <w:autoSpaceDE w:val="0"/>
        <w:autoSpaceDN w:val="0"/>
        <w:adjustRightInd w:val="0"/>
        <w:ind w:left="450"/>
      </w:pPr>
    </w:p>
    <w:p w14:paraId="03EC0F41" w14:textId="49DFF0DF" w:rsidR="00C25F98" w:rsidRPr="0091086A" w:rsidRDefault="00E2717E" w:rsidP="00405E94">
      <w:pPr>
        <w:autoSpaceDE w:val="0"/>
        <w:autoSpaceDN w:val="0"/>
        <w:adjustRightInd w:val="0"/>
        <w:rPr>
          <w:rFonts w:eastAsia="Calibri"/>
        </w:rPr>
      </w:pPr>
      <w:r w:rsidRPr="0091086A">
        <w:t>As noted, the surveys</w:t>
      </w:r>
      <w:r w:rsidR="00C25F98" w:rsidRPr="0091086A">
        <w:t xml:space="preserve"> focus on </w:t>
      </w:r>
      <w:r w:rsidR="00EF7FF7">
        <w:t>four</w:t>
      </w:r>
      <w:r w:rsidR="00145E9B">
        <w:t xml:space="preserve"> (current </w:t>
      </w:r>
      <w:r w:rsidR="00035B6D">
        <w:t>approach</w:t>
      </w:r>
      <w:r w:rsidR="00145E9B">
        <w:t xml:space="preserve"> and </w:t>
      </w:r>
      <w:r w:rsidR="00035B6D">
        <w:t>three</w:t>
      </w:r>
      <w:r w:rsidR="00145E9B">
        <w:t xml:space="preserve"> alternatives)</w:t>
      </w:r>
      <w:r w:rsidR="00C25F98" w:rsidRPr="0091086A">
        <w:t xml:space="preserve"> different </w:t>
      </w:r>
      <w:r w:rsidR="00035B6D">
        <w:t>message types</w:t>
      </w:r>
      <w:r w:rsidR="00C25F98" w:rsidRPr="0091086A">
        <w:t xml:space="preserve">. </w:t>
      </w:r>
      <w:r w:rsidR="00035B6D">
        <w:t>As noted, t</w:t>
      </w:r>
      <w:r w:rsidR="00C25F98" w:rsidRPr="0091086A">
        <w:t xml:space="preserve">he prototypes evolved from input gathered from </w:t>
      </w:r>
      <w:r w:rsidR="00035B6D">
        <w:t xml:space="preserve">public focus groups as well as from interviews with </w:t>
      </w:r>
      <w:r w:rsidR="00C25F98" w:rsidRPr="0091086A">
        <w:t>emergency managers</w:t>
      </w:r>
      <w:r w:rsidR="00035B6D">
        <w:t xml:space="preserve"> and other fire weather stakeholders. </w:t>
      </w:r>
    </w:p>
    <w:p w14:paraId="1211DE3F" w14:textId="77777777" w:rsidR="00C25F98" w:rsidRPr="0091086A" w:rsidRDefault="00C25F98" w:rsidP="0022410D">
      <w:pPr>
        <w:autoSpaceDE w:val="0"/>
        <w:autoSpaceDN w:val="0"/>
        <w:adjustRightInd w:val="0"/>
        <w:ind w:left="450"/>
      </w:pPr>
    </w:p>
    <w:p w14:paraId="3C6D383C" w14:textId="3C4E59A9" w:rsidR="00FA1F8B" w:rsidRPr="0091086A" w:rsidRDefault="00FA1F8B" w:rsidP="00405E94">
      <w:pPr>
        <w:autoSpaceDE w:val="0"/>
        <w:autoSpaceDN w:val="0"/>
        <w:adjustRightInd w:val="0"/>
      </w:pPr>
      <w:r w:rsidRPr="0091086A">
        <w:t>ERG used statistical power analysis to verify that the sample size being used would allow for meaningful comparisons give</w:t>
      </w:r>
      <w:r w:rsidR="003466ED">
        <w:t>n</w:t>
      </w:r>
      <w:r w:rsidRPr="0091086A">
        <w:t xml:space="preserve"> the survey design. As will be discussed in Part B below, the sample for this set of surveys was set at </w:t>
      </w:r>
      <w:r w:rsidR="00F9713E" w:rsidRPr="005209C7">
        <w:t xml:space="preserve">approximately </w:t>
      </w:r>
      <w:r w:rsidR="00035B6D" w:rsidRPr="005209C7">
        <w:t xml:space="preserve">900 </w:t>
      </w:r>
      <w:r w:rsidRPr="005209C7">
        <w:t>total</w:t>
      </w:r>
      <w:r w:rsidRPr="0091086A">
        <w:t xml:space="preserve"> respondents</w:t>
      </w:r>
      <w:r w:rsidR="00035B6D">
        <w:t xml:space="preserve">. </w:t>
      </w:r>
      <w:r w:rsidRPr="0091086A">
        <w:t xml:space="preserve">Based on ERG’s analysis (described in Part B), the </w:t>
      </w:r>
      <w:r w:rsidR="003466ED">
        <w:t>number of</w:t>
      </w:r>
      <w:r w:rsidR="009C3B5A" w:rsidRPr="0091086A">
        <w:t xml:space="preserve"> respondents for each </w:t>
      </w:r>
      <w:r w:rsidR="00E318DA" w:rsidRPr="0091086A">
        <w:t xml:space="preserve">hazard will allow for identifying reasonable differences between reactions to the prototypes at sufficient statistical power that will </w:t>
      </w:r>
      <w:r w:rsidR="00530301">
        <w:t xml:space="preserve">the </w:t>
      </w:r>
      <w:r w:rsidR="00E318DA" w:rsidRPr="0091086A">
        <w:t>NWS make informed decisions on how to proceed with modifying future messages.</w:t>
      </w:r>
      <w:r w:rsidR="003466ED">
        <w:t xml:space="preserve"> ERG’s statistical power calculations are detailed in Part B.</w:t>
      </w:r>
    </w:p>
    <w:p w14:paraId="451327B2" w14:textId="77777777" w:rsidR="00C25F98" w:rsidRPr="0091086A" w:rsidRDefault="00C25F98" w:rsidP="00952BDA">
      <w:pPr>
        <w:ind w:left="450"/>
        <w:contextualSpacing/>
        <w:rPr>
          <w:rFonts w:eastAsia="Calibri"/>
        </w:rPr>
      </w:pPr>
    </w:p>
    <w:p w14:paraId="0AE69F99" w14:textId="77777777" w:rsidR="004B2986" w:rsidRPr="0091086A" w:rsidRDefault="004B2986" w:rsidP="003466ED">
      <w:pPr>
        <w:pStyle w:val="ListParagraph"/>
        <w:keepNext/>
        <w:numPr>
          <w:ilvl w:val="0"/>
          <w:numId w:val="1"/>
        </w:numPr>
        <w:ind w:left="360"/>
        <w:rPr>
          <w:b/>
        </w:rPr>
      </w:pPr>
      <w:r w:rsidRPr="0091086A">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4C857272" w14:textId="606C6CE2" w:rsidR="00845C95" w:rsidRPr="0091086A" w:rsidRDefault="00845C95" w:rsidP="00405E94">
      <w:pPr>
        <w:shd w:val="clear" w:color="auto" w:fill="FFFFFF"/>
        <w:spacing w:before="100" w:beforeAutospacing="1" w:after="240"/>
        <w:rPr>
          <w:u w:val="single"/>
        </w:rPr>
      </w:pPr>
      <w:r w:rsidRPr="0091086A">
        <w:rPr>
          <w:u w:val="single"/>
        </w:rPr>
        <w:t xml:space="preserve">How the </w:t>
      </w:r>
      <w:r w:rsidR="00530301">
        <w:rPr>
          <w:u w:val="single"/>
        </w:rPr>
        <w:t>S</w:t>
      </w:r>
      <w:r w:rsidRPr="0091086A">
        <w:rPr>
          <w:u w:val="single"/>
        </w:rPr>
        <w:t xml:space="preserve">urvey </w:t>
      </w:r>
      <w:r w:rsidR="00530301">
        <w:rPr>
          <w:u w:val="single"/>
        </w:rPr>
        <w:t>W</w:t>
      </w:r>
      <w:r w:rsidRPr="0091086A">
        <w:rPr>
          <w:u w:val="single"/>
        </w:rPr>
        <w:t xml:space="preserve">ill </w:t>
      </w:r>
      <w:r w:rsidR="00530301">
        <w:rPr>
          <w:u w:val="single"/>
        </w:rPr>
        <w:t>B</w:t>
      </w:r>
      <w:r w:rsidRPr="0091086A">
        <w:rPr>
          <w:u w:val="single"/>
        </w:rPr>
        <w:t xml:space="preserve">e </w:t>
      </w:r>
      <w:r w:rsidR="00530301">
        <w:rPr>
          <w:u w:val="single"/>
        </w:rPr>
        <w:t>C</w:t>
      </w:r>
      <w:r w:rsidRPr="0091086A">
        <w:rPr>
          <w:u w:val="single"/>
        </w:rPr>
        <w:t>onducted</w:t>
      </w:r>
    </w:p>
    <w:p w14:paraId="36844C4B" w14:textId="22BF86AB" w:rsidR="001509B9" w:rsidRPr="0091086A" w:rsidRDefault="00530301" w:rsidP="00405E94">
      <w:pPr>
        <w:shd w:val="clear" w:color="auto" w:fill="FFFFFF"/>
        <w:spacing w:before="100" w:beforeAutospacing="1" w:after="240"/>
      </w:pPr>
      <w:r>
        <w:t xml:space="preserve">The </w:t>
      </w:r>
      <w:r w:rsidR="005F3B88" w:rsidRPr="0091086A">
        <w:t xml:space="preserve">NWS will perform an online survey to collect these data since </w:t>
      </w:r>
      <w:r w:rsidR="000F0057">
        <w:t xml:space="preserve">the </w:t>
      </w:r>
      <w:r w:rsidR="003559E4" w:rsidRPr="0091086A">
        <w:t xml:space="preserve">NWS distributes much of its information though online </w:t>
      </w:r>
      <w:r w:rsidR="00E143FC" w:rsidRPr="0091086A">
        <w:t>web-based</w:t>
      </w:r>
      <w:r w:rsidR="005F3B88" w:rsidRPr="0091086A">
        <w:t xml:space="preserve"> sources</w:t>
      </w:r>
      <w:r w:rsidR="00477B0B">
        <w:t>, including fire weather information. Additionally, online sources, especially mobile sources, are particularly important in conveying risks associated with fast-developing events such as wildfires</w:t>
      </w:r>
      <w:r w:rsidR="005F3B88" w:rsidRPr="0091086A">
        <w:t xml:space="preserve">. </w:t>
      </w:r>
      <w:r>
        <w:t xml:space="preserve">The </w:t>
      </w:r>
      <w:r w:rsidR="005F3B88" w:rsidRPr="0091086A">
        <w:t>NWS’</w:t>
      </w:r>
      <w:r w:rsidR="000F0057">
        <w:t>s</w:t>
      </w:r>
      <w:r w:rsidR="005F3B88" w:rsidRPr="0091086A">
        <w:t xml:space="preserve"> contractor</w:t>
      </w:r>
      <w:r>
        <w:t>,</w:t>
      </w:r>
      <w:r w:rsidR="005F3B88" w:rsidRPr="0091086A">
        <w:t xml:space="preserve"> ERG</w:t>
      </w:r>
      <w:r>
        <w:t>,</w:t>
      </w:r>
      <w:r w:rsidR="005F3B88" w:rsidRPr="0091086A">
        <w:t xml:space="preserve"> </w:t>
      </w:r>
      <w:r w:rsidR="00E143FC" w:rsidRPr="0091086A">
        <w:t xml:space="preserve">will </w:t>
      </w:r>
      <w:r w:rsidR="005F3B88" w:rsidRPr="0091086A">
        <w:t xml:space="preserve">work with Qualtrics, Inc., a leading provider of online survey services. ERG will instruct Qualtrics to select random samples from a pre-determined set of geographic areas </w:t>
      </w:r>
      <w:r w:rsidR="003559E4" w:rsidRPr="0091086A">
        <w:t>(described in Part B below)</w:t>
      </w:r>
      <w:r w:rsidR="001509B9" w:rsidRPr="0091086A">
        <w:t xml:space="preserve">. </w:t>
      </w:r>
    </w:p>
    <w:p w14:paraId="0C6F9AA9" w14:textId="104F5237" w:rsidR="00845C95" w:rsidRPr="0091086A" w:rsidRDefault="00845C95" w:rsidP="00405E94">
      <w:pPr>
        <w:shd w:val="clear" w:color="auto" w:fill="FFFFFF"/>
        <w:spacing w:before="100" w:beforeAutospacing="1" w:after="240"/>
        <w:rPr>
          <w:u w:val="single"/>
        </w:rPr>
      </w:pPr>
      <w:r w:rsidRPr="0091086A">
        <w:rPr>
          <w:u w:val="single"/>
        </w:rPr>
        <w:t xml:space="preserve">Response </w:t>
      </w:r>
      <w:r w:rsidR="00530301">
        <w:rPr>
          <w:u w:val="single"/>
        </w:rPr>
        <w:t>R</w:t>
      </w:r>
      <w:r w:rsidRPr="0091086A">
        <w:rPr>
          <w:u w:val="single"/>
        </w:rPr>
        <w:t>ate</w:t>
      </w:r>
    </w:p>
    <w:p w14:paraId="308D0ED3" w14:textId="4A11DA4A" w:rsidR="00845C95" w:rsidRPr="0091086A" w:rsidRDefault="00845C95" w:rsidP="00405E94">
      <w:pPr>
        <w:shd w:val="clear" w:color="auto" w:fill="FFFFFF"/>
        <w:spacing w:before="100" w:beforeAutospacing="1" w:after="240"/>
      </w:pPr>
      <w:r w:rsidRPr="0091086A">
        <w:t xml:space="preserve">ERG expects that </w:t>
      </w:r>
      <w:r w:rsidR="00E143FC" w:rsidRPr="0091086A">
        <w:t>70</w:t>
      </w:r>
      <w:r w:rsidR="008B655A">
        <w:t xml:space="preserve"> percent</w:t>
      </w:r>
      <w:r w:rsidR="008B655A" w:rsidRPr="0091086A">
        <w:t xml:space="preserve"> </w:t>
      </w:r>
      <w:r w:rsidRPr="0091086A">
        <w:t xml:space="preserve">of respondents will take the survey. </w:t>
      </w:r>
      <w:r w:rsidR="00A661D7" w:rsidRPr="0091086A">
        <w:t xml:space="preserve">This rate is based on ERG’s </w:t>
      </w:r>
      <w:r w:rsidR="00E143FC" w:rsidRPr="0091086A">
        <w:t xml:space="preserve">prior work implementing similar surveys for </w:t>
      </w:r>
      <w:r w:rsidR="00530301">
        <w:t xml:space="preserve">the </w:t>
      </w:r>
      <w:r w:rsidR="00E143FC" w:rsidRPr="0091086A">
        <w:t xml:space="preserve">NWS. </w:t>
      </w:r>
    </w:p>
    <w:p w14:paraId="2E7E8ECB" w14:textId="77777777" w:rsidR="001509B9" w:rsidRPr="0091086A" w:rsidRDefault="001509B9" w:rsidP="00405E94">
      <w:pPr>
        <w:shd w:val="clear" w:color="auto" w:fill="FFFFFF"/>
        <w:spacing w:before="100" w:beforeAutospacing="1" w:after="240"/>
        <w:rPr>
          <w:u w:val="single"/>
        </w:rPr>
      </w:pPr>
      <w:r w:rsidRPr="0091086A">
        <w:rPr>
          <w:u w:val="single"/>
        </w:rPr>
        <w:t>Maximizing Response</w:t>
      </w:r>
    </w:p>
    <w:p w14:paraId="4838C8EE" w14:textId="076062F7" w:rsidR="001509B9" w:rsidRPr="0091086A" w:rsidRDefault="001509B9" w:rsidP="00405E94">
      <w:pPr>
        <w:shd w:val="clear" w:color="auto" w:fill="FFFFFF"/>
        <w:spacing w:before="100" w:beforeAutospacing="1" w:after="240"/>
      </w:pPr>
      <w:r w:rsidRPr="0091086A">
        <w:t xml:space="preserve">To ensure a maximum response rate, </w:t>
      </w:r>
      <w:r w:rsidR="00530301">
        <w:t xml:space="preserve">the </w:t>
      </w:r>
      <w:r w:rsidRPr="0091086A">
        <w:t>NWS’</w:t>
      </w:r>
      <w:r w:rsidR="000F0057">
        <w:t>s</w:t>
      </w:r>
      <w:r w:rsidRPr="0091086A">
        <w:t xml:space="preserve"> contractor ERG will perform the following tasks:</w:t>
      </w:r>
    </w:p>
    <w:p w14:paraId="45811B5E" w14:textId="77777777" w:rsidR="005641F7" w:rsidRDefault="005641F7" w:rsidP="00405E94">
      <w:pPr>
        <w:pStyle w:val="ListParagraph"/>
        <w:numPr>
          <w:ilvl w:val="0"/>
          <w:numId w:val="31"/>
        </w:numPr>
        <w:shd w:val="clear" w:color="auto" w:fill="FFFFFF"/>
        <w:spacing w:before="100" w:beforeAutospacing="1" w:after="120"/>
        <w:ind w:left="720"/>
        <w:contextualSpacing w:val="0"/>
      </w:pPr>
      <w:r w:rsidRPr="0091086A">
        <w:t>ERG has developed a survey that minimizes the burden on respondents by using good survey design. This includes developing well-written questions and limiting the number of the questions to the minimum necessary.</w:t>
      </w:r>
    </w:p>
    <w:p w14:paraId="0503B4E0" w14:textId="2C1E353D" w:rsidR="001509B9" w:rsidRPr="0091086A" w:rsidRDefault="001509B9" w:rsidP="00405E94">
      <w:pPr>
        <w:pStyle w:val="ListParagraph"/>
        <w:numPr>
          <w:ilvl w:val="0"/>
          <w:numId w:val="31"/>
        </w:numPr>
        <w:shd w:val="clear" w:color="auto" w:fill="FFFFFF"/>
        <w:spacing w:before="100" w:beforeAutospacing="1" w:after="120"/>
        <w:ind w:left="720"/>
        <w:contextualSpacing w:val="0"/>
      </w:pPr>
      <w:r w:rsidRPr="0091086A">
        <w:t xml:space="preserve">ERG will require Qualtrics, Inc. to select respondents from </w:t>
      </w:r>
      <w:r w:rsidR="00530301">
        <w:t xml:space="preserve">a pool of </w:t>
      </w:r>
      <w:r w:rsidRPr="0091086A">
        <w:t xml:space="preserve">individuals who </w:t>
      </w:r>
      <w:r w:rsidR="00530301">
        <w:t xml:space="preserve">have </w:t>
      </w:r>
      <w:r w:rsidRPr="0091086A">
        <w:t xml:space="preserve">indicated they are willing to take surveys. Many email survey lists are constructed from </w:t>
      </w:r>
      <w:r w:rsidR="00845C95" w:rsidRPr="0091086A">
        <w:t>individual</w:t>
      </w:r>
      <w:r w:rsidR="00F9713E">
        <w:t>s</w:t>
      </w:r>
      <w:r w:rsidR="00845C95" w:rsidRPr="0091086A">
        <w:t xml:space="preserve"> who passively opt in to taking surveys (e.g., by agreeing to a terms of service agreement on a web site). ERG will require Qualtrics to use survey lists where those on the list</w:t>
      </w:r>
      <w:r w:rsidR="00530301">
        <w:t>s</w:t>
      </w:r>
      <w:r w:rsidR="00845C95" w:rsidRPr="0091086A">
        <w:t xml:space="preserve"> consciously indicated they would be willing to take surveys</w:t>
      </w:r>
      <w:r w:rsidR="005641F7">
        <w:t xml:space="preserve"> (i.e., passive opt-ins will be excluded)</w:t>
      </w:r>
      <w:r w:rsidR="00845C95" w:rsidRPr="0091086A">
        <w:t>.</w:t>
      </w:r>
    </w:p>
    <w:p w14:paraId="7A3EB30A" w14:textId="77777777" w:rsidR="001509B9" w:rsidRPr="0091086A" w:rsidRDefault="001509B9" w:rsidP="00405E94">
      <w:pPr>
        <w:pStyle w:val="ListParagraph"/>
        <w:numPr>
          <w:ilvl w:val="0"/>
          <w:numId w:val="31"/>
        </w:numPr>
        <w:shd w:val="clear" w:color="auto" w:fill="FFFFFF"/>
        <w:spacing w:before="100" w:beforeAutospacing="1" w:after="120"/>
        <w:ind w:left="720"/>
        <w:contextualSpacing w:val="0"/>
      </w:pPr>
      <w:r w:rsidRPr="0091086A">
        <w:t xml:space="preserve">ERG will use multiple prompts to generate responses. ERG will </w:t>
      </w:r>
      <w:r w:rsidR="00845C95" w:rsidRPr="0091086A">
        <w:t>use a pre-notification email to respondents, a</w:t>
      </w:r>
      <w:r w:rsidR="005641F7">
        <w:t>n</w:t>
      </w:r>
      <w:r w:rsidR="00845C95" w:rsidRPr="0091086A">
        <w:t xml:space="preserve"> email that asks the respondent to take the </w:t>
      </w:r>
      <w:r w:rsidR="005641F7">
        <w:t>survey</w:t>
      </w:r>
      <w:r w:rsidR="00845C95" w:rsidRPr="0091086A">
        <w:t>, and then two reminder emails.</w:t>
      </w:r>
    </w:p>
    <w:p w14:paraId="52677347" w14:textId="49E9421E" w:rsidR="00845C95" w:rsidRPr="0091086A" w:rsidRDefault="00317058" w:rsidP="00317058">
      <w:pPr>
        <w:pStyle w:val="ListParagraph"/>
        <w:shd w:val="clear" w:color="auto" w:fill="FFFFFF"/>
        <w:spacing w:before="100" w:beforeAutospacing="1" w:after="120"/>
        <w:ind w:left="360"/>
        <w:contextualSpacing w:val="0"/>
      </w:pPr>
      <w:r>
        <w:t>In addition: a</w:t>
      </w:r>
      <w:r w:rsidR="00845C95" w:rsidRPr="0091086A">
        <w:t xml:space="preserve"> graduate student researcher at the University of Georgia (Castle Williams) developed a survey </w:t>
      </w:r>
      <w:r w:rsidR="005641F7">
        <w:t>that assesses</w:t>
      </w:r>
      <w:r w:rsidR="00845C95" w:rsidRPr="0091086A">
        <w:t xml:space="preserve"> </w:t>
      </w:r>
      <w:r w:rsidR="00530301">
        <w:t xml:space="preserve">the </w:t>
      </w:r>
      <w:r w:rsidR="00845C95" w:rsidRPr="0091086A">
        <w:t>NWS’</w:t>
      </w:r>
      <w:r w:rsidR="00530301">
        <w:t>s</w:t>
      </w:r>
      <w:r w:rsidR="00845C95" w:rsidRPr="0091086A">
        <w:t xml:space="preserve"> hazard messages for </w:t>
      </w:r>
      <w:r w:rsidR="005641F7">
        <w:t>extreme heat</w:t>
      </w:r>
      <w:r w:rsidR="00845C95" w:rsidRPr="0091086A">
        <w:t>. As part of his research, Mr. Williams has performed a series of cognitive test</w:t>
      </w:r>
      <w:r w:rsidR="005641F7">
        <w:t>s</w:t>
      </w:r>
      <w:r w:rsidR="00845C95" w:rsidRPr="0091086A">
        <w:t xml:space="preserve"> with potential respondents to improve his survey design. He also implemented a pre-test of his survey instrument. Mr. Williams</w:t>
      </w:r>
      <w:r w:rsidR="00530301">
        <w:t>’</w:t>
      </w:r>
      <w:r w:rsidR="00845C95" w:rsidRPr="0091086A">
        <w:t xml:space="preserve"> </w:t>
      </w:r>
      <w:r w:rsidR="00477B0B">
        <w:t xml:space="preserve">survey is similar to the one being implemented here and shares a number of </w:t>
      </w:r>
      <w:r w:rsidR="00530301">
        <w:t xml:space="preserve">similar </w:t>
      </w:r>
      <w:r w:rsidR="00477B0B">
        <w:t xml:space="preserve">question types. Mr. Williams </w:t>
      </w:r>
      <w:r w:rsidR="00845C95" w:rsidRPr="0091086A">
        <w:t>share</w:t>
      </w:r>
      <w:r w:rsidR="00477B0B">
        <w:t>d</w:t>
      </w:r>
      <w:r w:rsidR="00845C95" w:rsidRPr="0091086A">
        <w:t xml:space="preserve"> his </w:t>
      </w:r>
      <w:r w:rsidR="00477B0B">
        <w:t xml:space="preserve">initial </w:t>
      </w:r>
      <w:r w:rsidR="00845C95" w:rsidRPr="0091086A">
        <w:t>results with NWS and ERG</w:t>
      </w:r>
      <w:r w:rsidR="000F0057">
        <w:t>,</w:t>
      </w:r>
      <w:r w:rsidR="00845C95" w:rsidRPr="0091086A">
        <w:t xml:space="preserve"> which allow</w:t>
      </w:r>
      <w:r w:rsidR="00477B0B">
        <w:t>ed</w:t>
      </w:r>
      <w:r w:rsidR="00845C95" w:rsidRPr="0091086A">
        <w:t xml:space="preserve"> ERG to incorporate </w:t>
      </w:r>
      <w:r w:rsidR="00477B0B">
        <w:t xml:space="preserve">results </w:t>
      </w:r>
      <w:r w:rsidR="00845C95" w:rsidRPr="0091086A">
        <w:t xml:space="preserve">into the design of </w:t>
      </w:r>
      <w:r w:rsidR="00477B0B">
        <w:t>this</w:t>
      </w:r>
      <w:r w:rsidR="00845C95" w:rsidRPr="0091086A">
        <w:t xml:space="preserve"> survey.</w:t>
      </w:r>
    </w:p>
    <w:p w14:paraId="65BE5351" w14:textId="77777777" w:rsidR="00BC697B" w:rsidRPr="0091086A" w:rsidRDefault="00BC697B" w:rsidP="00BC697B">
      <w:pPr>
        <w:autoSpaceDE w:val="0"/>
        <w:autoSpaceDN w:val="0"/>
        <w:adjustRightInd w:val="0"/>
        <w:ind w:left="450"/>
      </w:pPr>
    </w:p>
    <w:p w14:paraId="518F332D" w14:textId="77777777" w:rsidR="004B2986" w:rsidRPr="005641F7" w:rsidRDefault="004B2986" w:rsidP="00676FF8">
      <w:pPr>
        <w:numPr>
          <w:ilvl w:val="0"/>
          <w:numId w:val="1"/>
        </w:numPr>
        <w:autoSpaceDE w:val="0"/>
        <w:autoSpaceDN w:val="0"/>
        <w:adjustRightInd w:val="0"/>
        <w:ind w:left="450"/>
        <w:rPr>
          <w:b/>
        </w:rPr>
      </w:pPr>
      <w:r w:rsidRPr="005641F7">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7DAB1CA3" w14:textId="77777777" w:rsidR="004B2986" w:rsidRPr="0091086A" w:rsidRDefault="004B2986" w:rsidP="00393FF6">
      <w:pPr>
        <w:autoSpaceDE w:val="0"/>
        <w:autoSpaceDN w:val="0"/>
        <w:adjustRightInd w:val="0"/>
        <w:ind w:left="810" w:hanging="360"/>
        <w:rPr>
          <w:b/>
          <w:bCs/>
        </w:rPr>
      </w:pPr>
    </w:p>
    <w:p w14:paraId="28768A82" w14:textId="4E6651D8" w:rsidR="002D1789" w:rsidRPr="0091086A" w:rsidRDefault="00A661D7" w:rsidP="00405E94">
      <w:pPr>
        <w:tabs>
          <w:tab w:val="left" w:pos="450"/>
        </w:tabs>
        <w:autoSpaceDE w:val="0"/>
        <w:autoSpaceDN w:val="0"/>
        <w:adjustRightInd w:val="0"/>
        <w:ind w:left="90"/>
        <w:rPr>
          <w:b/>
        </w:rPr>
      </w:pPr>
      <w:r w:rsidRPr="0091086A">
        <w:t xml:space="preserve">The survey data will be analyzed by comparing respondent preferences for different prototypes. As noted, the purpose of the data collection effort will be to assess how </w:t>
      </w:r>
      <w:r w:rsidR="00477B0B">
        <w:t xml:space="preserve">the public, a primary </w:t>
      </w:r>
      <w:r w:rsidR="00477B0B" w:rsidRPr="0091086A">
        <w:t>NWS customer</w:t>
      </w:r>
      <w:r w:rsidR="00477B0B">
        <w:t>,</w:t>
      </w:r>
      <w:r w:rsidRPr="0091086A">
        <w:t xml:space="preserve"> react</w:t>
      </w:r>
      <w:r w:rsidR="00477B0B">
        <w:t>s</w:t>
      </w:r>
      <w:r w:rsidRPr="0091086A">
        <w:t xml:space="preserve"> to different </w:t>
      </w:r>
      <w:r w:rsidR="000F0057">
        <w:t>warning levels and terminology</w:t>
      </w:r>
      <w:r w:rsidR="00477B0B">
        <w:t xml:space="preserve"> for fire weather</w:t>
      </w:r>
      <w:r w:rsidRPr="0091086A">
        <w:t xml:space="preserve">. ERG will use the survey data to determine which prototypes are more preferred among potential customers by comparing the percentages of </w:t>
      </w:r>
      <w:r w:rsidR="0066133B" w:rsidRPr="0091086A">
        <w:t>NWS customers who prefer which prototype</w:t>
      </w:r>
      <w:r w:rsidRPr="0091086A">
        <w:t xml:space="preserve">. </w:t>
      </w:r>
      <w:r w:rsidR="0066133B" w:rsidRPr="0091086A">
        <w:t xml:space="preserve">These results will </w:t>
      </w:r>
      <w:r w:rsidR="00F9713E">
        <w:t>assist</w:t>
      </w:r>
      <w:r w:rsidR="0066133B" w:rsidRPr="0091086A">
        <w:t xml:space="preserve"> </w:t>
      </w:r>
      <w:r w:rsidR="00391177" w:rsidRPr="0091086A">
        <w:t xml:space="preserve">NWS leadership with </w:t>
      </w:r>
      <w:r w:rsidR="00E656D8" w:rsidRPr="0091086A">
        <w:t>consider</w:t>
      </w:r>
      <w:r w:rsidR="00837B2B" w:rsidRPr="0091086A">
        <w:t>ing</w:t>
      </w:r>
      <w:r w:rsidR="00E656D8" w:rsidRPr="0091086A">
        <w:t xml:space="preserve"> possible changes or modifications to the WWA system.</w:t>
      </w:r>
      <w:r w:rsidR="00E656D8" w:rsidRPr="0091086A">
        <w:rPr>
          <w:b/>
        </w:rPr>
        <w:t xml:space="preserve"> </w:t>
      </w:r>
    </w:p>
    <w:p w14:paraId="66AC6947" w14:textId="77777777" w:rsidR="00E143FC" w:rsidRPr="0091086A" w:rsidRDefault="00E143FC" w:rsidP="00837B2B">
      <w:pPr>
        <w:tabs>
          <w:tab w:val="left" w:pos="450"/>
        </w:tabs>
        <w:autoSpaceDE w:val="0"/>
        <w:autoSpaceDN w:val="0"/>
        <w:adjustRightInd w:val="0"/>
        <w:ind w:left="450"/>
      </w:pPr>
    </w:p>
    <w:p w14:paraId="7F4FB0A4" w14:textId="77777777" w:rsidR="00E143FC" w:rsidRPr="0091086A" w:rsidRDefault="00E143FC" w:rsidP="00405E94">
      <w:pPr>
        <w:tabs>
          <w:tab w:val="left" w:pos="450"/>
        </w:tabs>
        <w:autoSpaceDE w:val="0"/>
        <w:autoSpaceDN w:val="0"/>
        <w:adjustRightInd w:val="0"/>
        <w:ind w:left="90"/>
      </w:pPr>
      <w:r w:rsidRPr="0091086A">
        <w:t xml:space="preserve">ERG will use sample weights to generalize the survey results to the populations. </w:t>
      </w:r>
    </w:p>
    <w:p w14:paraId="2F387A57" w14:textId="77777777" w:rsidR="007258C8" w:rsidRPr="0091086A" w:rsidRDefault="007258C8" w:rsidP="00393FF6">
      <w:pPr>
        <w:ind w:left="360"/>
      </w:pPr>
    </w:p>
    <w:p w14:paraId="24BA31B3" w14:textId="77777777" w:rsidR="00697AF7" w:rsidRPr="0091086A" w:rsidRDefault="00697AF7" w:rsidP="00405E94">
      <w:pPr>
        <w:autoSpaceDE w:val="0"/>
        <w:autoSpaceDN w:val="0"/>
        <w:adjustRightInd w:val="0"/>
        <w:ind w:left="90"/>
        <w:rPr>
          <w:bCs/>
        </w:rPr>
      </w:pPr>
      <w:r w:rsidRPr="0091086A">
        <w:rPr>
          <w:bCs/>
        </w:rPr>
        <w:t>The data do not directly contribute to a GPRA measure.</w:t>
      </w:r>
      <w:r w:rsidRPr="0091086A" w:rsidDel="00E12B6F">
        <w:rPr>
          <w:bCs/>
        </w:rPr>
        <w:t xml:space="preserve"> </w:t>
      </w:r>
    </w:p>
    <w:p w14:paraId="16116E8E" w14:textId="77777777" w:rsidR="00E143FC" w:rsidRPr="0091086A" w:rsidRDefault="00E143FC">
      <w:pPr>
        <w:rPr>
          <w:bCs/>
        </w:rPr>
      </w:pPr>
      <w:r w:rsidRPr="0091086A">
        <w:rPr>
          <w:bCs/>
        </w:rPr>
        <w:br w:type="page"/>
      </w:r>
    </w:p>
    <w:p w14:paraId="35CAFED9" w14:textId="77777777" w:rsidR="00BA7109" w:rsidRPr="0091086A" w:rsidRDefault="00BA7109" w:rsidP="00DC456B">
      <w:pPr>
        <w:pStyle w:val="ListParagraph"/>
        <w:numPr>
          <w:ilvl w:val="0"/>
          <w:numId w:val="21"/>
        </w:numPr>
        <w:autoSpaceDE w:val="0"/>
        <w:autoSpaceDN w:val="0"/>
        <w:adjustRightInd w:val="0"/>
        <w:rPr>
          <w:b/>
          <w:bCs/>
          <w:sz w:val="24"/>
          <w:szCs w:val="24"/>
        </w:rPr>
      </w:pPr>
      <w:r w:rsidRPr="0091086A">
        <w:rPr>
          <w:b/>
          <w:bCs/>
          <w:sz w:val="24"/>
          <w:szCs w:val="24"/>
        </w:rPr>
        <w:t>C</w:t>
      </w:r>
      <w:r w:rsidR="00DC456B" w:rsidRPr="0091086A">
        <w:rPr>
          <w:b/>
          <w:bCs/>
          <w:sz w:val="24"/>
          <w:szCs w:val="24"/>
        </w:rPr>
        <w:t>ollections of Information Employing Statistical Methods</w:t>
      </w:r>
    </w:p>
    <w:p w14:paraId="479FACB0" w14:textId="77777777" w:rsidR="00BA7109" w:rsidRPr="0091086A" w:rsidRDefault="00BA7109" w:rsidP="00BA7109">
      <w:pPr>
        <w:autoSpaceDE w:val="0"/>
        <w:autoSpaceDN w:val="0"/>
        <w:adjustRightInd w:val="0"/>
        <w:ind w:left="360"/>
        <w:rPr>
          <w:bCs/>
          <w:lang w:val="en-GB" w:eastAsia="en-GB"/>
        </w:rPr>
      </w:pPr>
    </w:p>
    <w:p w14:paraId="53B0BE51" w14:textId="77777777" w:rsidR="00BA7109" w:rsidRPr="0091086A" w:rsidRDefault="00BA7109" w:rsidP="00BA7109">
      <w:pPr>
        <w:numPr>
          <w:ilvl w:val="0"/>
          <w:numId w:val="9"/>
        </w:numPr>
        <w:autoSpaceDE w:val="0"/>
        <w:autoSpaceDN w:val="0"/>
        <w:adjustRightInd w:val="0"/>
        <w:ind w:left="360"/>
        <w:rPr>
          <w:b/>
          <w:bCs/>
          <w:lang w:val="en-GB" w:eastAsia="en-GB"/>
        </w:rPr>
      </w:pPr>
      <w:r w:rsidRPr="0091086A">
        <w:rPr>
          <w:b/>
          <w:bCs/>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3E821639" w14:textId="77777777" w:rsidR="00BA7109" w:rsidRPr="0091086A" w:rsidRDefault="00BA7109" w:rsidP="00BA7109">
      <w:pPr>
        <w:rPr>
          <w:lang w:val="en-GB" w:eastAsia="en-GB"/>
        </w:rPr>
      </w:pPr>
    </w:p>
    <w:p w14:paraId="1F9B58A8" w14:textId="77777777" w:rsidR="003A64D9" w:rsidRPr="0091086A" w:rsidRDefault="003A64D9" w:rsidP="00BA7109">
      <w:pPr>
        <w:rPr>
          <w:u w:val="single"/>
          <w:lang w:val="en-GB" w:eastAsia="en-GB"/>
        </w:rPr>
      </w:pPr>
      <w:r w:rsidRPr="0091086A">
        <w:rPr>
          <w:u w:val="single"/>
          <w:lang w:val="en-GB" w:eastAsia="en-GB"/>
        </w:rPr>
        <w:t>Respondent Universe</w:t>
      </w:r>
    </w:p>
    <w:p w14:paraId="25A4F79B" w14:textId="77777777" w:rsidR="00770704" w:rsidRPr="0091086A" w:rsidRDefault="00770704" w:rsidP="00BA7109">
      <w:pPr>
        <w:rPr>
          <w:lang w:val="en-GB" w:eastAsia="en-GB"/>
        </w:rPr>
      </w:pPr>
    </w:p>
    <w:p w14:paraId="40EE2B20" w14:textId="3C347A03" w:rsidR="0011089E" w:rsidRDefault="00530301" w:rsidP="0011089E">
      <w:pPr>
        <w:rPr>
          <w:color w:val="000000"/>
        </w:rPr>
      </w:pPr>
      <w:r>
        <w:t xml:space="preserve">The </w:t>
      </w:r>
      <w:r w:rsidR="0011089E">
        <w:t xml:space="preserve">NWS conducted focus groups </w:t>
      </w:r>
      <w:r w:rsidR="0011089E" w:rsidRPr="00B27DAB">
        <w:rPr>
          <w:color w:val="000000"/>
        </w:rPr>
        <w:t xml:space="preserve">in </w:t>
      </w:r>
      <w:r w:rsidR="0011089E">
        <w:rPr>
          <w:color w:val="000000"/>
        </w:rPr>
        <w:t>a set of western states (New Mexico, Wyoming, Colorado, Montana, and California) due to the increased prevalence of wildfires in those states. However, focus group participants indicated that visitors and second homeowners from areas that experience wildfires</w:t>
      </w:r>
      <w:r w:rsidR="00D27890">
        <w:rPr>
          <w:color w:val="000000"/>
        </w:rPr>
        <w:t xml:space="preserve"> </w:t>
      </w:r>
      <w:r w:rsidR="00130348">
        <w:rPr>
          <w:color w:val="000000"/>
        </w:rPr>
        <w:t xml:space="preserve">less frequently </w:t>
      </w:r>
      <w:r w:rsidR="00D27890">
        <w:rPr>
          <w:color w:val="000000"/>
        </w:rPr>
        <w:t xml:space="preserve">should also be a target of </w:t>
      </w:r>
      <w:r>
        <w:rPr>
          <w:color w:val="000000"/>
        </w:rPr>
        <w:t xml:space="preserve">the </w:t>
      </w:r>
      <w:r w:rsidR="00D27890">
        <w:rPr>
          <w:color w:val="000000"/>
        </w:rPr>
        <w:t>NWS’</w:t>
      </w:r>
      <w:r>
        <w:rPr>
          <w:color w:val="000000"/>
        </w:rPr>
        <w:t>s</w:t>
      </w:r>
      <w:r w:rsidR="00D27890">
        <w:rPr>
          <w:color w:val="000000"/>
        </w:rPr>
        <w:t xml:space="preserve"> messages. Thus, </w:t>
      </w:r>
      <w:r>
        <w:rPr>
          <w:color w:val="000000"/>
        </w:rPr>
        <w:t xml:space="preserve">the </w:t>
      </w:r>
      <w:r w:rsidR="00D27890">
        <w:rPr>
          <w:color w:val="000000"/>
        </w:rPr>
        <w:t>NWS has determined that samples should be selected for two sets of states:</w:t>
      </w:r>
      <w:r w:rsidR="0011089E">
        <w:rPr>
          <w:color w:val="000000"/>
        </w:rPr>
        <w:t xml:space="preserve"> </w:t>
      </w:r>
    </w:p>
    <w:p w14:paraId="6AEAD477" w14:textId="77777777" w:rsidR="0011089E" w:rsidRDefault="0011089E" w:rsidP="0011089E">
      <w:pPr>
        <w:rPr>
          <w:color w:val="000000"/>
        </w:rPr>
      </w:pPr>
    </w:p>
    <w:p w14:paraId="0BF930B0" w14:textId="2E5AA4CD" w:rsidR="0011089E" w:rsidRDefault="0011089E" w:rsidP="0011089E">
      <w:pPr>
        <w:pStyle w:val="ListParagraph"/>
        <w:widowControl w:val="0"/>
        <w:numPr>
          <w:ilvl w:val="0"/>
          <w:numId w:val="44"/>
        </w:numPr>
        <w:spacing w:after="120"/>
        <w:contextualSpacing w:val="0"/>
        <w:rPr>
          <w:color w:val="000000"/>
        </w:rPr>
      </w:pPr>
      <w:r w:rsidRPr="007D7A76">
        <w:rPr>
          <w:b/>
          <w:color w:val="000000"/>
        </w:rPr>
        <w:t>States that frequently experience wildfires (focus group states).</w:t>
      </w:r>
      <w:r>
        <w:rPr>
          <w:color w:val="000000"/>
        </w:rPr>
        <w:t xml:space="preserve"> This would include the states where </w:t>
      </w:r>
      <w:r w:rsidR="00530301">
        <w:rPr>
          <w:color w:val="000000"/>
        </w:rPr>
        <w:t xml:space="preserve">the </w:t>
      </w:r>
      <w:r w:rsidR="00D27890">
        <w:rPr>
          <w:color w:val="000000"/>
        </w:rPr>
        <w:t>NWS</w:t>
      </w:r>
      <w:r>
        <w:rPr>
          <w:color w:val="000000"/>
        </w:rPr>
        <w:t xml:space="preserve"> performed focus groups (New Mexico, Wyoming, Colorado, Montana, and California). </w:t>
      </w:r>
      <w:r w:rsidR="00530301">
        <w:rPr>
          <w:color w:val="000000"/>
        </w:rPr>
        <w:t xml:space="preserve">The </w:t>
      </w:r>
      <w:r w:rsidR="00D27890">
        <w:rPr>
          <w:color w:val="000000"/>
        </w:rPr>
        <w:t xml:space="preserve">NWS will target a total of </w:t>
      </w:r>
      <w:r>
        <w:rPr>
          <w:color w:val="000000"/>
        </w:rPr>
        <w:t xml:space="preserve">600 total respondents across these five states with no more than 25 percent of the total sample (150 respondents) coming from either California and Colorado, the two most populous states among the five. </w:t>
      </w:r>
      <w:r w:rsidR="00D27890">
        <w:rPr>
          <w:color w:val="000000"/>
        </w:rPr>
        <w:t xml:space="preserve">Furthermore, </w:t>
      </w:r>
      <w:r w:rsidR="00530301">
        <w:rPr>
          <w:color w:val="000000"/>
        </w:rPr>
        <w:t xml:space="preserve">the </w:t>
      </w:r>
      <w:r w:rsidR="008B0E57">
        <w:rPr>
          <w:color w:val="000000"/>
        </w:rPr>
        <w:t xml:space="preserve">NWS will ensure that </w:t>
      </w:r>
      <w:r>
        <w:rPr>
          <w:color w:val="000000"/>
        </w:rPr>
        <w:t xml:space="preserve">at least 75 percent of </w:t>
      </w:r>
      <w:r w:rsidR="008B0E57">
        <w:rPr>
          <w:color w:val="000000"/>
        </w:rPr>
        <w:t>the r</w:t>
      </w:r>
      <w:r>
        <w:rPr>
          <w:color w:val="000000"/>
        </w:rPr>
        <w:t xml:space="preserve">espondents </w:t>
      </w:r>
      <w:r w:rsidR="008B0E57">
        <w:rPr>
          <w:color w:val="000000"/>
        </w:rPr>
        <w:t xml:space="preserve">come </w:t>
      </w:r>
      <w:r>
        <w:rPr>
          <w:color w:val="000000"/>
        </w:rPr>
        <w:t>from “</w:t>
      </w:r>
      <w:r w:rsidR="00D27890">
        <w:rPr>
          <w:color w:val="000000"/>
        </w:rPr>
        <w:t>non-urban</w:t>
      </w:r>
      <w:r>
        <w:rPr>
          <w:color w:val="000000"/>
        </w:rPr>
        <w:t>” locations</w:t>
      </w:r>
      <w:r w:rsidR="00B81ADF">
        <w:rPr>
          <w:color w:val="000000"/>
        </w:rPr>
        <w:t>.</w:t>
      </w:r>
    </w:p>
    <w:p w14:paraId="5149B715" w14:textId="645D0DE2" w:rsidR="00770704" w:rsidRPr="009A5D9F" w:rsidRDefault="0011089E" w:rsidP="009A5D9F">
      <w:pPr>
        <w:pStyle w:val="ListParagraph"/>
        <w:widowControl w:val="0"/>
        <w:numPr>
          <w:ilvl w:val="0"/>
          <w:numId w:val="43"/>
        </w:numPr>
        <w:spacing w:after="240"/>
        <w:contextualSpacing w:val="0"/>
        <w:rPr>
          <w:color w:val="000000"/>
        </w:rPr>
      </w:pPr>
      <w:r w:rsidRPr="007D7A76">
        <w:rPr>
          <w:b/>
          <w:color w:val="000000"/>
        </w:rPr>
        <w:t>States that are less experienced with wildfires.</w:t>
      </w:r>
      <w:r w:rsidRPr="007D7A76">
        <w:rPr>
          <w:color w:val="000000"/>
        </w:rPr>
        <w:t xml:space="preserve"> </w:t>
      </w:r>
      <w:r w:rsidR="00530301">
        <w:rPr>
          <w:color w:val="000000"/>
        </w:rPr>
        <w:t xml:space="preserve">The </w:t>
      </w:r>
      <w:r w:rsidR="00B81ADF">
        <w:rPr>
          <w:color w:val="000000"/>
        </w:rPr>
        <w:t xml:space="preserve">NWS will select a </w:t>
      </w:r>
      <w:r w:rsidRPr="007D7A76">
        <w:rPr>
          <w:color w:val="000000"/>
        </w:rPr>
        <w:t xml:space="preserve">sample of 300 respondents from </w:t>
      </w:r>
      <w:r>
        <w:t xml:space="preserve">Alabama, Georgia, </w:t>
      </w:r>
      <w:r w:rsidR="00B81ADF">
        <w:t xml:space="preserve">North Carolina, </w:t>
      </w:r>
      <w:r>
        <w:t>Pennsylvania</w:t>
      </w:r>
      <w:r w:rsidR="00B81ADF">
        <w:t>, and Virginia</w:t>
      </w:r>
      <w:r>
        <w:t>; these states each experience some risk of wildfires</w:t>
      </w:r>
      <w:r w:rsidR="00B81ADF">
        <w:t xml:space="preserve">. Additionally, residents from these states may also take trips to the </w:t>
      </w:r>
      <w:r w:rsidR="008B655A">
        <w:t>W</w:t>
      </w:r>
      <w:r w:rsidR="00B81ADF">
        <w:t xml:space="preserve">est and thus experience wildfire risks during those trips. </w:t>
      </w:r>
      <w:r w:rsidR="009A5D9F">
        <w:t xml:space="preserve">As with the focus group states, </w:t>
      </w:r>
      <w:r w:rsidR="008B655A">
        <w:t xml:space="preserve">the </w:t>
      </w:r>
      <w:r w:rsidR="009A5D9F">
        <w:t xml:space="preserve">NWS will select a </w:t>
      </w:r>
      <w:r w:rsidRPr="007D7A76">
        <w:rPr>
          <w:color w:val="000000"/>
        </w:rPr>
        <w:t xml:space="preserve">sample </w:t>
      </w:r>
      <w:r w:rsidR="009A5D9F">
        <w:rPr>
          <w:color w:val="000000"/>
        </w:rPr>
        <w:t xml:space="preserve">comprise of </w:t>
      </w:r>
      <w:r w:rsidRPr="007D7A76">
        <w:rPr>
          <w:color w:val="000000"/>
        </w:rPr>
        <w:t>at least 75 percent of respondents from “</w:t>
      </w:r>
      <w:r w:rsidR="009A5D9F">
        <w:rPr>
          <w:color w:val="000000"/>
        </w:rPr>
        <w:t>non-urban</w:t>
      </w:r>
      <w:r w:rsidRPr="007D7A76">
        <w:rPr>
          <w:color w:val="000000"/>
        </w:rPr>
        <w:t xml:space="preserve">” locations. </w:t>
      </w:r>
    </w:p>
    <w:p w14:paraId="1401711B" w14:textId="00FB66FE" w:rsidR="006904C3" w:rsidRPr="0091086A" w:rsidRDefault="00DC7E6F" w:rsidP="006904C3">
      <w:pPr>
        <w:rPr>
          <w:lang w:val="en-GB" w:eastAsia="en-GB"/>
        </w:rPr>
      </w:pPr>
      <w:r w:rsidRPr="0091086A">
        <w:rPr>
          <w:lang w:val="en-GB" w:eastAsia="en-GB"/>
        </w:rPr>
        <w:fldChar w:fldCharType="begin"/>
      </w:r>
      <w:r w:rsidRPr="0091086A">
        <w:rPr>
          <w:lang w:val="en-GB" w:eastAsia="en-GB"/>
        </w:rPr>
        <w:instrText xml:space="preserve"> REF _Ref495679184 \h </w:instrText>
      </w:r>
      <w:r w:rsidRPr="0091086A">
        <w:rPr>
          <w:lang w:val="en-GB" w:eastAsia="en-GB"/>
        </w:rPr>
      </w:r>
      <w:r w:rsidRPr="0091086A">
        <w:rPr>
          <w:lang w:val="en-GB" w:eastAsia="en-GB"/>
        </w:rPr>
        <w:fldChar w:fldCharType="separate"/>
      </w:r>
      <w:r w:rsidR="00AF0CB3" w:rsidRPr="0091086A">
        <w:t xml:space="preserve">Table </w:t>
      </w:r>
      <w:r w:rsidR="00AF0CB3">
        <w:rPr>
          <w:noProof/>
        </w:rPr>
        <w:t>2</w:t>
      </w:r>
      <w:r w:rsidRPr="0091086A">
        <w:rPr>
          <w:lang w:val="en-GB" w:eastAsia="en-GB"/>
        </w:rPr>
        <w:fldChar w:fldCharType="end"/>
      </w:r>
      <w:r w:rsidRPr="0091086A">
        <w:rPr>
          <w:lang w:val="en-GB" w:eastAsia="en-GB"/>
        </w:rPr>
        <w:t xml:space="preserve"> summarizes the geographic focuses described above, the adult population (age 20 and older) for each selected area, the sample that will be selected, the anticipated response rate, and the targeted sample size. </w:t>
      </w:r>
    </w:p>
    <w:p w14:paraId="018E98C4" w14:textId="77777777" w:rsidR="00DC7E6F" w:rsidRPr="0091086A" w:rsidRDefault="00DC7E6F" w:rsidP="006904C3">
      <w:pPr>
        <w:rPr>
          <w:lang w:val="en-GB" w:eastAsia="en-GB"/>
        </w:rPr>
      </w:pPr>
    </w:p>
    <w:p w14:paraId="56873699" w14:textId="48218AC1" w:rsidR="00770704" w:rsidRPr="0091086A" w:rsidRDefault="006904C3" w:rsidP="006904C3">
      <w:pPr>
        <w:pStyle w:val="Caption"/>
        <w:rPr>
          <w:color w:val="auto"/>
        </w:rPr>
      </w:pPr>
      <w:bookmarkStart w:id="4" w:name="_Ref495679184"/>
      <w:r w:rsidRPr="0091086A">
        <w:rPr>
          <w:color w:val="auto"/>
        </w:rPr>
        <w:t xml:space="preserve">Table </w:t>
      </w:r>
      <w:r w:rsidRPr="0091086A">
        <w:rPr>
          <w:color w:val="auto"/>
        </w:rPr>
        <w:fldChar w:fldCharType="begin"/>
      </w:r>
      <w:r w:rsidRPr="0091086A">
        <w:rPr>
          <w:color w:val="auto"/>
        </w:rPr>
        <w:instrText xml:space="preserve"> SEQ Table \* ARABIC </w:instrText>
      </w:r>
      <w:r w:rsidRPr="0091086A">
        <w:rPr>
          <w:color w:val="auto"/>
        </w:rPr>
        <w:fldChar w:fldCharType="separate"/>
      </w:r>
      <w:r w:rsidR="00AF0CB3">
        <w:rPr>
          <w:noProof/>
          <w:color w:val="auto"/>
        </w:rPr>
        <w:t>2</w:t>
      </w:r>
      <w:r w:rsidRPr="0091086A">
        <w:rPr>
          <w:color w:val="auto"/>
        </w:rPr>
        <w:fldChar w:fldCharType="end"/>
      </w:r>
      <w:bookmarkEnd w:id="4"/>
      <w:r w:rsidRPr="0091086A">
        <w:rPr>
          <w:color w:val="auto"/>
        </w:rPr>
        <w:t xml:space="preserve">: Geographic Focus, Populations, and Sample Information </w:t>
      </w:r>
    </w:p>
    <w:tbl>
      <w:tblPr>
        <w:tblStyle w:val="TableGrid"/>
        <w:tblW w:w="0" w:type="auto"/>
        <w:tblLook w:val="04A0" w:firstRow="1" w:lastRow="0" w:firstColumn="1" w:lastColumn="0" w:noHBand="0" w:noVBand="1"/>
      </w:tblPr>
      <w:tblGrid>
        <w:gridCol w:w="2245"/>
        <w:gridCol w:w="1620"/>
        <w:gridCol w:w="1710"/>
        <w:gridCol w:w="1170"/>
        <w:gridCol w:w="1260"/>
        <w:gridCol w:w="1345"/>
      </w:tblGrid>
      <w:tr w:rsidR="0091086A" w:rsidRPr="0091086A" w14:paraId="18C9F520" w14:textId="77777777" w:rsidTr="007F2AE0">
        <w:tc>
          <w:tcPr>
            <w:tcW w:w="2245" w:type="dxa"/>
            <w:vAlign w:val="center"/>
          </w:tcPr>
          <w:p w14:paraId="1C46698C" w14:textId="2B2C33DA" w:rsidR="00E2717E" w:rsidRPr="0091086A" w:rsidRDefault="009A5D9F" w:rsidP="00662BC4">
            <w:pPr>
              <w:rPr>
                <w:b/>
                <w:sz w:val="20"/>
                <w:lang w:val="en-GB" w:eastAsia="en-GB"/>
              </w:rPr>
            </w:pPr>
            <w:bookmarkStart w:id="5" w:name="_Hlk495669506"/>
            <w:r>
              <w:rPr>
                <w:b/>
                <w:sz w:val="20"/>
                <w:lang w:val="en-GB" w:eastAsia="en-GB"/>
              </w:rPr>
              <w:t>Set of States</w:t>
            </w:r>
          </w:p>
        </w:tc>
        <w:tc>
          <w:tcPr>
            <w:tcW w:w="1620" w:type="dxa"/>
            <w:vAlign w:val="center"/>
          </w:tcPr>
          <w:p w14:paraId="544BD642" w14:textId="5144417F" w:rsidR="00E2717E" w:rsidRPr="0091086A" w:rsidRDefault="009A5D9F" w:rsidP="00997B94">
            <w:pPr>
              <w:jc w:val="center"/>
              <w:rPr>
                <w:b/>
                <w:sz w:val="20"/>
                <w:lang w:val="en-GB" w:eastAsia="en-GB"/>
              </w:rPr>
            </w:pPr>
            <w:r w:rsidRPr="0091086A">
              <w:rPr>
                <w:b/>
                <w:sz w:val="20"/>
                <w:lang w:val="en-GB" w:eastAsia="en-GB"/>
              </w:rPr>
              <w:t xml:space="preserve">Population Over the Age of </w:t>
            </w:r>
            <w:r w:rsidR="00997B94">
              <w:rPr>
                <w:b/>
                <w:sz w:val="20"/>
                <w:lang w:val="en-GB" w:eastAsia="en-GB"/>
              </w:rPr>
              <w:t>18</w:t>
            </w:r>
            <w:r>
              <w:rPr>
                <w:b/>
                <w:sz w:val="20"/>
                <w:lang w:val="en-GB" w:eastAsia="en-GB"/>
              </w:rPr>
              <w:t xml:space="preserve"> [a</w:t>
            </w:r>
            <w:r w:rsidRPr="0091086A">
              <w:rPr>
                <w:b/>
                <w:sz w:val="20"/>
                <w:lang w:val="en-GB" w:eastAsia="en-GB"/>
              </w:rPr>
              <w:t>]</w:t>
            </w:r>
          </w:p>
        </w:tc>
        <w:tc>
          <w:tcPr>
            <w:tcW w:w="1710" w:type="dxa"/>
            <w:vAlign w:val="center"/>
          </w:tcPr>
          <w:p w14:paraId="7C6776DE" w14:textId="403A8571" w:rsidR="00E2717E" w:rsidRPr="0091086A" w:rsidRDefault="009A5D9F" w:rsidP="00997B94">
            <w:pPr>
              <w:jc w:val="center"/>
              <w:rPr>
                <w:b/>
                <w:sz w:val="20"/>
                <w:lang w:val="en-GB" w:eastAsia="en-GB"/>
              </w:rPr>
            </w:pPr>
            <w:r>
              <w:rPr>
                <w:b/>
                <w:sz w:val="20"/>
                <w:lang w:val="en-GB" w:eastAsia="en-GB"/>
              </w:rPr>
              <w:t xml:space="preserve">Non-Urban Population Over </w:t>
            </w:r>
            <w:r w:rsidR="00997B94">
              <w:rPr>
                <w:b/>
                <w:sz w:val="20"/>
                <w:lang w:val="en-GB" w:eastAsia="en-GB"/>
              </w:rPr>
              <w:t>18</w:t>
            </w:r>
            <w:r>
              <w:rPr>
                <w:b/>
                <w:sz w:val="20"/>
                <w:lang w:val="en-GB" w:eastAsia="en-GB"/>
              </w:rPr>
              <w:t xml:space="preserve"> [b]</w:t>
            </w:r>
          </w:p>
        </w:tc>
        <w:tc>
          <w:tcPr>
            <w:tcW w:w="1170" w:type="dxa"/>
            <w:vAlign w:val="center"/>
          </w:tcPr>
          <w:p w14:paraId="28481B23" w14:textId="4DEAD6DF" w:rsidR="00E2717E" w:rsidRPr="0091086A" w:rsidRDefault="00E2717E" w:rsidP="00662BC4">
            <w:pPr>
              <w:jc w:val="center"/>
              <w:rPr>
                <w:b/>
                <w:sz w:val="20"/>
                <w:lang w:val="en-GB" w:eastAsia="en-GB"/>
              </w:rPr>
            </w:pPr>
            <w:r w:rsidRPr="0091086A">
              <w:rPr>
                <w:b/>
                <w:sz w:val="20"/>
                <w:lang w:val="en-GB" w:eastAsia="en-GB"/>
              </w:rPr>
              <w:t>Sample</w:t>
            </w:r>
            <w:r w:rsidR="00A54E6D">
              <w:rPr>
                <w:b/>
                <w:sz w:val="20"/>
                <w:lang w:val="en-GB" w:eastAsia="en-GB"/>
              </w:rPr>
              <w:t xml:space="preserve"> [</w:t>
            </w:r>
            <w:r w:rsidR="00997B94">
              <w:rPr>
                <w:b/>
                <w:sz w:val="20"/>
                <w:lang w:val="en-GB" w:eastAsia="en-GB"/>
              </w:rPr>
              <w:t>c</w:t>
            </w:r>
            <w:r w:rsidR="00983805" w:rsidRPr="0091086A">
              <w:rPr>
                <w:b/>
                <w:sz w:val="20"/>
                <w:lang w:val="en-GB" w:eastAsia="en-GB"/>
              </w:rPr>
              <w:t>]</w:t>
            </w:r>
          </w:p>
        </w:tc>
        <w:tc>
          <w:tcPr>
            <w:tcW w:w="1260" w:type="dxa"/>
            <w:vAlign w:val="center"/>
          </w:tcPr>
          <w:p w14:paraId="7145C42F" w14:textId="77777777" w:rsidR="00E2717E" w:rsidRPr="0091086A" w:rsidRDefault="00E2717E" w:rsidP="00662BC4">
            <w:pPr>
              <w:jc w:val="center"/>
              <w:rPr>
                <w:b/>
                <w:sz w:val="20"/>
                <w:lang w:val="en-GB" w:eastAsia="en-GB"/>
              </w:rPr>
            </w:pPr>
            <w:r w:rsidRPr="0091086A">
              <w:rPr>
                <w:b/>
                <w:sz w:val="20"/>
                <w:lang w:val="en-GB" w:eastAsia="en-GB"/>
              </w:rPr>
              <w:t>Response Rate</w:t>
            </w:r>
          </w:p>
        </w:tc>
        <w:tc>
          <w:tcPr>
            <w:tcW w:w="1345" w:type="dxa"/>
            <w:vAlign w:val="center"/>
          </w:tcPr>
          <w:p w14:paraId="1C84414D" w14:textId="682ED81E" w:rsidR="00E2717E" w:rsidRPr="0091086A" w:rsidRDefault="00983805" w:rsidP="00662BC4">
            <w:pPr>
              <w:jc w:val="center"/>
              <w:rPr>
                <w:b/>
                <w:sz w:val="20"/>
                <w:lang w:val="en-GB" w:eastAsia="en-GB"/>
              </w:rPr>
            </w:pPr>
            <w:r w:rsidRPr="0091086A">
              <w:rPr>
                <w:b/>
                <w:sz w:val="20"/>
                <w:lang w:val="en-GB" w:eastAsia="en-GB"/>
              </w:rPr>
              <w:t xml:space="preserve">Targeted </w:t>
            </w:r>
            <w:r w:rsidR="00E2717E" w:rsidRPr="0091086A">
              <w:rPr>
                <w:b/>
                <w:sz w:val="20"/>
                <w:lang w:val="en-GB" w:eastAsia="en-GB"/>
              </w:rPr>
              <w:t>Sample</w:t>
            </w:r>
            <w:r w:rsidR="00A54E6D">
              <w:rPr>
                <w:b/>
                <w:sz w:val="20"/>
                <w:lang w:val="en-GB" w:eastAsia="en-GB"/>
              </w:rPr>
              <w:t xml:space="preserve"> [</w:t>
            </w:r>
            <w:r w:rsidR="00997B94">
              <w:rPr>
                <w:b/>
                <w:sz w:val="20"/>
                <w:lang w:val="en-GB" w:eastAsia="en-GB"/>
              </w:rPr>
              <w:t>d</w:t>
            </w:r>
            <w:r w:rsidR="00F9713E">
              <w:rPr>
                <w:b/>
                <w:sz w:val="20"/>
                <w:lang w:val="en-GB" w:eastAsia="en-GB"/>
              </w:rPr>
              <w:t>]</w:t>
            </w:r>
          </w:p>
        </w:tc>
      </w:tr>
      <w:tr w:rsidR="0091086A" w:rsidRPr="005209C7" w14:paraId="33350E77" w14:textId="77777777" w:rsidTr="007F2AE0">
        <w:tc>
          <w:tcPr>
            <w:tcW w:w="2245" w:type="dxa"/>
            <w:vAlign w:val="center"/>
          </w:tcPr>
          <w:p w14:paraId="16CD9169" w14:textId="1E61B931" w:rsidR="00E964F5" w:rsidRPr="005209C7" w:rsidRDefault="009A5D9F" w:rsidP="00662BC4">
            <w:pPr>
              <w:rPr>
                <w:sz w:val="20"/>
                <w:szCs w:val="20"/>
                <w:lang w:val="en-GB" w:eastAsia="en-GB"/>
              </w:rPr>
            </w:pPr>
            <w:r w:rsidRPr="005209C7">
              <w:rPr>
                <w:sz w:val="20"/>
                <w:szCs w:val="20"/>
                <w:lang w:val="en-GB" w:eastAsia="en-GB"/>
              </w:rPr>
              <w:t>Focus group states (</w:t>
            </w:r>
            <w:r w:rsidRPr="005209C7">
              <w:rPr>
                <w:color w:val="000000"/>
                <w:sz w:val="20"/>
                <w:szCs w:val="20"/>
              </w:rPr>
              <w:t>CA, CO, MT, NM, WY)</w:t>
            </w:r>
          </w:p>
        </w:tc>
        <w:tc>
          <w:tcPr>
            <w:tcW w:w="1620" w:type="dxa"/>
            <w:vAlign w:val="center"/>
          </w:tcPr>
          <w:p w14:paraId="6750393E" w14:textId="167239E2" w:rsidR="00E964F5" w:rsidRPr="005209C7" w:rsidRDefault="00997B94" w:rsidP="007F2AE0">
            <w:pPr>
              <w:jc w:val="center"/>
              <w:rPr>
                <w:sz w:val="20"/>
                <w:lang w:val="en-GB" w:eastAsia="en-GB"/>
              </w:rPr>
            </w:pPr>
            <w:r w:rsidRPr="005209C7">
              <w:rPr>
                <w:sz w:val="20"/>
                <w:lang w:val="en-GB" w:eastAsia="en-GB"/>
              </w:rPr>
              <w:t>35,339</w:t>
            </w:r>
            <w:r w:rsidR="007F2AE0" w:rsidRPr="005209C7">
              <w:rPr>
                <w:sz w:val="20"/>
                <w:lang w:val="en-GB" w:eastAsia="en-GB"/>
              </w:rPr>
              <w:t>,000</w:t>
            </w:r>
          </w:p>
        </w:tc>
        <w:tc>
          <w:tcPr>
            <w:tcW w:w="1710" w:type="dxa"/>
            <w:vAlign w:val="center"/>
          </w:tcPr>
          <w:p w14:paraId="0BB0E009" w14:textId="2D6B7048" w:rsidR="00E964F5" w:rsidRPr="005209C7" w:rsidRDefault="00997B94" w:rsidP="00662BC4">
            <w:pPr>
              <w:jc w:val="center"/>
              <w:rPr>
                <w:sz w:val="20"/>
                <w:lang w:val="en-GB" w:eastAsia="en-GB"/>
              </w:rPr>
            </w:pPr>
            <w:r w:rsidRPr="005209C7">
              <w:rPr>
                <w:sz w:val="20"/>
                <w:lang w:val="en-GB" w:eastAsia="en-GB"/>
              </w:rPr>
              <w:t>5,502</w:t>
            </w:r>
            <w:r w:rsidR="007F2AE0" w:rsidRPr="005209C7">
              <w:rPr>
                <w:sz w:val="20"/>
                <w:lang w:val="en-GB" w:eastAsia="en-GB"/>
              </w:rPr>
              <w:t>,000</w:t>
            </w:r>
          </w:p>
        </w:tc>
        <w:tc>
          <w:tcPr>
            <w:tcW w:w="1170" w:type="dxa"/>
            <w:vAlign w:val="center"/>
          </w:tcPr>
          <w:p w14:paraId="1B8F6AF3" w14:textId="4F7A5B33" w:rsidR="00E964F5" w:rsidRPr="005209C7" w:rsidRDefault="009A5D9F" w:rsidP="00662BC4">
            <w:pPr>
              <w:jc w:val="center"/>
              <w:rPr>
                <w:sz w:val="20"/>
                <w:lang w:val="en-GB" w:eastAsia="en-GB"/>
              </w:rPr>
            </w:pPr>
            <w:r w:rsidRPr="005209C7">
              <w:rPr>
                <w:sz w:val="20"/>
                <w:lang w:val="en-GB" w:eastAsia="en-GB"/>
              </w:rPr>
              <w:t>860</w:t>
            </w:r>
          </w:p>
        </w:tc>
        <w:tc>
          <w:tcPr>
            <w:tcW w:w="1260" w:type="dxa"/>
            <w:vAlign w:val="center"/>
          </w:tcPr>
          <w:p w14:paraId="6806B029" w14:textId="77777777" w:rsidR="00E964F5" w:rsidRPr="005209C7" w:rsidRDefault="00E964F5" w:rsidP="00662BC4">
            <w:pPr>
              <w:jc w:val="center"/>
              <w:rPr>
                <w:sz w:val="20"/>
                <w:lang w:val="en-GB" w:eastAsia="en-GB"/>
              </w:rPr>
            </w:pPr>
            <w:r w:rsidRPr="005209C7">
              <w:rPr>
                <w:sz w:val="20"/>
                <w:lang w:val="en-GB" w:eastAsia="en-GB"/>
              </w:rPr>
              <w:t>70%</w:t>
            </w:r>
          </w:p>
        </w:tc>
        <w:tc>
          <w:tcPr>
            <w:tcW w:w="1345" w:type="dxa"/>
            <w:vAlign w:val="center"/>
          </w:tcPr>
          <w:p w14:paraId="63A10476" w14:textId="170D1E19" w:rsidR="00E964F5" w:rsidRPr="005209C7" w:rsidRDefault="009A5D9F" w:rsidP="00662BC4">
            <w:pPr>
              <w:jc w:val="center"/>
              <w:rPr>
                <w:sz w:val="20"/>
                <w:lang w:val="en-GB" w:eastAsia="en-GB"/>
              </w:rPr>
            </w:pPr>
            <w:r w:rsidRPr="005209C7">
              <w:rPr>
                <w:sz w:val="20"/>
                <w:lang w:val="en-GB" w:eastAsia="en-GB"/>
              </w:rPr>
              <w:t>600</w:t>
            </w:r>
          </w:p>
        </w:tc>
      </w:tr>
      <w:tr w:rsidR="0091086A" w:rsidRPr="005209C7" w14:paraId="7149AFE2" w14:textId="77777777" w:rsidTr="007F2AE0">
        <w:tc>
          <w:tcPr>
            <w:tcW w:w="2245" w:type="dxa"/>
            <w:vAlign w:val="center"/>
          </w:tcPr>
          <w:p w14:paraId="371117AA" w14:textId="76EB7EEF" w:rsidR="00E964F5" w:rsidRPr="005209C7" w:rsidRDefault="009A5D9F" w:rsidP="00662BC4">
            <w:pPr>
              <w:rPr>
                <w:sz w:val="20"/>
                <w:lang w:val="en-GB" w:eastAsia="en-GB"/>
              </w:rPr>
            </w:pPr>
            <w:r w:rsidRPr="005209C7">
              <w:rPr>
                <w:sz w:val="20"/>
                <w:lang w:val="en-GB" w:eastAsia="en-GB"/>
              </w:rPr>
              <w:t>States with less experience with wildfires (AL, GA, NC, PA, VA)</w:t>
            </w:r>
          </w:p>
        </w:tc>
        <w:tc>
          <w:tcPr>
            <w:tcW w:w="1620" w:type="dxa"/>
            <w:vAlign w:val="center"/>
          </w:tcPr>
          <w:p w14:paraId="25C595F3" w14:textId="6E3B1DB7" w:rsidR="00E964F5" w:rsidRPr="005209C7" w:rsidRDefault="006406AB" w:rsidP="007F2AE0">
            <w:pPr>
              <w:jc w:val="center"/>
              <w:rPr>
                <w:sz w:val="20"/>
                <w:lang w:val="en-GB" w:eastAsia="en-GB"/>
              </w:rPr>
            </w:pPr>
            <w:r w:rsidRPr="005209C7">
              <w:rPr>
                <w:sz w:val="20"/>
                <w:lang w:val="en-GB" w:eastAsia="en-GB"/>
              </w:rPr>
              <w:t>16,406,000</w:t>
            </w:r>
          </w:p>
        </w:tc>
        <w:tc>
          <w:tcPr>
            <w:tcW w:w="1710" w:type="dxa"/>
            <w:vAlign w:val="center"/>
          </w:tcPr>
          <w:p w14:paraId="28164B45" w14:textId="2DE283C1" w:rsidR="00A54E6D" w:rsidRPr="005209C7" w:rsidRDefault="00997B94" w:rsidP="00662BC4">
            <w:pPr>
              <w:jc w:val="center"/>
              <w:rPr>
                <w:sz w:val="20"/>
                <w:lang w:val="en-GB" w:eastAsia="en-GB"/>
              </w:rPr>
            </w:pPr>
            <w:r w:rsidRPr="005209C7">
              <w:rPr>
                <w:sz w:val="20"/>
                <w:lang w:val="en-GB" w:eastAsia="en-GB"/>
              </w:rPr>
              <w:t>3,879,000</w:t>
            </w:r>
          </w:p>
        </w:tc>
        <w:tc>
          <w:tcPr>
            <w:tcW w:w="1170" w:type="dxa"/>
            <w:vAlign w:val="center"/>
          </w:tcPr>
          <w:p w14:paraId="7A524E2F" w14:textId="1023738B" w:rsidR="00E964F5" w:rsidRPr="005209C7" w:rsidRDefault="009A5D9F" w:rsidP="00662BC4">
            <w:pPr>
              <w:jc w:val="center"/>
              <w:rPr>
                <w:sz w:val="20"/>
                <w:lang w:val="en-GB" w:eastAsia="en-GB"/>
              </w:rPr>
            </w:pPr>
            <w:r w:rsidRPr="005209C7">
              <w:rPr>
                <w:sz w:val="20"/>
                <w:lang w:val="en-GB" w:eastAsia="en-GB"/>
              </w:rPr>
              <w:t>430</w:t>
            </w:r>
          </w:p>
        </w:tc>
        <w:tc>
          <w:tcPr>
            <w:tcW w:w="1260" w:type="dxa"/>
            <w:vAlign w:val="center"/>
          </w:tcPr>
          <w:p w14:paraId="428E6326" w14:textId="77777777" w:rsidR="00E964F5" w:rsidRPr="005209C7" w:rsidRDefault="00E964F5" w:rsidP="00662BC4">
            <w:pPr>
              <w:jc w:val="center"/>
              <w:rPr>
                <w:sz w:val="20"/>
                <w:lang w:val="en-GB" w:eastAsia="en-GB"/>
              </w:rPr>
            </w:pPr>
            <w:r w:rsidRPr="005209C7">
              <w:rPr>
                <w:sz w:val="20"/>
                <w:lang w:val="en-GB" w:eastAsia="en-GB"/>
              </w:rPr>
              <w:t>70%</w:t>
            </w:r>
          </w:p>
        </w:tc>
        <w:tc>
          <w:tcPr>
            <w:tcW w:w="1345" w:type="dxa"/>
            <w:vAlign w:val="center"/>
          </w:tcPr>
          <w:p w14:paraId="6B7E8F3B" w14:textId="4433692C" w:rsidR="00E964F5" w:rsidRPr="005209C7" w:rsidRDefault="009A5D9F" w:rsidP="00662BC4">
            <w:pPr>
              <w:jc w:val="center"/>
              <w:rPr>
                <w:sz w:val="20"/>
                <w:lang w:val="en-GB" w:eastAsia="en-GB"/>
              </w:rPr>
            </w:pPr>
            <w:r w:rsidRPr="005209C7">
              <w:rPr>
                <w:sz w:val="20"/>
                <w:lang w:val="en-GB" w:eastAsia="en-GB"/>
              </w:rPr>
              <w:t>300</w:t>
            </w:r>
          </w:p>
        </w:tc>
      </w:tr>
    </w:tbl>
    <w:p w14:paraId="61D1ADA4" w14:textId="472096BC" w:rsidR="00A54E6D" w:rsidRPr="005209C7" w:rsidRDefault="00A54E6D" w:rsidP="00A54E6D">
      <w:pPr>
        <w:rPr>
          <w:sz w:val="18"/>
          <w:lang w:val="en-GB" w:eastAsia="en-GB"/>
        </w:rPr>
      </w:pPr>
      <w:r w:rsidRPr="005209C7">
        <w:rPr>
          <w:sz w:val="18"/>
          <w:lang w:val="en-GB" w:eastAsia="en-GB"/>
        </w:rPr>
        <w:t xml:space="preserve">[a] U.S. Census Bureau estimates </w:t>
      </w:r>
      <w:r w:rsidR="00997B94" w:rsidRPr="005209C7">
        <w:rPr>
          <w:sz w:val="18"/>
          <w:lang w:val="en-GB" w:eastAsia="en-GB"/>
        </w:rPr>
        <w:t xml:space="preserve">taken from 2010 Census. Values were rounded to the nearest thousand. </w:t>
      </w:r>
    </w:p>
    <w:p w14:paraId="48439033" w14:textId="77D60101" w:rsidR="00997B94" w:rsidRPr="005209C7" w:rsidRDefault="00997B94" w:rsidP="00A54E6D">
      <w:pPr>
        <w:rPr>
          <w:sz w:val="18"/>
          <w:lang w:val="en-GB" w:eastAsia="en-GB"/>
        </w:rPr>
      </w:pPr>
      <w:r w:rsidRPr="005209C7">
        <w:rPr>
          <w:sz w:val="18"/>
          <w:lang w:val="en-GB" w:eastAsia="en-GB"/>
        </w:rPr>
        <w:t xml:space="preserve">[b] Reflects adult population that lives in “rural” areas or in “urban clusters” (not in “urbanized areas”) as defined by the Census Bureau. </w:t>
      </w:r>
      <w:r w:rsidR="008B655A">
        <w:rPr>
          <w:sz w:val="18"/>
          <w:lang w:val="en-GB" w:eastAsia="en-GB"/>
        </w:rPr>
        <w:t xml:space="preserve">The </w:t>
      </w:r>
      <w:r w:rsidRPr="005209C7">
        <w:rPr>
          <w:sz w:val="18"/>
          <w:lang w:val="en-GB" w:eastAsia="en-GB"/>
        </w:rPr>
        <w:t xml:space="preserve">NWS expects </w:t>
      </w:r>
      <w:r w:rsidR="00130348">
        <w:rPr>
          <w:sz w:val="18"/>
          <w:lang w:val="en-GB" w:eastAsia="en-GB"/>
        </w:rPr>
        <w:t xml:space="preserve">people who live in </w:t>
      </w:r>
      <w:r w:rsidRPr="005209C7">
        <w:rPr>
          <w:sz w:val="18"/>
          <w:lang w:val="en-GB" w:eastAsia="en-GB"/>
        </w:rPr>
        <w:t>“rural” areas or in “urban clusters” best reflect the areas that are at most risk from wildfires.</w:t>
      </w:r>
    </w:p>
    <w:p w14:paraId="43FF5E18" w14:textId="13769436" w:rsidR="00A54E6D" w:rsidRPr="005209C7" w:rsidRDefault="00A54E6D" w:rsidP="00A54E6D">
      <w:pPr>
        <w:rPr>
          <w:sz w:val="18"/>
          <w:lang w:val="en-GB" w:eastAsia="en-GB"/>
        </w:rPr>
      </w:pPr>
      <w:r w:rsidRPr="005209C7">
        <w:rPr>
          <w:sz w:val="18"/>
          <w:lang w:val="en-GB" w:eastAsia="en-GB"/>
        </w:rPr>
        <w:t>[</w:t>
      </w:r>
      <w:r w:rsidR="00997B94" w:rsidRPr="005209C7">
        <w:rPr>
          <w:sz w:val="18"/>
          <w:lang w:val="en-GB" w:eastAsia="en-GB"/>
        </w:rPr>
        <w:t>c</w:t>
      </w:r>
      <w:r w:rsidRPr="005209C7">
        <w:rPr>
          <w:sz w:val="18"/>
          <w:lang w:val="en-GB" w:eastAsia="en-GB"/>
        </w:rPr>
        <w:t>] Calculated by dividing the target sample size by the response rate and rounding to the nearest ten.</w:t>
      </w:r>
    </w:p>
    <w:p w14:paraId="36C99FAD" w14:textId="21DEDD1E" w:rsidR="00A54E6D" w:rsidRPr="0091086A" w:rsidRDefault="00A54E6D" w:rsidP="00A54E6D">
      <w:pPr>
        <w:rPr>
          <w:sz w:val="18"/>
          <w:lang w:val="en-GB" w:eastAsia="en-GB"/>
        </w:rPr>
      </w:pPr>
      <w:r w:rsidRPr="005209C7">
        <w:rPr>
          <w:sz w:val="18"/>
          <w:lang w:val="en-GB" w:eastAsia="en-GB"/>
        </w:rPr>
        <w:t>[</w:t>
      </w:r>
      <w:r w:rsidR="00997B94" w:rsidRPr="005209C7">
        <w:rPr>
          <w:sz w:val="18"/>
          <w:lang w:val="en-GB" w:eastAsia="en-GB"/>
        </w:rPr>
        <w:t>d</w:t>
      </w:r>
      <w:r w:rsidRPr="005209C7">
        <w:rPr>
          <w:sz w:val="18"/>
          <w:lang w:val="en-GB" w:eastAsia="en-GB"/>
        </w:rPr>
        <w:t>] Sample size calculations are provided below in Section B, Question 2.</w:t>
      </w:r>
    </w:p>
    <w:p w14:paraId="42758B1F" w14:textId="77777777" w:rsidR="00E964F5" w:rsidRPr="0091086A" w:rsidRDefault="00E964F5" w:rsidP="00BA7109">
      <w:pPr>
        <w:rPr>
          <w:sz w:val="18"/>
          <w:lang w:val="en-GB" w:eastAsia="en-GB"/>
        </w:rPr>
      </w:pPr>
    </w:p>
    <w:bookmarkEnd w:id="5"/>
    <w:p w14:paraId="3266EC1E" w14:textId="68C51C5B" w:rsidR="00E964F5" w:rsidRDefault="00E964F5" w:rsidP="00BA7109">
      <w:pPr>
        <w:rPr>
          <w:lang w:val="en-GB" w:eastAsia="en-GB"/>
        </w:rPr>
      </w:pPr>
    </w:p>
    <w:p w14:paraId="6CDDB9C1" w14:textId="77777777" w:rsidR="00130348" w:rsidRPr="0091086A" w:rsidRDefault="00130348" w:rsidP="00BA7109">
      <w:pPr>
        <w:rPr>
          <w:lang w:val="en-GB" w:eastAsia="en-GB"/>
        </w:rPr>
      </w:pPr>
    </w:p>
    <w:p w14:paraId="317D1C28" w14:textId="50F8CF0D" w:rsidR="003A64D9" w:rsidRPr="0091086A" w:rsidRDefault="003A64D9" w:rsidP="00BA7109">
      <w:pPr>
        <w:rPr>
          <w:u w:val="single"/>
          <w:lang w:val="en-GB" w:eastAsia="en-GB"/>
        </w:rPr>
      </w:pPr>
      <w:r w:rsidRPr="0091086A">
        <w:rPr>
          <w:u w:val="single"/>
          <w:lang w:val="en-GB" w:eastAsia="en-GB"/>
        </w:rPr>
        <w:t xml:space="preserve">Selection </w:t>
      </w:r>
      <w:r w:rsidR="008B655A">
        <w:rPr>
          <w:u w:val="single"/>
          <w:lang w:val="en-GB" w:eastAsia="en-GB"/>
        </w:rPr>
        <w:t>M</w:t>
      </w:r>
      <w:r w:rsidRPr="0091086A">
        <w:rPr>
          <w:u w:val="single"/>
          <w:lang w:val="en-GB" w:eastAsia="en-GB"/>
        </w:rPr>
        <w:t>ethod</w:t>
      </w:r>
    </w:p>
    <w:p w14:paraId="27ADFB88" w14:textId="77777777" w:rsidR="003A64D9" w:rsidRPr="0091086A" w:rsidRDefault="003A64D9" w:rsidP="00BA7109">
      <w:pPr>
        <w:rPr>
          <w:lang w:val="en-GB" w:eastAsia="en-GB"/>
        </w:rPr>
      </w:pPr>
    </w:p>
    <w:p w14:paraId="58975171" w14:textId="149A573D" w:rsidR="00DC7E6F" w:rsidRPr="0091086A" w:rsidRDefault="008E552F" w:rsidP="00BA7109">
      <w:pPr>
        <w:rPr>
          <w:lang w:val="en-GB" w:eastAsia="en-GB"/>
        </w:rPr>
      </w:pPr>
      <w:r>
        <w:rPr>
          <w:lang w:val="en-GB" w:eastAsia="en-GB"/>
        </w:rPr>
        <w:t xml:space="preserve">The </w:t>
      </w:r>
      <w:r w:rsidR="00DC7E6F" w:rsidRPr="0091086A">
        <w:rPr>
          <w:lang w:val="en-GB" w:eastAsia="en-GB"/>
        </w:rPr>
        <w:t xml:space="preserve">NWS will use random selection for the sampling. ERG, </w:t>
      </w:r>
      <w:r w:rsidR="00FB194B">
        <w:rPr>
          <w:lang w:val="en-GB" w:eastAsia="en-GB"/>
        </w:rPr>
        <w:t xml:space="preserve">the </w:t>
      </w:r>
      <w:r w:rsidR="00DC7E6F" w:rsidRPr="0091086A">
        <w:rPr>
          <w:lang w:val="en-GB" w:eastAsia="en-GB"/>
        </w:rPr>
        <w:t>NWS’</w:t>
      </w:r>
      <w:r w:rsidR="00FB194B">
        <w:rPr>
          <w:lang w:val="en-GB" w:eastAsia="en-GB"/>
        </w:rPr>
        <w:t>s</w:t>
      </w:r>
      <w:r w:rsidR="00DC7E6F" w:rsidRPr="0091086A">
        <w:rPr>
          <w:lang w:val="en-GB" w:eastAsia="en-GB"/>
        </w:rPr>
        <w:t xml:space="preserve"> contractor, will instruct Qualtrics (the company that will maintain the sampling list) to randomly select </w:t>
      </w:r>
      <w:r w:rsidR="00534257" w:rsidRPr="0091086A">
        <w:rPr>
          <w:lang w:val="en-GB" w:eastAsia="en-GB"/>
        </w:rPr>
        <w:t xml:space="preserve">the numbers listed in </w:t>
      </w:r>
      <w:r w:rsidR="00534257" w:rsidRPr="0091086A">
        <w:rPr>
          <w:lang w:val="en-GB" w:eastAsia="en-GB"/>
        </w:rPr>
        <w:fldChar w:fldCharType="begin"/>
      </w:r>
      <w:r w:rsidR="00534257" w:rsidRPr="0091086A">
        <w:rPr>
          <w:lang w:val="en-GB" w:eastAsia="en-GB"/>
        </w:rPr>
        <w:instrText xml:space="preserve"> REF _Ref495679184 \h </w:instrText>
      </w:r>
      <w:r w:rsidR="00534257" w:rsidRPr="0091086A">
        <w:rPr>
          <w:lang w:val="en-GB" w:eastAsia="en-GB"/>
        </w:rPr>
      </w:r>
      <w:r w:rsidR="00534257" w:rsidRPr="0091086A">
        <w:rPr>
          <w:lang w:val="en-GB" w:eastAsia="en-GB"/>
        </w:rPr>
        <w:fldChar w:fldCharType="separate"/>
      </w:r>
      <w:r w:rsidR="00AF0CB3" w:rsidRPr="0091086A">
        <w:t xml:space="preserve">Table </w:t>
      </w:r>
      <w:r w:rsidR="00AF0CB3">
        <w:rPr>
          <w:noProof/>
        </w:rPr>
        <w:t>2</w:t>
      </w:r>
      <w:r w:rsidR="00534257" w:rsidRPr="0091086A">
        <w:rPr>
          <w:lang w:val="en-GB" w:eastAsia="en-GB"/>
        </w:rPr>
        <w:fldChar w:fldCharType="end"/>
      </w:r>
      <w:r w:rsidR="00534257" w:rsidRPr="0091086A">
        <w:rPr>
          <w:lang w:val="en-GB" w:eastAsia="en-GB"/>
        </w:rPr>
        <w:t xml:space="preserve"> above. ERG expects that 70 percent of those will respond to the survey. In the event</w:t>
      </w:r>
      <w:r w:rsidR="00317058">
        <w:rPr>
          <w:lang w:val="en-GB" w:eastAsia="en-GB"/>
        </w:rPr>
        <w:t xml:space="preserve"> that</w:t>
      </w:r>
      <w:r w:rsidR="00534257" w:rsidRPr="0091086A">
        <w:rPr>
          <w:lang w:val="en-GB" w:eastAsia="en-GB"/>
        </w:rPr>
        <w:t xml:space="preserve"> fewer respond or some initial selections are out of scope (e.g., not an adult), ERG will instruct Qualtrics to select replacements and to target the sample size listed in </w:t>
      </w:r>
      <w:r w:rsidR="00534257" w:rsidRPr="0091086A">
        <w:rPr>
          <w:lang w:val="en-GB" w:eastAsia="en-GB"/>
        </w:rPr>
        <w:fldChar w:fldCharType="begin"/>
      </w:r>
      <w:r w:rsidR="00534257" w:rsidRPr="0091086A">
        <w:rPr>
          <w:lang w:val="en-GB" w:eastAsia="en-GB"/>
        </w:rPr>
        <w:instrText xml:space="preserve"> REF _Ref495679184 \h </w:instrText>
      </w:r>
      <w:r w:rsidR="00534257" w:rsidRPr="0091086A">
        <w:rPr>
          <w:lang w:val="en-GB" w:eastAsia="en-GB"/>
        </w:rPr>
      </w:r>
      <w:r w:rsidR="00534257" w:rsidRPr="0091086A">
        <w:rPr>
          <w:lang w:val="en-GB" w:eastAsia="en-GB"/>
        </w:rPr>
        <w:fldChar w:fldCharType="separate"/>
      </w:r>
      <w:r w:rsidR="00AF0CB3" w:rsidRPr="0091086A">
        <w:t xml:space="preserve">Table </w:t>
      </w:r>
      <w:r w:rsidR="00AF0CB3">
        <w:rPr>
          <w:noProof/>
        </w:rPr>
        <w:t>2</w:t>
      </w:r>
      <w:r w:rsidR="00534257" w:rsidRPr="0091086A">
        <w:rPr>
          <w:lang w:val="en-GB" w:eastAsia="en-GB"/>
        </w:rPr>
        <w:fldChar w:fldCharType="end"/>
      </w:r>
      <w:r w:rsidR="00534257" w:rsidRPr="0091086A">
        <w:rPr>
          <w:lang w:val="en-GB" w:eastAsia="en-GB"/>
        </w:rPr>
        <w:t>.</w:t>
      </w:r>
    </w:p>
    <w:p w14:paraId="401C4F5E" w14:textId="77777777" w:rsidR="00DC7E6F" w:rsidRPr="0091086A" w:rsidRDefault="00DC7E6F" w:rsidP="00BA7109">
      <w:pPr>
        <w:rPr>
          <w:lang w:val="en-GB" w:eastAsia="en-GB"/>
        </w:rPr>
      </w:pPr>
    </w:p>
    <w:p w14:paraId="191D9188" w14:textId="77777777" w:rsidR="00C1145F" w:rsidRPr="0091086A" w:rsidRDefault="00C1145F" w:rsidP="00C1145F">
      <w:pPr>
        <w:ind w:left="360"/>
        <w:rPr>
          <w:b/>
          <w:bCs/>
          <w:lang w:val="en-GB" w:eastAsia="en-GB"/>
        </w:rPr>
      </w:pPr>
    </w:p>
    <w:p w14:paraId="1E64D3B8" w14:textId="77777777" w:rsidR="00BA7109" w:rsidRPr="005641F7" w:rsidRDefault="00BA7109" w:rsidP="00BA7109">
      <w:pPr>
        <w:numPr>
          <w:ilvl w:val="0"/>
          <w:numId w:val="9"/>
        </w:numPr>
        <w:autoSpaceDE w:val="0"/>
        <w:autoSpaceDN w:val="0"/>
        <w:adjustRightInd w:val="0"/>
        <w:ind w:left="360"/>
        <w:rPr>
          <w:b/>
          <w:bCs/>
          <w:lang w:val="en-GB" w:eastAsia="en-GB"/>
        </w:rPr>
      </w:pPr>
      <w:r w:rsidRPr="005641F7">
        <w:rPr>
          <w:b/>
          <w:bCs/>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1D1AEDFF" w14:textId="77777777" w:rsidR="00837B2B" w:rsidRPr="005641F7" w:rsidRDefault="00837B2B" w:rsidP="00837B2B">
      <w:pPr>
        <w:autoSpaceDE w:val="0"/>
        <w:autoSpaceDN w:val="0"/>
        <w:adjustRightInd w:val="0"/>
        <w:rPr>
          <w:b/>
          <w:bCs/>
          <w:sz w:val="20"/>
          <w:lang w:val="en-GB" w:eastAsia="en-GB"/>
        </w:rPr>
      </w:pPr>
    </w:p>
    <w:p w14:paraId="2D29134C" w14:textId="66A60388" w:rsidR="00837B2B" w:rsidRPr="0091086A" w:rsidRDefault="00784846" w:rsidP="00837B2B">
      <w:pPr>
        <w:rPr>
          <w:szCs w:val="24"/>
          <w:u w:val="single"/>
        </w:rPr>
      </w:pPr>
      <w:r w:rsidRPr="0091086A">
        <w:rPr>
          <w:szCs w:val="24"/>
          <w:u w:val="single"/>
        </w:rPr>
        <w:t xml:space="preserve">Stratification, </w:t>
      </w:r>
      <w:r w:rsidR="008B655A">
        <w:rPr>
          <w:szCs w:val="24"/>
          <w:u w:val="single"/>
        </w:rPr>
        <w:t>S</w:t>
      </w:r>
      <w:r w:rsidR="00FF29EC" w:rsidRPr="0091086A">
        <w:rPr>
          <w:szCs w:val="24"/>
          <w:u w:val="single"/>
        </w:rPr>
        <w:t xml:space="preserve">ample </w:t>
      </w:r>
      <w:r w:rsidR="008B655A">
        <w:rPr>
          <w:szCs w:val="24"/>
          <w:u w:val="single"/>
        </w:rPr>
        <w:t>S</w:t>
      </w:r>
      <w:r w:rsidR="00FF29EC" w:rsidRPr="0091086A">
        <w:rPr>
          <w:szCs w:val="24"/>
          <w:u w:val="single"/>
        </w:rPr>
        <w:t>ize</w:t>
      </w:r>
      <w:r w:rsidRPr="0091086A">
        <w:rPr>
          <w:szCs w:val="24"/>
          <w:u w:val="single"/>
        </w:rPr>
        <w:t>,</w:t>
      </w:r>
      <w:r w:rsidR="002B67C7" w:rsidRPr="0091086A">
        <w:rPr>
          <w:szCs w:val="24"/>
          <w:u w:val="single"/>
        </w:rPr>
        <w:t xml:space="preserve"> and </w:t>
      </w:r>
      <w:r w:rsidR="008B655A">
        <w:rPr>
          <w:szCs w:val="24"/>
          <w:u w:val="single"/>
        </w:rPr>
        <w:t>P</w:t>
      </w:r>
      <w:r w:rsidR="002B67C7" w:rsidRPr="0091086A">
        <w:rPr>
          <w:szCs w:val="24"/>
          <w:u w:val="single"/>
        </w:rPr>
        <w:t>recision</w:t>
      </w:r>
      <w:r w:rsidRPr="0091086A">
        <w:rPr>
          <w:szCs w:val="24"/>
          <w:u w:val="single"/>
        </w:rPr>
        <w:t xml:space="preserve"> and </w:t>
      </w:r>
      <w:r w:rsidR="00C962AB">
        <w:rPr>
          <w:szCs w:val="24"/>
          <w:u w:val="single"/>
        </w:rPr>
        <w:t>A</w:t>
      </w:r>
      <w:r w:rsidRPr="0091086A">
        <w:rPr>
          <w:szCs w:val="24"/>
          <w:u w:val="single"/>
        </w:rPr>
        <w:t>ccuracy</w:t>
      </w:r>
      <w:r w:rsidR="002B67C7" w:rsidRPr="0091086A">
        <w:rPr>
          <w:szCs w:val="24"/>
          <w:u w:val="single"/>
        </w:rPr>
        <w:t xml:space="preserve"> </w:t>
      </w:r>
    </w:p>
    <w:p w14:paraId="1BD62546" w14:textId="77777777" w:rsidR="00FF29EC" w:rsidRPr="0091086A" w:rsidRDefault="00FF29EC" w:rsidP="00837B2B">
      <w:pPr>
        <w:rPr>
          <w:szCs w:val="24"/>
        </w:rPr>
      </w:pPr>
    </w:p>
    <w:p w14:paraId="77B39EF6" w14:textId="148CFE1A" w:rsidR="004C3C80" w:rsidRDefault="002B67C7" w:rsidP="00837B2B">
      <w:pPr>
        <w:rPr>
          <w:szCs w:val="24"/>
        </w:rPr>
      </w:pPr>
      <w:r w:rsidRPr="0091086A">
        <w:rPr>
          <w:szCs w:val="24"/>
        </w:rPr>
        <w:t xml:space="preserve">The sample size for these surveys was primarily determined by available budget. In winning the contract to perform the work, ERG proposed a sample of </w:t>
      </w:r>
      <w:r w:rsidR="00F04228">
        <w:rPr>
          <w:szCs w:val="24"/>
        </w:rPr>
        <w:t xml:space="preserve">approximately </w:t>
      </w:r>
      <w:r w:rsidR="00772623">
        <w:rPr>
          <w:szCs w:val="24"/>
        </w:rPr>
        <w:t>750</w:t>
      </w:r>
      <w:r w:rsidRPr="0091086A">
        <w:rPr>
          <w:szCs w:val="24"/>
        </w:rPr>
        <w:t xml:space="preserve"> respondents; </w:t>
      </w:r>
      <w:r w:rsidR="00772623">
        <w:rPr>
          <w:szCs w:val="24"/>
        </w:rPr>
        <w:t xml:space="preserve">the sample size, however, was based on the assumption that only western states would be part of the survey effort. ERG increased the sample to 900 to account for the inclusion of non-western states in the sample based on the results of the focus groups. </w:t>
      </w:r>
    </w:p>
    <w:p w14:paraId="7FFCF013" w14:textId="77777777" w:rsidR="00772623" w:rsidRPr="0091086A" w:rsidRDefault="00772623" w:rsidP="00837B2B">
      <w:pPr>
        <w:rPr>
          <w:szCs w:val="24"/>
        </w:rPr>
      </w:pPr>
    </w:p>
    <w:p w14:paraId="5C89A750" w14:textId="099396BC" w:rsidR="00772623" w:rsidRDefault="000E3645" w:rsidP="0097321E">
      <w:pPr>
        <w:rPr>
          <w:szCs w:val="24"/>
        </w:rPr>
      </w:pPr>
      <w:r w:rsidRPr="0091086A">
        <w:rPr>
          <w:szCs w:val="24"/>
        </w:rPr>
        <w:t xml:space="preserve">The survey will involve comparing responses between groups that see different </w:t>
      </w:r>
      <w:r w:rsidR="00DF3E50">
        <w:rPr>
          <w:szCs w:val="24"/>
        </w:rPr>
        <w:t>types of messages (the current system plus three prototypes)</w:t>
      </w:r>
      <w:r w:rsidR="00317058">
        <w:rPr>
          <w:szCs w:val="24"/>
        </w:rPr>
        <w:t xml:space="preserve">; thus, the number </w:t>
      </w:r>
      <w:r w:rsidRPr="0091086A">
        <w:rPr>
          <w:szCs w:val="24"/>
        </w:rPr>
        <w:t xml:space="preserve">who see the different prototypes will be a key factor in determining precision and statistical power. </w:t>
      </w:r>
      <w:r w:rsidR="00772623">
        <w:rPr>
          <w:szCs w:val="24"/>
        </w:rPr>
        <w:t xml:space="preserve">Additionally, </w:t>
      </w:r>
      <w:r w:rsidR="008B655A">
        <w:rPr>
          <w:szCs w:val="24"/>
        </w:rPr>
        <w:t xml:space="preserve">the </w:t>
      </w:r>
      <w:r w:rsidR="00772623">
        <w:rPr>
          <w:szCs w:val="24"/>
        </w:rPr>
        <w:t xml:space="preserve">NWS has incorporated two scenarios to present the prototype in the survey design: (1) warning upgraded to an emergency and (2) a warning repeated. </w:t>
      </w:r>
      <w:r w:rsidR="00DF3E50">
        <w:rPr>
          <w:szCs w:val="24"/>
        </w:rPr>
        <w:t>Thus, with four message sets (the current system plus three prototypes) and two scenarios, there are eight distinct groupings (4 x 2 = 8). Both sets of states will see the same survey questions, so each group has approximately 112 respondents</w:t>
      </w:r>
      <w:r w:rsidR="00130348">
        <w:rPr>
          <w:szCs w:val="24"/>
        </w:rPr>
        <w:t xml:space="preserve"> (900 ÷ 8)</w:t>
      </w:r>
      <w:r w:rsidR="00DF3E50">
        <w:rPr>
          <w:szCs w:val="24"/>
        </w:rPr>
        <w:t>.</w:t>
      </w:r>
      <w:r w:rsidR="00EC0B9E">
        <w:rPr>
          <w:rStyle w:val="FootnoteReference"/>
          <w:szCs w:val="24"/>
        </w:rPr>
        <w:footnoteReference w:id="2"/>
      </w:r>
    </w:p>
    <w:p w14:paraId="093D9435" w14:textId="77777777" w:rsidR="00772623" w:rsidRDefault="00772623" w:rsidP="0097321E">
      <w:pPr>
        <w:rPr>
          <w:szCs w:val="24"/>
        </w:rPr>
      </w:pPr>
    </w:p>
    <w:p w14:paraId="6E2854FE" w14:textId="654085AC" w:rsidR="00A579D8" w:rsidRPr="0091086A" w:rsidRDefault="00FB194B" w:rsidP="00837B2B">
      <w:pPr>
        <w:rPr>
          <w:szCs w:val="24"/>
        </w:rPr>
      </w:pPr>
      <w:r>
        <w:rPr>
          <w:szCs w:val="24"/>
        </w:rPr>
        <w:t xml:space="preserve">The </w:t>
      </w:r>
      <w:r w:rsidR="00A579D8" w:rsidRPr="00D17738">
        <w:rPr>
          <w:szCs w:val="24"/>
        </w:rPr>
        <w:t xml:space="preserve">NWS calculated the statistical power to detect differences </w:t>
      </w:r>
      <w:r w:rsidR="006728FF" w:rsidRPr="00D17738">
        <w:rPr>
          <w:szCs w:val="24"/>
        </w:rPr>
        <w:t xml:space="preserve">between the comparison </w:t>
      </w:r>
      <w:r w:rsidR="00130348">
        <w:rPr>
          <w:szCs w:val="24"/>
        </w:rPr>
        <w:t>groups</w:t>
      </w:r>
      <w:r w:rsidR="006728FF" w:rsidRPr="00D17738">
        <w:rPr>
          <w:szCs w:val="24"/>
        </w:rPr>
        <w:t xml:space="preserve"> </w:t>
      </w:r>
      <w:r w:rsidR="00A579D8" w:rsidRPr="00D17738">
        <w:rPr>
          <w:szCs w:val="24"/>
        </w:rPr>
        <w:t xml:space="preserve">assuming that a </w:t>
      </w:r>
      <w:r w:rsidR="00D17738" w:rsidRPr="00D17738">
        <w:rPr>
          <w:szCs w:val="24"/>
        </w:rPr>
        <w:t>5</w:t>
      </w:r>
      <w:r w:rsidR="00A579D8" w:rsidRPr="00D17738">
        <w:rPr>
          <w:szCs w:val="24"/>
        </w:rPr>
        <w:t xml:space="preserve">-point scale question would be used for the </w:t>
      </w:r>
      <w:r w:rsidR="005734CC" w:rsidRPr="00D17738">
        <w:rPr>
          <w:szCs w:val="24"/>
        </w:rPr>
        <w:t>comparison.</w:t>
      </w:r>
      <w:r w:rsidR="005734CC" w:rsidRPr="00D17738">
        <w:rPr>
          <w:rStyle w:val="FootnoteReference"/>
          <w:szCs w:val="24"/>
        </w:rPr>
        <w:footnoteReference w:id="3"/>
      </w:r>
      <w:r w:rsidR="005734CC" w:rsidRPr="00D17738">
        <w:rPr>
          <w:szCs w:val="24"/>
        </w:rPr>
        <w:t xml:space="preserve"> Statistical power reflects the probability of detecting a difference between two samples assuming that the difference exists among the populations. </w:t>
      </w:r>
      <w:r w:rsidRPr="00D17738">
        <w:rPr>
          <w:szCs w:val="24"/>
        </w:rPr>
        <w:t xml:space="preserve">The </w:t>
      </w:r>
      <w:r w:rsidR="005734CC" w:rsidRPr="00D17738">
        <w:rPr>
          <w:szCs w:val="24"/>
        </w:rPr>
        <w:t xml:space="preserve">NWS calculated the statistical power of detecting a difference </w:t>
      </w:r>
      <w:r w:rsidR="006728FF" w:rsidRPr="00D17738">
        <w:rPr>
          <w:szCs w:val="24"/>
        </w:rPr>
        <w:t xml:space="preserve">(precision) </w:t>
      </w:r>
      <w:r w:rsidR="005641F7" w:rsidRPr="00D17738">
        <w:rPr>
          <w:szCs w:val="24"/>
        </w:rPr>
        <w:t>of 0.</w:t>
      </w:r>
      <w:r w:rsidR="00D17738" w:rsidRPr="00D17738">
        <w:rPr>
          <w:szCs w:val="24"/>
        </w:rPr>
        <w:t>2</w:t>
      </w:r>
      <w:r w:rsidR="005641F7" w:rsidRPr="00D17738">
        <w:rPr>
          <w:szCs w:val="24"/>
        </w:rPr>
        <w:t xml:space="preserve">5 points, </w:t>
      </w:r>
      <w:r w:rsidR="00D17738" w:rsidRPr="00D17738">
        <w:rPr>
          <w:szCs w:val="24"/>
        </w:rPr>
        <w:t>0.5</w:t>
      </w:r>
      <w:r w:rsidR="005641F7" w:rsidRPr="00D17738">
        <w:rPr>
          <w:szCs w:val="24"/>
        </w:rPr>
        <w:t xml:space="preserve"> point</w:t>
      </w:r>
      <w:r w:rsidR="00D17738" w:rsidRPr="00D17738">
        <w:rPr>
          <w:szCs w:val="24"/>
        </w:rPr>
        <w:t>s</w:t>
      </w:r>
      <w:r w:rsidR="007A7EB1" w:rsidRPr="00D17738">
        <w:rPr>
          <w:szCs w:val="24"/>
        </w:rPr>
        <w:t xml:space="preserve">, and </w:t>
      </w:r>
      <w:r w:rsidR="00D17738" w:rsidRPr="00D17738">
        <w:rPr>
          <w:szCs w:val="24"/>
        </w:rPr>
        <w:t>0.75</w:t>
      </w:r>
      <w:r w:rsidR="007A7EB1" w:rsidRPr="00D17738">
        <w:rPr>
          <w:szCs w:val="24"/>
        </w:rPr>
        <w:t xml:space="preserve"> points in the means of a </w:t>
      </w:r>
      <w:r w:rsidR="00D17738" w:rsidRPr="00D17738">
        <w:rPr>
          <w:szCs w:val="24"/>
        </w:rPr>
        <w:t>5</w:t>
      </w:r>
      <w:r w:rsidR="007A7EB1" w:rsidRPr="00D17738">
        <w:rPr>
          <w:szCs w:val="24"/>
        </w:rPr>
        <w:t xml:space="preserve">-point scaled question between two sub-samples. </w:t>
      </w:r>
      <w:r w:rsidR="006728FF" w:rsidRPr="00D17738">
        <w:rPr>
          <w:szCs w:val="24"/>
        </w:rPr>
        <w:t xml:space="preserve">The </w:t>
      </w:r>
      <w:r w:rsidR="007A7EB1" w:rsidRPr="00D17738">
        <w:rPr>
          <w:szCs w:val="24"/>
        </w:rPr>
        <w:t xml:space="preserve">NWS also assumed three scenarios for the standard deviation of the responses: a worst-case scenario corresponding to a standard deviation of </w:t>
      </w:r>
      <w:r w:rsidR="00EC0B9E" w:rsidRPr="00D17738">
        <w:rPr>
          <w:szCs w:val="24"/>
        </w:rPr>
        <w:t>2</w:t>
      </w:r>
      <w:r w:rsidR="00D17738" w:rsidRPr="00D17738">
        <w:rPr>
          <w:szCs w:val="24"/>
        </w:rPr>
        <w:t>.0</w:t>
      </w:r>
      <w:r w:rsidR="007A7EB1" w:rsidRPr="00D17738">
        <w:rPr>
          <w:rStyle w:val="FootnoteReference"/>
          <w:szCs w:val="24"/>
        </w:rPr>
        <w:footnoteReference w:id="4"/>
      </w:r>
      <w:r w:rsidR="007A7EB1" w:rsidRPr="00D17738">
        <w:rPr>
          <w:szCs w:val="24"/>
        </w:rPr>
        <w:t xml:space="preserve"> and two more realistic scenarios with standard deviations of </w:t>
      </w:r>
      <w:r w:rsidR="00D17738" w:rsidRPr="00D17738">
        <w:rPr>
          <w:szCs w:val="24"/>
        </w:rPr>
        <w:t>1.5</w:t>
      </w:r>
      <w:r w:rsidR="007A7EB1" w:rsidRPr="00D17738">
        <w:rPr>
          <w:szCs w:val="24"/>
        </w:rPr>
        <w:t xml:space="preserve"> and </w:t>
      </w:r>
      <w:r w:rsidR="00D17738" w:rsidRPr="00D17738">
        <w:rPr>
          <w:szCs w:val="24"/>
        </w:rPr>
        <w:t>1</w:t>
      </w:r>
      <w:r w:rsidR="007A7EB1" w:rsidRPr="00D17738">
        <w:rPr>
          <w:szCs w:val="24"/>
        </w:rPr>
        <w:t>.0.</w:t>
      </w:r>
      <w:r w:rsidR="007A7EB1" w:rsidRPr="0091086A">
        <w:rPr>
          <w:szCs w:val="24"/>
        </w:rPr>
        <w:t xml:space="preserve"> </w:t>
      </w:r>
      <w:r w:rsidR="00231EFA" w:rsidRPr="0091086A">
        <w:rPr>
          <w:szCs w:val="24"/>
        </w:rPr>
        <w:t>The statistical power calculations for the three levels of precision and the three assumed standard deviations</w:t>
      </w:r>
      <w:r w:rsidR="00F9713E">
        <w:rPr>
          <w:szCs w:val="24"/>
        </w:rPr>
        <w:t xml:space="preserve">, using </w:t>
      </w:r>
      <w:r w:rsidR="00D17738">
        <w:rPr>
          <w:szCs w:val="24"/>
        </w:rPr>
        <w:t>a sample of</w:t>
      </w:r>
      <w:r w:rsidR="00F9713E">
        <w:rPr>
          <w:szCs w:val="24"/>
        </w:rPr>
        <w:t xml:space="preserve"> </w:t>
      </w:r>
      <w:r w:rsidR="00D17738">
        <w:rPr>
          <w:szCs w:val="24"/>
        </w:rPr>
        <w:t>112 per group</w:t>
      </w:r>
      <w:r w:rsidR="00F9713E">
        <w:rPr>
          <w:szCs w:val="24"/>
        </w:rPr>
        <w:t>,</w:t>
      </w:r>
      <w:r w:rsidR="00231EFA" w:rsidRPr="0091086A">
        <w:rPr>
          <w:szCs w:val="24"/>
        </w:rPr>
        <w:t xml:space="preserve"> appears in </w:t>
      </w:r>
      <w:r w:rsidR="00231EFA" w:rsidRPr="0091086A">
        <w:rPr>
          <w:szCs w:val="24"/>
        </w:rPr>
        <w:fldChar w:fldCharType="begin"/>
      </w:r>
      <w:r w:rsidR="00231EFA" w:rsidRPr="0091086A">
        <w:rPr>
          <w:szCs w:val="24"/>
        </w:rPr>
        <w:instrText xml:space="preserve"> REF _Ref495743328 \h </w:instrText>
      </w:r>
      <w:r w:rsidR="00231EFA" w:rsidRPr="0091086A">
        <w:rPr>
          <w:szCs w:val="24"/>
        </w:rPr>
      </w:r>
      <w:r w:rsidR="00231EFA" w:rsidRPr="0091086A">
        <w:rPr>
          <w:szCs w:val="24"/>
        </w:rPr>
        <w:fldChar w:fldCharType="separate"/>
      </w:r>
      <w:r w:rsidR="00AF0CB3" w:rsidRPr="0091086A">
        <w:t xml:space="preserve">Table </w:t>
      </w:r>
      <w:r w:rsidR="00AF0CB3">
        <w:rPr>
          <w:noProof/>
        </w:rPr>
        <w:t>3</w:t>
      </w:r>
      <w:r w:rsidR="00231EFA" w:rsidRPr="0091086A">
        <w:rPr>
          <w:szCs w:val="24"/>
        </w:rPr>
        <w:fldChar w:fldCharType="end"/>
      </w:r>
      <w:r w:rsidR="00231EFA" w:rsidRPr="0091086A">
        <w:rPr>
          <w:szCs w:val="24"/>
        </w:rPr>
        <w:t xml:space="preserve">. Tests with “strong” statistical power tend to be close to 75 percent or higher. The samples sizes for this survey will provide strong power for detecting </w:t>
      </w:r>
      <w:r w:rsidR="00805988">
        <w:rPr>
          <w:szCs w:val="24"/>
        </w:rPr>
        <w:t>0.75</w:t>
      </w:r>
      <w:r w:rsidR="006F129E" w:rsidRPr="0091086A">
        <w:rPr>
          <w:szCs w:val="24"/>
        </w:rPr>
        <w:t>-point</w:t>
      </w:r>
      <w:r w:rsidR="00231EFA" w:rsidRPr="0091086A">
        <w:rPr>
          <w:szCs w:val="24"/>
        </w:rPr>
        <w:t xml:space="preserve"> differences at all assumed standard deviations</w:t>
      </w:r>
      <w:r w:rsidR="005641F7">
        <w:rPr>
          <w:szCs w:val="24"/>
        </w:rPr>
        <w:t xml:space="preserve"> and a</w:t>
      </w:r>
      <w:r w:rsidR="00231EFA" w:rsidRPr="0091086A">
        <w:rPr>
          <w:szCs w:val="24"/>
        </w:rPr>
        <w:t xml:space="preserve"> </w:t>
      </w:r>
      <w:r w:rsidR="00805988">
        <w:rPr>
          <w:szCs w:val="24"/>
        </w:rPr>
        <w:t>0.5</w:t>
      </w:r>
      <w:r w:rsidR="006F129E" w:rsidRPr="0091086A">
        <w:rPr>
          <w:szCs w:val="24"/>
        </w:rPr>
        <w:t>-point</w:t>
      </w:r>
      <w:r w:rsidR="00231EFA" w:rsidRPr="0091086A">
        <w:rPr>
          <w:szCs w:val="24"/>
        </w:rPr>
        <w:t xml:space="preserve"> differences at assumed standard deviations of </w:t>
      </w:r>
      <w:r w:rsidR="00805988">
        <w:rPr>
          <w:szCs w:val="24"/>
        </w:rPr>
        <w:t>1.5</w:t>
      </w:r>
      <w:r w:rsidR="00231EFA" w:rsidRPr="0091086A">
        <w:rPr>
          <w:szCs w:val="24"/>
        </w:rPr>
        <w:t xml:space="preserve"> and lower</w:t>
      </w:r>
      <w:r w:rsidR="005641F7">
        <w:rPr>
          <w:szCs w:val="24"/>
        </w:rPr>
        <w:t xml:space="preserve">. </w:t>
      </w:r>
      <w:r>
        <w:rPr>
          <w:szCs w:val="24"/>
        </w:rPr>
        <w:t xml:space="preserve">The </w:t>
      </w:r>
      <w:r w:rsidR="00231EFA" w:rsidRPr="0091086A">
        <w:rPr>
          <w:szCs w:val="24"/>
        </w:rPr>
        <w:t xml:space="preserve">NWS has assumed that the worst-case scenario for standard deviation is unrealistic and that </w:t>
      </w:r>
      <w:r w:rsidR="00805988">
        <w:rPr>
          <w:szCs w:val="24"/>
        </w:rPr>
        <w:t>0.5</w:t>
      </w:r>
      <w:r w:rsidR="006F129E" w:rsidRPr="0091086A">
        <w:rPr>
          <w:szCs w:val="24"/>
        </w:rPr>
        <w:t>-point</w:t>
      </w:r>
      <w:r w:rsidR="00231EFA" w:rsidRPr="0091086A">
        <w:rPr>
          <w:szCs w:val="24"/>
        </w:rPr>
        <w:t xml:space="preserve"> changes in a mean value would be relevant; thus, </w:t>
      </w:r>
      <w:r>
        <w:rPr>
          <w:szCs w:val="24"/>
        </w:rPr>
        <w:t xml:space="preserve">the </w:t>
      </w:r>
      <w:r w:rsidR="00231EFA" w:rsidRPr="0091086A">
        <w:rPr>
          <w:szCs w:val="24"/>
        </w:rPr>
        <w:t xml:space="preserve">NWS is confident that the samples will allow for strong tests to compare respondent preferences and understanding between the prototypes. </w:t>
      </w:r>
    </w:p>
    <w:p w14:paraId="1C518664" w14:textId="77777777" w:rsidR="00A579D8" w:rsidRPr="0091086A" w:rsidRDefault="00A579D8" w:rsidP="00837B2B">
      <w:pPr>
        <w:rPr>
          <w:szCs w:val="24"/>
        </w:rPr>
      </w:pPr>
    </w:p>
    <w:p w14:paraId="7E9D7660" w14:textId="52F9B412" w:rsidR="007A7EB1" w:rsidRPr="0091086A" w:rsidRDefault="007A7EB1" w:rsidP="00784846">
      <w:pPr>
        <w:pStyle w:val="Caption"/>
        <w:keepNext/>
        <w:ind w:left="1890" w:right="1800"/>
        <w:rPr>
          <w:color w:val="auto"/>
        </w:rPr>
      </w:pPr>
      <w:bookmarkStart w:id="6" w:name="_Ref495743328"/>
      <w:r w:rsidRPr="0091086A">
        <w:rPr>
          <w:color w:val="auto"/>
        </w:rPr>
        <w:t xml:space="preserve">Table </w:t>
      </w:r>
      <w:r w:rsidRPr="0091086A">
        <w:rPr>
          <w:color w:val="auto"/>
        </w:rPr>
        <w:fldChar w:fldCharType="begin"/>
      </w:r>
      <w:r w:rsidRPr="0091086A">
        <w:rPr>
          <w:color w:val="auto"/>
        </w:rPr>
        <w:instrText xml:space="preserve"> SEQ Table \* ARABIC </w:instrText>
      </w:r>
      <w:r w:rsidRPr="0091086A">
        <w:rPr>
          <w:color w:val="auto"/>
        </w:rPr>
        <w:fldChar w:fldCharType="separate"/>
      </w:r>
      <w:r w:rsidR="00AF0CB3">
        <w:rPr>
          <w:noProof/>
          <w:color w:val="auto"/>
        </w:rPr>
        <w:t>3</w:t>
      </w:r>
      <w:r w:rsidRPr="0091086A">
        <w:rPr>
          <w:color w:val="auto"/>
        </w:rPr>
        <w:fldChar w:fldCharType="end"/>
      </w:r>
      <w:bookmarkEnd w:id="6"/>
      <w:r w:rsidRPr="0091086A">
        <w:rPr>
          <w:color w:val="auto"/>
        </w:rPr>
        <w:t>: Statistical Power for Different Levels of Precision and Assumed Standard Deviations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2425"/>
        <w:gridCol w:w="1082"/>
        <w:gridCol w:w="1083"/>
        <w:gridCol w:w="1083"/>
      </w:tblGrid>
      <w:tr w:rsidR="0091086A" w:rsidRPr="0091086A" w14:paraId="6DD7D879" w14:textId="77777777" w:rsidTr="00BD3526">
        <w:trPr>
          <w:jc w:val="center"/>
        </w:trPr>
        <w:tc>
          <w:tcPr>
            <w:tcW w:w="2425" w:type="dxa"/>
            <w:shd w:val="clear" w:color="auto" w:fill="A6A6A6" w:themeFill="background1" w:themeFillShade="A6"/>
            <w:tcMar>
              <w:top w:w="80" w:type="dxa"/>
              <w:left w:w="80" w:type="dxa"/>
              <w:bottom w:w="80" w:type="dxa"/>
              <w:right w:w="80" w:type="dxa"/>
            </w:tcMar>
            <w:vAlign w:val="center"/>
            <w:hideMark/>
          </w:tcPr>
          <w:p w14:paraId="79D34F16" w14:textId="77777777" w:rsidR="00A579D8" w:rsidRPr="00BD3526" w:rsidRDefault="00231EFA" w:rsidP="00BD3526">
            <w:pPr>
              <w:rPr>
                <w:b/>
              </w:rPr>
            </w:pPr>
            <w:r w:rsidRPr="00BD3526">
              <w:rPr>
                <w:b/>
              </w:rPr>
              <w:t>Precision (difference in mean)</w:t>
            </w:r>
          </w:p>
        </w:tc>
        <w:tc>
          <w:tcPr>
            <w:tcW w:w="1082" w:type="dxa"/>
            <w:shd w:val="clear" w:color="auto" w:fill="A6A6A6" w:themeFill="background1" w:themeFillShade="A6"/>
            <w:tcMar>
              <w:top w:w="80" w:type="dxa"/>
              <w:left w:w="80" w:type="dxa"/>
              <w:bottom w:w="80" w:type="dxa"/>
              <w:right w:w="80" w:type="dxa"/>
            </w:tcMar>
            <w:vAlign w:val="center"/>
            <w:hideMark/>
          </w:tcPr>
          <w:p w14:paraId="3A8DF5E7" w14:textId="6291C5BF" w:rsidR="00A579D8" w:rsidRPr="00BD3526" w:rsidRDefault="00A579D8" w:rsidP="00BD3526">
            <w:pPr>
              <w:jc w:val="center"/>
              <w:rPr>
                <w:b/>
              </w:rPr>
            </w:pPr>
            <w:r w:rsidRPr="00BD3526">
              <w:rPr>
                <w:b/>
              </w:rPr>
              <w:t>S</w:t>
            </w:r>
            <w:r w:rsidR="00784846" w:rsidRPr="00BD3526">
              <w:rPr>
                <w:b/>
              </w:rPr>
              <w:t>.</w:t>
            </w:r>
            <w:r w:rsidRPr="00BD3526">
              <w:rPr>
                <w:b/>
              </w:rPr>
              <w:t>d</w:t>
            </w:r>
            <w:r w:rsidR="00784846" w:rsidRPr="00BD3526">
              <w:rPr>
                <w:b/>
              </w:rPr>
              <w:t>.</w:t>
            </w:r>
            <w:r w:rsidRPr="00BD3526">
              <w:rPr>
                <w:b/>
              </w:rPr>
              <w:t>=</w:t>
            </w:r>
            <w:r w:rsidR="00784846" w:rsidRPr="00BD3526">
              <w:rPr>
                <w:b/>
              </w:rPr>
              <w:t xml:space="preserve"> </w:t>
            </w:r>
            <w:r w:rsidR="00CD2673">
              <w:rPr>
                <w:b/>
              </w:rPr>
              <w:t>2</w:t>
            </w:r>
          </w:p>
        </w:tc>
        <w:tc>
          <w:tcPr>
            <w:tcW w:w="1083" w:type="dxa"/>
            <w:shd w:val="clear" w:color="auto" w:fill="A6A6A6" w:themeFill="background1" w:themeFillShade="A6"/>
            <w:tcMar>
              <w:top w:w="80" w:type="dxa"/>
              <w:left w:w="80" w:type="dxa"/>
              <w:bottom w:w="80" w:type="dxa"/>
              <w:right w:w="80" w:type="dxa"/>
            </w:tcMar>
            <w:vAlign w:val="center"/>
            <w:hideMark/>
          </w:tcPr>
          <w:p w14:paraId="731F82F2" w14:textId="5F1FD8C2" w:rsidR="00A579D8" w:rsidRPr="00BD3526" w:rsidRDefault="00A579D8" w:rsidP="00BD3526">
            <w:pPr>
              <w:jc w:val="center"/>
              <w:rPr>
                <w:b/>
              </w:rPr>
            </w:pPr>
            <w:r w:rsidRPr="00BD3526">
              <w:rPr>
                <w:b/>
              </w:rPr>
              <w:t>S</w:t>
            </w:r>
            <w:r w:rsidR="00784846" w:rsidRPr="00BD3526">
              <w:rPr>
                <w:b/>
              </w:rPr>
              <w:t>.</w:t>
            </w:r>
            <w:r w:rsidRPr="00BD3526">
              <w:rPr>
                <w:b/>
              </w:rPr>
              <w:t>d</w:t>
            </w:r>
            <w:r w:rsidR="006F129E" w:rsidRPr="00BD3526">
              <w:rPr>
                <w:b/>
              </w:rPr>
              <w:t xml:space="preserve">. </w:t>
            </w:r>
            <w:r w:rsidRPr="00BD3526">
              <w:rPr>
                <w:b/>
              </w:rPr>
              <w:t>=</w:t>
            </w:r>
            <w:r w:rsidR="006F129E" w:rsidRPr="00BD3526">
              <w:rPr>
                <w:b/>
              </w:rPr>
              <w:t xml:space="preserve"> </w:t>
            </w:r>
            <w:r w:rsidR="00CD2673">
              <w:rPr>
                <w:b/>
              </w:rPr>
              <w:t>1.5</w:t>
            </w:r>
          </w:p>
        </w:tc>
        <w:tc>
          <w:tcPr>
            <w:tcW w:w="1083" w:type="dxa"/>
            <w:shd w:val="clear" w:color="auto" w:fill="A6A6A6" w:themeFill="background1" w:themeFillShade="A6"/>
            <w:tcMar>
              <w:top w:w="80" w:type="dxa"/>
              <w:left w:w="80" w:type="dxa"/>
              <w:bottom w:w="80" w:type="dxa"/>
              <w:right w:w="80" w:type="dxa"/>
            </w:tcMar>
            <w:vAlign w:val="center"/>
            <w:hideMark/>
          </w:tcPr>
          <w:p w14:paraId="1AEF6A90" w14:textId="11DC0F2A" w:rsidR="00A579D8" w:rsidRPr="00BD3526" w:rsidRDefault="00A579D8" w:rsidP="00BD3526">
            <w:pPr>
              <w:jc w:val="center"/>
              <w:rPr>
                <w:b/>
              </w:rPr>
            </w:pPr>
            <w:r w:rsidRPr="00BD3526">
              <w:rPr>
                <w:b/>
              </w:rPr>
              <w:t>S</w:t>
            </w:r>
            <w:r w:rsidR="00784846" w:rsidRPr="00BD3526">
              <w:rPr>
                <w:b/>
              </w:rPr>
              <w:t>.</w:t>
            </w:r>
            <w:r w:rsidRPr="00BD3526">
              <w:rPr>
                <w:b/>
              </w:rPr>
              <w:t>d</w:t>
            </w:r>
            <w:r w:rsidR="00784846" w:rsidRPr="00BD3526">
              <w:rPr>
                <w:b/>
              </w:rPr>
              <w:t xml:space="preserve">. </w:t>
            </w:r>
            <w:r w:rsidRPr="00BD3526">
              <w:rPr>
                <w:b/>
              </w:rPr>
              <w:t>=</w:t>
            </w:r>
            <w:r w:rsidR="00784846" w:rsidRPr="00BD3526">
              <w:rPr>
                <w:b/>
              </w:rPr>
              <w:t xml:space="preserve"> </w:t>
            </w:r>
            <w:r w:rsidR="00CD2673">
              <w:rPr>
                <w:b/>
              </w:rPr>
              <w:t>1</w:t>
            </w:r>
          </w:p>
        </w:tc>
      </w:tr>
      <w:tr w:rsidR="0091086A" w:rsidRPr="0091086A" w14:paraId="6C81F714" w14:textId="77777777" w:rsidTr="00BD3526">
        <w:trPr>
          <w:jc w:val="center"/>
        </w:trPr>
        <w:tc>
          <w:tcPr>
            <w:tcW w:w="2425" w:type="dxa"/>
            <w:tcMar>
              <w:top w:w="80" w:type="dxa"/>
              <w:left w:w="80" w:type="dxa"/>
              <w:bottom w:w="80" w:type="dxa"/>
              <w:right w:w="80" w:type="dxa"/>
            </w:tcMar>
            <w:vAlign w:val="center"/>
            <w:hideMark/>
          </w:tcPr>
          <w:p w14:paraId="0C9882B6" w14:textId="423E6C7D" w:rsidR="00A579D8" w:rsidRPr="0091086A" w:rsidRDefault="00A579D8" w:rsidP="00BD3526">
            <w:r w:rsidRPr="0091086A">
              <w:t>0.</w:t>
            </w:r>
            <w:r w:rsidR="00CD2673">
              <w:t>2</w:t>
            </w:r>
            <w:r w:rsidRPr="0091086A">
              <w:t>5</w:t>
            </w:r>
          </w:p>
        </w:tc>
        <w:tc>
          <w:tcPr>
            <w:tcW w:w="1082" w:type="dxa"/>
            <w:tcMar>
              <w:top w:w="80" w:type="dxa"/>
              <w:left w:w="80" w:type="dxa"/>
              <w:bottom w:w="80" w:type="dxa"/>
              <w:right w:w="80" w:type="dxa"/>
            </w:tcMar>
            <w:vAlign w:val="center"/>
            <w:hideMark/>
          </w:tcPr>
          <w:p w14:paraId="51DB3132" w14:textId="3A99C939" w:rsidR="00A579D8" w:rsidRPr="0091086A" w:rsidRDefault="006728FF" w:rsidP="00BD3526">
            <w:pPr>
              <w:jc w:val="center"/>
            </w:pPr>
            <w:r>
              <w:t>2</w:t>
            </w:r>
            <w:r w:rsidR="00CD2673">
              <w:t>4</w:t>
            </w:r>
            <w:r>
              <w:t>%</w:t>
            </w:r>
          </w:p>
        </w:tc>
        <w:tc>
          <w:tcPr>
            <w:tcW w:w="1083" w:type="dxa"/>
            <w:tcMar>
              <w:top w:w="80" w:type="dxa"/>
              <w:left w:w="80" w:type="dxa"/>
              <w:bottom w:w="80" w:type="dxa"/>
              <w:right w:w="80" w:type="dxa"/>
            </w:tcMar>
            <w:vAlign w:val="center"/>
            <w:hideMark/>
          </w:tcPr>
          <w:p w14:paraId="60FB2407" w14:textId="0688B11E" w:rsidR="00A579D8" w:rsidRPr="0091086A" w:rsidRDefault="006728FF" w:rsidP="00BD3526">
            <w:pPr>
              <w:jc w:val="center"/>
            </w:pPr>
            <w:r>
              <w:t>3</w:t>
            </w:r>
            <w:r w:rsidR="00CD2673">
              <w:t>5</w:t>
            </w:r>
            <w:r>
              <w:t>%</w:t>
            </w:r>
          </w:p>
        </w:tc>
        <w:tc>
          <w:tcPr>
            <w:tcW w:w="1083" w:type="dxa"/>
            <w:tcMar>
              <w:top w:w="80" w:type="dxa"/>
              <w:left w:w="80" w:type="dxa"/>
              <w:bottom w:w="80" w:type="dxa"/>
              <w:right w:w="80" w:type="dxa"/>
            </w:tcMar>
            <w:vAlign w:val="center"/>
            <w:hideMark/>
          </w:tcPr>
          <w:p w14:paraId="1DA20AB8" w14:textId="385C07D9" w:rsidR="00A579D8" w:rsidRPr="0091086A" w:rsidRDefault="00CD2673" w:rsidP="00BD3526">
            <w:pPr>
              <w:jc w:val="center"/>
            </w:pPr>
            <w:r>
              <w:t>59</w:t>
            </w:r>
            <w:r w:rsidR="006728FF">
              <w:t>%</w:t>
            </w:r>
          </w:p>
        </w:tc>
      </w:tr>
      <w:tr w:rsidR="0091086A" w:rsidRPr="0091086A" w14:paraId="2BF60DB1" w14:textId="77777777" w:rsidTr="00BD3526">
        <w:trPr>
          <w:jc w:val="center"/>
        </w:trPr>
        <w:tc>
          <w:tcPr>
            <w:tcW w:w="2425" w:type="dxa"/>
            <w:tcMar>
              <w:top w:w="80" w:type="dxa"/>
              <w:left w:w="80" w:type="dxa"/>
              <w:bottom w:w="80" w:type="dxa"/>
              <w:right w:w="80" w:type="dxa"/>
            </w:tcMar>
            <w:vAlign w:val="center"/>
            <w:hideMark/>
          </w:tcPr>
          <w:p w14:paraId="50F0A9FC" w14:textId="1BD67528" w:rsidR="00A579D8" w:rsidRPr="0091086A" w:rsidRDefault="00CD2673" w:rsidP="00BD3526">
            <w:r>
              <w:t>0.5</w:t>
            </w:r>
          </w:p>
        </w:tc>
        <w:tc>
          <w:tcPr>
            <w:tcW w:w="1082" w:type="dxa"/>
            <w:tcMar>
              <w:top w:w="80" w:type="dxa"/>
              <w:left w:w="80" w:type="dxa"/>
              <w:bottom w:w="80" w:type="dxa"/>
              <w:right w:w="80" w:type="dxa"/>
            </w:tcMar>
            <w:vAlign w:val="center"/>
            <w:hideMark/>
          </w:tcPr>
          <w:p w14:paraId="3BB5FBCB" w14:textId="22A0A8FF" w:rsidR="00A579D8" w:rsidRPr="0091086A" w:rsidRDefault="006728FF" w:rsidP="00BD3526">
            <w:pPr>
              <w:jc w:val="center"/>
            </w:pPr>
            <w:r>
              <w:t>5</w:t>
            </w:r>
            <w:r w:rsidR="00CD2673">
              <w:t>9</w:t>
            </w:r>
            <w:r>
              <w:t>%</w:t>
            </w:r>
          </w:p>
        </w:tc>
        <w:tc>
          <w:tcPr>
            <w:tcW w:w="1083" w:type="dxa"/>
            <w:tcMar>
              <w:top w:w="80" w:type="dxa"/>
              <w:left w:w="80" w:type="dxa"/>
              <w:bottom w:w="80" w:type="dxa"/>
              <w:right w:w="80" w:type="dxa"/>
            </w:tcMar>
            <w:vAlign w:val="center"/>
            <w:hideMark/>
          </w:tcPr>
          <w:p w14:paraId="4F896D04" w14:textId="2422B38D" w:rsidR="00A579D8" w:rsidRPr="0091086A" w:rsidRDefault="006728FF" w:rsidP="00BD3526">
            <w:pPr>
              <w:jc w:val="center"/>
            </w:pPr>
            <w:r>
              <w:t>8</w:t>
            </w:r>
            <w:r w:rsidR="00CD2673">
              <w:t>0</w:t>
            </w:r>
            <w:r>
              <w:t>%</w:t>
            </w:r>
          </w:p>
        </w:tc>
        <w:tc>
          <w:tcPr>
            <w:tcW w:w="1083" w:type="dxa"/>
            <w:tcMar>
              <w:top w:w="80" w:type="dxa"/>
              <w:left w:w="80" w:type="dxa"/>
              <w:bottom w:w="80" w:type="dxa"/>
              <w:right w:w="80" w:type="dxa"/>
            </w:tcMar>
            <w:vAlign w:val="center"/>
            <w:hideMark/>
          </w:tcPr>
          <w:p w14:paraId="66281D39" w14:textId="21EDF28E" w:rsidR="00A579D8" w:rsidRPr="0091086A" w:rsidRDefault="006728FF" w:rsidP="00BD3526">
            <w:pPr>
              <w:jc w:val="center"/>
            </w:pPr>
            <w:r>
              <w:t>9</w:t>
            </w:r>
            <w:r w:rsidR="00CD2673">
              <w:t>8</w:t>
            </w:r>
            <w:r>
              <w:t>%</w:t>
            </w:r>
          </w:p>
        </w:tc>
      </w:tr>
      <w:tr w:rsidR="0091086A" w:rsidRPr="0091086A" w14:paraId="7F01CE79" w14:textId="77777777" w:rsidTr="00BD3526">
        <w:trPr>
          <w:jc w:val="center"/>
        </w:trPr>
        <w:tc>
          <w:tcPr>
            <w:tcW w:w="2425" w:type="dxa"/>
            <w:tcMar>
              <w:top w:w="80" w:type="dxa"/>
              <w:left w:w="80" w:type="dxa"/>
              <w:bottom w:w="80" w:type="dxa"/>
              <w:right w:w="80" w:type="dxa"/>
            </w:tcMar>
            <w:vAlign w:val="center"/>
            <w:hideMark/>
          </w:tcPr>
          <w:p w14:paraId="19780E0E" w14:textId="47386895" w:rsidR="00A579D8" w:rsidRPr="0091086A" w:rsidRDefault="00CD2673" w:rsidP="00BD3526">
            <w:r>
              <w:t>0.75</w:t>
            </w:r>
          </w:p>
        </w:tc>
        <w:tc>
          <w:tcPr>
            <w:tcW w:w="1082" w:type="dxa"/>
            <w:tcMar>
              <w:top w:w="80" w:type="dxa"/>
              <w:left w:w="80" w:type="dxa"/>
              <w:bottom w:w="80" w:type="dxa"/>
              <w:right w:w="80" w:type="dxa"/>
            </w:tcMar>
            <w:vAlign w:val="center"/>
            <w:hideMark/>
          </w:tcPr>
          <w:p w14:paraId="2DBFDEE4" w14:textId="5A793D14" w:rsidR="00A579D8" w:rsidRPr="0091086A" w:rsidRDefault="006728FF" w:rsidP="00BD3526">
            <w:pPr>
              <w:jc w:val="center"/>
            </w:pPr>
            <w:r>
              <w:t>8</w:t>
            </w:r>
            <w:r w:rsidR="00CD2673">
              <w:t>8</w:t>
            </w:r>
            <w:r>
              <w:t>%</w:t>
            </w:r>
          </w:p>
        </w:tc>
        <w:tc>
          <w:tcPr>
            <w:tcW w:w="1083" w:type="dxa"/>
            <w:tcMar>
              <w:top w:w="80" w:type="dxa"/>
              <w:left w:w="80" w:type="dxa"/>
              <w:bottom w:w="80" w:type="dxa"/>
              <w:right w:w="80" w:type="dxa"/>
            </w:tcMar>
            <w:vAlign w:val="center"/>
            <w:hideMark/>
          </w:tcPr>
          <w:p w14:paraId="34D6A653" w14:textId="5C1C8B1F" w:rsidR="00A579D8" w:rsidRPr="0091086A" w:rsidRDefault="006728FF" w:rsidP="00BD3526">
            <w:pPr>
              <w:jc w:val="center"/>
            </w:pPr>
            <w:r>
              <w:t>9</w:t>
            </w:r>
            <w:r w:rsidR="00CD2673">
              <w:t>8</w:t>
            </w:r>
            <w:r>
              <w:t>%</w:t>
            </w:r>
          </w:p>
        </w:tc>
        <w:tc>
          <w:tcPr>
            <w:tcW w:w="1083" w:type="dxa"/>
            <w:tcMar>
              <w:top w:w="80" w:type="dxa"/>
              <w:left w:w="80" w:type="dxa"/>
              <w:bottom w:w="80" w:type="dxa"/>
              <w:right w:w="80" w:type="dxa"/>
            </w:tcMar>
            <w:vAlign w:val="center"/>
            <w:hideMark/>
          </w:tcPr>
          <w:p w14:paraId="29B77B4C" w14:textId="77777777" w:rsidR="00A579D8" w:rsidRPr="0091086A" w:rsidRDefault="00A579D8" w:rsidP="00BD3526">
            <w:pPr>
              <w:jc w:val="center"/>
            </w:pPr>
            <w:r w:rsidRPr="0091086A">
              <w:t>~100%</w:t>
            </w:r>
          </w:p>
        </w:tc>
      </w:tr>
    </w:tbl>
    <w:p w14:paraId="035AFD2F" w14:textId="77777777" w:rsidR="00A579D8" w:rsidRPr="0091086A" w:rsidRDefault="006F129E" w:rsidP="006F129E">
      <w:pPr>
        <w:ind w:left="1890"/>
        <w:rPr>
          <w:sz w:val="18"/>
          <w:szCs w:val="24"/>
        </w:rPr>
      </w:pPr>
      <w:r w:rsidRPr="0091086A">
        <w:rPr>
          <w:sz w:val="18"/>
          <w:szCs w:val="24"/>
        </w:rPr>
        <w:t>Note: “S.d.” refers to standard deviation.</w:t>
      </w:r>
    </w:p>
    <w:p w14:paraId="54AFA60D" w14:textId="77777777" w:rsidR="001D3D86" w:rsidRPr="0091086A" w:rsidRDefault="001D3D86" w:rsidP="00837B2B">
      <w:pPr>
        <w:rPr>
          <w:szCs w:val="24"/>
        </w:rPr>
      </w:pPr>
    </w:p>
    <w:p w14:paraId="7182207A" w14:textId="77777777" w:rsidR="00BD3526" w:rsidRPr="0091086A" w:rsidRDefault="00BD3526" w:rsidP="00837B2B">
      <w:pPr>
        <w:rPr>
          <w:szCs w:val="24"/>
        </w:rPr>
      </w:pPr>
    </w:p>
    <w:p w14:paraId="2824EDC5" w14:textId="77777777" w:rsidR="00835E16" w:rsidRPr="0091086A" w:rsidRDefault="00835E16" w:rsidP="00606AE9">
      <w:pPr>
        <w:ind w:left="360"/>
        <w:rPr>
          <w:u w:val="single"/>
          <w:lang w:val="en-GB" w:eastAsia="en-GB"/>
        </w:rPr>
      </w:pPr>
      <w:r w:rsidRPr="0091086A">
        <w:rPr>
          <w:u w:val="single"/>
          <w:lang w:val="en-GB" w:eastAsia="en-GB"/>
        </w:rPr>
        <w:t>Unusual Problems Requiring Specialized Sampling Procedures</w:t>
      </w:r>
    </w:p>
    <w:p w14:paraId="2BC26560" w14:textId="77777777" w:rsidR="00784846" w:rsidRPr="0091086A" w:rsidRDefault="00784846" w:rsidP="00606AE9">
      <w:pPr>
        <w:ind w:left="720"/>
        <w:rPr>
          <w:lang w:val="en-GB" w:eastAsia="en-GB"/>
        </w:rPr>
      </w:pPr>
    </w:p>
    <w:p w14:paraId="5BB7E04D" w14:textId="77777777" w:rsidR="002327CE" w:rsidRPr="0091086A" w:rsidRDefault="002327CE" w:rsidP="00606AE9">
      <w:pPr>
        <w:ind w:left="720"/>
        <w:rPr>
          <w:lang w:val="en-GB" w:eastAsia="en-GB"/>
        </w:rPr>
      </w:pPr>
      <w:r w:rsidRPr="0091086A">
        <w:rPr>
          <w:lang w:val="en-GB" w:eastAsia="en-GB"/>
        </w:rPr>
        <w:t>None are required.</w:t>
      </w:r>
    </w:p>
    <w:p w14:paraId="3824CE4D" w14:textId="77777777" w:rsidR="002327CE" w:rsidRPr="0091086A" w:rsidRDefault="002327CE" w:rsidP="00606AE9">
      <w:pPr>
        <w:ind w:left="360"/>
        <w:rPr>
          <w:lang w:val="en-GB" w:eastAsia="en-GB"/>
        </w:rPr>
      </w:pPr>
    </w:p>
    <w:p w14:paraId="770B4220" w14:textId="77777777" w:rsidR="002327CE" w:rsidRPr="0091086A" w:rsidRDefault="002327CE" w:rsidP="00606AE9">
      <w:pPr>
        <w:ind w:left="360"/>
        <w:rPr>
          <w:u w:val="single"/>
          <w:lang w:val="en-GB" w:eastAsia="en-GB"/>
        </w:rPr>
      </w:pPr>
      <w:r w:rsidRPr="0091086A">
        <w:rPr>
          <w:u w:val="single"/>
          <w:lang w:val="en-GB" w:eastAsia="en-GB"/>
        </w:rPr>
        <w:t>Periodic Data Collection Cycles</w:t>
      </w:r>
    </w:p>
    <w:p w14:paraId="05F4C3E2" w14:textId="77777777" w:rsidR="00784846" w:rsidRPr="0091086A" w:rsidRDefault="00784846" w:rsidP="00606AE9">
      <w:pPr>
        <w:ind w:left="720"/>
        <w:rPr>
          <w:lang w:val="en-GB" w:eastAsia="en-GB"/>
        </w:rPr>
      </w:pPr>
    </w:p>
    <w:p w14:paraId="1A0B6B21" w14:textId="77777777" w:rsidR="002327CE" w:rsidRPr="0091086A" w:rsidRDefault="002327CE" w:rsidP="00606AE9">
      <w:pPr>
        <w:ind w:left="720"/>
        <w:rPr>
          <w:lang w:val="en-GB" w:eastAsia="en-GB"/>
        </w:rPr>
      </w:pPr>
      <w:r w:rsidRPr="0091086A">
        <w:rPr>
          <w:lang w:val="en-GB" w:eastAsia="en-GB"/>
        </w:rPr>
        <w:t>This request is for a one-time data collection.</w:t>
      </w:r>
    </w:p>
    <w:p w14:paraId="4319830A" w14:textId="77777777" w:rsidR="00835E16" w:rsidRPr="0091086A" w:rsidRDefault="00835E16" w:rsidP="00606AE9">
      <w:pPr>
        <w:ind w:left="360"/>
        <w:rPr>
          <w:lang w:val="en-GB" w:eastAsia="en-GB"/>
        </w:rPr>
      </w:pPr>
    </w:p>
    <w:p w14:paraId="44C4FD5C" w14:textId="77777777" w:rsidR="00BA7109" w:rsidRPr="0091086A" w:rsidRDefault="00BA7109" w:rsidP="00BA7109">
      <w:pPr>
        <w:numPr>
          <w:ilvl w:val="0"/>
          <w:numId w:val="9"/>
        </w:numPr>
        <w:autoSpaceDE w:val="0"/>
        <w:autoSpaceDN w:val="0"/>
        <w:adjustRightInd w:val="0"/>
        <w:ind w:left="360"/>
        <w:rPr>
          <w:b/>
          <w:bCs/>
          <w:lang w:val="en-GB" w:eastAsia="en-GB"/>
        </w:rPr>
      </w:pPr>
      <w:r w:rsidRPr="0091086A">
        <w:rPr>
          <w:b/>
          <w:bCs/>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54388D62" w14:textId="77777777" w:rsidR="001C056C" w:rsidRPr="0091086A" w:rsidRDefault="001C056C" w:rsidP="001C056C">
      <w:pPr>
        <w:rPr>
          <w:b/>
          <w:lang w:val="en-GB" w:eastAsia="en-GB"/>
        </w:rPr>
      </w:pPr>
    </w:p>
    <w:p w14:paraId="1894D613" w14:textId="685A8ECD" w:rsidR="001C056C" w:rsidRPr="0091086A" w:rsidRDefault="001C056C" w:rsidP="001C056C">
      <w:pPr>
        <w:rPr>
          <w:u w:val="single"/>
          <w:lang w:val="en-GB" w:eastAsia="en-GB"/>
        </w:rPr>
      </w:pPr>
      <w:r w:rsidRPr="0091086A">
        <w:rPr>
          <w:u w:val="single"/>
          <w:lang w:val="en-GB" w:eastAsia="en-GB"/>
        </w:rPr>
        <w:t xml:space="preserve">Maximizing </w:t>
      </w:r>
      <w:r w:rsidR="008B655A">
        <w:rPr>
          <w:u w:val="single"/>
          <w:lang w:val="en-GB" w:eastAsia="en-GB"/>
        </w:rPr>
        <w:t>R</w:t>
      </w:r>
      <w:r w:rsidRPr="0091086A">
        <w:rPr>
          <w:u w:val="single"/>
          <w:lang w:val="en-GB" w:eastAsia="en-GB"/>
        </w:rPr>
        <w:t xml:space="preserve">esponse </w:t>
      </w:r>
      <w:r w:rsidR="008B655A">
        <w:rPr>
          <w:u w:val="single"/>
          <w:lang w:val="en-GB" w:eastAsia="en-GB"/>
        </w:rPr>
        <w:t>R</w:t>
      </w:r>
      <w:r w:rsidRPr="0091086A">
        <w:rPr>
          <w:u w:val="single"/>
          <w:lang w:val="en-GB" w:eastAsia="en-GB"/>
        </w:rPr>
        <w:t>ates</w:t>
      </w:r>
    </w:p>
    <w:p w14:paraId="20E558D7" w14:textId="77777777" w:rsidR="001C056C" w:rsidRPr="0091086A" w:rsidRDefault="001C056C" w:rsidP="001C056C">
      <w:pPr>
        <w:rPr>
          <w:lang w:val="en-GB" w:eastAsia="en-GB"/>
        </w:rPr>
      </w:pPr>
    </w:p>
    <w:p w14:paraId="198E03F4" w14:textId="1FDB69E5" w:rsidR="001C056C" w:rsidRPr="0091086A" w:rsidRDefault="008B655A" w:rsidP="001C056C">
      <w:pPr>
        <w:rPr>
          <w:lang w:val="en-GB" w:eastAsia="en-GB"/>
        </w:rPr>
      </w:pPr>
      <w:r>
        <w:rPr>
          <w:lang w:val="en-GB" w:eastAsia="en-GB"/>
        </w:rPr>
        <w:t xml:space="preserve">The </w:t>
      </w:r>
      <w:r w:rsidR="001C056C" w:rsidRPr="0091086A">
        <w:rPr>
          <w:lang w:val="en-GB" w:eastAsia="en-GB"/>
        </w:rPr>
        <w:t>NWS’</w:t>
      </w:r>
      <w:r w:rsidR="00FB194B">
        <w:rPr>
          <w:lang w:val="en-GB" w:eastAsia="en-GB"/>
        </w:rPr>
        <w:t>s</w:t>
      </w:r>
      <w:r w:rsidR="001C056C" w:rsidRPr="0091086A">
        <w:rPr>
          <w:lang w:val="en-GB" w:eastAsia="en-GB"/>
        </w:rPr>
        <w:t xml:space="preserve"> contractor, ERG, will employ the following </w:t>
      </w:r>
      <w:r>
        <w:rPr>
          <w:lang w:val="en-GB" w:eastAsia="en-GB"/>
        </w:rPr>
        <w:t xml:space="preserve">strategies </w:t>
      </w:r>
      <w:r w:rsidR="001C056C" w:rsidRPr="0091086A">
        <w:rPr>
          <w:lang w:val="en-GB" w:eastAsia="en-GB"/>
        </w:rPr>
        <w:t>to maximize response rates from the sample</w:t>
      </w:r>
      <w:r>
        <w:rPr>
          <w:lang w:val="en-GB" w:eastAsia="en-GB"/>
        </w:rPr>
        <w:t>:</w:t>
      </w:r>
    </w:p>
    <w:p w14:paraId="783A64EE" w14:textId="77777777" w:rsidR="001C056C" w:rsidRPr="0091086A" w:rsidRDefault="001C056C" w:rsidP="001C056C">
      <w:pPr>
        <w:pStyle w:val="ListParagraph"/>
        <w:numPr>
          <w:ilvl w:val="0"/>
          <w:numId w:val="31"/>
        </w:numPr>
        <w:shd w:val="clear" w:color="auto" w:fill="FFFFFF"/>
        <w:spacing w:before="100" w:beforeAutospacing="1" w:after="240"/>
      </w:pPr>
      <w:r w:rsidRPr="0091086A">
        <w:t>ERG has developed a survey that minimizes the burden on respondents by using good survey design. This includes developing well-written questions and limiting the number of the questions to the minimum necessary.</w:t>
      </w:r>
    </w:p>
    <w:p w14:paraId="733EEEA0" w14:textId="43C7F3D4" w:rsidR="001C056C" w:rsidRPr="0091086A" w:rsidRDefault="001C056C" w:rsidP="001C056C">
      <w:pPr>
        <w:pStyle w:val="ListParagraph"/>
        <w:numPr>
          <w:ilvl w:val="0"/>
          <w:numId w:val="31"/>
        </w:numPr>
        <w:shd w:val="clear" w:color="auto" w:fill="FFFFFF"/>
        <w:spacing w:before="100" w:beforeAutospacing="1" w:after="240"/>
      </w:pPr>
      <w:r w:rsidRPr="0091086A">
        <w:t>ERG will require Qualtrics, Inc. to select respondents from individuals who indicated they are willing to take surveys. Many email survey lists are constructed from individual</w:t>
      </w:r>
      <w:r w:rsidR="008B655A">
        <w:t>s</w:t>
      </w:r>
      <w:r w:rsidRPr="0091086A">
        <w:t xml:space="preserve"> who passively opt in to taking surveys (e.g., by agreeing to a terms of service agreement on a web site). ERG will require Qualtrics to use survey lists where those on the list</w:t>
      </w:r>
      <w:r w:rsidR="008B655A">
        <w:t>s</w:t>
      </w:r>
      <w:r w:rsidRPr="0091086A">
        <w:t xml:space="preserve"> consciously indicated they wou</w:t>
      </w:r>
      <w:r w:rsidR="005641F7">
        <w:t>ld be willing to take surveys (i.e., excluded passive opt-ins).</w:t>
      </w:r>
    </w:p>
    <w:p w14:paraId="50556D2E" w14:textId="2193093A" w:rsidR="001C056C" w:rsidRPr="0091086A" w:rsidRDefault="001C056C" w:rsidP="001C056C">
      <w:pPr>
        <w:pStyle w:val="ListParagraph"/>
        <w:numPr>
          <w:ilvl w:val="0"/>
          <w:numId w:val="31"/>
        </w:numPr>
        <w:shd w:val="clear" w:color="auto" w:fill="FFFFFF"/>
        <w:spacing w:before="100" w:beforeAutospacing="1" w:after="240"/>
      </w:pPr>
      <w:r w:rsidRPr="0091086A">
        <w:t xml:space="preserve">ERG will use multiple prompts to generate responses. ERG will </w:t>
      </w:r>
      <w:r w:rsidR="004862DD">
        <w:t>send</w:t>
      </w:r>
      <w:r w:rsidRPr="0091086A">
        <w:t xml:space="preserve"> a pre-notification email to respondents</w:t>
      </w:r>
      <w:r w:rsidR="004862DD">
        <w:t xml:space="preserve"> about the survey</w:t>
      </w:r>
      <w:r w:rsidRPr="0091086A">
        <w:t xml:space="preserve">, an email that asks the respondent to take the </w:t>
      </w:r>
      <w:r w:rsidR="005641F7">
        <w:t>survey</w:t>
      </w:r>
      <w:r w:rsidRPr="0091086A">
        <w:t>, and then two reminder emails.</w:t>
      </w:r>
    </w:p>
    <w:p w14:paraId="784A5DB1" w14:textId="2B8E9B0E" w:rsidR="001C056C" w:rsidRPr="0091086A" w:rsidRDefault="001C056C" w:rsidP="001C056C">
      <w:pPr>
        <w:pStyle w:val="ListParagraph"/>
        <w:numPr>
          <w:ilvl w:val="0"/>
          <w:numId w:val="31"/>
        </w:numPr>
        <w:shd w:val="clear" w:color="auto" w:fill="FFFFFF"/>
        <w:spacing w:before="100" w:beforeAutospacing="1" w:after="240"/>
      </w:pPr>
      <w:r w:rsidRPr="0091086A">
        <w:t xml:space="preserve">ERG </w:t>
      </w:r>
      <w:r w:rsidR="00805988">
        <w:t>is</w:t>
      </w:r>
      <w:r w:rsidRPr="0091086A">
        <w:t xml:space="preserve"> implement</w:t>
      </w:r>
      <w:r w:rsidR="00805988">
        <w:t>ing</w:t>
      </w:r>
      <w:r w:rsidRPr="0091086A">
        <w:t xml:space="preserve"> the survey in geographic areas where </w:t>
      </w:r>
      <w:r w:rsidR="00805988">
        <w:t xml:space="preserve">wildfires are a relevant risk. Furthermore, the recent wildfires in California will create a sense of importance to respondents on taking this survey. </w:t>
      </w:r>
    </w:p>
    <w:p w14:paraId="57F9434A" w14:textId="45A93A99" w:rsidR="001C056C" w:rsidRPr="0091086A" w:rsidRDefault="001C056C" w:rsidP="00335BD5">
      <w:pPr>
        <w:keepNext/>
        <w:shd w:val="clear" w:color="auto" w:fill="FFFFFF"/>
        <w:spacing w:before="100" w:beforeAutospacing="1" w:after="240"/>
        <w:rPr>
          <w:u w:val="single"/>
        </w:rPr>
      </w:pPr>
      <w:r w:rsidRPr="0091086A">
        <w:rPr>
          <w:u w:val="single"/>
        </w:rPr>
        <w:t xml:space="preserve">Adequacy for </w:t>
      </w:r>
      <w:r w:rsidR="008B655A">
        <w:rPr>
          <w:u w:val="single"/>
        </w:rPr>
        <w:t>I</w:t>
      </w:r>
      <w:r w:rsidRPr="0091086A">
        <w:rPr>
          <w:u w:val="single"/>
        </w:rPr>
        <w:t xml:space="preserve">ntended </w:t>
      </w:r>
      <w:r w:rsidR="008B655A">
        <w:rPr>
          <w:u w:val="single"/>
        </w:rPr>
        <w:t>U</w:t>
      </w:r>
      <w:r w:rsidRPr="0091086A">
        <w:rPr>
          <w:u w:val="single"/>
        </w:rPr>
        <w:t xml:space="preserve">ses </w:t>
      </w:r>
    </w:p>
    <w:p w14:paraId="10974E9E" w14:textId="357A0B4C" w:rsidR="00880ECF" w:rsidRPr="0091086A" w:rsidRDefault="001C056C" w:rsidP="001C056C">
      <w:pPr>
        <w:shd w:val="clear" w:color="auto" w:fill="FFFFFF"/>
        <w:spacing w:before="100" w:beforeAutospacing="1" w:after="240"/>
      </w:pPr>
      <w:r w:rsidRPr="0091086A">
        <w:t>The purp</w:t>
      </w:r>
      <w:r w:rsidR="00BE40DD" w:rsidRPr="0091086A">
        <w:t xml:space="preserve">ose of these surveys is to </w:t>
      </w:r>
      <w:r w:rsidR="00880ECF" w:rsidRPr="0091086A">
        <w:t>get feedback  on</w:t>
      </w:r>
      <w:r w:rsidR="00BE40DD" w:rsidRPr="0091086A">
        <w:t xml:space="preserve"> </w:t>
      </w:r>
      <w:r w:rsidR="00E731DA">
        <w:t xml:space="preserve">possible </w:t>
      </w:r>
      <w:r w:rsidR="00BE40DD" w:rsidRPr="0091086A">
        <w:t xml:space="preserve">new approaches to </w:t>
      </w:r>
      <w:r w:rsidR="00880ECF" w:rsidRPr="0091086A">
        <w:t>presenting hazard</w:t>
      </w:r>
      <w:r w:rsidR="00FB194B">
        <w:t xml:space="preserve"> warning</w:t>
      </w:r>
      <w:r w:rsidR="00880ECF" w:rsidRPr="0091086A">
        <w:t xml:space="preserve"> risk information</w:t>
      </w:r>
      <w:r w:rsidR="00805988">
        <w:t xml:space="preserve"> for wildfires and to assess how well the information would work among a new targeted audience (the public)</w:t>
      </w:r>
      <w:r w:rsidR="00880ECF" w:rsidRPr="0091086A">
        <w:t xml:space="preserve">. The key information that </w:t>
      </w:r>
      <w:r w:rsidR="00FB194B">
        <w:t xml:space="preserve">the </w:t>
      </w:r>
      <w:r w:rsidR="00880ECF" w:rsidRPr="0091086A">
        <w:t xml:space="preserve">NWS needs are the public’s understanding of the new prototypes and the public’s satisfaction with the new prototypes. </w:t>
      </w:r>
      <w:r w:rsidR="00695A7B" w:rsidRPr="0091086A">
        <w:t xml:space="preserve">The </w:t>
      </w:r>
      <w:r w:rsidR="008B655A">
        <w:t xml:space="preserve">NWS will use the </w:t>
      </w:r>
      <w:r w:rsidR="00695A7B" w:rsidRPr="0091086A">
        <w:t xml:space="preserve">information from these surveys  in conjunction with other </w:t>
      </w:r>
      <w:r w:rsidR="00C7757C" w:rsidRPr="0091086A">
        <w:t>data</w:t>
      </w:r>
      <w:r w:rsidR="00695A7B" w:rsidRPr="0091086A">
        <w:t xml:space="preserve"> to </w:t>
      </w:r>
      <w:r w:rsidR="008B655A">
        <w:t xml:space="preserve">consider </w:t>
      </w:r>
      <w:r w:rsidR="00695A7B" w:rsidRPr="0091086A">
        <w:t>potential change</w:t>
      </w:r>
      <w:r w:rsidR="008B655A">
        <w:t>s in</w:t>
      </w:r>
      <w:r w:rsidR="00695A7B" w:rsidRPr="0091086A">
        <w:t xml:space="preserve"> </w:t>
      </w:r>
      <w:r w:rsidR="00335BD5">
        <w:t>fire weather</w:t>
      </w:r>
      <w:r w:rsidR="00695A7B" w:rsidRPr="0091086A">
        <w:t xml:space="preserve"> warnings. </w:t>
      </w:r>
      <w:r w:rsidR="00880ECF" w:rsidRPr="0091086A">
        <w:t xml:space="preserve">No </w:t>
      </w:r>
      <w:r w:rsidR="00695A7B" w:rsidRPr="0091086A">
        <w:t>decisions</w:t>
      </w:r>
      <w:r w:rsidR="00880ECF" w:rsidRPr="0091086A">
        <w:t xml:space="preserve"> are being made solely from the data being collected from these </w:t>
      </w:r>
      <w:r w:rsidR="00695A7B" w:rsidRPr="0091086A">
        <w:t xml:space="preserve">surveys. As such, </w:t>
      </w:r>
      <w:r w:rsidR="00FD2D89">
        <w:t xml:space="preserve">the </w:t>
      </w:r>
      <w:r w:rsidR="00695A7B" w:rsidRPr="0091086A">
        <w:t xml:space="preserve">NWS expects the </w:t>
      </w:r>
      <w:r w:rsidR="003364BF" w:rsidRPr="0091086A">
        <w:t xml:space="preserve">attainable </w:t>
      </w:r>
      <w:r w:rsidR="00695A7B" w:rsidRPr="0091086A">
        <w:t xml:space="preserve">precision </w:t>
      </w:r>
      <w:r w:rsidR="003364BF" w:rsidRPr="0091086A">
        <w:t xml:space="preserve">(described above) is more than adequate given the purpose of these data. </w:t>
      </w:r>
      <w:r w:rsidR="0091086A" w:rsidRPr="0091086A">
        <w:t>This is based on several considerations:</w:t>
      </w:r>
    </w:p>
    <w:p w14:paraId="17AFC9FC" w14:textId="00ADFEB0" w:rsidR="00695A7B" w:rsidRPr="0091086A" w:rsidRDefault="00695A7B" w:rsidP="00405E94">
      <w:pPr>
        <w:pStyle w:val="ListParagraph"/>
        <w:numPr>
          <w:ilvl w:val="0"/>
          <w:numId w:val="37"/>
        </w:numPr>
        <w:shd w:val="clear" w:color="auto" w:fill="FFFFFF"/>
        <w:spacing w:before="100" w:beforeAutospacing="1" w:after="120"/>
        <w:contextualSpacing w:val="0"/>
      </w:pPr>
      <w:r w:rsidRPr="0091086A">
        <w:t>The survey</w:t>
      </w:r>
      <w:r w:rsidR="00E731DA">
        <w:t>s</w:t>
      </w:r>
      <w:r w:rsidRPr="0091086A">
        <w:t xml:space="preserve"> involve collecting data from a large number of respondents </w:t>
      </w:r>
      <w:r w:rsidR="00805988">
        <w:t>across the affected areas (900 in total)</w:t>
      </w:r>
      <w:r w:rsidRPr="0091086A">
        <w:t>. Thus,</w:t>
      </w:r>
      <w:r w:rsidR="00FD2D89">
        <w:t xml:space="preserve"> the</w:t>
      </w:r>
      <w:r w:rsidRPr="0091086A">
        <w:t xml:space="preserve"> NWS will have a large number of data points to use in assessing the prototypes.</w:t>
      </w:r>
    </w:p>
    <w:p w14:paraId="4DE48011" w14:textId="5004221E" w:rsidR="00695A7B" w:rsidRPr="0091086A" w:rsidRDefault="003364BF" w:rsidP="00405E94">
      <w:pPr>
        <w:pStyle w:val="ListParagraph"/>
        <w:numPr>
          <w:ilvl w:val="0"/>
          <w:numId w:val="37"/>
        </w:numPr>
        <w:shd w:val="clear" w:color="auto" w:fill="FFFFFF"/>
        <w:spacing w:before="100" w:beforeAutospacing="1" w:after="120"/>
        <w:contextualSpacing w:val="0"/>
      </w:pPr>
      <w:r w:rsidRPr="0091086A">
        <w:t>The survey</w:t>
      </w:r>
      <w:r w:rsidR="00E731DA">
        <w:t>s are</w:t>
      </w:r>
      <w:r w:rsidRPr="0091086A">
        <w:t xml:space="preserve"> being implemented in a way that mimics how </w:t>
      </w:r>
      <w:r w:rsidR="00FD2D89">
        <w:t xml:space="preserve">the </w:t>
      </w:r>
      <w:r w:rsidRPr="0091086A">
        <w:t xml:space="preserve">NWS </w:t>
      </w:r>
      <w:r w:rsidR="00FD2D89">
        <w:t xml:space="preserve">warns the public of </w:t>
      </w:r>
      <w:r w:rsidR="00805988">
        <w:t>fire risks</w:t>
      </w:r>
      <w:r w:rsidRPr="0091086A">
        <w:t xml:space="preserve">; that is, </w:t>
      </w:r>
      <w:r w:rsidR="00FD2D89">
        <w:t xml:space="preserve">the </w:t>
      </w:r>
      <w:r w:rsidRPr="0091086A">
        <w:t xml:space="preserve">NWS </w:t>
      </w:r>
      <w:r w:rsidR="00FD2D89">
        <w:t xml:space="preserve">issues </w:t>
      </w:r>
      <w:r w:rsidR="00805988">
        <w:t xml:space="preserve">a series of watches and/or warnings and then upgrades those over time as conditions worsen. </w:t>
      </w:r>
      <w:r w:rsidRPr="0091086A">
        <w:t xml:space="preserve">Understanding how people respond to those upgrades </w:t>
      </w:r>
      <w:r w:rsidR="00805988">
        <w:t xml:space="preserve">(or a lack of an upgrade) </w:t>
      </w:r>
      <w:r w:rsidRPr="0091086A">
        <w:t xml:space="preserve">is important. </w:t>
      </w:r>
    </w:p>
    <w:p w14:paraId="5211FCDE" w14:textId="635FC8D1" w:rsidR="003364BF" w:rsidRPr="0091086A" w:rsidRDefault="003364BF" w:rsidP="00405E94">
      <w:pPr>
        <w:pStyle w:val="ListParagraph"/>
        <w:numPr>
          <w:ilvl w:val="0"/>
          <w:numId w:val="37"/>
        </w:numPr>
        <w:shd w:val="clear" w:color="auto" w:fill="FFFFFF"/>
        <w:spacing w:before="100" w:beforeAutospacing="1" w:after="120"/>
        <w:contextualSpacing w:val="0"/>
      </w:pPr>
      <w:r w:rsidRPr="0091086A">
        <w:t xml:space="preserve">The prototypes are </w:t>
      </w:r>
      <w:r w:rsidR="00F9713E">
        <w:t>“</w:t>
      </w:r>
      <w:r w:rsidRPr="0091086A">
        <w:t>directional</w:t>
      </w:r>
      <w:r w:rsidR="00F9713E">
        <w:t>”</w:t>
      </w:r>
      <w:r w:rsidRPr="0091086A">
        <w:t xml:space="preserve"> in nature rather than specific.</w:t>
      </w:r>
      <w:r w:rsidR="00203DF0" w:rsidRPr="0091086A">
        <w:t xml:space="preserve"> </w:t>
      </w:r>
      <w:r w:rsidR="00E731DA">
        <w:t xml:space="preserve">The </w:t>
      </w:r>
      <w:r w:rsidR="00203DF0" w:rsidRPr="0091086A">
        <w:t xml:space="preserve">NWS has developed the prototypes based on input from focus groups and </w:t>
      </w:r>
      <w:r w:rsidR="00E731DA">
        <w:t>other</w:t>
      </w:r>
      <w:r w:rsidR="00E731DA" w:rsidRPr="0091086A">
        <w:t xml:space="preserve"> </w:t>
      </w:r>
      <w:r w:rsidR="00203DF0" w:rsidRPr="0091086A">
        <w:t xml:space="preserve">prior research. </w:t>
      </w:r>
      <w:r w:rsidR="00E731DA">
        <w:t xml:space="preserve">The </w:t>
      </w:r>
      <w:r w:rsidR="00203DF0" w:rsidRPr="0091086A">
        <w:t xml:space="preserve">NWS also had meetings with internal staff who are responsible for </w:t>
      </w:r>
      <w:r w:rsidR="00805988">
        <w:t xml:space="preserve">fire weather </w:t>
      </w:r>
      <w:r w:rsidR="00203DF0" w:rsidRPr="0091086A">
        <w:t>hazard warnings. This survey will provide information on the types of messages that will work better with the public compared to others</w:t>
      </w:r>
      <w:r w:rsidR="00805988">
        <w:t>, but not necessarily the specific messages to use.</w:t>
      </w:r>
    </w:p>
    <w:p w14:paraId="171EB1AF" w14:textId="593BE17D" w:rsidR="001C056C" w:rsidRPr="0091086A" w:rsidRDefault="00203DF0" w:rsidP="00405E94">
      <w:pPr>
        <w:pStyle w:val="ListParagraph"/>
        <w:numPr>
          <w:ilvl w:val="0"/>
          <w:numId w:val="37"/>
        </w:numPr>
        <w:shd w:val="clear" w:color="auto" w:fill="FFFFFF"/>
        <w:spacing w:before="100" w:beforeAutospacing="1" w:after="120"/>
        <w:contextualSpacing w:val="0"/>
      </w:pPr>
      <w:r w:rsidRPr="0091086A">
        <w:t>Identifying large differences in public preferences</w:t>
      </w:r>
      <w:r w:rsidR="006F129E" w:rsidRPr="0091086A">
        <w:t xml:space="preserve"> for prototypes is acceptable. As noted above, we can expect to find </w:t>
      </w:r>
      <w:r w:rsidR="00805988">
        <w:t>0.5</w:t>
      </w:r>
      <w:r w:rsidR="006F129E" w:rsidRPr="0091086A">
        <w:t xml:space="preserve">-point differences in mean values </w:t>
      </w:r>
      <w:r w:rsidR="0091086A" w:rsidRPr="0091086A">
        <w:t xml:space="preserve">on a </w:t>
      </w:r>
      <w:r w:rsidR="00805988">
        <w:t>5</w:t>
      </w:r>
      <w:r w:rsidR="0091086A" w:rsidRPr="0091086A">
        <w:t xml:space="preserve">-point scale </w:t>
      </w:r>
      <w:r w:rsidR="006F129E" w:rsidRPr="0091086A">
        <w:t xml:space="preserve">between sub-groups in our sample with high statistical power. A </w:t>
      </w:r>
      <w:r w:rsidR="00805988">
        <w:t>0.5</w:t>
      </w:r>
      <w:r w:rsidR="006F129E" w:rsidRPr="0091086A">
        <w:t xml:space="preserve">-point difference would indicate a very large preference for one prototype over another; however, based on the calculations summarized in </w:t>
      </w:r>
      <w:r w:rsidR="006F129E" w:rsidRPr="0091086A">
        <w:fldChar w:fldCharType="begin"/>
      </w:r>
      <w:r w:rsidR="006F129E" w:rsidRPr="0091086A">
        <w:instrText xml:space="preserve"> REF _Ref495743328 \h  \* MERGEFORMAT </w:instrText>
      </w:r>
      <w:r w:rsidR="006F129E" w:rsidRPr="0091086A">
        <w:fldChar w:fldCharType="separate"/>
      </w:r>
      <w:r w:rsidR="00AF0CB3" w:rsidRPr="0091086A">
        <w:t xml:space="preserve">Table </w:t>
      </w:r>
      <w:r w:rsidR="00AF0CB3">
        <w:rPr>
          <w:noProof/>
        </w:rPr>
        <w:t>3</w:t>
      </w:r>
      <w:r w:rsidR="006F129E" w:rsidRPr="0091086A">
        <w:fldChar w:fldCharType="end"/>
      </w:r>
      <w:r w:rsidR="0091086A" w:rsidRPr="0091086A">
        <w:t xml:space="preserve">, and assuming a reasonable amount of variation in the data, the statistical power of finding mean differences of </w:t>
      </w:r>
      <w:r w:rsidR="00805988">
        <w:t>0.5</w:t>
      </w:r>
      <w:r w:rsidR="0091086A" w:rsidRPr="0091086A">
        <w:t xml:space="preserve"> (or even 0.</w:t>
      </w:r>
      <w:r w:rsidR="00805988">
        <w:t>2</w:t>
      </w:r>
      <w:r w:rsidR="0091086A" w:rsidRPr="0091086A">
        <w:t xml:space="preserve">5) point is high. A </w:t>
      </w:r>
      <w:r w:rsidR="00805988">
        <w:t>0.5-point</w:t>
      </w:r>
      <w:r w:rsidR="0091086A" w:rsidRPr="0091086A">
        <w:t xml:space="preserve"> difference on a </w:t>
      </w:r>
      <w:r w:rsidR="00805988">
        <w:t>5</w:t>
      </w:r>
      <w:r w:rsidR="0091086A" w:rsidRPr="0091086A">
        <w:t>-point scale in mean preference between two prototype</w:t>
      </w:r>
      <w:r w:rsidR="00FD2D89">
        <w:t>s</w:t>
      </w:r>
      <w:r w:rsidR="0091086A" w:rsidRPr="0091086A">
        <w:t xml:space="preserve"> is acceptable to </w:t>
      </w:r>
      <w:r w:rsidR="00FD2D89">
        <w:t xml:space="preserve">the </w:t>
      </w:r>
      <w:r w:rsidR="0091086A" w:rsidRPr="0091086A">
        <w:t>NWS.</w:t>
      </w:r>
    </w:p>
    <w:p w14:paraId="0F9342AC" w14:textId="77777777" w:rsidR="00962EA8" w:rsidRPr="0091086A" w:rsidRDefault="00962EA8" w:rsidP="00BA7109">
      <w:pPr>
        <w:rPr>
          <w:lang w:val="en-GB" w:eastAsia="en-GB"/>
        </w:rPr>
      </w:pPr>
    </w:p>
    <w:p w14:paraId="1F716786" w14:textId="77777777" w:rsidR="00BA7109" w:rsidRPr="0091086A" w:rsidRDefault="00BA7109" w:rsidP="00BA7109">
      <w:pPr>
        <w:numPr>
          <w:ilvl w:val="0"/>
          <w:numId w:val="9"/>
        </w:numPr>
        <w:autoSpaceDE w:val="0"/>
        <w:autoSpaceDN w:val="0"/>
        <w:adjustRightInd w:val="0"/>
        <w:ind w:left="360"/>
        <w:rPr>
          <w:b/>
          <w:bCs/>
          <w:lang w:val="en-GB" w:eastAsia="en-GB"/>
        </w:rPr>
      </w:pPr>
      <w:r w:rsidRPr="0091086A">
        <w:rPr>
          <w:b/>
          <w:bCs/>
          <w:lang w:val="en-GB" w:eastAsia="en-GB"/>
        </w:rPr>
        <w:t>Describe any tests of procedures or methods to be undertaken. Tests are encouraged as effective means to refine collections, but if ten or more test respondents are involved OMB must give prior approval.</w:t>
      </w:r>
    </w:p>
    <w:p w14:paraId="5C9D4B81" w14:textId="77777777" w:rsidR="00BA7109" w:rsidRPr="0091086A" w:rsidRDefault="00BA7109" w:rsidP="00C1145F">
      <w:pPr>
        <w:ind w:left="360"/>
        <w:rPr>
          <w:lang w:eastAsia="en-GB"/>
        </w:rPr>
      </w:pPr>
    </w:p>
    <w:p w14:paraId="19668D2D" w14:textId="48315BFB" w:rsidR="001C056C" w:rsidRPr="0091086A" w:rsidRDefault="00E731DA" w:rsidP="005709A3">
      <w:pPr>
        <w:ind w:left="-5" w:right="3"/>
      </w:pPr>
      <w:r>
        <w:t xml:space="preserve">The </w:t>
      </w:r>
      <w:r w:rsidR="001C056C" w:rsidRPr="0091086A">
        <w:t>NWS’</w:t>
      </w:r>
      <w:r w:rsidR="00E06BBB" w:rsidRPr="0091086A">
        <w:t>s contractor, ERG, has or will perform</w:t>
      </w:r>
      <w:r w:rsidR="001C056C" w:rsidRPr="0091086A">
        <w:t xml:space="preserve"> the </w:t>
      </w:r>
      <w:r w:rsidR="00E06BBB" w:rsidRPr="0091086A">
        <w:t>following procedures and tests to ensure an effective data collection process:</w:t>
      </w:r>
    </w:p>
    <w:p w14:paraId="0E42ADC0" w14:textId="77777777" w:rsidR="001C056C" w:rsidRPr="0091086A" w:rsidRDefault="001C056C" w:rsidP="005709A3">
      <w:pPr>
        <w:ind w:left="-5" w:right="3"/>
      </w:pPr>
    </w:p>
    <w:p w14:paraId="2F104D48" w14:textId="7D3C49C3" w:rsidR="006728FF" w:rsidRPr="00E731DA" w:rsidRDefault="00965D22" w:rsidP="00A66FF0">
      <w:pPr>
        <w:pStyle w:val="ListParagraph"/>
        <w:numPr>
          <w:ilvl w:val="0"/>
          <w:numId w:val="39"/>
        </w:numPr>
        <w:autoSpaceDE w:val="0"/>
        <w:autoSpaceDN w:val="0"/>
        <w:adjustRightInd w:val="0"/>
        <w:rPr>
          <w:rFonts w:eastAsia="Calibri"/>
        </w:rPr>
      </w:pPr>
      <w:r w:rsidRPr="0091086A">
        <w:t>ERG has performed significant prior research on this subject</w:t>
      </w:r>
      <w:r w:rsidR="00FD2D89">
        <w:t xml:space="preserve"> as described earlier</w:t>
      </w:r>
      <w:r w:rsidRPr="0091086A">
        <w:t>.</w:t>
      </w:r>
      <w:r w:rsidR="00FD2D89" w:rsidRPr="00E731DA">
        <w:rPr>
          <w:rFonts w:eastAsiaTheme="minorHAnsi"/>
        </w:rPr>
        <w:t xml:space="preserve"> </w:t>
      </w:r>
      <w:r w:rsidR="005209C7">
        <w:rPr>
          <w:rFonts w:eastAsiaTheme="minorHAnsi"/>
        </w:rPr>
        <w:t xml:space="preserve">ERG performed a series of group interviews with NWS staff and stakeholders as well as a series of focus groups with the public on </w:t>
      </w:r>
      <w:r w:rsidR="00C7757C">
        <w:rPr>
          <w:rFonts w:eastAsiaTheme="minorHAnsi"/>
        </w:rPr>
        <w:t xml:space="preserve">the </w:t>
      </w:r>
      <w:r w:rsidR="005209C7">
        <w:rPr>
          <w:rFonts w:eastAsiaTheme="minorHAnsi"/>
        </w:rPr>
        <w:t>NWS’</w:t>
      </w:r>
      <w:r w:rsidR="00C7757C">
        <w:rPr>
          <w:rFonts w:eastAsiaTheme="minorHAnsi"/>
        </w:rPr>
        <w:t>s</w:t>
      </w:r>
      <w:r w:rsidR="005209C7">
        <w:rPr>
          <w:rFonts w:eastAsiaTheme="minorHAnsi"/>
        </w:rPr>
        <w:t xml:space="preserve"> dissemination of fire weather information. The results from these interviews and focus groups have been incorporated into the survey.</w:t>
      </w:r>
    </w:p>
    <w:p w14:paraId="1F719548" w14:textId="77777777" w:rsidR="00965D22" w:rsidRPr="004D5428" w:rsidRDefault="00FD2D89" w:rsidP="004D5428">
      <w:pPr>
        <w:autoSpaceDE w:val="0"/>
        <w:autoSpaceDN w:val="0"/>
        <w:adjustRightInd w:val="0"/>
        <w:rPr>
          <w:rFonts w:eastAsia="Calibri"/>
        </w:rPr>
      </w:pPr>
      <w:r>
        <w:rPr>
          <w:rFonts w:eastAsia="Calibri"/>
        </w:rPr>
        <w:t xml:space="preserve"> </w:t>
      </w:r>
    </w:p>
    <w:p w14:paraId="25DD795A" w14:textId="3F04A7B6" w:rsidR="001C056C" w:rsidRPr="0091086A" w:rsidRDefault="005209C7" w:rsidP="005209C7">
      <w:pPr>
        <w:pStyle w:val="ListParagraph"/>
        <w:numPr>
          <w:ilvl w:val="0"/>
          <w:numId w:val="36"/>
        </w:numPr>
        <w:spacing w:after="120"/>
        <w:ind w:left="720" w:right="3"/>
        <w:contextualSpacing w:val="0"/>
      </w:pPr>
      <w:r>
        <w:t xml:space="preserve">This survey is modeled after </w:t>
      </w:r>
      <w:r w:rsidR="00532F58">
        <w:t>a Hazard Simplification survey</w:t>
      </w:r>
      <w:r>
        <w:t xml:space="preserve"> that OMB approved on 11/20/17 under this same control number. Thus, this survey incorporates the information we learned from developing that survey into this one as well. Furthermore, that survey effort involved an internal validation done by ERG staff and a pre-test of a similar instrument by a University of Georgia graduate student. Thus, all of that prior work was used as a basis for constructing this instrument. </w:t>
      </w:r>
    </w:p>
    <w:p w14:paraId="3C853FB2" w14:textId="13915B77" w:rsidR="00965D22" w:rsidRPr="0091086A" w:rsidRDefault="009B4DCA" w:rsidP="00405E94">
      <w:pPr>
        <w:pStyle w:val="ListParagraph"/>
        <w:numPr>
          <w:ilvl w:val="0"/>
          <w:numId w:val="36"/>
        </w:numPr>
        <w:shd w:val="clear" w:color="auto" w:fill="FFFFFF"/>
        <w:spacing w:before="100" w:beforeAutospacing="1" w:after="120"/>
        <w:ind w:left="720"/>
        <w:contextualSpacing w:val="0"/>
      </w:pPr>
      <w:r w:rsidRPr="009B4DCA">
        <w:t>The</w:t>
      </w:r>
      <w:r w:rsidR="00965D22" w:rsidRPr="009B4DCA">
        <w:t xml:space="preserve"> </w:t>
      </w:r>
      <w:r w:rsidR="00F22C9D" w:rsidRPr="009B4DCA">
        <w:rPr>
          <w:color w:val="222222"/>
          <w:shd w:val="clear" w:color="auto" w:fill="FFFFFF"/>
        </w:rPr>
        <w:t>pretest will consist of assessing results of the first day of the surve</w:t>
      </w:r>
      <w:r>
        <w:rPr>
          <w:color w:val="222222"/>
          <w:shd w:val="clear" w:color="auto" w:fill="FFFFFF"/>
        </w:rPr>
        <w:t>y.</w:t>
      </w:r>
      <w:r w:rsidR="00965D22" w:rsidRPr="009B4DCA">
        <w:t xml:space="preserve"> ERG will make </w:t>
      </w:r>
      <w:r w:rsidR="00965D22" w:rsidRPr="0091086A">
        <w:t>changes as needed based on the pre-test.</w:t>
      </w:r>
    </w:p>
    <w:p w14:paraId="5EE96CE0" w14:textId="77777777" w:rsidR="00BA7109" w:rsidRPr="0091086A" w:rsidRDefault="00BA7109" w:rsidP="00BA7109">
      <w:pPr>
        <w:rPr>
          <w:lang w:val="en-GB" w:eastAsia="en-GB"/>
        </w:rPr>
      </w:pPr>
    </w:p>
    <w:p w14:paraId="3C02A5B7" w14:textId="77777777" w:rsidR="00BA7109" w:rsidRPr="0091086A" w:rsidRDefault="00BA7109" w:rsidP="00BA7109">
      <w:pPr>
        <w:numPr>
          <w:ilvl w:val="0"/>
          <w:numId w:val="9"/>
        </w:numPr>
        <w:autoSpaceDE w:val="0"/>
        <w:autoSpaceDN w:val="0"/>
        <w:adjustRightInd w:val="0"/>
        <w:ind w:left="360"/>
        <w:rPr>
          <w:b/>
          <w:bCs/>
          <w:lang w:val="en-GB" w:eastAsia="en-GB"/>
        </w:rPr>
      </w:pPr>
      <w:r w:rsidRPr="0091086A">
        <w:rPr>
          <w:b/>
          <w:bCs/>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14:paraId="4C9C3D3D" w14:textId="77777777" w:rsidR="00BA7109" w:rsidRPr="0091086A" w:rsidRDefault="00BA7109" w:rsidP="00BA7109">
      <w:pPr>
        <w:rPr>
          <w:b/>
          <w:lang w:val="en-GB" w:eastAsia="en-GB"/>
        </w:rPr>
      </w:pPr>
    </w:p>
    <w:p w14:paraId="20E62C3F" w14:textId="77777777" w:rsidR="00391177" w:rsidRPr="0091086A" w:rsidRDefault="00393FF6" w:rsidP="00391177">
      <w:pPr>
        <w:ind w:left="450"/>
      </w:pPr>
      <w:r w:rsidRPr="0091086A">
        <w:t xml:space="preserve">The </w:t>
      </w:r>
      <w:r w:rsidR="00391177" w:rsidRPr="0091086A">
        <w:t xml:space="preserve">NWS </w:t>
      </w:r>
      <w:r w:rsidRPr="0091086A">
        <w:t xml:space="preserve">has </w:t>
      </w:r>
      <w:r w:rsidR="00391177" w:rsidRPr="0091086A">
        <w:t>contracted with Eastern Research Group, Inc. (ERG) of Lexington, MA, to design the survey instrument, develop the sampling approach, implement the survey, and analyze the resulting data collected. The survey design team included the following individuals:</w:t>
      </w:r>
    </w:p>
    <w:p w14:paraId="393C339F" w14:textId="77777777" w:rsidR="00391177" w:rsidRPr="0091086A" w:rsidRDefault="00391177" w:rsidP="00391177">
      <w:pPr>
        <w:ind w:left="450"/>
      </w:pPr>
    </w:p>
    <w:p w14:paraId="55952038" w14:textId="77777777" w:rsidR="00391177" w:rsidRPr="0091086A" w:rsidRDefault="00391177" w:rsidP="00391177">
      <w:pPr>
        <w:ind w:left="450"/>
        <w:rPr>
          <w:u w:val="single"/>
        </w:rPr>
      </w:pPr>
      <w:r w:rsidRPr="0091086A">
        <w:t xml:space="preserve">Dr. Lou Nadeau (781) 674-7316; </w:t>
      </w:r>
      <w:hyperlink r:id="rId9" w:history="1">
        <w:r w:rsidRPr="0091086A">
          <w:rPr>
            <w:u w:val="single"/>
          </w:rPr>
          <w:t>lou.nadeau@erg.com</w:t>
        </w:r>
      </w:hyperlink>
    </w:p>
    <w:p w14:paraId="5501ECCB" w14:textId="77777777" w:rsidR="00965D22" w:rsidRPr="0091086A" w:rsidRDefault="00965D22" w:rsidP="00965D22">
      <w:pPr>
        <w:ind w:firstLine="450"/>
      </w:pPr>
    </w:p>
    <w:sectPr w:rsidR="00965D22" w:rsidRPr="0091086A" w:rsidSect="00F316D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78921" w14:textId="77777777" w:rsidR="00FA50D9" w:rsidRDefault="00FA50D9" w:rsidP="004B2986">
      <w:r>
        <w:separator/>
      </w:r>
    </w:p>
  </w:endnote>
  <w:endnote w:type="continuationSeparator" w:id="0">
    <w:p w14:paraId="171A1DD3" w14:textId="77777777" w:rsidR="00FA50D9" w:rsidRDefault="00FA50D9"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60CD9" w14:textId="417E2A76" w:rsidR="00EF7FF7" w:rsidRPr="00577B77" w:rsidRDefault="005B2846">
    <w:pPr>
      <w:pStyle w:val="Footer"/>
      <w:jc w:val="right"/>
      <w:rPr>
        <w:rFonts w:ascii="Times New Roman" w:hAnsi="Times New Roman"/>
        <w:b w:val="0"/>
      </w:rPr>
    </w:pPr>
    <w:r>
      <w:rPr>
        <w:rFonts w:ascii="Times New Roman" w:hAnsi="Times New Roman"/>
        <w:b w:val="0"/>
        <w:i/>
        <w:sz w:val="20"/>
        <w:szCs w:val="22"/>
      </w:rPr>
      <w:t xml:space="preserve">Fire Weather </w:t>
    </w:r>
    <w:r w:rsidR="00EF7FF7">
      <w:rPr>
        <w:rFonts w:ascii="Times New Roman" w:hAnsi="Times New Roman"/>
        <w:b w:val="0"/>
        <w:i/>
        <w:sz w:val="20"/>
        <w:szCs w:val="22"/>
      </w:rPr>
      <w:t>Communication Survey</w:t>
    </w:r>
    <w:r w:rsidR="00EF7FF7">
      <w:rPr>
        <w:sz w:val="22"/>
        <w:szCs w:val="22"/>
      </w:rPr>
      <w:tab/>
    </w:r>
    <w:r w:rsidR="00EF7FF7" w:rsidRPr="00577B77">
      <w:rPr>
        <w:rFonts w:ascii="Times New Roman" w:hAnsi="Times New Roman"/>
        <w:b w:val="0"/>
      </w:rPr>
      <w:fldChar w:fldCharType="begin"/>
    </w:r>
    <w:r w:rsidR="00EF7FF7" w:rsidRPr="00577B77">
      <w:rPr>
        <w:rFonts w:ascii="Times New Roman" w:hAnsi="Times New Roman"/>
        <w:b w:val="0"/>
      </w:rPr>
      <w:instrText xml:space="preserve"> PAGE   \* MERGEFORMAT </w:instrText>
    </w:r>
    <w:r w:rsidR="00EF7FF7" w:rsidRPr="00577B77">
      <w:rPr>
        <w:rFonts w:ascii="Times New Roman" w:hAnsi="Times New Roman"/>
        <w:b w:val="0"/>
      </w:rPr>
      <w:fldChar w:fldCharType="separate"/>
    </w:r>
    <w:r w:rsidR="00683DA0">
      <w:rPr>
        <w:rFonts w:ascii="Times New Roman" w:hAnsi="Times New Roman"/>
        <w:b w:val="0"/>
        <w:noProof/>
      </w:rPr>
      <w:t>1</w:t>
    </w:r>
    <w:r w:rsidR="00EF7FF7" w:rsidRPr="00577B77">
      <w:rPr>
        <w:rFonts w:ascii="Times New Roman" w:hAnsi="Times New Roman"/>
        <w:b w:val="0"/>
      </w:rPr>
      <w:fldChar w:fldCharType="end"/>
    </w:r>
  </w:p>
  <w:p w14:paraId="7C27C409" w14:textId="77777777" w:rsidR="00EF7FF7" w:rsidRDefault="00EF7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EE7D3" w14:textId="77777777" w:rsidR="00FA50D9" w:rsidRDefault="00FA50D9" w:rsidP="004B2986">
      <w:r>
        <w:separator/>
      </w:r>
    </w:p>
  </w:footnote>
  <w:footnote w:type="continuationSeparator" w:id="0">
    <w:p w14:paraId="587D8736" w14:textId="77777777" w:rsidR="00FA50D9" w:rsidRDefault="00FA50D9" w:rsidP="004B2986">
      <w:r>
        <w:continuationSeparator/>
      </w:r>
    </w:p>
  </w:footnote>
  <w:footnote w:id="1">
    <w:p w14:paraId="71616EDA" w14:textId="05586F80" w:rsidR="00EF7FF7" w:rsidRPr="005753BC" w:rsidRDefault="00EF7FF7" w:rsidP="005753BC">
      <w:r>
        <w:rPr>
          <w:rStyle w:val="FootnoteReference"/>
        </w:rPr>
        <w:footnoteRef/>
      </w:r>
      <w:r>
        <w:t xml:space="preserve"> Quoted text in the bullets is taken from: [a] See </w:t>
      </w:r>
      <w:hyperlink r:id="rId1" w:history="1">
        <w:r w:rsidRPr="00BC76BA">
          <w:rPr>
            <w:rStyle w:val="Hyperlink"/>
          </w:rPr>
          <w:t>http://www.nws.noaa.gov/om/fire/ww.shtml</w:t>
        </w:r>
      </w:hyperlink>
      <w:r>
        <w:t xml:space="preserve">. </w:t>
      </w:r>
    </w:p>
  </w:footnote>
  <w:footnote w:id="2">
    <w:p w14:paraId="511CB499" w14:textId="52644601" w:rsidR="00EC0B9E" w:rsidRPr="00EC0B9E" w:rsidRDefault="00EC0B9E" w:rsidP="008B655A">
      <w:pPr>
        <w:pStyle w:val="FootnoteText"/>
      </w:pPr>
      <w:r>
        <w:rPr>
          <w:rStyle w:val="FootnoteReference"/>
        </w:rPr>
        <w:footnoteRef/>
      </w:r>
      <w:r>
        <w:t xml:space="preserve"> NWS is interested in differences between the two sets of states and will perform analyses to assess those differences. The primary purpose of this survey, however, is to assess differences between the current system and the three new prototypes.</w:t>
      </w:r>
    </w:p>
  </w:footnote>
  <w:footnote w:id="3">
    <w:p w14:paraId="557D735B" w14:textId="58D1AFCB" w:rsidR="00EF7FF7" w:rsidRPr="005734CC" w:rsidRDefault="00EF7FF7" w:rsidP="008B655A">
      <w:pPr>
        <w:pStyle w:val="FootnoteText"/>
      </w:pPr>
      <w:r>
        <w:rPr>
          <w:rStyle w:val="FootnoteReference"/>
        </w:rPr>
        <w:footnoteRef/>
      </w:r>
      <w:r>
        <w:t xml:space="preserve"> The </w:t>
      </w:r>
      <w:r w:rsidR="00EC0B9E">
        <w:t>5</w:t>
      </w:r>
      <w:r>
        <w:t xml:space="preserve">-point scale question </w:t>
      </w:r>
      <w:r w:rsidR="00D17738">
        <w:t>is</w:t>
      </w:r>
      <w:r>
        <w:t xml:space="preserve"> respondent preferences for a prototype or their understanding of the information. </w:t>
      </w:r>
    </w:p>
  </w:footnote>
  <w:footnote w:id="4">
    <w:p w14:paraId="48BF4279" w14:textId="395B1921" w:rsidR="00EF7FF7" w:rsidRPr="007A7EB1" w:rsidRDefault="00EF7FF7" w:rsidP="008B655A">
      <w:pPr>
        <w:pStyle w:val="FootnoteText"/>
      </w:pPr>
      <w:r>
        <w:rPr>
          <w:rStyle w:val="FootnoteReference"/>
        </w:rPr>
        <w:footnoteRef/>
      </w:r>
      <w:r>
        <w:t xml:space="preserve"> The worst-case standard deviation for a </w:t>
      </w:r>
      <w:r w:rsidR="00EC0B9E">
        <w:t>5</w:t>
      </w:r>
      <w:r>
        <w:t>-point scaled question corresponds to one half of the respondents selecting the lowest level (1) and one half selecting the highest level (</w:t>
      </w:r>
      <w:r w:rsidR="00EC0B9E">
        <w:t>5</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23887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46396"/>
    <w:multiLevelType w:val="hybridMultilevel"/>
    <w:tmpl w:val="3E5CBE5A"/>
    <w:lvl w:ilvl="0" w:tplc="BD749FD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2740CD"/>
    <w:multiLevelType w:val="hybridMultilevel"/>
    <w:tmpl w:val="966C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80AFA"/>
    <w:multiLevelType w:val="hybridMultilevel"/>
    <w:tmpl w:val="94CCD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91F26"/>
    <w:multiLevelType w:val="multilevel"/>
    <w:tmpl w:val="4A82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86352"/>
    <w:multiLevelType w:val="hybridMultilevel"/>
    <w:tmpl w:val="34CE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1028A"/>
    <w:multiLevelType w:val="hybridMultilevel"/>
    <w:tmpl w:val="0B668A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3C3B92"/>
    <w:multiLevelType w:val="hybridMultilevel"/>
    <w:tmpl w:val="411C4E7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
    <w:nsid w:val="1F7177C1"/>
    <w:multiLevelType w:val="hybridMultilevel"/>
    <w:tmpl w:val="D1FC4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4">
    <w:nsid w:val="23A05C09"/>
    <w:multiLevelType w:val="multilevel"/>
    <w:tmpl w:val="13A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F8208E"/>
    <w:multiLevelType w:val="hybridMultilevel"/>
    <w:tmpl w:val="5DD0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7B6ED8"/>
    <w:multiLevelType w:val="hybridMultilevel"/>
    <w:tmpl w:val="3C16A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2D746952"/>
    <w:multiLevelType w:val="hybridMultilevel"/>
    <w:tmpl w:val="74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EB1968"/>
    <w:multiLevelType w:val="multilevel"/>
    <w:tmpl w:val="D11E2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AD149B"/>
    <w:multiLevelType w:val="hybridMultilevel"/>
    <w:tmpl w:val="5D8056FC"/>
    <w:lvl w:ilvl="0" w:tplc="C346F1EA">
      <w:start w:val="1"/>
      <w:numFmt w:val="bullet"/>
      <w:lvlText w:val=""/>
      <w:lvlJc w:val="left"/>
      <w:pPr>
        <w:ind w:left="720" w:hanging="360"/>
      </w:pPr>
      <w:rPr>
        <w:rFonts w:ascii="Symbol" w:hAnsi="Symbol" w:hint="default"/>
        <w:color w:val="auto"/>
      </w:rPr>
    </w:lvl>
    <w:lvl w:ilvl="1" w:tplc="146498E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EC543F"/>
    <w:multiLevelType w:val="hybridMultilevel"/>
    <w:tmpl w:val="5AE8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6F102A"/>
    <w:multiLevelType w:val="hybridMultilevel"/>
    <w:tmpl w:val="82DA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C05BD6"/>
    <w:multiLevelType w:val="hybridMultilevel"/>
    <w:tmpl w:val="F13AD6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2406B"/>
    <w:multiLevelType w:val="hybridMultilevel"/>
    <w:tmpl w:val="100CE7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7702643"/>
    <w:multiLevelType w:val="hybridMultilevel"/>
    <w:tmpl w:val="487E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BB1258"/>
    <w:multiLevelType w:val="hybridMultilevel"/>
    <w:tmpl w:val="49D00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8">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CF53FA9"/>
    <w:multiLevelType w:val="hybridMultilevel"/>
    <w:tmpl w:val="EC74C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nsid w:val="6E1F7498"/>
    <w:multiLevelType w:val="hybridMultilevel"/>
    <w:tmpl w:val="8968F3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DE57EC"/>
    <w:multiLevelType w:val="hybridMultilevel"/>
    <w:tmpl w:val="EEDE3E06"/>
    <w:lvl w:ilvl="0" w:tplc="0409000F">
      <w:start w:val="1"/>
      <w:numFmt w:val="decimal"/>
      <w:lvlText w:val="%1."/>
      <w:lvlJc w:val="left"/>
      <w:pPr>
        <w:ind w:left="8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177C81"/>
    <w:multiLevelType w:val="hybridMultilevel"/>
    <w:tmpl w:val="52CE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34"/>
  </w:num>
  <w:num w:numId="4">
    <w:abstractNumId w:val="9"/>
  </w:num>
  <w:num w:numId="5">
    <w:abstractNumId w:val="21"/>
  </w:num>
  <w:num w:numId="6">
    <w:abstractNumId w:val="38"/>
  </w:num>
  <w:num w:numId="7">
    <w:abstractNumId w:val="25"/>
  </w:num>
  <w:num w:numId="8">
    <w:abstractNumId w:val="13"/>
  </w:num>
  <w:num w:numId="9">
    <w:abstractNumId w:val="41"/>
  </w:num>
  <w:num w:numId="10">
    <w:abstractNumId w:val="20"/>
  </w:num>
  <w:num w:numId="11">
    <w:abstractNumId w:val="19"/>
  </w:num>
  <w:num w:numId="12">
    <w:abstractNumId w:val="28"/>
  </w:num>
  <w:num w:numId="13">
    <w:abstractNumId w:val="24"/>
  </w:num>
  <w:num w:numId="14">
    <w:abstractNumId w:val="37"/>
  </w:num>
  <w:num w:numId="15">
    <w:abstractNumId w:val="23"/>
  </w:num>
  <w:num w:numId="16">
    <w:abstractNumId w:val="10"/>
  </w:num>
  <w:num w:numId="17">
    <w:abstractNumId w:val="5"/>
  </w:num>
  <w:num w:numId="18">
    <w:abstractNumId w:val="42"/>
  </w:num>
  <w:num w:numId="19">
    <w:abstractNumId w:val="26"/>
  </w:num>
  <w:num w:numId="20">
    <w:abstractNumId w:val="1"/>
  </w:num>
  <w:num w:numId="21">
    <w:abstractNumId w:val="33"/>
  </w:num>
  <w:num w:numId="22">
    <w:abstractNumId w:val="14"/>
  </w:num>
  <w:num w:numId="23">
    <w:abstractNumId w:val="39"/>
  </w:num>
  <w:num w:numId="24">
    <w:abstractNumId w:val="40"/>
  </w:num>
  <w:num w:numId="25">
    <w:abstractNumId w:val="31"/>
  </w:num>
  <w:num w:numId="26">
    <w:abstractNumId w:val="36"/>
  </w:num>
  <w:num w:numId="27">
    <w:abstractNumId w:val="18"/>
  </w:num>
  <w:num w:numId="28">
    <w:abstractNumId w:val="6"/>
  </w:num>
  <w:num w:numId="29">
    <w:abstractNumId w:val="8"/>
  </w:num>
  <w:num w:numId="30">
    <w:abstractNumId w:val="2"/>
  </w:num>
  <w:num w:numId="31">
    <w:abstractNumId w:val="4"/>
  </w:num>
  <w:num w:numId="32">
    <w:abstractNumId w:val="43"/>
  </w:num>
  <w:num w:numId="33">
    <w:abstractNumId w:val="35"/>
  </w:num>
  <w:num w:numId="34">
    <w:abstractNumId w:val="12"/>
  </w:num>
  <w:num w:numId="35">
    <w:abstractNumId w:val="15"/>
  </w:num>
  <w:num w:numId="36">
    <w:abstractNumId w:val="11"/>
  </w:num>
  <w:num w:numId="37">
    <w:abstractNumId w:val="29"/>
  </w:num>
  <w:num w:numId="38">
    <w:abstractNumId w:val="32"/>
  </w:num>
  <w:num w:numId="39">
    <w:abstractNumId w:val="17"/>
  </w:num>
  <w:num w:numId="40">
    <w:abstractNumId w:val="27"/>
  </w:num>
  <w:num w:numId="41">
    <w:abstractNumId w:val="7"/>
  </w:num>
  <w:num w:numId="42">
    <w:abstractNumId w:val="16"/>
  </w:num>
  <w:num w:numId="43">
    <w:abstractNumId w:val="2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86"/>
    <w:rsid w:val="000058F9"/>
    <w:rsid w:val="00007BF2"/>
    <w:rsid w:val="000129AB"/>
    <w:rsid w:val="00012BA6"/>
    <w:rsid w:val="0002646D"/>
    <w:rsid w:val="00026843"/>
    <w:rsid w:val="00033248"/>
    <w:rsid w:val="00035B6D"/>
    <w:rsid w:val="000440A5"/>
    <w:rsid w:val="00075366"/>
    <w:rsid w:val="00076244"/>
    <w:rsid w:val="00084853"/>
    <w:rsid w:val="00087468"/>
    <w:rsid w:val="00091271"/>
    <w:rsid w:val="00091F7C"/>
    <w:rsid w:val="00092167"/>
    <w:rsid w:val="000D16F2"/>
    <w:rsid w:val="000D377B"/>
    <w:rsid w:val="000D76E1"/>
    <w:rsid w:val="000E1C7F"/>
    <w:rsid w:val="000E3645"/>
    <w:rsid w:val="000F0057"/>
    <w:rsid w:val="00100596"/>
    <w:rsid w:val="00105082"/>
    <w:rsid w:val="00106600"/>
    <w:rsid w:val="0011089E"/>
    <w:rsid w:val="00130348"/>
    <w:rsid w:val="001316B1"/>
    <w:rsid w:val="001336E9"/>
    <w:rsid w:val="00144FA7"/>
    <w:rsid w:val="00145E9B"/>
    <w:rsid w:val="001509B9"/>
    <w:rsid w:val="001558A9"/>
    <w:rsid w:val="001563C1"/>
    <w:rsid w:val="00157063"/>
    <w:rsid w:val="001626E4"/>
    <w:rsid w:val="00182573"/>
    <w:rsid w:val="00191CF0"/>
    <w:rsid w:val="00197CAD"/>
    <w:rsid w:val="001A5EF5"/>
    <w:rsid w:val="001B05E6"/>
    <w:rsid w:val="001B2033"/>
    <w:rsid w:val="001C056C"/>
    <w:rsid w:val="001C496B"/>
    <w:rsid w:val="001D3D86"/>
    <w:rsid w:val="001E44B1"/>
    <w:rsid w:val="001E62DA"/>
    <w:rsid w:val="00203DF0"/>
    <w:rsid w:val="002119A0"/>
    <w:rsid w:val="0021645F"/>
    <w:rsid w:val="0022410D"/>
    <w:rsid w:val="00231EFA"/>
    <w:rsid w:val="002327CE"/>
    <w:rsid w:val="00237A89"/>
    <w:rsid w:val="00240CDF"/>
    <w:rsid w:val="0024106B"/>
    <w:rsid w:val="00244AD4"/>
    <w:rsid w:val="002624BC"/>
    <w:rsid w:val="00277FCB"/>
    <w:rsid w:val="00281F10"/>
    <w:rsid w:val="00285474"/>
    <w:rsid w:val="00285B1D"/>
    <w:rsid w:val="00296C3B"/>
    <w:rsid w:val="002B5E4F"/>
    <w:rsid w:val="002B67C7"/>
    <w:rsid w:val="002C7E1F"/>
    <w:rsid w:val="002D1789"/>
    <w:rsid w:val="002D7159"/>
    <w:rsid w:val="002E217E"/>
    <w:rsid w:val="002E2AA2"/>
    <w:rsid w:val="002F5582"/>
    <w:rsid w:val="0030112B"/>
    <w:rsid w:val="00301882"/>
    <w:rsid w:val="00317058"/>
    <w:rsid w:val="003214E0"/>
    <w:rsid w:val="00321E82"/>
    <w:rsid w:val="003317E3"/>
    <w:rsid w:val="00335BD5"/>
    <w:rsid w:val="003364BF"/>
    <w:rsid w:val="00336F0F"/>
    <w:rsid w:val="003466ED"/>
    <w:rsid w:val="0034697E"/>
    <w:rsid w:val="003559E4"/>
    <w:rsid w:val="003700BE"/>
    <w:rsid w:val="00372651"/>
    <w:rsid w:val="00384B90"/>
    <w:rsid w:val="00390CC9"/>
    <w:rsid w:val="00391177"/>
    <w:rsid w:val="00392DA5"/>
    <w:rsid w:val="00393FF6"/>
    <w:rsid w:val="00395BBA"/>
    <w:rsid w:val="003A64D9"/>
    <w:rsid w:val="003A73B8"/>
    <w:rsid w:val="003A7DC6"/>
    <w:rsid w:val="003B5739"/>
    <w:rsid w:val="003B7A0E"/>
    <w:rsid w:val="003C0FC4"/>
    <w:rsid w:val="003E5A6F"/>
    <w:rsid w:val="004059B9"/>
    <w:rsid w:val="00405E94"/>
    <w:rsid w:val="00415AA9"/>
    <w:rsid w:val="00417F19"/>
    <w:rsid w:val="00430F86"/>
    <w:rsid w:val="00432DC2"/>
    <w:rsid w:val="004346C8"/>
    <w:rsid w:val="00466643"/>
    <w:rsid w:val="00472777"/>
    <w:rsid w:val="00475267"/>
    <w:rsid w:val="00477B0B"/>
    <w:rsid w:val="00485D4E"/>
    <w:rsid w:val="004862DD"/>
    <w:rsid w:val="0048777F"/>
    <w:rsid w:val="00490B26"/>
    <w:rsid w:val="004A4419"/>
    <w:rsid w:val="004B2986"/>
    <w:rsid w:val="004C3774"/>
    <w:rsid w:val="004C3C80"/>
    <w:rsid w:val="004C5B7D"/>
    <w:rsid w:val="004C6FAE"/>
    <w:rsid w:val="004D2507"/>
    <w:rsid w:val="004D5428"/>
    <w:rsid w:val="004E1E92"/>
    <w:rsid w:val="004E58D5"/>
    <w:rsid w:val="004F0F25"/>
    <w:rsid w:val="005003A2"/>
    <w:rsid w:val="00500A43"/>
    <w:rsid w:val="00506219"/>
    <w:rsid w:val="00513B5E"/>
    <w:rsid w:val="00516E97"/>
    <w:rsid w:val="005209C7"/>
    <w:rsid w:val="00527F41"/>
    <w:rsid w:val="00530301"/>
    <w:rsid w:val="00532F58"/>
    <w:rsid w:val="00534257"/>
    <w:rsid w:val="005407E0"/>
    <w:rsid w:val="0054273F"/>
    <w:rsid w:val="005523FB"/>
    <w:rsid w:val="0055485C"/>
    <w:rsid w:val="00555071"/>
    <w:rsid w:val="005641F7"/>
    <w:rsid w:val="00566DC6"/>
    <w:rsid w:val="005709A3"/>
    <w:rsid w:val="005734CC"/>
    <w:rsid w:val="00574291"/>
    <w:rsid w:val="005753BC"/>
    <w:rsid w:val="005767CD"/>
    <w:rsid w:val="0058389D"/>
    <w:rsid w:val="00596379"/>
    <w:rsid w:val="00596876"/>
    <w:rsid w:val="005A30B5"/>
    <w:rsid w:val="005A31DF"/>
    <w:rsid w:val="005A3F90"/>
    <w:rsid w:val="005A485D"/>
    <w:rsid w:val="005A4CFB"/>
    <w:rsid w:val="005B2846"/>
    <w:rsid w:val="005C0203"/>
    <w:rsid w:val="005D06D3"/>
    <w:rsid w:val="005D5488"/>
    <w:rsid w:val="005E4D7D"/>
    <w:rsid w:val="005E67A5"/>
    <w:rsid w:val="005F2CEB"/>
    <w:rsid w:val="005F3B88"/>
    <w:rsid w:val="005F41B1"/>
    <w:rsid w:val="005F6544"/>
    <w:rsid w:val="005F6F57"/>
    <w:rsid w:val="00606AE9"/>
    <w:rsid w:val="0061619E"/>
    <w:rsid w:val="00616CF2"/>
    <w:rsid w:val="00625F8D"/>
    <w:rsid w:val="00627DF0"/>
    <w:rsid w:val="00631A2D"/>
    <w:rsid w:val="0063324E"/>
    <w:rsid w:val="006406AB"/>
    <w:rsid w:val="00651243"/>
    <w:rsid w:val="006529D5"/>
    <w:rsid w:val="0066133B"/>
    <w:rsid w:val="00662BC4"/>
    <w:rsid w:val="00666720"/>
    <w:rsid w:val="006728FF"/>
    <w:rsid w:val="00676FF8"/>
    <w:rsid w:val="006833BA"/>
    <w:rsid w:val="00683DA0"/>
    <w:rsid w:val="006904C3"/>
    <w:rsid w:val="00695A7B"/>
    <w:rsid w:val="00697AF7"/>
    <w:rsid w:val="006A3CE3"/>
    <w:rsid w:val="006A3EC7"/>
    <w:rsid w:val="006B4494"/>
    <w:rsid w:val="006C08D0"/>
    <w:rsid w:val="006D0E6C"/>
    <w:rsid w:val="006D4CC6"/>
    <w:rsid w:val="006D686A"/>
    <w:rsid w:val="006F129E"/>
    <w:rsid w:val="006F2E92"/>
    <w:rsid w:val="00700E3D"/>
    <w:rsid w:val="0070520D"/>
    <w:rsid w:val="007060C0"/>
    <w:rsid w:val="0070684D"/>
    <w:rsid w:val="00711C59"/>
    <w:rsid w:val="00712CC7"/>
    <w:rsid w:val="00715973"/>
    <w:rsid w:val="0072348F"/>
    <w:rsid w:val="007258C8"/>
    <w:rsid w:val="00730220"/>
    <w:rsid w:val="00732867"/>
    <w:rsid w:val="0075059C"/>
    <w:rsid w:val="007515A6"/>
    <w:rsid w:val="00760AA2"/>
    <w:rsid w:val="00770704"/>
    <w:rsid w:val="00770BC0"/>
    <w:rsid w:val="00772623"/>
    <w:rsid w:val="00777A66"/>
    <w:rsid w:val="007806A4"/>
    <w:rsid w:val="00783182"/>
    <w:rsid w:val="00784846"/>
    <w:rsid w:val="007854A4"/>
    <w:rsid w:val="007A7EB1"/>
    <w:rsid w:val="007E12C9"/>
    <w:rsid w:val="007F2AE0"/>
    <w:rsid w:val="007F6887"/>
    <w:rsid w:val="00800CBD"/>
    <w:rsid w:val="00805988"/>
    <w:rsid w:val="008168B2"/>
    <w:rsid w:val="00827BE1"/>
    <w:rsid w:val="008325C3"/>
    <w:rsid w:val="00834AA1"/>
    <w:rsid w:val="00835E16"/>
    <w:rsid w:val="00837B2B"/>
    <w:rsid w:val="00845C95"/>
    <w:rsid w:val="00846F65"/>
    <w:rsid w:val="00862787"/>
    <w:rsid w:val="0086344B"/>
    <w:rsid w:val="00871769"/>
    <w:rsid w:val="00880ECF"/>
    <w:rsid w:val="008823DB"/>
    <w:rsid w:val="008939DE"/>
    <w:rsid w:val="008941E4"/>
    <w:rsid w:val="00896E0F"/>
    <w:rsid w:val="008A0DB4"/>
    <w:rsid w:val="008A1382"/>
    <w:rsid w:val="008B0E57"/>
    <w:rsid w:val="008B655A"/>
    <w:rsid w:val="008C0200"/>
    <w:rsid w:val="008E552F"/>
    <w:rsid w:val="008E5A03"/>
    <w:rsid w:val="008F07C6"/>
    <w:rsid w:val="008F0D87"/>
    <w:rsid w:val="008F50EF"/>
    <w:rsid w:val="008F7B77"/>
    <w:rsid w:val="00900D67"/>
    <w:rsid w:val="00906A8D"/>
    <w:rsid w:val="0091086A"/>
    <w:rsid w:val="00920EB4"/>
    <w:rsid w:val="0092469C"/>
    <w:rsid w:val="00926036"/>
    <w:rsid w:val="009344F1"/>
    <w:rsid w:val="00943486"/>
    <w:rsid w:val="009437AF"/>
    <w:rsid w:val="009529E0"/>
    <w:rsid w:val="00952BDA"/>
    <w:rsid w:val="009575BF"/>
    <w:rsid w:val="00960A3F"/>
    <w:rsid w:val="00962EA8"/>
    <w:rsid w:val="00963722"/>
    <w:rsid w:val="00965D22"/>
    <w:rsid w:val="0096744F"/>
    <w:rsid w:val="00970F01"/>
    <w:rsid w:val="0097321E"/>
    <w:rsid w:val="00983805"/>
    <w:rsid w:val="0099307E"/>
    <w:rsid w:val="00995B80"/>
    <w:rsid w:val="00997B94"/>
    <w:rsid w:val="009A5D9F"/>
    <w:rsid w:val="009B4DCA"/>
    <w:rsid w:val="009C0467"/>
    <w:rsid w:val="009C3B5A"/>
    <w:rsid w:val="009C4A4A"/>
    <w:rsid w:val="009C5A07"/>
    <w:rsid w:val="009C7A95"/>
    <w:rsid w:val="009D1E6D"/>
    <w:rsid w:val="009D36E7"/>
    <w:rsid w:val="009D499F"/>
    <w:rsid w:val="009E537C"/>
    <w:rsid w:val="009E5CCE"/>
    <w:rsid w:val="009F4285"/>
    <w:rsid w:val="00A021FF"/>
    <w:rsid w:val="00A078D4"/>
    <w:rsid w:val="00A102EC"/>
    <w:rsid w:val="00A13374"/>
    <w:rsid w:val="00A255CC"/>
    <w:rsid w:val="00A3132E"/>
    <w:rsid w:val="00A338EA"/>
    <w:rsid w:val="00A401A0"/>
    <w:rsid w:val="00A436AA"/>
    <w:rsid w:val="00A537A4"/>
    <w:rsid w:val="00A54E6D"/>
    <w:rsid w:val="00A57125"/>
    <w:rsid w:val="00A579D8"/>
    <w:rsid w:val="00A61C55"/>
    <w:rsid w:val="00A61C62"/>
    <w:rsid w:val="00A652B3"/>
    <w:rsid w:val="00A661D7"/>
    <w:rsid w:val="00A66FF0"/>
    <w:rsid w:val="00A76C36"/>
    <w:rsid w:val="00A847D2"/>
    <w:rsid w:val="00A87B1F"/>
    <w:rsid w:val="00A9138A"/>
    <w:rsid w:val="00A92085"/>
    <w:rsid w:val="00AA1254"/>
    <w:rsid w:val="00AA3FE0"/>
    <w:rsid w:val="00AB45F1"/>
    <w:rsid w:val="00AC0010"/>
    <w:rsid w:val="00AD07A8"/>
    <w:rsid w:val="00AE39E2"/>
    <w:rsid w:val="00AF0CB3"/>
    <w:rsid w:val="00B00947"/>
    <w:rsid w:val="00B0555D"/>
    <w:rsid w:val="00B41C10"/>
    <w:rsid w:val="00B44B7B"/>
    <w:rsid w:val="00B4638E"/>
    <w:rsid w:val="00B507B2"/>
    <w:rsid w:val="00B52B3B"/>
    <w:rsid w:val="00B6499F"/>
    <w:rsid w:val="00B70F7A"/>
    <w:rsid w:val="00B74196"/>
    <w:rsid w:val="00B76277"/>
    <w:rsid w:val="00B81ADF"/>
    <w:rsid w:val="00B91E4E"/>
    <w:rsid w:val="00B9723F"/>
    <w:rsid w:val="00BA7109"/>
    <w:rsid w:val="00BB27E8"/>
    <w:rsid w:val="00BB4025"/>
    <w:rsid w:val="00BB63AD"/>
    <w:rsid w:val="00BC4B8F"/>
    <w:rsid w:val="00BC697B"/>
    <w:rsid w:val="00BD2CB0"/>
    <w:rsid w:val="00BD3526"/>
    <w:rsid w:val="00BD4C5E"/>
    <w:rsid w:val="00BD4D08"/>
    <w:rsid w:val="00BD6430"/>
    <w:rsid w:val="00BD6B85"/>
    <w:rsid w:val="00BE40DD"/>
    <w:rsid w:val="00BE5DCE"/>
    <w:rsid w:val="00C04290"/>
    <w:rsid w:val="00C1145F"/>
    <w:rsid w:val="00C25F98"/>
    <w:rsid w:val="00C26021"/>
    <w:rsid w:val="00C356ED"/>
    <w:rsid w:val="00C361B7"/>
    <w:rsid w:val="00C537F1"/>
    <w:rsid w:val="00C70580"/>
    <w:rsid w:val="00C7757C"/>
    <w:rsid w:val="00C809AF"/>
    <w:rsid w:val="00C812AB"/>
    <w:rsid w:val="00C8173F"/>
    <w:rsid w:val="00C81A31"/>
    <w:rsid w:val="00C8678D"/>
    <w:rsid w:val="00C90855"/>
    <w:rsid w:val="00C962AB"/>
    <w:rsid w:val="00CA410A"/>
    <w:rsid w:val="00CB6B67"/>
    <w:rsid w:val="00CC1ECD"/>
    <w:rsid w:val="00CC5256"/>
    <w:rsid w:val="00CD2673"/>
    <w:rsid w:val="00CE51ED"/>
    <w:rsid w:val="00CF2605"/>
    <w:rsid w:val="00D17738"/>
    <w:rsid w:val="00D235AF"/>
    <w:rsid w:val="00D26A83"/>
    <w:rsid w:val="00D27890"/>
    <w:rsid w:val="00D306F8"/>
    <w:rsid w:val="00D42592"/>
    <w:rsid w:val="00D43300"/>
    <w:rsid w:val="00D66FC7"/>
    <w:rsid w:val="00D709BB"/>
    <w:rsid w:val="00D709E6"/>
    <w:rsid w:val="00D72130"/>
    <w:rsid w:val="00D73CF5"/>
    <w:rsid w:val="00D92DD1"/>
    <w:rsid w:val="00DA6DC6"/>
    <w:rsid w:val="00DB05E1"/>
    <w:rsid w:val="00DB15B4"/>
    <w:rsid w:val="00DB3687"/>
    <w:rsid w:val="00DB6A23"/>
    <w:rsid w:val="00DB74A5"/>
    <w:rsid w:val="00DC456B"/>
    <w:rsid w:val="00DC7E6F"/>
    <w:rsid w:val="00DD4F5F"/>
    <w:rsid w:val="00DD5C57"/>
    <w:rsid w:val="00DF3E50"/>
    <w:rsid w:val="00DF4388"/>
    <w:rsid w:val="00DF4752"/>
    <w:rsid w:val="00DF51EC"/>
    <w:rsid w:val="00E02D65"/>
    <w:rsid w:val="00E04E1C"/>
    <w:rsid w:val="00E06BBB"/>
    <w:rsid w:val="00E12B6F"/>
    <w:rsid w:val="00E142D0"/>
    <w:rsid w:val="00E143FC"/>
    <w:rsid w:val="00E173AE"/>
    <w:rsid w:val="00E25245"/>
    <w:rsid w:val="00E2717E"/>
    <w:rsid w:val="00E318DA"/>
    <w:rsid w:val="00E41CBC"/>
    <w:rsid w:val="00E45F3B"/>
    <w:rsid w:val="00E62BE7"/>
    <w:rsid w:val="00E656D8"/>
    <w:rsid w:val="00E731DA"/>
    <w:rsid w:val="00E92D89"/>
    <w:rsid w:val="00E964F5"/>
    <w:rsid w:val="00EA230F"/>
    <w:rsid w:val="00EA6C21"/>
    <w:rsid w:val="00EB1749"/>
    <w:rsid w:val="00EB76AF"/>
    <w:rsid w:val="00EC06E0"/>
    <w:rsid w:val="00EC0B9E"/>
    <w:rsid w:val="00EC6B8C"/>
    <w:rsid w:val="00ED520A"/>
    <w:rsid w:val="00ED63F4"/>
    <w:rsid w:val="00EE36E2"/>
    <w:rsid w:val="00EF3436"/>
    <w:rsid w:val="00EF47F9"/>
    <w:rsid w:val="00EF6CCC"/>
    <w:rsid w:val="00EF72B6"/>
    <w:rsid w:val="00EF7FF7"/>
    <w:rsid w:val="00F04228"/>
    <w:rsid w:val="00F0690A"/>
    <w:rsid w:val="00F13B4E"/>
    <w:rsid w:val="00F20D52"/>
    <w:rsid w:val="00F22C9D"/>
    <w:rsid w:val="00F23D88"/>
    <w:rsid w:val="00F316DF"/>
    <w:rsid w:val="00F32CDE"/>
    <w:rsid w:val="00F339B9"/>
    <w:rsid w:val="00F37F41"/>
    <w:rsid w:val="00F448ED"/>
    <w:rsid w:val="00F46664"/>
    <w:rsid w:val="00F541F6"/>
    <w:rsid w:val="00F54D0D"/>
    <w:rsid w:val="00F74AD8"/>
    <w:rsid w:val="00F74B7A"/>
    <w:rsid w:val="00F76940"/>
    <w:rsid w:val="00F86743"/>
    <w:rsid w:val="00F9117B"/>
    <w:rsid w:val="00F92FF8"/>
    <w:rsid w:val="00F9713E"/>
    <w:rsid w:val="00FA1F8B"/>
    <w:rsid w:val="00FA3739"/>
    <w:rsid w:val="00FA50D9"/>
    <w:rsid w:val="00FB194B"/>
    <w:rsid w:val="00FB740D"/>
    <w:rsid w:val="00FC129A"/>
    <w:rsid w:val="00FC4293"/>
    <w:rsid w:val="00FC7938"/>
    <w:rsid w:val="00FD11C0"/>
    <w:rsid w:val="00FD21DB"/>
    <w:rsid w:val="00FD2D89"/>
    <w:rsid w:val="00FF29EC"/>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D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paragraph" w:styleId="Heading3">
    <w:name w:val="heading 3"/>
    <w:basedOn w:val="Normal"/>
    <w:next w:val="Normal"/>
    <w:link w:val="Heading3Char"/>
    <w:semiHidden/>
    <w:unhideWhenUsed/>
    <w:qFormat/>
    <w:rsid w:val="00E656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5E67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8B655A"/>
    <w:rPr>
      <w:color w:val="000000"/>
      <w:sz w:val="20"/>
      <w:szCs w:val="20"/>
      <w:lang w:val="en-GB" w:eastAsia="en-GB"/>
    </w:rPr>
  </w:style>
  <w:style w:type="character" w:customStyle="1" w:styleId="FootnoteTextChar">
    <w:name w:val="Footnote Text Char"/>
    <w:link w:val="FootnoteText"/>
    <w:rsid w:val="008B655A"/>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uiPriority w:val="39"/>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character" w:customStyle="1" w:styleId="Heading5Char">
    <w:name w:val="Heading 5 Char"/>
    <w:basedOn w:val="DefaultParagraphFont"/>
    <w:link w:val="Heading5"/>
    <w:rsid w:val="005E67A5"/>
    <w:rPr>
      <w:rFonts w:asciiTheme="majorHAnsi" w:eastAsiaTheme="majorEastAsia" w:hAnsiTheme="majorHAnsi" w:cstheme="majorBidi"/>
      <w:color w:val="243F60" w:themeColor="accent1" w:themeShade="7F"/>
      <w:sz w:val="22"/>
      <w:szCs w:val="22"/>
    </w:rPr>
  </w:style>
  <w:style w:type="character" w:customStyle="1" w:styleId="Heading3Char">
    <w:name w:val="Heading 3 Char"/>
    <w:basedOn w:val="DefaultParagraphFont"/>
    <w:link w:val="Heading3"/>
    <w:semiHidden/>
    <w:rsid w:val="00E656D8"/>
    <w:rPr>
      <w:rFonts w:asciiTheme="majorHAnsi" w:eastAsiaTheme="majorEastAsia" w:hAnsiTheme="majorHAnsi" w:cstheme="majorBidi"/>
      <w:b/>
      <w:bCs/>
      <w:color w:val="4F81BD" w:themeColor="accent1"/>
      <w:sz w:val="22"/>
      <w:szCs w:val="22"/>
    </w:rPr>
  </w:style>
  <w:style w:type="character" w:customStyle="1" w:styleId="UnresolvedMention">
    <w:name w:val="Unresolved Mention"/>
    <w:basedOn w:val="DefaultParagraphFont"/>
    <w:uiPriority w:val="99"/>
    <w:semiHidden/>
    <w:unhideWhenUsed/>
    <w:rsid w:val="00E964F5"/>
    <w:rPr>
      <w:color w:val="808080"/>
      <w:shd w:val="clear" w:color="auto" w:fill="E6E6E6"/>
    </w:rPr>
  </w:style>
  <w:style w:type="character" w:styleId="FollowedHyperlink">
    <w:name w:val="FollowedHyperlink"/>
    <w:basedOn w:val="DefaultParagraphFont"/>
    <w:semiHidden/>
    <w:unhideWhenUsed/>
    <w:rsid w:val="001316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paragraph" w:styleId="Heading3">
    <w:name w:val="heading 3"/>
    <w:basedOn w:val="Normal"/>
    <w:next w:val="Normal"/>
    <w:link w:val="Heading3Char"/>
    <w:semiHidden/>
    <w:unhideWhenUsed/>
    <w:qFormat/>
    <w:rsid w:val="00E656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5E67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8B655A"/>
    <w:rPr>
      <w:color w:val="000000"/>
      <w:sz w:val="20"/>
      <w:szCs w:val="20"/>
      <w:lang w:val="en-GB" w:eastAsia="en-GB"/>
    </w:rPr>
  </w:style>
  <w:style w:type="character" w:customStyle="1" w:styleId="FootnoteTextChar">
    <w:name w:val="Footnote Text Char"/>
    <w:link w:val="FootnoteText"/>
    <w:rsid w:val="008B655A"/>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uiPriority w:val="39"/>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character" w:customStyle="1" w:styleId="Heading5Char">
    <w:name w:val="Heading 5 Char"/>
    <w:basedOn w:val="DefaultParagraphFont"/>
    <w:link w:val="Heading5"/>
    <w:rsid w:val="005E67A5"/>
    <w:rPr>
      <w:rFonts w:asciiTheme="majorHAnsi" w:eastAsiaTheme="majorEastAsia" w:hAnsiTheme="majorHAnsi" w:cstheme="majorBidi"/>
      <w:color w:val="243F60" w:themeColor="accent1" w:themeShade="7F"/>
      <w:sz w:val="22"/>
      <w:szCs w:val="22"/>
    </w:rPr>
  </w:style>
  <w:style w:type="character" w:customStyle="1" w:styleId="Heading3Char">
    <w:name w:val="Heading 3 Char"/>
    <w:basedOn w:val="DefaultParagraphFont"/>
    <w:link w:val="Heading3"/>
    <w:semiHidden/>
    <w:rsid w:val="00E656D8"/>
    <w:rPr>
      <w:rFonts w:asciiTheme="majorHAnsi" w:eastAsiaTheme="majorEastAsia" w:hAnsiTheme="majorHAnsi" w:cstheme="majorBidi"/>
      <w:b/>
      <w:bCs/>
      <w:color w:val="4F81BD" w:themeColor="accent1"/>
      <w:sz w:val="22"/>
      <w:szCs w:val="22"/>
    </w:rPr>
  </w:style>
  <w:style w:type="character" w:customStyle="1" w:styleId="UnresolvedMention">
    <w:name w:val="Unresolved Mention"/>
    <w:basedOn w:val="DefaultParagraphFont"/>
    <w:uiPriority w:val="99"/>
    <w:semiHidden/>
    <w:unhideWhenUsed/>
    <w:rsid w:val="00E964F5"/>
    <w:rPr>
      <w:color w:val="808080"/>
      <w:shd w:val="clear" w:color="auto" w:fill="E6E6E6"/>
    </w:rPr>
  </w:style>
  <w:style w:type="character" w:styleId="FollowedHyperlink">
    <w:name w:val="FollowedHyperlink"/>
    <w:basedOn w:val="DefaultParagraphFont"/>
    <w:semiHidden/>
    <w:unhideWhenUsed/>
    <w:rsid w:val="00131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29203051">
      <w:bodyDiv w:val="1"/>
      <w:marLeft w:val="0"/>
      <w:marRight w:val="0"/>
      <w:marTop w:val="0"/>
      <w:marBottom w:val="0"/>
      <w:divBdr>
        <w:top w:val="none" w:sz="0" w:space="0" w:color="auto"/>
        <w:left w:val="none" w:sz="0" w:space="0" w:color="auto"/>
        <w:bottom w:val="none" w:sz="0" w:space="0" w:color="auto"/>
        <w:right w:val="none" w:sz="0" w:space="0" w:color="auto"/>
      </w:divBdr>
      <w:divsChild>
        <w:div w:id="1169565068">
          <w:marLeft w:val="0"/>
          <w:marRight w:val="0"/>
          <w:marTop w:val="0"/>
          <w:marBottom w:val="0"/>
          <w:divBdr>
            <w:top w:val="none" w:sz="0" w:space="0" w:color="auto"/>
            <w:left w:val="none" w:sz="0" w:space="0" w:color="auto"/>
            <w:bottom w:val="none" w:sz="0" w:space="0" w:color="auto"/>
            <w:right w:val="none" w:sz="0" w:space="0" w:color="auto"/>
          </w:divBdr>
        </w:div>
      </w:divsChild>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552493479">
      <w:bodyDiv w:val="1"/>
      <w:marLeft w:val="0"/>
      <w:marRight w:val="0"/>
      <w:marTop w:val="0"/>
      <w:marBottom w:val="0"/>
      <w:divBdr>
        <w:top w:val="none" w:sz="0" w:space="0" w:color="auto"/>
        <w:left w:val="none" w:sz="0" w:space="0" w:color="auto"/>
        <w:bottom w:val="none" w:sz="0" w:space="0" w:color="auto"/>
        <w:right w:val="none" w:sz="0" w:space="0" w:color="auto"/>
      </w:divBdr>
      <w:divsChild>
        <w:div w:id="1130364974">
          <w:marLeft w:val="0"/>
          <w:marRight w:val="0"/>
          <w:marTop w:val="0"/>
          <w:marBottom w:val="0"/>
          <w:divBdr>
            <w:top w:val="none" w:sz="0" w:space="0" w:color="auto"/>
            <w:left w:val="none" w:sz="0" w:space="0" w:color="auto"/>
            <w:bottom w:val="none" w:sz="0" w:space="0" w:color="auto"/>
            <w:right w:val="none" w:sz="0" w:space="0" w:color="auto"/>
          </w:divBdr>
          <w:divsChild>
            <w:div w:id="408160395">
              <w:marLeft w:val="0"/>
              <w:marRight w:val="0"/>
              <w:marTop w:val="225"/>
              <w:marBottom w:val="0"/>
              <w:divBdr>
                <w:top w:val="none" w:sz="0" w:space="0" w:color="auto"/>
                <w:left w:val="none" w:sz="0" w:space="0" w:color="auto"/>
                <w:bottom w:val="none" w:sz="0" w:space="0" w:color="auto"/>
                <w:right w:val="none" w:sz="0" w:space="0" w:color="auto"/>
              </w:divBdr>
              <w:divsChild>
                <w:div w:id="5873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6507">
      <w:bodyDiv w:val="1"/>
      <w:marLeft w:val="0"/>
      <w:marRight w:val="0"/>
      <w:marTop w:val="0"/>
      <w:marBottom w:val="0"/>
      <w:divBdr>
        <w:top w:val="none" w:sz="0" w:space="0" w:color="auto"/>
        <w:left w:val="none" w:sz="0" w:space="0" w:color="auto"/>
        <w:bottom w:val="none" w:sz="0" w:space="0" w:color="auto"/>
        <w:right w:val="none" w:sz="0" w:space="0" w:color="auto"/>
      </w:divBdr>
    </w:div>
    <w:div w:id="1629504362">
      <w:bodyDiv w:val="1"/>
      <w:marLeft w:val="0"/>
      <w:marRight w:val="0"/>
      <w:marTop w:val="0"/>
      <w:marBottom w:val="0"/>
      <w:divBdr>
        <w:top w:val="none" w:sz="0" w:space="0" w:color="auto"/>
        <w:left w:val="none" w:sz="0" w:space="0" w:color="auto"/>
        <w:bottom w:val="none" w:sz="0" w:space="0" w:color="auto"/>
        <w:right w:val="none" w:sz="0" w:space="0" w:color="auto"/>
      </w:divBdr>
      <w:divsChild>
        <w:div w:id="1832870134">
          <w:marLeft w:val="0"/>
          <w:marRight w:val="0"/>
          <w:marTop w:val="0"/>
          <w:marBottom w:val="0"/>
          <w:divBdr>
            <w:top w:val="none" w:sz="0" w:space="0" w:color="auto"/>
            <w:left w:val="none" w:sz="0" w:space="0" w:color="auto"/>
            <w:bottom w:val="none" w:sz="0" w:space="0" w:color="auto"/>
            <w:right w:val="none" w:sz="0" w:space="0" w:color="auto"/>
          </w:divBdr>
          <w:divsChild>
            <w:div w:id="1013339652">
              <w:marLeft w:val="0"/>
              <w:marRight w:val="0"/>
              <w:marTop w:val="225"/>
              <w:marBottom w:val="0"/>
              <w:divBdr>
                <w:top w:val="none" w:sz="0" w:space="0" w:color="auto"/>
                <w:left w:val="none" w:sz="0" w:space="0" w:color="auto"/>
                <w:bottom w:val="none" w:sz="0" w:space="0" w:color="auto"/>
                <w:right w:val="none" w:sz="0" w:space="0" w:color="auto"/>
              </w:divBdr>
              <w:divsChild>
                <w:div w:id="9567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ou.nadeau@erg.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ws.noaa.gov/om/fire/w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8D1BC-0667-4770-8E57-80827E582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4001</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26757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SYSTEM</cp:lastModifiedBy>
  <cp:revision>2</cp:revision>
  <cp:lastPrinted>2018-01-04T21:06:00Z</cp:lastPrinted>
  <dcterms:created xsi:type="dcterms:W3CDTF">2018-01-12T15:11:00Z</dcterms:created>
  <dcterms:modified xsi:type="dcterms:W3CDTF">2018-01-12T15:11:00Z</dcterms:modified>
</cp:coreProperties>
</file>