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09E8" w:rsidRDefault="00C20E53">
      <w:pPr>
        <w:numPr>
          <w:ilvl w:val="0"/>
          <w:numId w:val="3"/>
        </w:numPr>
        <w:ind w:hanging="360"/>
        <w:rPr>
          <w:rFonts w:ascii="Times New Roman" w:eastAsia="Times New Roman" w:hAnsi="Times New Roman" w:cs="Times New Roman"/>
        </w:rPr>
      </w:pPr>
      <w:r>
        <w:rPr>
          <w:rFonts w:ascii="Times New Roman" w:eastAsia="Times New Roman" w:hAnsi="Times New Roman" w:cs="Times New Roman"/>
        </w:rPr>
        <w:t>Supplemental Questions for DOC/NOAA Customer Survey Clearance</w:t>
      </w:r>
      <w:r>
        <w:rPr>
          <w:rFonts w:ascii="Times New Roman" w:eastAsia="Times New Roman" w:hAnsi="Times New Roman" w:cs="Times New Roman"/>
        </w:rPr>
        <w:br/>
        <w:t>(OMB Control Number 0648-0342)</w:t>
      </w:r>
    </w:p>
    <w:p w:rsidR="002A09E8" w:rsidRDefault="002A09E8"/>
    <w:p w:rsidR="002A09E8" w:rsidRDefault="00C20E53">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 xml:space="preserve">Explain who will be conducting this survey. What program office will be </w:t>
      </w:r>
      <w:r>
        <w:rPr>
          <w:rFonts w:ascii="Times New Roman" w:eastAsia="Times New Roman" w:hAnsi="Times New Roman" w:cs="Times New Roman"/>
        </w:rPr>
        <w:br/>
        <w:t>conducting the survey? What services does this program provide? Who are the customers? How are these services provided to the customer?</w:t>
      </w:r>
    </w:p>
    <w:p w:rsidR="002A09E8" w:rsidRDefault="002A09E8"/>
    <w:p w:rsidR="002A09E8" w:rsidRDefault="00C20E53">
      <w:pPr>
        <w:ind w:left="720"/>
      </w:pPr>
      <w:r>
        <w:rPr>
          <w:rFonts w:ascii="Times New Roman" w:eastAsia="Times New Roman" w:hAnsi="Times New Roman" w:cs="Times New Roman"/>
          <w:b w:val="0"/>
        </w:rPr>
        <w:t>The National Weather Service Western Region (NWS WR) Weather Forecast Office in Medford, OR will be conducting this survey.  The web page provides fire weather information to land management agencies and to the public across the Western United States.  The services are provided through a suite of fire weather-oriented web pages.</w:t>
      </w:r>
    </w:p>
    <w:p w:rsidR="002A09E8" w:rsidRDefault="002A09E8"/>
    <w:p w:rsidR="002A09E8" w:rsidRDefault="002A09E8"/>
    <w:p w:rsidR="002A09E8" w:rsidRDefault="00C20E53">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 xml:space="preserve">Explain how this survey was developed. With whom did you consult during the development of this survey on content? </w:t>
      </w:r>
      <w:proofErr w:type="gramStart"/>
      <w:r>
        <w:rPr>
          <w:rFonts w:ascii="Times New Roman" w:eastAsia="Times New Roman" w:hAnsi="Times New Roman" w:cs="Times New Roman"/>
        </w:rPr>
        <w:t>statistics</w:t>
      </w:r>
      <w:proofErr w:type="gramEnd"/>
      <w:r>
        <w:rPr>
          <w:rFonts w:ascii="Times New Roman" w:eastAsia="Times New Roman" w:hAnsi="Times New Roman" w:cs="Times New Roman"/>
        </w:rPr>
        <w:t>? What suggestions did you get about improving the survey?</w:t>
      </w:r>
    </w:p>
    <w:p w:rsidR="002A09E8" w:rsidRDefault="002A09E8">
      <w:pPr>
        <w:ind w:left="720"/>
      </w:pPr>
    </w:p>
    <w:p w:rsidR="002A09E8" w:rsidRDefault="00C20E53">
      <w:pPr>
        <w:ind w:left="720"/>
      </w:pPr>
      <w:r>
        <w:rPr>
          <w:rFonts w:ascii="Times New Roman" w:eastAsia="Times New Roman" w:hAnsi="Times New Roman" w:cs="Times New Roman"/>
          <w:b w:val="0"/>
        </w:rPr>
        <w:t xml:space="preserve">NWS WR developed the survey based on Google Analytics data that shows that  land management agencies view this page regularly, and knowing more about what decisions the agencies are making based on these pages will be important to continual improvement of this page/product. We consulted with our local fire weather program manager, a Fire Behavior analyst with 30+ years of land management experience, the sponsor’s local supervisor, and our regional fire weather program managers.  Suggestions we received to improve the survey were: the matrix format focused on user decision support, adding more objective questions, and keeping the survey short to maximize response rate. </w:t>
      </w:r>
    </w:p>
    <w:p w:rsidR="002A09E8" w:rsidRDefault="002A09E8"/>
    <w:p w:rsidR="002A09E8" w:rsidRDefault="002A09E8"/>
    <w:p w:rsidR="002A09E8" w:rsidRDefault="00C20E53">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 xml:space="preserve">Explain how the survey will be conducted. How will the customers be sampled (if fewer than all customers will be surveyed)? What percentage of customers asked to take the </w:t>
      </w:r>
      <w:proofErr w:type="gramStart"/>
      <w:r>
        <w:rPr>
          <w:rFonts w:ascii="Times New Roman" w:eastAsia="Times New Roman" w:hAnsi="Times New Roman" w:cs="Times New Roman"/>
        </w:rPr>
        <w:t>survey</w:t>
      </w:r>
      <w:proofErr w:type="gramEnd"/>
      <w:r>
        <w:rPr>
          <w:rFonts w:ascii="Times New Roman" w:eastAsia="Times New Roman" w:hAnsi="Times New Roman" w:cs="Times New Roman"/>
        </w:rPr>
        <w:t xml:space="preserve"> will respond? What actions are planned to increase the response rate? (Web-based surveys are not an acceptable method of sampling a broad population. Web-based surveys must be limited to services provided by Web.)</w:t>
      </w:r>
    </w:p>
    <w:p w:rsidR="002A09E8" w:rsidRDefault="002A09E8"/>
    <w:p w:rsidR="002A09E8" w:rsidRDefault="00C20E53">
      <w:pPr>
        <w:ind w:left="720"/>
      </w:pPr>
      <w:r>
        <w:rPr>
          <w:rFonts w:ascii="Times New Roman" w:eastAsia="Times New Roman" w:hAnsi="Times New Roman" w:cs="Times New Roman"/>
          <w:b w:val="0"/>
        </w:rPr>
        <w:t xml:space="preserve">The survey will be conducted online via a link to a Google form on all fire weather web pages that are being evaluated via this survey.  Also, an email with a link to the survey will be sent to land management partner agencies that use the web page.  A goal for response rate is 10 percent.  Actions to increase response rate are the addition of Google Analytics event tracking to determine the ratio of survey openings vs. survey completions.  Once NWS WR has a baseline for this, NWS WR can try new methods to increase response rate and measure how effective these are.  </w:t>
      </w:r>
    </w:p>
    <w:p w:rsidR="002A09E8" w:rsidRDefault="002A09E8"/>
    <w:p w:rsidR="002A09E8" w:rsidRDefault="00C20E53">
      <w:pPr>
        <w:numPr>
          <w:ilvl w:val="0"/>
          <w:numId w:val="1"/>
        </w:numPr>
        <w:ind w:hanging="360"/>
        <w:rPr>
          <w:rFonts w:ascii="Times New Roman" w:eastAsia="Times New Roman" w:hAnsi="Times New Roman" w:cs="Times New Roman"/>
        </w:rPr>
      </w:pPr>
      <w:r>
        <w:rPr>
          <w:rFonts w:ascii="Times New Roman" w:eastAsia="Times New Roman" w:hAnsi="Times New Roman" w:cs="Times New Roman"/>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2A09E8" w:rsidRDefault="002A09E8"/>
    <w:p w:rsidR="002A09E8" w:rsidRDefault="00C20E53">
      <w:pPr>
        <w:ind w:left="720"/>
      </w:pPr>
      <w:r>
        <w:rPr>
          <w:rFonts w:ascii="Times New Roman" w:eastAsia="Times New Roman" w:hAnsi="Times New Roman" w:cs="Times New Roman"/>
          <w:b w:val="0"/>
        </w:rPr>
        <w:lastRenderedPageBreak/>
        <w:t>We will focus on partner agency responses, so the first question of “position” type will help narrow the focus of analysis.  Additionally, NWS WR will use word charts to try to group similar qualitative responses.  The goal for this survey is to determine importance of these web pages in terms of decisions made by partner agencies and to try to improve the page based on customer feedback. NWS WR wants a user- and data-driven product with NWS influence and oversight.</w:t>
      </w:r>
    </w:p>
    <w:p w:rsidR="002A09E8" w:rsidRDefault="002A09E8">
      <w:pPr>
        <w:ind w:left="360"/>
      </w:pPr>
    </w:p>
    <w:p w:rsidR="002A09E8" w:rsidRDefault="00C20E53">
      <w:pPr>
        <w:ind w:left="360"/>
      </w:pPr>
      <w:r>
        <w:rPr>
          <w:rFonts w:ascii="Times New Roman" w:eastAsia="Times New Roman" w:hAnsi="Times New Roman" w:cs="Times New Roman"/>
        </w:rPr>
        <w:t>B. COLLECTIONS OF INFORMATION EMPLOYING STATISTICAL METHODS</w:t>
      </w:r>
    </w:p>
    <w:p w:rsidR="002A09E8" w:rsidRDefault="002A09E8">
      <w:pPr>
        <w:ind w:left="360"/>
      </w:pPr>
    </w:p>
    <w:p w:rsidR="002A09E8" w:rsidRDefault="00C20E53">
      <w:pPr>
        <w:numPr>
          <w:ilvl w:val="0"/>
          <w:numId w:val="2"/>
        </w:numPr>
        <w:ind w:hanging="360"/>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A09E8" w:rsidRDefault="002A09E8"/>
    <w:p w:rsidR="002A09E8" w:rsidRDefault="00C20E53">
      <w:pPr>
        <w:ind w:left="720"/>
      </w:pPr>
      <w:r>
        <w:rPr>
          <w:rFonts w:ascii="Times New Roman" w:eastAsia="Times New Roman" w:hAnsi="Times New Roman" w:cs="Times New Roman"/>
          <w:b w:val="0"/>
        </w:rPr>
        <w:t>We estimate about 20,000 unique users of the fire weather page, with about 50% of those being partner agencies, based on Google Analytics segmentation data.  However, as fire season wanes, expected number of unique users is significantly less than 20,000.</w:t>
      </w:r>
    </w:p>
    <w:p w:rsidR="002A09E8" w:rsidRDefault="00C20E53">
      <w:pPr>
        <w:ind w:left="720"/>
      </w:pPr>
      <w:r>
        <w:rPr>
          <w:rFonts w:ascii="Times New Roman" w:eastAsia="Times New Roman" w:hAnsi="Times New Roman" w:cs="Times New Roman"/>
          <w:b w:val="0"/>
        </w:rPr>
        <w:t>Expected response rate is 10%.</w:t>
      </w:r>
    </w:p>
    <w:p w:rsidR="002A09E8" w:rsidRDefault="00C20E53">
      <w:pPr>
        <w:ind w:left="720"/>
      </w:pPr>
      <w:r>
        <w:rPr>
          <w:rFonts w:ascii="Times New Roman" w:eastAsia="Times New Roman" w:hAnsi="Times New Roman" w:cs="Times New Roman"/>
          <w:b w:val="0"/>
        </w:rPr>
        <w:t>Expected number of entities:</w:t>
      </w:r>
    </w:p>
    <w:p w:rsidR="002A09E8" w:rsidRDefault="002A09E8">
      <w:pPr>
        <w:ind w:left="720"/>
      </w:pPr>
    </w:p>
    <w:tbl>
      <w:tblPr>
        <w:tblStyle w:val="a"/>
        <w:tblW w:w="93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2520"/>
        <w:gridCol w:w="4490"/>
      </w:tblGrid>
      <w:tr w:rsidR="002A09E8" w:rsidTr="00F85B61">
        <w:tc>
          <w:tcPr>
            <w:tcW w:w="235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Entity</w:t>
            </w:r>
          </w:p>
        </w:tc>
        <w:tc>
          <w:tcPr>
            <w:tcW w:w="252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 xml:space="preserve">Estimated number of entities </w:t>
            </w:r>
          </w:p>
        </w:tc>
        <w:tc>
          <w:tcPr>
            <w:tcW w:w="449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Users per entity</w:t>
            </w:r>
            <w:r w:rsidR="00F85B61">
              <w:rPr>
                <w:rFonts w:ascii="Times New Roman" w:eastAsia="Times New Roman" w:hAnsi="Times New Roman" w:cs="Times New Roman"/>
                <w:b w:val="0"/>
              </w:rPr>
              <w:t xml:space="preserve"> type</w:t>
            </w:r>
          </w:p>
        </w:tc>
      </w:tr>
      <w:tr w:rsidR="002A09E8" w:rsidTr="00F85B61">
        <w:tc>
          <w:tcPr>
            <w:tcW w:w="235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State Fire Agencies</w:t>
            </w:r>
          </w:p>
        </w:tc>
        <w:tc>
          <w:tcPr>
            <w:tcW w:w="252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9</w:t>
            </w:r>
          </w:p>
        </w:tc>
        <w:tc>
          <w:tcPr>
            <w:tcW w:w="4490" w:type="dxa"/>
            <w:tcMar>
              <w:top w:w="100" w:type="dxa"/>
              <w:left w:w="100" w:type="dxa"/>
              <w:bottom w:w="100" w:type="dxa"/>
              <w:right w:w="100" w:type="dxa"/>
            </w:tcMar>
          </w:tcPr>
          <w:p w:rsidR="002A09E8" w:rsidRDefault="00F85B61">
            <w:pPr>
              <w:widowControl w:val="0"/>
            </w:pPr>
            <w:r>
              <w:rPr>
                <w:rFonts w:ascii="Times New Roman" w:eastAsia="Times New Roman" w:hAnsi="Times New Roman" w:cs="Times New Roman"/>
                <w:b w:val="0"/>
              </w:rPr>
              <w:t>8100</w:t>
            </w:r>
          </w:p>
        </w:tc>
      </w:tr>
      <w:tr w:rsidR="002A09E8" w:rsidTr="00F85B61">
        <w:tc>
          <w:tcPr>
            <w:tcW w:w="235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USFS Regions</w:t>
            </w:r>
          </w:p>
        </w:tc>
        <w:tc>
          <w:tcPr>
            <w:tcW w:w="252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4</w:t>
            </w:r>
          </w:p>
        </w:tc>
        <w:tc>
          <w:tcPr>
            <w:tcW w:w="4490" w:type="dxa"/>
            <w:tcMar>
              <w:top w:w="100" w:type="dxa"/>
              <w:left w:w="100" w:type="dxa"/>
              <w:bottom w:w="100" w:type="dxa"/>
              <w:right w:w="100" w:type="dxa"/>
            </w:tcMar>
          </w:tcPr>
          <w:p w:rsidR="002A09E8" w:rsidRDefault="00F85B61">
            <w:pPr>
              <w:widowControl w:val="0"/>
            </w:pPr>
            <w:r>
              <w:rPr>
                <w:rFonts w:ascii="Times New Roman" w:eastAsia="Times New Roman" w:hAnsi="Times New Roman" w:cs="Times New Roman"/>
                <w:b w:val="0"/>
              </w:rPr>
              <w:t>3200</w:t>
            </w:r>
          </w:p>
        </w:tc>
      </w:tr>
      <w:tr w:rsidR="002A09E8" w:rsidTr="00F85B61">
        <w:tc>
          <w:tcPr>
            <w:tcW w:w="235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Local Governments</w:t>
            </w:r>
          </w:p>
        </w:tc>
        <w:tc>
          <w:tcPr>
            <w:tcW w:w="252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100</w:t>
            </w:r>
          </w:p>
        </w:tc>
        <w:tc>
          <w:tcPr>
            <w:tcW w:w="4490" w:type="dxa"/>
            <w:tcMar>
              <w:top w:w="100" w:type="dxa"/>
              <w:left w:w="100" w:type="dxa"/>
              <w:bottom w:w="100" w:type="dxa"/>
              <w:right w:w="100" w:type="dxa"/>
            </w:tcMar>
          </w:tcPr>
          <w:p w:rsidR="002A09E8" w:rsidRDefault="00F85B61" w:rsidP="00F85B61">
            <w:pPr>
              <w:widowControl w:val="0"/>
            </w:pPr>
            <w:r>
              <w:rPr>
                <w:rFonts w:ascii="Times New Roman" w:eastAsia="Times New Roman" w:hAnsi="Times New Roman" w:cs="Times New Roman"/>
                <w:b w:val="0"/>
              </w:rPr>
              <w:t>2,000</w:t>
            </w:r>
          </w:p>
        </w:tc>
      </w:tr>
      <w:tr w:rsidR="002A09E8" w:rsidTr="00F85B61">
        <w:tc>
          <w:tcPr>
            <w:tcW w:w="2350" w:type="dxa"/>
            <w:tcMar>
              <w:top w:w="100" w:type="dxa"/>
              <w:left w:w="100" w:type="dxa"/>
              <w:bottom w:w="100" w:type="dxa"/>
              <w:right w:w="100" w:type="dxa"/>
            </w:tcMar>
          </w:tcPr>
          <w:p w:rsidR="002A09E8" w:rsidRDefault="00C20E53">
            <w:pPr>
              <w:widowControl w:val="0"/>
            </w:pPr>
            <w:r>
              <w:rPr>
                <w:rFonts w:ascii="Times New Roman" w:eastAsia="Times New Roman" w:hAnsi="Times New Roman" w:cs="Times New Roman"/>
                <w:b w:val="0"/>
              </w:rPr>
              <w:t>Public</w:t>
            </w:r>
          </w:p>
        </w:tc>
        <w:tc>
          <w:tcPr>
            <w:tcW w:w="2520" w:type="dxa"/>
            <w:tcMar>
              <w:top w:w="100" w:type="dxa"/>
              <w:left w:w="100" w:type="dxa"/>
              <w:bottom w:w="100" w:type="dxa"/>
              <w:right w:w="100" w:type="dxa"/>
            </w:tcMar>
          </w:tcPr>
          <w:p w:rsidR="002A09E8" w:rsidRDefault="00F85B61">
            <w:pPr>
              <w:widowControl w:val="0"/>
            </w:pPr>
            <w:r>
              <w:rPr>
                <w:rFonts w:ascii="Times New Roman" w:eastAsia="Times New Roman" w:hAnsi="Times New Roman" w:cs="Times New Roman"/>
                <w:b w:val="0"/>
              </w:rPr>
              <w:t>NA</w:t>
            </w:r>
          </w:p>
        </w:tc>
        <w:tc>
          <w:tcPr>
            <w:tcW w:w="4490" w:type="dxa"/>
            <w:tcMar>
              <w:top w:w="100" w:type="dxa"/>
              <w:left w:w="100" w:type="dxa"/>
              <w:bottom w:w="100" w:type="dxa"/>
              <w:right w:w="100" w:type="dxa"/>
            </w:tcMar>
          </w:tcPr>
          <w:p w:rsidR="002A09E8" w:rsidRDefault="00F85B61">
            <w:pPr>
              <w:widowControl w:val="0"/>
            </w:pPr>
            <w:r>
              <w:rPr>
                <w:rFonts w:ascii="Times New Roman" w:eastAsia="Times New Roman" w:hAnsi="Times New Roman" w:cs="Times New Roman"/>
                <w:b w:val="0"/>
              </w:rPr>
              <w:t>6700</w:t>
            </w:r>
          </w:p>
        </w:tc>
      </w:tr>
    </w:tbl>
    <w:p w:rsidR="002A09E8" w:rsidRDefault="002A09E8">
      <w:pPr>
        <w:ind w:left="720"/>
      </w:pPr>
    </w:p>
    <w:p w:rsidR="002A09E8" w:rsidRDefault="002A09E8">
      <w:pPr>
        <w:ind w:left="360"/>
      </w:pPr>
    </w:p>
    <w:p w:rsidR="002A09E8" w:rsidRDefault="002A09E8">
      <w:pPr>
        <w:ind w:left="360"/>
      </w:pPr>
    </w:p>
    <w:p w:rsidR="002A09E8" w:rsidRDefault="00C20E53">
      <w:pPr>
        <w:ind w:left="360"/>
      </w:pPr>
      <w:r>
        <w:rPr>
          <w:rFonts w:ascii="Times New Roman" w:eastAsia="Times New Roman" w:hAnsi="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A09E8" w:rsidRDefault="002A09E8">
      <w:pPr>
        <w:ind w:left="360"/>
      </w:pPr>
    </w:p>
    <w:p w:rsidR="002A09E8" w:rsidRDefault="00C20E53">
      <w:pPr>
        <w:ind w:left="720"/>
      </w:pPr>
      <w:r>
        <w:rPr>
          <w:rFonts w:ascii="Times New Roman" w:eastAsia="Times New Roman" w:hAnsi="Times New Roman" w:cs="Times New Roman"/>
          <w:b w:val="0"/>
        </w:rPr>
        <w:t xml:space="preserve">The survey will be conducted online via a link to a Google form on all fire weather web pages that are being evaluated via this survey.  Also, an email with a link to the survey will be sent to land management partner agencies that use the web page.  A goal for response rate is 10 percent.  Actions to increase response rate are the addition of Google Analytics event tracking to determine the ratio of survey openings vs. survey completions.  Once NWS WR has a baseline </w:t>
      </w:r>
      <w:r>
        <w:rPr>
          <w:rFonts w:ascii="Times New Roman" w:eastAsia="Times New Roman" w:hAnsi="Times New Roman" w:cs="Times New Roman"/>
          <w:b w:val="0"/>
        </w:rPr>
        <w:lastRenderedPageBreak/>
        <w:t xml:space="preserve">for this, NWS WR can try new methods to increase response rate and measure how effective these are.  </w:t>
      </w:r>
    </w:p>
    <w:p w:rsidR="002A09E8" w:rsidRDefault="002A09E8">
      <w:pPr>
        <w:ind w:left="720"/>
      </w:pPr>
    </w:p>
    <w:p w:rsidR="002A09E8" w:rsidRDefault="00C20E53">
      <w:pPr>
        <w:ind w:left="720"/>
      </w:pPr>
      <w:r>
        <w:rPr>
          <w:rFonts w:ascii="Times New Roman" w:eastAsia="Times New Roman" w:hAnsi="Times New Roman" w:cs="Times New Roman"/>
          <w:b w:val="0"/>
        </w:rPr>
        <w:t>NWS WR will focus on partner agency responses, so the first question of “position” type will help narrow the focus of analysis.  Additionally, NWS WR will use word charts to try to group similar qualitative responses.  The goal for this survey is to determine importance of these web pages in terms of decisions made by partner agencies and to try to improve the page based on customer feedback.  NWS WR wants a user- and data-driven product with NWS influence and oversight.</w:t>
      </w:r>
    </w:p>
    <w:p w:rsidR="002A09E8" w:rsidRDefault="002A09E8">
      <w:pPr>
        <w:ind w:left="360"/>
      </w:pPr>
    </w:p>
    <w:p w:rsidR="002A09E8" w:rsidRDefault="00C20E53">
      <w:pPr>
        <w:ind w:left="360"/>
      </w:pPr>
      <w:r>
        <w:rPr>
          <w:rFonts w:ascii="Times New Roman" w:eastAsia="Times New Roman" w:hAnsi="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A09E8" w:rsidRDefault="002A09E8">
      <w:pPr>
        <w:ind w:left="360"/>
      </w:pPr>
    </w:p>
    <w:p w:rsidR="002A09E8" w:rsidRDefault="00C20E53">
      <w:pPr>
        <w:ind w:left="720"/>
      </w:pPr>
      <w:r>
        <w:rPr>
          <w:rFonts w:ascii="Times New Roman" w:eastAsia="Times New Roman" w:hAnsi="Times New Roman" w:cs="Times New Roman"/>
          <w:b w:val="0"/>
        </w:rPr>
        <w:t xml:space="preserve">One method to increase response rate is the addition of Google Analytics event tracking to determine the ratio of survey openings vs. survey completions.  Once NWS WR has a baseline for this, NWS WR can try new methods to increase response rate and measure how effective these are.  </w:t>
      </w:r>
      <w:r w:rsidR="00F85B61">
        <w:rPr>
          <w:rFonts w:ascii="Times New Roman" w:eastAsia="Times New Roman" w:hAnsi="Times New Roman" w:cs="Times New Roman"/>
          <w:b w:val="0"/>
        </w:rPr>
        <w:t>This is also a short survey, and there are many stakeholders.</w:t>
      </w:r>
      <w:bookmarkStart w:id="0" w:name="_GoBack"/>
      <w:bookmarkEnd w:id="0"/>
    </w:p>
    <w:p w:rsidR="002A09E8" w:rsidRDefault="002A09E8">
      <w:pPr>
        <w:ind w:left="720"/>
      </w:pPr>
    </w:p>
    <w:p w:rsidR="002A09E8" w:rsidRDefault="00C20E53">
      <w:pPr>
        <w:ind w:left="360"/>
      </w:pPr>
      <w:r>
        <w:rPr>
          <w:rFonts w:ascii="Times New Roman" w:eastAsia="Times New Roman" w:hAnsi="Times New Roman" w:cs="Times New Roman"/>
        </w:rPr>
        <w:t>4. Describe any tests of procedures or methods to be undertaken. Tests are encouraged as effective means to refine collections, but if ten or more test respondents are involved OMB must give prior approval.</w:t>
      </w:r>
    </w:p>
    <w:p w:rsidR="002A09E8" w:rsidRDefault="002A09E8">
      <w:pPr>
        <w:ind w:left="360"/>
      </w:pPr>
    </w:p>
    <w:p w:rsidR="002A09E8" w:rsidRDefault="00C20E53">
      <w:pPr>
        <w:ind w:left="360"/>
      </w:pPr>
      <w:r>
        <w:rPr>
          <w:rFonts w:ascii="Times New Roman" w:eastAsia="Times New Roman" w:hAnsi="Times New Roman" w:cs="Times New Roman"/>
          <w:b w:val="0"/>
        </w:rPr>
        <w:t xml:space="preserve">NWS WR developed the survey based on Google Analytics data that shows that land management   agencies view this page regularly, and knowing more about what decisions the agencies are making based on these pages will be important to continual improvement of this page/product. We consulted with our local fire weather program manager, a Fire Behavior analyst with 30+ years of land management experience, the sponsor’s local supervisor, and our regional fire weather program managers.  Suggestions we received to improve the survey were: the matrix format focused on user decision support, adding more objective questions, and keeping the survey short to maximize response rate. </w:t>
      </w:r>
    </w:p>
    <w:p w:rsidR="002A09E8" w:rsidRDefault="002A09E8">
      <w:pPr>
        <w:ind w:left="360"/>
      </w:pPr>
    </w:p>
    <w:p w:rsidR="002A09E8" w:rsidRDefault="00C20E53">
      <w:pPr>
        <w:ind w:left="360"/>
      </w:pPr>
      <w:r>
        <w:rPr>
          <w:rFonts w:ascii="Times New Roman" w:eastAsia="Times New Roman" w:hAnsi="Times New Roman" w:cs="Times New Roman"/>
        </w:rPr>
        <w:t>5. Provide the name and telephone number of individuals consulted on the statistical aspects of the design, and the name of the agency unit, contractor(s), grantee(s), or other person(s) who will actually collect and/or analyze the information for the agency.</w:t>
      </w:r>
    </w:p>
    <w:p w:rsidR="002A09E8" w:rsidRDefault="002A09E8">
      <w:pPr>
        <w:ind w:left="360"/>
      </w:pPr>
    </w:p>
    <w:p w:rsidR="002A09E8" w:rsidRDefault="00C20E53">
      <w:pPr>
        <w:ind w:left="360"/>
      </w:pPr>
      <w:r>
        <w:rPr>
          <w:rFonts w:ascii="Times New Roman" w:eastAsia="Times New Roman" w:hAnsi="Times New Roman" w:cs="Times New Roman"/>
        </w:rPr>
        <w:t xml:space="preserve">     </w:t>
      </w:r>
      <w:r>
        <w:rPr>
          <w:rFonts w:ascii="Times New Roman" w:eastAsia="Times New Roman" w:hAnsi="Times New Roman" w:cs="Times New Roman"/>
          <w:b w:val="0"/>
        </w:rPr>
        <w:t xml:space="preserve">No consultation was made on the statistical aspects of the design.  </w:t>
      </w:r>
    </w:p>
    <w:p w:rsidR="002A09E8" w:rsidRDefault="00C20E53">
      <w:pPr>
        <w:ind w:left="360"/>
      </w:pPr>
      <w:r>
        <w:rPr>
          <w:rFonts w:ascii="Times New Roman" w:eastAsia="Times New Roman" w:hAnsi="Times New Roman" w:cs="Times New Roman"/>
          <w:b w:val="0"/>
        </w:rPr>
        <w:t xml:space="preserve">     </w:t>
      </w:r>
      <w:proofErr w:type="gramStart"/>
      <w:r>
        <w:rPr>
          <w:rFonts w:ascii="Times New Roman" w:eastAsia="Times New Roman" w:hAnsi="Times New Roman" w:cs="Times New Roman"/>
          <w:b w:val="0"/>
        </w:rPr>
        <w:t>NOAA NWS WR Medford, OR.</w:t>
      </w:r>
      <w:proofErr w:type="gramEnd"/>
      <w:r>
        <w:rPr>
          <w:rFonts w:ascii="Times New Roman" w:eastAsia="Times New Roman" w:hAnsi="Times New Roman" w:cs="Times New Roman"/>
          <w:b w:val="0"/>
        </w:rPr>
        <w:t xml:space="preserve"> </w:t>
      </w:r>
      <w:proofErr w:type="gramStart"/>
      <w:r>
        <w:rPr>
          <w:rFonts w:ascii="Times New Roman" w:eastAsia="Times New Roman" w:hAnsi="Times New Roman" w:cs="Times New Roman"/>
          <w:b w:val="0"/>
        </w:rPr>
        <w:t>Noel Keene.</w:t>
      </w:r>
      <w:proofErr w:type="gramEnd"/>
      <w:r>
        <w:rPr>
          <w:rFonts w:ascii="Times New Roman" w:eastAsia="Times New Roman" w:hAnsi="Times New Roman" w:cs="Times New Roman"/>
          <w:b w:val="0"/>
        </w:rPr>
        <w:t xml:space="preserve"> </w:t>
      </w:r>
    </w:p>
    <w:p w:rsidR="002A09E8" w:rsidRDefault="002A09E8"/>
    <w:p w:rsidR="002A09E8" w:rsidRDefault="002A09E8">
      <w:pPr>
        <w:ind w:left="360"/>
      </w:pPr>
    </w:p>
    <w:p w:rsidR="002A09E8" w:rsidRDefault="002A09E8"/>
    <w:sectPr w:rsidR="002A09E8">
      <w:pgSz w:w="12240" w:h="15840"/>
      <w:pgMar w:top="1440" w:right="3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6C9"/>
    <w:multiLevelType w:val="multilevel"/>
    <w:tmpl w:val="F74E37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BC9337A"/>
    <w:multiLevelType w:val="multilevel"/>
    <w:tmpl w:val="135AE0B2"/>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666B5660"/>
    <w:multiLevelType w:val="multilevel"/>
    <w:tmpl w:val="AD06474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A09E8"/>
    <w:rsid w:val="002A09E8"/>
    <w:rsid w:val="00C20E53"/>
    <w:rsid w:val="00F8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b/>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contextualSpacing/>
      <w:outlineLvl w:val="1"/>
    </w:pPr>
    <w:rPr>
      <w:sz w:val="36"/>
      <w:szCs w:val="36"/>
    </w:rPr>
  </w:style>
  <w:style w:type="paragraph" w:styleId="Heading3">
    <w:name w:val="heading 3"/>
    <w:basedOn w:val="Normal"/>
    <w:next w:val="Normal"/>
    <w:pPr>
      <w:keepNext/>
      <w:keepLines/>
      <w:spacing w:before="280" w:after="80"/>
      <w:contextualSpacing/>
      <w:outlineLvl w:val="2"/>
    </w:pPr>
    <w:rPr>
      <w:sz w:val="28"/>
      <w:szCs w:val="28"/>
    </w:rPr>
  </w:style>
  <w:style w:type="paragraph" w:styleId="Heading4">
    <w:name w:val="heading 4"/>
    <w:basedOn w:val="Normal"/>
    <w:next w:val="Normal"/>
    <w:pPr>
      <w:keepNext/>
      <w:keepLines/>
      <w:spacing w:before="240" w:after="40"/>
      <w:contextualSpacing/>
      <w:outlineLvl w:val="3"/>
    </w:pPr>
  </w:style>
  <w:style w:type="paragraph" w:styleId="Heading5">
    <w:name w:val="heading 5"/>
    <w:basedOn w:val="Normal"/>
    <w:next w:val="Normal"/>
    <w:pPr>
      <w:keepNext/>
      <w:keepLines/>
      <w:spacing w:before="220" w:after="40"/>
      <w:contextualSpacing/>
      <w:outlineLvl w:val="4"/>
    </w:pPr>
    <w:rPr>
      <w:sz w:val="22"/>
      <w:szCs w:val="22"/>
    </w:rPr>
  </w:style>
  <w:style w:type="paragraph" w:styleId="Heading6">
    <w:name w:val="heading 6"/>
    <w:basedOn w:val="Normal"/>
    <w:next w:val="Normal"/>
    <w:pPr>
      <w:keepNext/>
      <w:keepLines/>
      <w:spacing w:before="200" w:after="40"/>
      <w:contextualSpacing/>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0E53"/>
    <w:rPr>
      <w:rFonts w:ascii="Tahoma" w:hAnsi="Tahoma" w:cs="Tahoma"/>
      <w:sz w:val="16"/>
      <w:szCs w:val="16"/>
    </w:rPr>
  </w:style>
  <w:style w:type="character" w:customStyle="1" w:styleId="BalloonTextChar">
    <w:name w:val="Balloon Text Char"/>
    <w:basedOn w:val="DefaultParagraphFont"/>
    <w:link w:val="BalloonText"/>
    <w:uiPriority w:val="99"/>
    <w:semiHidden/>
    <w:rsid w:val="00C20E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b/>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spacing w:before="360" w:after="80"/>
      <w:contextualSpacing/>
      <w:outlineLvl w:val="1"/>
    </w:pPr>
    <w:rPr>
      <w:sz w:val="36"/>
      <w:szCs w:val="36"/>
    </w:rPr>
  </w:style>
  <w:style w:type="paragraph" w:styleId="Heading3">
    <w:name w:val="heading 3"/>
    <w:basedOn w:val="Normal"/>
    <w:next w:val="Normal"/>
    <w:pPr>
      <w:keepNext/>
      <w:keepLines/>
      <w:spacing w:before="280" w:after="80"/>
      <w:contextualSpacing/>
      <w:outlineLvl w:val="2"/>
    </w:pPr>
    <w:rPr>
      <w:sz w:val="28"/>
      <w:szCs w:val="28"/>
    </w:rPr>
  </w:style>
  <w:style w:type="paragraph" w:styleId="Heading4">
    <w:name w:val="heading 4"/>
    <w:basedOn w:val="Normal"/>
    <w:next w:val="Normal"/>
    <w:pPr>
      <w:keepNext/>
      <w:keepLines/>
      <w:spacing w:before="240" w:after="40"/>
      <w:contextualSpacing/>
      <w:outlineLvl w:val="3"/>
    </w:pPr>
  </w:style>
  <w:style w:type="paragraph" w:styleId="Heading5">
    <w:name w:val="heading 5"/>
    <w:basedOn w:val="Normal"/>
    <w:next w:val="Normal"/>
    <w:pPr>
      <w:keepNext/>
      <w:keepLines/>
      <w:spacing w:before="220" w:after="40"/>
      <w:contextualSpacing/>
      <w:outlineLvl w:val="4"/>
    </w:pPr>
    <w:rPr>
      <w:sz w:val="22"/>
      <w:szCs w:val="22"/>
    </w:rPr>
  </w:style>
  <w:style w:type="paragraph" w:styleId="Heading6">
    <w:name w:val="heading 6"/>
    <w:basedOn w:val="Normal"/>
    <w:next w:val="Normal"/>
    <w:pPr>
      <w:keepNext/>
      <w:keepLines/>
      <w:spacing w:before="200" w:after="40"/>
      <w:contextualSpacing/>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0E53"/>
    <w:rPr>
      <w:rFonts w:ascii="Tahoma" w:hAnsi="Tahoma" w:cs="Tahoma"/>
      <w:sz w:val="16"/>
      <w:szCs w:val="16"/>
    </w:rPr>
  </w:style>
  <w:style w:type="character" w:customStyle="1" w:styleId="BalloonTextChar">
    <w:name w:val="Balloon Text Char"/>
    <w:basedOn w:val="DefaultParagraphFont"/>
    <w:link w:val="BalloonText"/>
    <w:uiPriority w:val="99"/>
    <w:semiHidden/>
    <w:rsid w:val="00C20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10D8-41D3-4AEB-80AB-6D6399E9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1169</Words>
  <Characters>6576</Characters>
  <Application>Microsoft Office Word</Application>
  <DocSecurity>0</DocSecurity>
  <Lines>205</Lines>
  <Paragraphs>77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2016-09-30T17:52:00Z</dcterms:created>
  <dcterms:modified xsi:type="dcterms:W3CDTF">2016-09-30T19:30:00Z</dcterms:modified>
</cp:coreProperties>
</file>