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80ED9" w14:textId="77777777" w:rsidR="003355B9" w:rsidRDefault="00475248" w:rsidP="003B7A0E">
      <w:pPr>
        <w:jc w:val="center"/>
        <w:rPr>
          <w:b/>
        </w:rPr>
      </w:pPr>
      <w:bookmarkStart w:id="0" w:name="_Toc395102849"/>
      <w:r>
        <w:rPr>
          <w:b/>
        </w:rPr>
        <w:t>Impact Based Warnings</w:t>
      </w:r>
      <w:r w:rsidR="003355B9">
        <w:rPr>
          <w:b/>
        </w:rPr>
        <w:t xml:space="preserve"> Research Project</w:t>
      </w:r>
    </w:p>
    <w:p w14:paraId="138E8CCD" w14:textId="1D34DFF6" w:rsidR="003B7A0E" w:rsidRPr="003B7A0E" w:rsidRDefault="00560EEB" w:rsidP="003B7A0E">
      <w:pPr>
        <w:jc w:val="center"/>
        <w:rPr>
          <w:rFonts w:ascii="Times New Roman Bold" w:hAnsi="Times New Roman Bold"/>
          <w:b/>
        </w:rPr>
      </w:pPr>
      <w:r>
        <w:rPr>
          <w:rFonts w:ascii="Times New Roman Bold" w:hAnsi="Times New Roman Bold"/>
          <w:b/>
        </w:rPr>
        <w:t>July 18</w:t>
      </w:r>
      <w:r w:rsidR="003B7A0E" w:rsidRPr="003B7A0E">
        <w:rPr>
          <w:rFonts w:ascii="Times New Roman Bold" w:hAnsi="Times New Roman Bold"/>
          <w:b/>
        </w:rPr>
        <w:t>, 201</w:t>
      </w:r>
      <w:r>
        <w:rPr>
          <w:rFonts w:ascii="Times New Roman Bold" w:hAnsi="Times New Roman Bold"/>
          <w:b/>
        </w:rPr>
        <w:t>6</w:t>
      </w:r>
    </w:p>
    <w:p w14:paraId="5EBC5283" w14:textId="77777777" w:rsidR="003B7A0E" w:rsidRPr="003B7A0E" w:rsidRDefault="003B7A0E" w:rsidP="003B7A0E">
      <w:pPr>
        <w:jc w:val="center"/>
        <w:rPr>
          <w:b/>
          <w:smallCaps/>
        </w:rPr>
      </w:pPr>
    </w:p>
    <w:bookmarkEnd w:id="0"/>
    <w:p w14:paraId="79B654B6" w14:textId="77777777" w:rsidR="003B7A0E" w:rsidRDefault="003B7A0E" w:rsidP="003B7A0E">
      <w:pPr>
        <w:autoSpaceDE w:val="0"/>
        <w:autoSpaceDN w:val="0"/>
        <w:adjustRightInd w:val="0"/>
        <w:rPr>
          <w:b/>
          <w:bCs/>
        </w:rPr>
      </w:pPr>
    </w:p>
    <w:p w14:paraId="62DCC440" w14:textId="77777777" w:rsidR="004B2986" w:rsidRPr="00DC456B" w:rsidRDefault="004B2986" w:rsidP="003B7A0E">
      <w:pPr>
        <w:pStyle w:val="ListParagraph"/>
        <w:numPr>
          <w:ilvl w:val="0"/>
          <w:numId w:val="21"/>
        </w:numPr>
        <w:autoSpaceDE w:val="0"/>
        <w:autoSpaceDN w:val="0"/>
        <w:adjustRightInd w:val="0"/>
        <w:rPr>
          <w:b/>
          <w:bCs/>
          <w:sz w:val="24"/>
          <w:szCs w:val="24"/>
        </w:rPr>
      </w:pPr>
      <w:r w:rsidRPr="00DC456B">
        <w:rPr>
          <w:b/>
          <w:bCs/>
          <w:sz w:val="24"/>
          <w:szCs w:val="24"/>
        </w:rPr>
        <w:t>Supplemental Questions for DOC/NOAA Customer Survey Clearance</w:t>
      </w:r>
      <w:r w:rsidRPr="00DC456B">
        <w:rPr>
          <w:b/>
          <w:bCs/>
          <w:sz w:val="24"/>
          <w:szCs w:val="24"/>
        </w:rPr>
        <w:br/>
        <w:t>(OMB Control Number 0648-0342)</w:t>
      </w:r>
    </w:p>
    <w:p w14:paraId="4A61A816" w14:textId="77777777" w:rsidR="004B2986" w:rsidRDefault="004B2986">
      <w:pPr>
        <w:autoSpaceDE w:val="0"/>
        <w:autoSpaceDN w:val="0"/>
        <w:adjustRightInd w:val="0"/>
        <w:rPr>
          <w:b/>
          <w:bCs/>
        </w:rPr>
      </w:pPr>
    </w:p>
    <w:p w14:paraId="1F7A2FDB" w14:textId="77777777" w:rsidR="00413D96" w:rsidRPr="00413D96" w:rsidRDefault="004B2986" w:rsidP="00413D96">
      <w:pPr>
        <w:pStyle w:val="ListParagraph"/>
        <w:numPr>
          <w:ilvl w:val="0"/>
          <w:numId w:val="25"/>
        </w:numPr>
        <w:tabs>
          <w:tab w:val="left" w:pos="450"/>
        </w:tabs>
        <w:autoSpaceDE w:val="0"/>
        <w:autoSpaceDN w:val="0"/>
        <w:adjustRightInd w:val="0"/>
        <w:rPr>
          <w:b/>
        </w:rPr>
      </w:pPr>
      <w:r w:rsidRPr="00613EA6">
        <w:rPr>
          <w:b/>
        </w:rPr>
        <w:t xml:space="preserve">Explain who will be conducting this survey. What program office will be </w:t>
      </w:r>
      <w:r w:rsidRPr="00613EA6">
        <w:rPr>
          <w:b/>
        </w:rPr>
        <w:br/>
        <w:t xml:space="preserve">conducting the survey? What services does this program provide? Who are the customers? How </w:t>
      </w:r>
      <w:proofErr w:type="gramStart"/>
      <w:r w:rsidRPr="00613EA6">
        <w:rPr>
          <w:b/>
        </w:rPr>
        <w:t>are these services provided</w:t>
      </w:r>
      <w:proofErr w:type="gramEnd"/>
      <w:r w:rsidRPr="00613EA6">
        <w:rPr>
          <w:b/>
        </w:rPr>
        <w:t xml:space="preserve"> to the customer?</w:t>
      </w:r>
    </w:p>
    <w:p w14:paraId="2D8AB28F" w14:textId="77777777" w:rsidR="00092167" w:rsidRDefault="00092167" w:rsidP="00092167">
      <w:pPr>
        <w:ind w:left="360"/>
        <w:rPr>
          <w:rFonts w:eastAsia="Calibri"/>
        </w:rPr>
      </w:pPr>
    </w:p>
    <w:p w14:paraId="3CF0F529" w14:textId="1B19C27C" w:rsidR="00CE7FE3" w:rsidRDefault="00413D96" w:rsidP="003800C6">
      <w:pPr>
        <w:ind w:left="450"/>
        <w:rPr>
          <w:rFonts w:eastAsia="Calibri"/>
        </w:rPr>
      </w:pPr>
      <w:r>
        <w:rPr>
          <w:rFonts w:eastAsia="Calibri"/>
        </w:rPr>
        <w:t xml:space="preserve">NOAA’s National Weather Service (NWS) </w:t>
      </w:r>
      <w:r w:rsidR="003800C6">
        <w:rPr>
          <w:rFonts w:eastAsia="Calibri"/>
        </w:rPr>
        <w:t>monitors, forecasts</w:t>
      </w:r>
      <w:r w:rsidR="00211D67">
        <w:rPr>
          <w:rFonts w:eastAsia="Calibri"/>
        </w:rPr>
        <w:t>,</w:t>
      </w:r>
      <w:r>
        <w:rPr>
          <w:rFonts w:eastAsia="Calibri"/>
        </w:rPr>
        <w:t xml:space="preserve"> and issues </w:t>
      </w:r>
      <w:r w:rsidR="003800C6">
        <w:rPr>
          <w:rFonts w:eastAsia="Calibri"/>
        </w:rPr>
        <w:t xml:space="preserve">weather </w:t>
      </w:r>
      <w:r>
        <w:rPr>
          <w:rFonts w:eastAsia="Calibri"/>
        </w:rPr>
        <w:t>watches, warnings</w:t>
      </w:r>
      <w:r w:rsidR="00211D67">
        <w:rPr>
          <w:rFonts w:eastAsia="Calibri"/>
        </w:rPr>
        <w:t>,</w:t>
      </w:r>
      <w:r>
        <w:rPr>
          <w:rFonts w:eastAsia="Calibri"/>
        </w:rPr>
        <w:t xml:space="preserve"> and advisories for all weather types across all 50 states.</w:t>
      </w:r>
      <w:r w:rsidR="002E6DF4">
        <w:rPr>
          <w:rFonts w:eastAsia="Calibri"/>
        </w:rPr>
        <w:t xml:space="preserve"> </w:t>
      </w:r>
      <w:r>
        <w:rPr>
          <w:rFonts w:eastAsia="Calibri"/>
        </w:rPr>
        <w:t>In particular, the NWS</w:t>
      </w:r>
      <w:r w:rsidR="003800C6">
        <w:rPr>
          <w:rFonts w:eastAsia="Calibri"/>
        </w:rPr>
        <w:t xml:space="preserve"> local offices issue these warnings and other information products </w:t>
      </w:r>
      <w:r w:rsidR="007A6FB0" w:rsidRPr="0038262B">
        <w:rPr>
          <w:rFonts w:eastAsia="Calibri"/>
        </w:rPr>
        <w:t xml:space="preserve">through websites, </w:t>
      </w:r>
      <w:r w:rsidR="0009474E">
        <w:rPr>
          <w:rFonts w:eastAsia="Calibri"/>
        </w:rPr>
        <w:t xml:space="preserve">through </w:t>
      </w:r>
      <w:r w:rsidR="007A6FB0" w:rsidRPr="0038262B">
        <w:rPr>
          <w:rFonts w:eastAsia="Calibri"/>
        </w:rPr>
        <w:t xml:space="preserve">NOAA Weather Radio, and through interactions with partners such as </w:t>
      </w:r>
      <w:r w:rsidR="00092167" w:rsidRPr="0038262B">
        <w:rPr>
          <w:rFonts w:eastAsia="Calibri"/>
        </w:rPr>
        <w:t xml:space="preserve">the media, </w:t>
      </w:r>
      <w:r w:rsidR="007A6FB0" w:rsidRPr="0038262B">
        <w:rPr>
          <w:rFonts w:eastAsia="Calibri"/>
        </w:rPr>
        <w:t>government</w:t>
      </w:r>
      <w:r w:rsidR="00092167" w:rsidRPr="0038262B">
        <w:rPr>
          <w:rFonts w:eastAsia="Calibri"/>
        </w:rPr>
        <w:t xml:space="preserve"> officials, emergency managers</w:t>
      </w:r>
      <w:r w:rsidR="003404E6">
        <w:rPr>
          <w:rFonts w:eastAsia="Calibri"/>
        </w:rPr>
        <w:t>, and community groups</w:t>
      </w:r>
      <w:r w:rsidR="002D315A">
        <w:rPr>
          <w:rFonts w:eastAsia="Calibri"/>
        </w:rPr>
        <w:t xml:space="preserve">. These warnings provide </w:t>
      </w:r>
      <w:r w:rsidR="00922D66">
        <w:rPr>
          <w:rFonts w:eastAsia="Calibri"/>
        </w:rPr>
        <w:t>lifesaving</w:t>
      </w:r>
      <w:r w:rsidR="002D315A">
        <w:rPr>
          <w:rFonts w:eastAsia="Calibri"/>
        </w:rPr>
        <w:t xml:space="preserve"> information, such as when to shelter from a severe thunderstorm or tornado warning.</w:t>
      </w:r>
    </w:p>
    <w:p w14:paraId="02F9FE3D" w14:textId="77777777" w:rsidR="00CE7FE3" w:rsidRDefault="00CE7FE3" w:rsidP="00CE7FE3">
      <w:pPr>
        <w:ind w:left="450"/>
        <w:rPr>
          <w:rFonts w:eastAsia="Calibri"/>
        </w:rPr>
      </w:pPr>
    </w:p>
    <w:p w14:paraId="4B9B238E" w14:textId="7A958302" w:rsidR="0038262B" w:rsidRPr="0038262B" w:rsidRDefault="00211D67" w:rsidP="003800C6">
      <w:pPr>
        <w:shd w:val="clear" w:color="auto" w:fill="FFFFFF"/>
        <w:ind w:left="450"/>
      </w:pPr>
      <w:r>
        <w:rPr>
          <w:noProof/>
        </w:rPr>
        <mc:AlternateContent>
          <mc:Choice Requires="wps">
            <w:drawing>
              <wp:anchor distT="0" distB="0" distL="114300" distR="114300" simplePos="0" relativeHeight="251660288" behindDoc="0" locked="0" layoutInCell="1" allowOverlap="1" wp14:anchorId="1AA8EB6F" wp14:editId="5D5CBC4B">
                <wp:simplePos x="0" y="0"/>
                <wp:positionH relativeFrom="column">
                  <wp:posOffset>99060</wp:posOffset>
                </wp:positionH>
                <wp:positionV relativeFrom="paragraph">
                  <wp:posOffset>1741805</wp:posOffset>
                </wp:positionV>
                <wp:extent cx="5943600" cy="146050"/>
                <wp:effectExtent l="0" t="0" r="0" b="0"/>
                <wp:wrapTight wrapText="bothSides">
                  <wp:wrapPolygon edited="0">
                    <wp:start x="-97" y="0"/>
                    <wp:lineTo x="-97" y="20285"/>
                    <wp:lineTo x="21600" y="20285"/>
                    <wp:lineTo x="21600" y="0"/>
                    <wp:lineTo x="-97"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11BE42" w14:textId="77777777" w:rsidR="0009474E" w:rsidRPr="00A70D27" w:rsidRDefault="002D315A" w:rsidP="0009474E">
                            <w:pPr>
                              <w:pStyle w:val="Caption"/>
                              <w:rPr>
                                <w:rFonts w:ascii="Times New Roman" w:hAnsi="Times New Roman" w:cs="Times New Roman"/>
                                <w:noProof/>
                              </w:rPr>
                            </w:pPr>
                            <w:r>
                              <w:t>Examples of Impact Based Warning Tags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1AA8EB6F" id="_x0000_t202" coordsize="21600,21600" o:spt="202" path="m,l,21600r21600,l21600,xe">
                <v:stroke joinstyle="miter"/>
                <v:path gradientshapeok="t" o:connecttype="rect"/>
              </v:shapetype>
              <v:shape id="Text Box 2" o:spid="_x0000_s1026" type="#_x0000_t202" style="position:absolute;left:0;text-align:left;margin-left:7.8pt;margin-top:137.15pt;width:468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" stroked="f">
                <v:textbox style="mso-fit-shape-to-text:t" inset="0,0,0,0">
                  <w:txbxContent>
                    <w:p w14:paraId="0D11BE42" w14:textId="77777777" w:rsidR="0009474E" w:rsidRPr="00A70D27" w:rsidRDefault="002D315A" w:rsidP="0009474E">
                      <w:pPr>
                        <w:pStyle w:val="Caption"/>
                        <w:rPr>
                          <w:rFonts w:ascii="Times New Roman" w:hAnsi="Times New Roman" w:cs="Times New Roman"/>
                          <w:noProof/>
                        </w:rPr>
                      </w:pPr>
                      <w:r>
                        <w:t>Examples of Impact Based Warning Tags</w:t>
                      </w:r>
                    </w:p>
                  </w:txbxContent>
                </v:textbox>
                <w10:wrap type="tight"/>
              </v:shape>
            </w:pict>
          </mc:Fallback>
        </mc:AlternateContent>
      </w:r>
      <w:r w:rsidR="003800C6">
        <w:t xml:space="preserve">In the wake of </w:t>
      </w:r>
      <w:r w:rsidR="002D315A">
        <w:t xml:space="preserve">the </w:t>
      </w:r>
      <w:r>
        <w:t xml:space="preserve">2011 Joplin, MO, </w:t>
      </w:r>
      <w:r w:rsidR="002D315A">
        <w:t>tornado</w:t>
      </w:r>
      <w:r>
        <w:t>—the deadliest</w:t>
      </w:r>
      <w:r w:rsidR="002D315A">
        <w:t xml:space="preserve"> to strike the United States since modern recordkeeping began in the 1950s</w:t>
      </w:r>
      <w:r>
        <w:t>—</w:t>
      </w:r>
      <w:r w:rsidR="003800C6">
        <w:t xml:space="preserve">the NWS began considering ways to better alert the public to such dangerous weather event </w:t>
      </w:r>
      <w:r w:rsidR="00570DB7">
        <w:t>risks.</w:t>
      </w:r>
      <w:r w:rsidR="003800C6">
        <w:t xml:space="preserve"> The NWS Central </w:t>
      </w:r>
      <w:r w:rsidR="002D315A">
        <w:t xml:space="preserve">Region conducted an </w:t>
      </w:r>
      <w:r w:rsidR="003800C6">
        <w:t xml:space="preserve">experiment with five weather </w:t>
      </w:r>
      <w:r w:rsidR="00570DB7">
        <w:t>offices</w:t>
      </w:r>
      <w:r w:rsidR="003800C6">
        <w:t xml:space="preserve"> in Missouri and Kansas t</w:t>
      </w:r>
      <w:r>
        <w:t xml:space="preserve">o test whether the </w:t>
      </w:r>
      <w:r w:rsidR="003800C6">
        <w:t>incorporat</w:t>
      </w:r>
      <w:r>
        <w:t>ion of</w:t>
      </w:r>
      <w:r w:rsidR="003800C6">
        <w:t xml:space="preserve"> impact-based </w:t>
      </w:r>
      <w:r>
        <w:t xml:space="preserve">warning (IBW) </w:t>
      </w:r>
      <w:r w:rsidR="00570DB7">
        <w:t>information in</w:t>
      </w:r>
      <w:r w:rsidR="003800C6">
        <w:t xml:space="preserve"> tornado warnings help</w:t>
      </w:r>
      <w:r w:rsidR="00570DB7">
        <w:t>s people make faster</w:t>
      </w:r>
      <w:r w:rsidR="003800C6">
        <w:t xml:space="preserve"> decisions. Along with new wording, threat tags </w:t>
      </w:r>
      <w:proofErr w:type="gramStart"/>
      <w:r w:rsidR="003800C6">
        <w:t>were attached</w:t>
      </w:r>
      <w:proofErr w:type="gramEnd"/>
      <w:r w:rsidR="003800C6">
        <w:t xml:space="preserve"> to the warnings based on the severity of the situation</w:t>
      </w:r>
      <w:r>
        <w:t xml:space="preserve"> (see illustration below)</w:t>
      </w:r>
      <w:r w:rsidR="003800C6">
        <w:t xml:space="preserve">. In 2013, the experiment </w:t>
      </w:r>
      <w:proofErr w:type="gramStart"/>
      <w:r w:rsidR="003800C6">
        <w:t>was extended</w:t>
      </w:r>
      <w:proofErr w:type="gramEnd"/>
      <w:r w:rsidR="003800C6">
        <w:t xml:space="preserve"> to 38 weather </w:t>
      </w:r>
      <w:r w:rsidR="002D315A">
        <w:t>offices</w:t>
      </w:r>
      <w:r w:rsidR="003800C6">
        <w:t xml:space="preserve"> throughout 12 additional states within the </w:t>
      </w:r>
      <w:r w:rsidR="002E6DF4">
        <w:t xml:space="preserve">NWS </w:t>
      </w:r>
      <w:r w:rsidR="003800C6">
        <w:t>Central Region; this expansion continue</w:t>
      </w:r>
      <w:r>
        <w:t>d</w:t>
      </w:r>
      <w:r w:rsidR="003800C6">
        <w:t xml:space="preserve"> in 2015 to include more offices in the Southern, Eastern, and Western Regions.</w:t>
      </w:r>
    </w:p>
    <w:p w14:paraId="19AFDDAD" w14:textId="77777777" w:rsidR="009F41AC" w:rsidRDefault="005A17CE" w:rsidP="007A6FB0">
      <w:pPr>
        <w:ind w:left="450"/>
      </w:pPr>
      <w:r>
        <w:rPr>
          <w:noProof/>
        </w:rPr>
        <w:drawing>
          <wp:anchor distT="0" distB="0" distL="114300" distR="114300" simplePos="0" relativeHeight="251661312" behindDoc="0" locked="0" layoutInCell="1" allowOverlap="1" wp14:anchorId="49B06136" wp14:editId="0E8E37E7">
            <wp:simplePos x="0" y="0"/>
            <wp:positionH relativeFrom="margin">
              <wp:posOffset>573810</wp:posOffset>
            </wp:positionH>
            <wp:positionV relativeFrom="margin">
              <wp:posOffset>4911090</wp:posOffset>
            </wp:positionV>
            <wp:extent cx="4951095" cy="2887980"/>
            <wp:effectExtent l="0" t="0" r="1905" b="7620"/>
            <wp:wrapSquare wrapText="bothSides"/>
            <wp:docPr id="3" name="Picture 1" descr="http://www.weather.gov/images/impacts/examples/IBWexample.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ather.gov/images/impacts/examples/IBWexample.PNG">
                      <a:hlinkClick r:id="rId9"/>
                    </pic:cNvPr>
                    <pic:cNvPicPr>
                      <a:picLocks noChangeAspect="1" noChangeArrowheads="1"/>
                    </pic:cNvPicPr>
                  </pic:nvPicPr>
                  <pic:blipFill>
                    <a:blip r:embed="rId10" cstate="print"/>
                    <a:srcRect/>
                    <a:stretch>
                      <a:fillRect/>
                    </a:stretch>
                  </pic:blipFill>
                  <pic:spPr bwMode="auto">
                    <a:xfrm>
                      <a:off x="0" y="0"/>
                      <a:ext cx="4951095" cy="28879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AD7ED39" w14:textId="77777777" w:rsidR="002E0336" w:rsidRDefault="00570DB7" w:rsidP="00211D67">
      <w:pPr>
        <w:ind w:left="450"/>
        <w:rPr>
          <w:rFonts w:eastAsia="Calibri"/>
        </w:rPr>
      </w:pPr>
      <w:r>
        <w:lastRenderedPageBreak/>
        <w:t>Building on past work with NWS partners, such as emergency managers and broadcast meteorologists, t</w:t>
      </w:r>
      <w:r w:rsidR="009F41AC">
        <w:t xml:space="preserve">he </w:t>
      </w:r>
      <w:r w:rsidR="002D315A">
        <w:rPr>
          <w:rFonts w:eastAsia="Calibri"/>
        </w:rPr>
        <w:t>NWS</w:t>
      </w:r>
      <w:r w:rsidR="00943486" w:rsidRPr="0038262B">
        <w:rPr>
          <w:rFonts w:eastAsia="Calibri"/>
        </w:rPr>
        <w:t xml:space="preserve"> is</w:t>
      </w:r>
      <w:r>
        <w:rPr>
          <w:rFonts w:eastAsia="Calibri"/>
        </w:rPr>
        <w:t xml:space="preserve"> now</w:t>
      </w:r>
      <w:r w:rsidR="00943486" w:rsidRPr="0038262B">
        <w:rPr>
          <w:rFonts w:eastAsia="Calibri"/>
        </w:rPr>
        <w:t xml:space="preserve"> looking </w:t>
      </w:r>
      <w:r w:rsidR="007A6FB0" w:rsidRPr="0038262B">
        <w:rPr>
          <w:rFonts w:eastAsia="Calibri"/>
        </w:rPr>
        <w:t xml:space="preserve">for input on </w:t>
      </w:r>
      <w:r w:rsidR="009F41AC">
        <w:rPr>
          <w:rFonts w:eastAsia="Calibri"/>
        </w:rPr>
        <w:t xml:space="preserve">how the </w:t>
      </w:r>
      <w:r>
        <w:rPr>
          <w:rFonts w:eastAsia="Calibri"/>
        </w:rPr>
        <w:t>public interprets IBW threat tags</w:t>
      </w:r>
      <w:r w:rsidR="002D315A">
        <w:t>.</w:t>
      </w:r>
      <w:r w:rsidR="009A1474">
        <w:t xml:space="preserve"> </w:t>
      </w:r>
      <w:r w:rsidR="002E0336">
        <w:t xml:space="preserve">This evaluation will be useful in helping the NWS develop and evaluate its warning language to ensure </w:t>
      </w:r>
      <w:r w:rsidR="00211D67">
        <w:t>it</w:t>
      </w:r>
      <w:r w:rsidR="002E0336">
        <w:t xml:space="preserve"> </w:t>
      </w:r>
      <w:r w:rsidR="00211D67">
        <w:t xml:space="preserve">is </w:t>
      </w:r>
      <w:r w:rsidR="002E0336">
        <w:t xml:space="preserve">meeting </w:t>
      </w:r>
      <w:r w:rsidR="00211D67">
        <w:t>its</w:t>
      </w:r>
      <w:r w:rsidR="002E0336">
        <w:t xml:space="preserve"> mission to save lives and protect property.</w:t>
      </w:r>
      <w:r w:rsidR="00211D67">
        <w:t xml:space="preserve"> </w:t>
      </w:r>
      <w:r w:rsidR="007A6FB0">
        <w:rPr>
          <w:rFonts w:eastAsia="Calibri"/>
        </w:rPr>
        <w:t xml:space="preserve">To accomplish this, </w:t>
      </w:r>
      <w:r w:rsidR="00E45833">
        <w:rPr>
          <w:rFonts w:eastAsia="Calibri"/>
        </w:rPr>
        <w:t xml:space="preserve">the </w:t>
      </w:r>
      <w:r w:rsidR="00092167" w:rsidRPr="007A6FB0">
        <w:rPr>
          <w:rFonts w:eastAsia="Calibri"/>
        </w:rPr>
        <w:t>N</w:t>
      </w:r>
      <w:r w:rsidR="0034697E" w:rsidRPr="007A6FB0">
        <w:rPr>
          <w:rFonts w:eastAsia="Calibri"/>
        </w:rPr>
        <w:t>WS</w:t>
      </w:r>
      <w:r w:rsidR="00092167" w:rsidRPr="007A6FB0">
        <w:rPr>
          <w:rFonts w:eastAsia="Calibri"/>
        </w:rPr>
        <w:t xml:space="preserve"> seeks</w:t>
      </w:r>
      <w:r w:rsidR="00E45833">
        <w:rPr>
          <w:rFonts w:eastAsia="Calibri"/>
        </w:rPr>
        <w:t xml:space="preserve"> </w:t>
      </w:r>
      <w:r w:rsidR="005B2814">
        <w:rPr>
          <w:rFonts w:eastAsia="Calibri"/>
        </w:rPr>
        <w:t xml:space="preserve">to conduct </w:t>
      </w:r>
      <w:r w:rsidR="00162494">
        <w:rPr>
          <w:rFonts w:eastAsia="Calibri"/>
        </w:rPr>
        <w:t>a public survey to evaluate the effectiveness of the IBW program.</w:t>
      </w:r>
    </w:p>
    <w:p w14:paraId="18B4601A" w14:textId="77777777" w:rsidR="00211D67" w:rsidRDefault="00211D67" w:rsidP="00211D67">
      <w:pPr>
        <w:ind w:left="450"/>
        <w:rPr>
          <w:rFonts w:eastAsia="Calibri"/>
        </w:rPr>
      </w:pPr>
    </w:p>
    <w:p w14:paraId="5AD7885B" w14:textId="77777777" w:rsidR="004B2986" w:rsidRPr="00613EA6" w:rsidRDefault="004B2986" w:rsidP="00613EA6">
      <w:pPr>
        <w:pStyle w:val="ListParagraph"/>
        <w:numPr>
          <w:ilvl w:val="0"/>
          <w:numId w:val="25"/>
        </w:numPr>
        <w:autoSpaceDE w:val="0"/>
        <w:autoSpaceDN w:val="0"/>
        <w:adjustRightInd w:val="0"/>
        <w:rPr>
          <w:b/>
        </w:rPr>
      </w:pPr>
      <w:r w:rsidRPr="00613EA6">
        <w:rPr>
          <w:b/>
        </w:rPr>
        <w:t xml:space="preserve">Explain how this survey was developed. With whom did you consult </w:t>
      </w:r>
      <w:r w:rsidR="009C4A4A" w:rsidRPr="00613EA6">
        <w:rPr>
          <w:b/>
        </w:rPr>
        <w:t xml:space="preserve">regarding content </w:t>
      </w:r>
      <w:r w:rsidRPr="00613EA6">
        <w:rPr>
          <w:b/>
        </w:rPr>
        <w:t xml:space="preserve">during the development of this survey? </w:t>
      </w:r>
      <w:proofErr w:type="gramStart"/>
      <w:r w:rsidRPr="00613EA6">
        <w:rPr>
          <w:b/>
        </w:rPr>
        <w:t>Statistics?</w:t>
      </w:r>
      <w:proofErr w:type="gramEnd"/>
      <w:r w:rsidRPr="00613EA6">
        <w:rPr>
          <w:b/>
        </w:rPr>
        <w:t xml:space="preserve"> What suggestions did you get about improving the survey?</w:t>
      </w:r>
    </w:p>
    <w:p w14:paraId="1996ECC5" w14:textId="77777777" w:rsidR="004B2986" w:rsidRDefault="004B2986" w:rsidP="00676FF8">
      <w:pPr>
        <w:ind w:left="450" w:hanging="360"/>
        <w:rPr>
          <w:b/>
        </w:rPr>
      </w:pPr>
    </w:p>
    <w:p w14:paraId="4E05EFA6" w14:textId="77777777" w:rsidR="00162494" w:rsidRDefault="00211D67" w:rsidP="007A6FB0">
      <w:pPr>
        <w:autoSpaceDE w:val="0"/>
        <w:autoSpaceDN w:val="0"/>
        <w:adjustRightInd w:val="0"/>
        <w:ind w:left="450"/>
        <w:rPr>
          <w:rFonts w:eastAsia="Calibri"/>
        </w:rPr>
      </w:pPr>
      <w:r>
        <w:t xml:space="preserve">The </w:t>
      </w:r>
      <w:r w:rsidR="00651243">
        <w:t>NWS</w:t>
      </w:r>
      <w:r w:rsidR="004B2986" w:rsidRPr="004B2986">
        <w:t xml:space="preserve"> con</w:t>
      </w:r>
      <w:r w:rsidR="00651243">
        <w:t xml:space="preserve">tracted with </w:t>
      </w:r>
      <w:r w:rsidR="004B2986" w:rsidRPr="004B2986">
        <w:t>Eastern R</w:t>
      </w:r>
      <w:r w:rsidR="00A61C62">
        <w:t xml:space="preserve">esearch Group, Inc. (ERG) on the </w:t>
      </w:r>
      <w:r w:rsidR="004B2986" w:rsidRPr="004B2986">
        <w:t xml:space="preserve">development of </w:t>
      </w:r>
      <w:r w:rsidR="0070684D">
        <w:t xml:space="preserve">the </w:t>
      </w:r>
      <w:r w:rsidR="00162494">
        <w:t>survey</w:t>
      </w:r>
      <w:r w:rsidR="00651243">
        <w:t>.</w:t>
      </w:r>
      <w:r w:rsidR="00A61C62">
        <w:t xml:space="preserve"> </w:t>
      </w:r>
      <w:r w:rsidR="004B2986" w:rsidRPr="004B2986">
        <w:t>ERG has significant experience</w:t>
      </w:r>
      <w:r w:rsidR="009A1474">
        <w:t xml:space="preserve"> in </w:t>
      </w:r>
      <w:r w:rsidR="00162494">
        <w:t>conducting surveys, as well as evaluating risk messages</w:t>
      </w:r>
      <w:r w:rsidR="004B2986" w:rsidRPr="004B2986">
        <w:t xml:space="preserve">. </w:t>
      </w:r>
      <w:r w:rsidR="00651243">
        <w:t xml:space="preserve">To develop the </w:t>
      </w:r>
      <w:r w:rsidR="00162494">
        <w:t>survey</w:t>
      </w:r>
      <w:r w:rsidR="003849A0">
        <w:t>,</w:t>
      </w:r>
      <w:r w:rsidR="00651243">
        <w:t xml:space="preserve"> ERG worked with Dr. </w:t>
      </w:r>
      <w:r w:rsidR="003849A0">
        <w:t xml:space="preserve">Joseph </w:t>
      </w:r>
      <w:proofErr w:type="spellStart"/>
      <w:r w:rsidR="003849A0">
        <w:t>Ripberger</w:t>
      </w:r>
      <w:proofErr w:type="spellEnd"/>
      <w:r w:rsidR="00651243">
        <w:t xml:space="preserve">, </w:t>
      </w:r>
      <w:r w:rsidR="003849A0">
        <w:t xml:space="preserve">Deputy Director for Research at the University </w:t>
      </w:r>
      <w:proofErr w:type="gramStart"/>
      <w:r w:rsidR="003849A0">
        <w:t>of</w:t>
      </w:r>
      <w:proofErr w:type="gramEnd"/>
      <w:r w:rsidR="003849A0">
        <w:t xml:space="preserve"> Oklahoma</w:t>
      </w:r>
      <w:r w:rsidR="003849A0" w:rsidRPr="003849A0">
        <w:t xml:space="preserve"> Center for Risk and Crisis Management</w:t>
      </w:r>
      <w:r w:rsidR="00E65522">
        <w:t>.</w:t>
      </w:r>
      <w:r w:rsidR="00EC5B10">
        <w:t xml:space="preserve"> Dr. </w:t>
      </w:r>
      <w:proofErr w:type="spellStart"/>
      <w:r w:rsidR="00EC5B10">
        <w:t>Ripberger</w:t>
      </w:r>
      <w:proofErr w:type="spellEnd"/>
      <w:r w:rsidR="00EC5B10">
        <w:t xml:space="preserve"> </w:t>
      </w:r>
      <w:r w:rsidR="00651243">
        <w:t>has conducted many</w:t>
      </w:r>
      <w:r w:rsidR="003E1FDB">
        <w:t xml:space="preserve"> research projects </w:t>
      </w:r>
      <w:r w:rsidR="003849A0">
        <w:t xml:space="preserve">related to risk communication and </w:t>
      </w:r>
      <w:r w:rsidR="00162494">
        <w:t>efficacy of messages</w:t>
      </w:r>
      <w:r w:rsidR="00EC5B10">
        <w:t>,</w:t>
      </w:r>
      <w:r w:rsidR="003849A0">
        <w:t xml:space="preserve"> including work on studying public response to weather threat tags</w:t>
      </w:r>
      <w:r w:rsidR="003E1FDB">
        <w:t xml:space="preserve">. </w:t>
      </w:r>
      <w:r w:rsidR="00162494">
        <w:t>The survey tests the current IBW messages, as well as</w:t>
      </w:r>
      <w:r w:rsidR="007558FF">
        <w:t xml:space="preserve"> new ideas that emerged from</w:t>
      </w:r>
      <w:r w:rsidR="00162494">
        <w:t xml:space="preserve"> f</w:t>
      </w:r>
      <w:r w:rsidR="007558FF">
        <w:t xml:space="preserve">ocus group partner feedback (OMB Reference number: </w:t>
      </w:r>
      <w:r w:rsidR="00162494" w:rsidRPr="00162494">
        <w:rPr>
          <w:rFonts w:eastAsia="Calibri"/>
        </w:rPr>
        <w:t>2015</w:t>
      </w:r>
      <w:r w:rsidR="007558FF">
        <w:rPr>
          <w:rFonts w:eastAsia="Calibri"/>
        </w:rPr>
        <w:t>04-0648-015ICR).</w:t>
      </w:r>
    </w:p>
    <w:p w14:paraId="54C781FA" w14:textId="77777777" w:rsidR="003849A0" w:rsidRDefault="003849A0" w:rsidP="007A6FB0">
      <w:pPr>
        <w:autoSpaceDE w:val="0"/>
        <w:autoSpaceDN w:val="0"/>
        <w:adjustRightInd w:val="0"/>
        <w:ind w:left="450"/>
        <w:rPr>
          <w:rFonts w:eastAsia="Calibri"/>
        </w:rPr>
      </w:pPr>
    </w:p>
    <w:p w14:paraId="04D24963" w14:textId="77777777" w:rsidR="00B8542A" w:rsidRDefault="00B8542A" w:rsidP="00112B97">
      <w:pPr>
        <w:autoSpaceDE w:val="0"/>
        <w:autoSpaceDN w:val="0"/>
        <w:adjustRightInd w:val="0"/>
        <w:ind w:left="450"/>
        <w:rPr>
          <w:rFonts w:eastAsia="Calibri"/>
        </w:rPr>
      </w:pPr>
    </w:p>
    <w:p w14:paraId="12560E38" w14:textId="77777777" w:rsidR="00406B7C" w:rsidRPr="00406B7C" w:rsidRDefault="004B2986" w:rsidP="00406B7C">
      <w:pPr>
        <w:pStyle w:val="ListParagraph"/>
        <w:numPr>
          <w:ilvl w:val="0"/>
          <w:numId w:val="25"/>
        </w:numPr>
        <w:autoSpaceDE w:val="0"/>
        <w:autoSpaceDN w:val="0"/>
        <w:adjustRightInd w:val="0"/>
        <w:rPr>
          <w:b/>
        </w:rPr>
      </w:pPr>
      <w:r w:rsidRPr="00613EA6">
        <w:rPr>
          <w:b/>
        </w:rPr>
        <w:t xml:space="preserve">Explain how the survey </w:t>
      </w:r>
      <w:proofErr w:type="gramStart"/>
      <w:r w:rsidRPr="00613EA6">
        <w:rPr>
          <w:b/>
        </w:rPr>
        <w:t>will be conducted</w:t>
      </w:r>
      <w:proofErr w:type="gramEnd"/>
      <w:r w:rsidRPr="00613EA6">
        <w:rPr>
          <w:b/>
        </w:rPr>
        <w:t xml:space="preserve">. How </w:t>
      </w:r>
      <w:proofErr w:type="gramStart"/>
      <w:r w:rsidRPr="00613EA6">
        <w:rPr>
          <w:b/>
        </w:rPr>
        <w:t>will the customers be sampled</w:t>
      </w:r>
      <w:proofErr w:type="gramEnd"/>
      <w:r w:rsidRPr="00613EA6">
        <w:rPr>
          <w:b/>
        </w:rPr>
        <w:t xml:space="preserve"> (if fewer than all customers will be surveyed)? What percentage of customers asked to take the survey will respond? What actions </w:t>
      </w:r>
      <w:proofErr w:type="gramStart"/>
      <w:r w:rsidRPr="00613EA6">
        <w:rPr>
          <w:b/>
        </w:rPr>
        <w:t>are planned</w:t>
      </w:r>
      <w:proofErr w:type="gramEnd"/>
      <w:r w:rsidRPr="00613EA6">
        <w:rPr>
          <w:b/>
        </w:rPr>
        <w:t xml:space="preserve"> to increase the response rate? (Web-based surveys are not an acceptable method of sampling a broad population. Web-based surveys must be limited to services provided by Web.)</w:t>
      </w:r>
    </w:p>
    <w:p w14:paraId="0A6C371D" w14:textId="77777777" w:rsidR="004B2986" w:rsidRDefault="004B2986" w:rsidP="00676FF8">
      <w:pPr>
        <w:autoSpaceDE w:val="0"/>
        <w:autoSpaceDN w:val="0"/>
        <w:adjustRightInd w:val="0"/>
        <w:ind w:left="450" w:hanging="360"/>
        <w:rPr>
          <w:b/>
        </w:rPr>
      </w:pPr>
    </w:p>
    <w:p w14:paraId="748B12EC" w14:textId="77777777" w:rsidR="007558FF" w:rsidRDefault="007558FF" w:rsidP="006D7D25">
      <w:pPr>
        <w:ind w:left="450"/>
      </w:pPr>
      <w:r>
        <w:t xml:space="preserve">The survey </w:t>
      </w:r>
      <w:proofErr w:type="gramStart"/>
      <w:r>
        <w:t>will be administered</w:t>
      </w:r>
      <w:proofErr w:type="gramEnd"/>
      <w:r>
        <w:t xml:space="preserve"> online through a </w:t>
      </w:r>
      <w:proofErr w:type="spellStart"/>
      <w:r>
        <w:t>Qualtrics</w:t>
      </w:r>
      <w:proofErr w:type="spellEnd"/>
      <w:r w:rsidR="007D5C76">
        <w:t xml:space="preserve"> web link</w:t>
      </w:r>
      <w:r>
        <w:t>. The online survey mimics how people currently see the IBW messages. Although tornado warnings are wide</w:t>
      </w:r>
      <w:r w:rsidR="00251D7E">
        <w:t>ly</w:t>
      </w:r>
      <w:r>
        <w:t xml:space="preserve"> disseminated through a variety of technologies, at this time, online mechanisms are the primary way to see IBW specific messages.</w:t>
      </w:r>
    </w:p>
    <w:p w14:paraId="1661DB34" w14:textId="77777777" w:rsidR="0092420B" w:rsidRDefault="0092420B" w:rsidP="0092420B">
      <w:pPr>
        <w:ind w:left="450"/>
      </w:pPr>
    </w:p>
    <w:p w14:paraId="432309EB" w14:textId="26E8CEF4" w:rsidR="0092420B" w:rsidRDefault="006B7A92" w:rsidP="006B7A92">
      <w:pPr>
        <w:ind w:left="450"/>
      </w:pPr>
      <w:r>
        <w:t>To narrow the sample locations</w:t>
      </w:r>
      <w:r w:rsidR="0092420B">
        <w:t>, the</w:t>
      </w:r>
      <w:r>
        <w:t xml:space="preserve"> sample </w:t>
      </w:r>
      <w:proofErr w:type="gramStart"/>
      <w:r>
        <w:t xml:space="preserve">will be </w:t>
      </w:r>
      <w:r w:rsidR="00FA18C9">
        <w:t>obtained</w:t>
      </w:r>
      <w:proofErr w:type="gramEnd"/>
      <w:r w:rsidR="00FA18C9">
        <w:t xml:space="preserve"> </w:t>
      </w:r>
      <w:r>
        <w:t>from the same locations</w:t>
      </w:r>
      <w:r w:rsidR="007D5C76">
        <w:t xml:space="preserve"> </w:t>
      </w:r>
      <w:r w:rsidR="00FA18C9">
        <w:t xml:space="preserve">in which </w:t>
      </w:r>
      <w:r w:rsidR="007D5C76">
        <w:t>the focus groups took place</w:t>
      </w:r>
      <w:r>
        <w:t xml:space="preserve">: </w:t>
      </w:r>
      <w:r w:rsidR="00582CFD">
        <w:t>North Carolina, Iowa, Oklahoma, and Alabama.</w:t>
      </w:r>
      <w:r w:rsidR="00406E2C">
        <w:rPr>
          <w:rStyle w:val="FootnoteReference"/>
        </w:rPr>
        <w:footnoteReference w:id="1"/>
      </w:r>
      <w:r w:rsidR="00251D7E">
        <w:t xml:space="preserve"> These states </w:t>
      </w:r>
      <w:proofErr w:type="gramStart"/>
      <w:r w:rsidR="00251D7E">
        <w:t>were chosen</w:t>
      </w:r>
      <w:proofErr w:type="gramEnd"/>
      <w:r w:rsidR="00251D7E">
        <w:t xml:space="preserve"> based on their varying degree of experience with severe weather, as well as their diversity of storm types.</w:t>
      </w:r>
      <w:r>
        <w:t xml:space="preserve"> Using the same locations</w:t>
      </w:r>
      <w:r w:rsidR="00251D7E">
        <w:t xml:space="preserve"> as the focus group</w:t>
      </w:r>
      <w:r w:rsidR="002E6DF4">
        <w:t>s</w:t>
      </w:r>
      <w:r>
        <w:t xml:space="preserve"> will allow for a c</w:t>
      </w:r>
      <w:r w:rsidR="00251D7E">
        <w:t xml:space="preserve">omparative </w:t>
      </w:r>
      <w:r>
        <w:t>data analysis between the qualitative</w:t>
      </w:r>
      <w:r w:rsidR="00251D7E">
        <w:t xml:space="preserve"> partner data</w:t>
      </w:r>
      <w:r>
        <w:t xml:space="preserve"> and quantitative</w:t>
      </w:r>
      <w:r w:rsidR="00251D7E">
        <w:t xml:space="preserve"> public</w:t>
      </w:r>
      <w:r>
        <w:t xml:space="preserve"> data</w:t>
      </w:r>
    </w:p>
    <w:p w14:paraId="324066C5" w14:textId="77777777" w:rsidR="009F4D55" w:rsidRDefault="009F4D55" w:rsidP="009F4D55">
      <w:pPr>
        <w:ind w:left="450"/>
      </w:pPr>
    </w:p>
    <w:p w14:paraId="2BB0E35F" w14:textId="30C0C493" w:rsidR="002E6DF4" w:rsidRDefault="009F4D55" w:rsidP="006B7A92">
      <w:pPr>
        <w:ind w:left="450"/>
      </w:pPr>
      <w:r>
        <w:t xml:space="preserve">ERG will </w:t>
      </w:r>
      <w:r w:rsidR="00FA18C9">
        <w:t xml:space="preserve">obtain </w:t>
      </w:r>
      <w:r w:rsidR="007D5C76">
        <w:t>a</w:t>
      </w:r>
      <w:r>
        <w:t xml:space="preserve"> random, non-probabilit</w:t>
      </w:r>
      <w:r w:rsidR="002E6DF4">
        <w:t xml:space="preserve">y public sample using </w:t>
      </w:r>
      <w:proofErr w:type="spellStart"/>
      <w:r>
        <w:t>Qu</w:t>
      </w:r>
      <w:r w:rsidR="007D5C76">
        <w:t>altrics</w:t>
      </w:r>
      <w:proofErr w:type="spellEnd"/>
      <w:r w:rsidR="007D5C76">
        <w:t xml:space="preserve"> panel</w:t>
      </w:r>
      <w:r w:rsidR="002E6DF4">
        <w:t>s in each of the four states</w:t>
      </w:r>
      <w:r w:rsidR="007D5C76">
        <w:t>.</w:t>
      </w:r>
      <w:r w:rsidR="00406E2C">
        <w:rPr>
          <w:rStyle w:val="FootnoteReference"/>
        </w:rPr>
        <w:footnoteReference w:id="2"/>
      </w:r>
      <w:r w:rsidR="007D5C76">
        <w:t xml:space="preserve"> These panels represent a large, convenient sample of the United States. That is, participants opt-in voluntarily to participate in </w:t>
      </w:r>
      <w:proofErr w:type="spellStart"/>
      <w:r w:rsidR="007D5C76">
        <w:t>Qualtrics</w:t>
      </w:r>
      <w:proofErr w:type="spellEnd"/>
      <w:r w:rsidR="007D5C76">
        <w:t xml:space="preserve"> surveys. </w:t>
      </w:r>
    </w:p>
    <w:p w14:paraId="71544A56" w14:textId="35D176E2" w:rsidR="002E6DF4" w:rsidRDefault="002E6DF4" w:rsidP="006B7A92">
      <w:pPr>
        <w:ind w:left="450"/>
      </w:pPr>
    </w:p>
    <w:p w14:paraId="78FDE4F5" w14:textId="51C44BDA" w:rsidR="005005D6" w:rsidRDefault="005005D6" w:rsidP="005005D6">
      <w:pPr>
        <w:ind w:left="450"/>
      </w:pPr>
      <w:r>
        <w:rPr>
          <w:bCs/>
        </w:rPr>
        <w:t xml:space="preserve">A sample size of approximately 1800 participants </w:t>
      </w:r>
      <w:proofErr w:type="gramStart"/>
      <w:r>
        <w:rPr>
          <w:bCs/>
        </w:rPr>
        <w:t>will be needed</w:t>
      </w:r>
      <w:proofErr w:type="gramEnd"/>
      <w:r>
        <w:t xml:space="preserve"> with 450 participants from each state while also varying the urban, suburban, rural distribution of the sample. </w:t>
      </w:r>
      <w:proofErr w:type="spellStart"/>
      <w:r w:rsidR="007D5C76">
        <w:t>Qualtrics</w:t>
      </w:r>
      <w:proofErr w:type="spellEnd"/>
      <w:r w:rsidR="007D5C76">
        <w:t xml:space="preserve"> will </w:t>
      </w:r>
      <w:r w:rsidR="007D5C76">
        <w:lastRenderedPageBreak/>
        <w:t>determine respondents that are highly likely to qualify for the panel</w:t>
      </w:r>
      <w:r w:rsidRPr="005005D6">
        <w:t xml:space="preserve"> </w:t>
      </w:r>
      <w:r>
        <w:t>in each state bas</w:t>
      </w:r>
      <w:r w:rsidR="005F4E48">
        <w:t>ed on the inclusion requirement</w:t>
      </w:r>
      <w:r w:rsidR="00F3247E">
        <w:t xml:space="preserve"> consisting of the</w:t>
      </w:r>
      <w:r>
        <w:t xml:space="preserve"> target geography. It </w:t>
      </w:r>
      <w:proofErr w:type="gramStart"/>
      <w:r>
        <w:t>will initially randomly select</w:t>
      </w:r>
      <w:proofErr w:type="gramEnd"/>
      <w:r>
        <w:t xml:space="preserve"> 450 participants within the sample in each state since that is our target completion number. </w:t>
      </w:r>
      <w:proofErr w:type="spellStart"/>
      <w:r>
        <w:t>Qualtrics</w:t>
      </w:r>
      <w:proofErr w:type="spellEnd"/>
      <w:r>
        <w:t xml:space="preserve"> will then increase the number of contacts until it reaches the target number of completed surveys. </w:t>
      </w:r>
      <w:proofErr w:type="spellStart"/>
      <w:r>
        <w:t>Qualtrics</w:t>
      </w:r>
      <w:proofErr w:type="spellEnd"/>
      <w:r>
        <w:t xml:space="preserve"> provides all of this sample information, which will enable us to assess the response rate of how many individuals </w:t>
      </w:r>
      <w:proofErr w:type="gramStart"/>
      <w:r>
        <w:t>were asked</w:t>
      </w:r>
      <w:proofErr w:type="gramEnd"/>
      <w:r>
        <w:t xml:space="preserve"> to take the survey versus how many valid responses were provided. If </w:t>
      </w:r>
      <w:proofErr w:type="spellStart"/>
      <w:r>
        <w:t>Qualtrics</w:t>
      </w:r>
      <w:proofErr w:type="spellEnd"/>
      <w:r>
        <w:t xml:space="preserve"> cannot attain the 1,800 completes across all states, then we will broaden our target geography (e.g., add more cities in each state) to the sample pool. </w:t>
      </w:r>
      <w:proofErr w:type="spellStart"/>
      <w:r>
        <w:t>Qualtrics</w:t>
      </w:r>
      <w:proofErr w:type="spellEnd"/>
      <w:r>
        <w:t xml:space="preserve"> will also remind the participants with follow-up emails for up to 2 weeks to increase the response rate.</w:t>
      </w:r>
    </w:p>
    <w:p w14:paraId="5D11851B" w14:textId="1212DEE6" w:rsidR="007D5C76" w:rsidRDefault="007D5C76" w:rsidP="006B7A92">
      <w:pPr>
        <w:ind w:left="450"/>
      </w:pPr>
    </w:p>
    <w:p w14:paraId="342A1713" w14:textId="77777777" w:rsidR="006833BA" w:rsidRDefault="006833BA" w:rsidP="00BC697B">
      <w:pPr>
        <w:autoSpaceDE w:val="0"/>
        <w:autoSpaceDN w:val="0"/>
        <w:adjustRightInd w:val="0"/>
        <w:ind w:left="450"/>
      </w:pPr>
    </w:p>
    <w:p w14:paraId="4DC4031A" w14:textId="77777777" w:rsidR="000461FF" w:rsidRPr="000461FF" w:rsidRDefault="004B2986" w:rsidP="000461FF">
      <w:pPr>
        <w:pStyle w:val="ListParagraph"/>
        <w:numPr>
          <w:ilvl w:val="0"/>
          <w:numId w:val="25"/>
        </w:numPr>
        <w:autoSpaceDE w:val="0"/>
        <w:autoSpaceDN w:val="0"/>
        <w:adjustRightInd w:val="0"/>
        <w:rPr>
          <w:b/>
        </w:rPr>
      </w:pPr>
      <w:r w:rsidRPr="00613EA6">
        <w:rPr>
          <w:b/>
        </w:rPr>
        <w:t xml:space="preserve">Describe how the results of this survey </w:t>
      </w:r>
      <w:proofErr w:type="gramStart"/>
      <w:r w:rsidRPr="00613EA6">
        <w:rPr>
          <w:b/>
        </w:rPr>
        <w:t>will be analyzed and used</w:t>
      </w:r>
      <w:proofErr w:type="gramEnd"/>
      <w:r w:rsidRPr="00613EA6">
        <w:rPr>
          <w:b/>
        </w:rPr>
        <w:t xml:space="preserve">. If the customer population </w:t>
      </w:r>
      <w:proofErr w:type="gramStart"/>
      <w:r w:rsidRPr="00613EA6">
        <w:rPr>
          <w:b/>
        </w:rPr>
        <w:t>is sampled</w:t>
      </w:r>
      <w:proofErr w:type="gramEnd"/>
      <w:r w:rsidRPr="00613EA6">
        <w:rPr>
          <w:b/>
        </w:rPr>
        <w:t xml:space="preserve">, what statistical techniques will be used to generalize the results to the entire customer population? </w:t>
      </w:r>
      <w:proofErr w:type="gramStart"/>
      <w:r w:rsidRPr="00613EA6">
        <w:rPr>
          <w:b/>
        </w:rPr>
        <w:t>Is this survey intended</w:t>
      </w:r>
      <w:proofErr w:type="gramEnd"/>
      <w:r w:rsidRPr="00613EA6">
        <w:rPr>
          <w:b/>
        </w:rPr>
        <w:t xml:space="preserve"> to measure a GPRA performance measure? (If so, please include an excerpt from the appropriate document.)</w:t>
      </w:r>
    </w:p>
    <w:p w14:paraId="73B7D60F" w14:textId="77777777" w:rsidR="00CC70AC" w:rsidRDefault="00CC70AC" w:rsidP="0009474E">
      <w:pPr>
        <w:pStyle w:val="Heading2"/>
        <w:ind w:left="450"/>
        <w:rPr>
          <w:b w:val="0"/>
          <w:bCs w:val="0"/>
          <w:sz w:val="22"/>
          <w:szCs w:val="22"/>
        </w:rPr>
      </w:pPr>
    </w:p>
    <w:p w14:paraId="6E9BE094" w14:textId="17EC03F6" w:rsidR="00EF5392" w:rsidRDefault="000461FF" w:rsidP="007258C8">
      <w:pPr>
        <w:pStyle w:val="Heading2"/>
        <w:ind w:left="450"/>
        <w:rPr>
          <w:b w:val="0"/>
          <w:sz w:val="22"/>
          <w:szCs w:val="22"/>
        </w:rPr>
      </w:pPr>
      <w:r>
        <w:rPr>
          <w:b w:val="0"/>
          <w:bCs w:val="0"/>
          <w:sz w:val="22"/>
          <w:szCs w:val="22"/>
        </w:rPr>
        <w:t>The NWS will use the information resulting from this data collection to help guide refinements in threat tag definitions</w:t>
      </w:r>
      <w:r w:rsidR="004D7B0C">
        <w:rPr>
          <w:b w:val="0"/>
          <w:bCs w:val="0"/>
          <w:sz w:val="22"/>
          <w:szCs w:val="22"/>
        </w:rPr>
        <w:t xml:space="preserve"> </w:t>
      </w:r>
      <w:r>
        <w:rPr>
          <w:b w:val="0"/>
          <w:bCs w:val="0"/>
          <w:sz w:val="22"/>
          <w:szCs w:val="22"/>
        </w:rPr>
        <w:t xml:space="preserve">and </w:t>
      </w:r>
      <w:r w:rsidR="004D7B0C">
        <w:rPr>
          <w:b w:val="0"/>
          <w:bCs w:val="0"/>
          <w:sz w:val="22"/>
          <w:szCs w:val="22"/>
        </w:rPr>
        <w:t xml:space="preserve">messaging to </w:t>
      </w:r>
      <w:r>
        <w:rPr>
          <w:b w:val="0"/>
          <w:bCs w:val="0"/>
          <w:sz w:val="22"/>
          <w:szCs w:val="22"/>
        </w:rPr>
        <w:t xml:space="preserve">ensure the project is meeting its goal to facilitate improved public </w:t>
      </w:r>
      <w:r w:rsidR="00D1721F">
        <w:rPr>
          <w:b w:val="0"/>
          <w:bCs w:val="0"/>
          <w:sz w:val="22"/>
          <w:szCs w:val="22"/>
        </w:rPr>
        <w:t>understanding</w:t>
      </w:r>
      <w:r>
        <w:rPr>
          <w:b w:val="0"/>
          <w:bCs w:val="0"/>
          <w:sz w:val="22"/>
          <w:szCs w:val="22"/>
        </w:rPr>
        <w:t>.</w:t>
      </w:r>
      <w:r w:rsidR="002A2FB7">
        <w:rPr>
          <w:b w:val="0"/>
          <w:bCs w:val="0"/>
          <w:sz w:val="22"/>
          <w:szCs w:val="22"/>
        </w:rPr>
        <w:t xml:space="preserve"> </w:t>
      </w:r>
      <w:r w:rsidR="009F4D55" w:rsidRPr="00B0797C">
        <w:rPr>
          <w:b w:val="0"/>
          <w:sz w:val="22"/>
          <w:szCs w:val="22"/>
        </w:rPr>
        <w:t>ERG</w:t>
      </w:r>
      <w:r w:rsidR="00ED35D4" w:rsidRPr="00B0797C">
        <w:rPr>
          <w:b w:val="0"/>
          <w:sz w:val="22"/>
          <w:szCs w:val="22"/>
        </w:rPr>
        <w:t xml:space="preserve"> is not using any statistical methods to select p</w:t>
      </w:r>
      <w:r w:rsidR="009F4D55" w:rsidRPr="00B0797C">
        <w:rPr>
          <w:b w:val="0"/>
          <w:sz w:val="22"/>
          <w:szCs w:val="22"/>
        </w:rPr>
        <w:t>articipants from the population.</w:t>
      </w:r>
      <w:r w:rsidR="009F4D55">
        <w:rPr>
          <w:b w:val="0"/>
          <w:sz w:val="22"/>
          <w:szCs w:val="22"/>
        </w:rPr>
        <w:t xml:space="preserve"> </w:t>
      </w:r>
      <w:r w:rsidR="00B0797C">
        <w:rPr>
          <w:b w:val="0"/>
          <w:sz w:val="22"/>
          <w:szCs w:val="22"/>
        </w:rPr>
        <w:t>Rather, we are using a random, non-probability based convenient sample from</w:t>
      </w:r>
      <w:r w:rsidR="009F4D55">
        <w:rPr>
          <w:b w:val="0"/>
          <w:sz w:val="22"/>
          <w:szCs w:val="22"/>
        </w:rPr>
        <w:t xml:space="preserve"> </w:t>
      </w:r>
      <w:proofErr w:type="spellStart"/>
      <w:r w:rsidR="009F4D55">
        <w:rPr>
          <w:b w:val="0"/>
          <w:sz w:val="22"/>
          <w:szCs w:val="22"/>
        </w:rPr>
        <w:t>Qualtrics</w:t>
      </w:r>
      <w:proofErr w:type="spellEnd"/>
      <w:r w:rsidR="00B0797C">
        <w:rPr>
          <w:b w:val="0"/>
          <w:sz w:val="22"/>
          <w:szCs w:val="22"/>
        </w:rPr>
        <w:t xml:space="preserve"> in the</w:t>
      </w:r>
      <w:r w:rsidR="009F4D55">
        <w:rPr>
          <w:b w:val="0"/>
          <w:sz w:val="22"/>
          <w:szCs w:val="22"/>
        </w:rPr>
        <w:t xml:space="preserve"> following </w:t>
      </w:r>
      <w:r w:rsidR="005F3D48">
        <w:rPr>
          <w:b w:val="0"/>
          <w:sz w:val="22"/>
          <w:szCs w:val="22"/>
        </w:rPr>
        <w:t>states</w:t>
      </w:r>
      <w:r w:rsidR="009F4D55">
        <w:rPr>
          <w:b w:val="0"/>
          <w:sz w:val="22"/>
          <w:szCs w:val="22"/>
        </w:rPr>
        <w:t xml:space="preserve">: </w:t>
      </w:r>
      <w:r w:rsidR="00B0797C" w:rsidRPr="00B0797C">
        <w:rPr>
          <w:b w:val="0"/>
          <w:sz w:val="22"/>
          <w:szCs w:val="22"/>
        </w:rPr>
        <w:t>North Carolina, Iowa, Oklahoma, and Alabama</w:t>
      </w:r>
      <w:r w:rsidR="009F4D55" w:rsidRPr="009F4D55">
        <w:rPr>
          <w:b w:val="0"/>
          <w:sz w:val="22"/>
          <w:szCs w:val="22"/>
        </w:rPr>
        <w:t>.</w:t>
      </w:r>
      <w:r w:rsidR="00B0797C">
        <w:rPr>
          <w:b w:val="0"/>
          <w:sz w:val="22"/>
          <w:szCs w:val="22"/>
        </w:rPr>
        <w:t xml:space="preserve"> Thus, no direct comparison </w:t>
      </w:r>
      <w:proofErr w:type="gramStart"/>
      <w:r w:rsidR="00B0797C">
        <w:rPr>
          <w:b w:val="0"/>
          <w:sz w:val="22"/>
          <w:szCs w:val="22"/>
        </w:rPr>
        <w:t>will be made</w:t>
      </w:r>
      <w:proofErr w:type="gramEnd"/>
      <w:r w:rsidR="00B0797C">
        <w:rPr>
          <w:b w:val="0"/>
          <w:sz w:val="22"/>
          <w:szCs w:val="22"/>
        </w:rPr>
        <w:t xml:space="preserve"> to the population at large.</w:t>
      </w:r>
      <w:r w:rsidR="002E6DF4">
        <w:rPr>
          <w:b w:val="0"/>
          <w:sz w:val="22"/>
          <w:szCs w:val="22"/>
        </w:rPr>
        <w:t xml:space="preserve"> </w:t>
      </w:r>
    </w:p>
    <w:p w14:paraId="6D037397" w14:textId="77777777" w:rsidR="007258C8" w:rsidRPr="0055485C" w:rsidRDefault="007258C8" w:rsidP="007258C8"/>
    <w:p w14:paraId="3876625D" w14:textId="77777777" w:rsidR="00E12B6F" w:rsidRPr="0055485C" w:rsidRDefault="00E12B6F" w:rsidP="00555071">
      <w:pPr>
        <w:autoSpaceDE w:val="0"/>
        <w:autoSpaceDN w:val="0"/>
        <w:adjustRightInd w:val="0"/>
        <w:ind w:left="450"/>
        <w:rPr>
          <w:bCs/>
        </w:rPr>
      </w:pPr>
      <w:r w:rsidRPr="0055485C">
        <w:rPr>
          <w:bCs/>
        </w:rPr>
        <w:t>T</w:t>
      </w:r>
      <w:r w:rsidR="004B2986" w:rsidRPr="0055485C">
        <w:rPr>
          <w:bCs/>
        </w:rPr>
        <w:t xml:space="preserve">he data </w:t>
      </w:r>
      <w:r w:rsidRPr="0055485C">
        <w:rPr>
          <w:bCs/>
        </w:rPr>
        <w:t>do</w:t>
      </w:r>
      <w:r w:rsidR="004B2986" w:rsidRPr="0055485C">
        <w:rPr>
          <w:bCs/>
        </w:rPr>
        <w:t xml:space="preserve"> not directly contribute to a GPRA measure</w:t>
      </w:r>
      <w:r w:rsidRPr="0055485C">
        <w:rPr>
          <w:bCs/>
        </w:rPr>
        <w:t>.</w:t>
      </w:r>
      <w:r w:rsidRPr="0055485C" w:rsidDel="00E12B6F">
        <w:rPr>
          <w:bCs/>
        </w:rPr>
        <w:t xml:space="preserve"> </w:t>
      </w:r>
    </w:p>
    <w:p w14:paraId="30A86307" w14:textId="77777777" w:rsidR="00BA7109" w:rsidRPr="00ED35D4" w:rsidRDefault="00943BE1" w:rsidP="00ED35D4">
      <w:pPr>
        <w:autoSpaceDE w:val="0"/>
        <w:autoSpaceDN w:val="0"/>
        <w:adjustRightInd w:val="0"/>
        <w:ind w:left="450"/>
        <w:rPr>
          <w:bCs/>
          <w:highlight w:val="yellow"/>
        </w:rPr>
      </w:pPr>
      <w:r>
        <w:rPr>
          <w:bCs/>
          <w:highlight w:val="yellow"/>
        </w:rPr>
        <w:t xml:space="preserve"> </w:t>
      </w:r>
    </w:p>
    <w:p w14:paraId="46EBC3D5" w14:textId="77777777" w:rsidR="00F0690A" w:rsidRDefault="00F0690A" w:rsidP="00676FF8">
      <w:pPr>
        <w:autoSpaceDE w:val="0"/>
        <w:autoSpaceDN w:val="0"/>
        <w:adjustRightInd w:val="0"/>
        <w:ind w:left="450" w:hanging="360"/>
        <w:rPr>
          <w:bCs/>
        </w:rPr>
      </w:pPr>
    </w:p>
    <w:p w14:paraId="5DC4965F" w14:textId="77777777" w:rsidR="00BA7109" w:rsidRPr="00DC456B" w:rsidRDefault="00BA7109" w:rsidP="00DC456B">
      <w:pPr>
        <w:pStyle w:val="ListParagraph"/>
        <w:numPr>
          <w:ilvl w:val="0"/>
          <w:numId w:val="21"/>
        </w:numPr>
        <w:autoSpaceDE w:val="0"/>
        <w:autoSpaceDN w:val="0"/>
        <w:adjustRightInd w:val="0"/>
        <w:rPr>
          <w:b/>
          <w:bCs/>
          <w:sz w:val="24"/>
          <w:szCs w:val="24"/>
        </w:rPr>
      </w:pPr>
      <w:r w:rsidRPr="00DC456B">
        <w:rPr>
          <w:b/>
          <w:bCs/>
          <w:sz w:val="24"/>
          <w:szCs w:val="24"/>
        </w:rPr>
        <w:t>C</w:t>
      </w:r>
      <w:r w:rsidR="00DC456B">
        <w:rPr>
          <w:b/>
          <w:bCs/>
          <w:sz w:val="24"/>
          <w:szCs w:val="24"/>
        </w:rPr>
        <w:t>ollections of Information Employing Statistical Methods</w:t>
      </w:r>
    </w:p>
    <w:p w14:paraId="59C9AC1A" w14:textId="77777777" w:rsidR="00BA7109" w:rsidRPr="00BA7109" w:rsidRDefault="00BA7109" w:rsidP="00BA7109">
      <w:pPr>
        <w:autoSpaceDE w:val="0"/>
        <w:autoSpaceDN w:val="0"/>
        <w:adjustRightInd w:val="0"/>
        <w:ind w:left="360"/>
        <w:rPr>
          <w:bCs/>
          <w:color w:val="000000"/>
          <w:lang w:val="en-GB" w:eastAsia="en-GB"/>
        </w:rPr>
      </w:pPr>
    </w:p>
    <w:p w14:paraId="28DC495F" w14:textId="77777777" w:rsidR="00255064" w:rsidRPr="00255064" w:rsidRDefault="00BA7109" w:rsidP="00255064">
      <w:pPr>
        <w:numPr>
          <w:ilvl w:val="0"/>
          <w:numId w:val="9"/>
        </w:numPr>
        <w:autoSpaceDE w:val="0"/>
        <w:autoSpaceDN w:val="0"/>
        <w:adjustRightInd w:val="0"/>
        <w:ind w:left="360"/>
        <w:rPr>
          <w:b/>
          <w:bCs/>
          <w:color w:val="000000"/>
          <w:lang w:val="en-GB" w:eastAsia="en-GB"/>
        </w:rPr>
      </w:pPr>
      <w:r w:rsidRPr="00BA7109">
        <w:rPr>
          <w:b/>
          <w:bCs/>
          <w:color w:val="000000"/>
          <w:lang w:val="en-GB" w:eastAsia="en-GB"/>
        </w:rPr>
        <w:t xml:space="preserve">Describe (including a numerical estimate) the potential respondent universe and any sampling or other respondent selection method to </w:t>
      </w:r>
      <w:proofErr w:type="gramStart"/>
      <w:r w:rsidRPr="00BA7109">
        <w:rPr>
          <w:b/>
          <w:bCs/>
          <w:color w:val="000000"/>
          <w:lang w:val="en-GB" w:eastAsia="en-GB"/>
        </w:rPr>
        <w:t>be used</w:t>
      </w:r>
      <w:proofErr w:type="gramEnd"/>
      <w:r w:rsidRPr="00BA7109">
        <w:rPr>
          <w:b/>
          <w:bCs/>
          <w:color w:val="000000"/>
          <w:lang w:val="en-GB" w:eastAsia="en-GB"/>
        </w:rPr>
        <w:t xml:space="preserve">. Data on the number of entities (e.g. establishments, State and local governmental units, households, or persons) in the universe and the corresponding sample are to </w:t>
      </w:r>
      <w:proofErr w:type="gramStart"/>
      <w:r w:rsidRPr="00BA7109">
        <w:rPr>
          <w:b/>
          <w:bCs/>
          <w:color w:val="000000"/>
          <w:lang w:val="en-GB" w:eastAsia="en-GB"/>
        </w:rPr>
        <w:t>be provided</w:t>
      </w:r>
      <w:proofErr w:type="gramEnd"/>
      <w:r w:rsidRPr="00BA7109">
        <w:rPr>
          <w:b/>
          <w:bCs/>
          <w:color w:val="000000"/>
          <w:lang w:val="en-GB" w:eastAsia="en-GB"/>
        </w:rPr>
        <w:t xml:space="preserve"> in tabular form. The tabulation must also include expected response rates for the collection as a whole. If the collection </w:t>
      </w:r>
      <w:proofErr w:type="gramStart"/>
      <w:r w:rsidRPr="00BA7109">
        <w:rPr>
          <w:b/>
          <w:bCs/>
          <w:color w:val="000000"/>
          <w:lang w:val="en-GB" w:eastAsia="en-GB"/>
        </w:rPr>
        <w:t>has been conducted</w:t>
      </w:r>
      <w:proofErr w:type="gramEnd"/>
      <w:r w:rsidRPr="00BA7109">
        <w:rPr>
          <w:b/>
          <w:bCs/>
          <w:color w:val="000000"/>
          <w:lang w:val="en-GB" w:eastAsia="en-GB"/>
        </w:rPr>
        <w:t xml:space="preserve"> before, provide the actual response rate achieved.</w:t>
      </w:r>
    </w:p>
    <w:p w14:paraId="25F798E1" w14:textId="77777777" w:rsidR="0065090A" w:rsidRDefault="0065090A" w:rsidP="00C1145F">
      <w:pPr>
        <w:ind w:left="360"/>
      </w:pPr>
    </w:p>
    <w:p w14:paraId="26B0C1A3" w14:textId="3E5EED9E" w:rsidR="00B0797C" w:rsidRDefault="003448DF" w:rsidP="00B0797C">
      <w:pPr>
        <w:ind w:left="450"/>
      </w:pPr>
      <w:r>
        <w:t>T</w:t>
      </w:r>
      <w:r w:rsidR="00B4241F">
        <w:t xml:space="preserve">he potential respondent universe </w:t>
      </w:r>
      <w:proofErr w:type="gramStart"/>
      <w:r w:rsidR="00B4241F">
        <w:t>is based</w:t>
      </w:r>
      <w:proofErr w:type="gramEnd"/>
      <w:r w:rsidR="00B4241F">
        <w:t xml:space="preserve"> on the </w:t>
      </w:r>
      <w:r w:rsidR="00B0797C">
        <w:t xml:space="preserve">number of participants contacted by </w:t>
      </w:r>
      <w:proofErr w:type="spellStart"/>
      <w:r w:rsidR="00B0797C">
        <w:t>Qualtrics</w:t>
      </w:r>
      <w:proofErr w:type="spellEnd"/>
      <w:r w:rsidR="00B0797C">
        <w:t xml:space="preserve">. We are </w:t>
      </w:r>
      <w:r w:rsidR="00FA18C9">
        <w:t xml:space="preserve">obtaining </w:t>
      </w:r>
      <w:r w:rsidR="00B0797C">
        <w:t xml:space="preserve">a random, non-probability public sample using a </w:t>
      </w:r>
      <w:proofErr w:type="spellStart"/>
      <w:r w:rsidR="00B0797C">
        <w:t>Qualtrics</w:t>
      </w:r>
      <w:proofErr w:type="spellEnd"/>
      <w:r w:rsidR="00B0797C">
        <w:t xml:space="preserve"> panel. These panels represent a large, convenient sample of the United States. That is, participants opt-in voluntarily to participate in </w:t>
      </w:r>
      <w:proofErr w:type="spellStart"/>
      <w:r w:rsidR="00B0797C">
        <w:t>Qualtrics</w:t>
      </w:r>
      <w:proofErr w:type="spellEnd"/>
      <w:r w:rsidR="00B0797C">
        <w:t xml:space="preserve"> surveys. Dependent on our inclusion criteria (for example, states</w:t>
      </w:r>
      <w:r w:rsidR="005005D6">
        <w:t xml:space="preserve"> and urban to rural distribution</w:t>
      </w:r>
      <w:r w:rsidR="00B0797C">
        <w:t xml:space="preserve">), </w:t>
      </w:r>
      <w:proofErr w:type="spellStart"/>
      <w:r w:rsidR="00B0797C">
        <w:t>Qualtrics</w:t>
      </w:r>
      <w:proofErr w:type="spellEnd"/>
      <w:r w:rsidR="00B0797C">
        <w:t xml:space="preserve"> will determine respondents that are highly likely to qualify for the panel, and then randomly select within the sample. For example, </w:t>
      </w:r>
      <w:proofErr w:type="spellStart"/>
      <w:r w:rsidR="00B0797C">
        <w:t>Qualtrics</w:t>
      </w:r>
      <w:proofErr w:type="spellEnd"/>
      <w:r w:rsidR="00B0797C">
        <w:t xml:space="preserve"> may have 10,000 participants in Oklahoma, but they will initially randomly select 450 people to participate since that is our target </w:t>
      </w:r>
      <w:r w:rsidR="005005D6">
        <w:t xml:space="preserve">amount per state, and then </w:t>
      </w:r>
      <w:r w:rsidR="00B0797C">
        <w:t xml:space="preserve">increase the number of contacts until </w:t>
      </w:r>
      <w:r w:rsidR="005005D6">
        <w:t>it</w:t>
      </w:r>
      <w:r w:rsidR="00B0797C">
        <w:t xml:space="preserve"> reach</w:t>
      </w:r>
      <w:r w:rsidR="005005D6">
        <w:t>es</w:t>
      </w:r>
      <w:r w:rsidR="00B0797C">
        <w:t xml:space="preserve"> the target sample number of completed surveys. </w:t>
      </w:r>
    </w:p>
    <w:p w14:paraId="66015225" w14:textId="77777777" w:rsidR="00B0797C" w:rsidRDefault="00B0797C" w:rsidP="00B0797C">
      <w:pPr>
        <w:ind w:left="450"/>
      </w:pPr>
    </w:p>
    <w:p w14:paraId="5BB93DAA" w14:textId="1EF3500E" w:rsidR="00B0797C" w:rsidRPr="0092420B" w:rsidRDefault="00940B32" w:rsidP="00B0797C">
      <w:pPr>
        <w:ind w:left="450"/>
      </w:pPr>
      <w:r>
        <w:rPr>
          <w:bCs/>
        </w:rPr>
        <w:t xml:space="preserve">A sample size of approximately 1800 participants </w:t>
      </w:r>
      <w:proofErr w:type="gramStart"/>
      <w:r>
        <w:rPr>
          <w:bCs/>
        </w:rPr>
        <w:t>will be needed</w:t>
      </w:r>
      <w:proofErr w:type="gramEnd"/>
      <w:r>
        <w:t xml:space="preserve"> with 450 participants from each state while also varying the urban, suburban, rural distribution of the sample </w:t>
      </w:r>
      <w:r w:rsidR="00B0797C">
        <w:t xml:space="preserve">(see Table below). </w:t>
      </w:r>
      <w:proofErr w:type="spellStart"/>
      <w:r w:rsidR="00B0797C">
        <w:lastRenderedPageBreak/>
        <w:t>Qualtrics</w:t>
      </w:r>
      <w:proofErr w:type="spellEnd"/>
      <w:r w:rsidR="00B0797C">
        <w:t xml:space="preserve"> provides all of this information, which allows ERG to assess the response rate of how many individuals </w:t>
      </w:r>
      <w:proofErr w:type="gramStart"/>
      <w:r w:rsidR="00B0797C">
        <w:t>were asked</w:t>
      </w:r>
      <w:proofErr w:type="gramEnd"/>
      <w:r w:rsidR="00B0797C">
        <w:t xml:space="preserve"> to take the survey versus how many valid responses were provided. If </w:t>
      </w:r>
      <w:proofErr w:type="spellStart"/>
      <w:r w:rsidR="00B0797C">
        <w:t>Qualtrics</w:t>
      </w:r>
      <w:proofErr w:type="spellEnd"/>
      <w:r w:rsidR="00B0797C">
        <w:t xml:space="preserve"> cannot attain the 1800 completes, then we will add more cities in each state to the sample pool. </w:t>
      </w:r>
    </w:p>
    <w:p w14:paraId="6C7F95FF" w14:textId="77777777" w:rsidR="00255064" w:rsidRDefault="00255064" w:rsidP="00B23F18">
      <w:pPr>
        <w:ind w:left="360"/>
      </w:pPr>
    </w:p>
    <w:p w14:paraId="75AA3F69" w14:textId="77777777" w:rsidR="007678A2" w:rsidRDefault="007678A2" w:rsidP="00B23F18">
      <w:pPr>
        <w:ind w:left="360"/>
      </w:pPr>
    </w:p>
    <w:p w14:paraId="1F4F8F04" w14:textId="77777777" w:rsidR="007678A2" w:rsidRPr="00327EA6" w:rsidRDefault="007678A2" w:rsidP="007678A2">
      <w:pPr>
        <w:ind w:left="450"/>
        <w:rPr>
          <w:b/>
        </w:rPr>
      </w:pPr>
      <w:r w:rsidRPr="00327EA6">
        <w:rPr>
          <w:b/>
        </w:rPr>
        <w:t>Focus Group Sample</w:t>
      </w:r>
    </w:p>
    <w:tbl>
      <w:tblPr>
        <w:tblStyle w:val="TableGrid"/>
        <w:tblW w:w="5000" w:type="pct"/>
        <w:tblLook w:val="04A0" w:firstRow="1" w:lastRow="0" w:firstColumn="1" w:lastColumn="0" w:noHBand="0" w:noVBand="1"/>
      </w:tblPr>
      <w:tblGrid>
        <w:gridCol w:w="2562"/>
        <w:gridCol w:w="2442"/>
        <w:gridCol w:w="1375"/>
        <w:gridCol w:w="1925"/>
        <w:gridCol w:w="1272"/>
      </w:tblGrid>
      <w:tr w:rsidR="00B0797C" w14:paraId="084FF311" w14:textId="77777777" w:rsidTr="00B0797C">
        <w:trPr>
          <w:trHeight w:val="503"/>
        </w:trPr>
        <w:tc>
          <w:tcPr>
            <w:tcW w:w="1338" w:type="pct"/>
          </w:tcPr>
          <w:p w14:paraId="4A2E4746" w14:textId="77777777" w:rsidR="00B0797C" w:rsidRPr="00C76120" w:rsidRDefault="00B0797C" w:rsidP="00327EA6">
            <w:pPr>
              <w:rPr>
                <w:b/>
              </w:rPr>
            </w:pPr>
            <w:r w:rsidRPr="00C76120">
              <w:rPr>
                <w:b/>
              </w:rPr>
              <w:t>Location</w:t>
            </w:r>
          </w:p>
        </w:tc>
        <w:tc>
          <w:tcPr>
            <w:tcW w:w="1275" w:type="pct"/>
          </w:tcPr>
          <w:p w14:paraId="6C711275" w14:textId="77777777" w:rsidR="00B0797C" w:rsidRPr="00C76120" w:rsidRDefault="00B0797C" w:rsidP="00B0797C">
            <w:pPr>
              <w:jc w:val="center"/>
              <w:rPr>
                <w:b/>
              </w:rPr>
            </w:pPr>
            <w:r>
              <w:rPr>
                <w:b/>
              </w:rPr>
              <w:t>Total Sample</w:t>
            </w:r>
          </w:p>
        </w:tc>
        <w:tc>
          <w:tcPr>
            <w:tcW w:w="718" w:type="pct"/>
          </w:tcPr>
          <w:p w14:paraId="48DDFE07" w14:textId="77777777" w:rsidR="00B0797C" w:rsidRPr="00C76120" w:rsidRDefault="00B0797C" w:rsidP="00B0797C">
            <w:pPr>
              <w:jc w:val="center"/>
              <w:rPr>
                <w:b/>
              </w:rPr>
            </w:pPr>
            <w:r>
              <w:rPr>
                <w:b/>
              </w:rPr>
              <w:t>Urban</w:t>
            </w:r>
          </w:p>
        </w:tc>
        <w:tc>
          <w:tcPr>
            <w:tcW w:w="1005" w:type="pct"/>
          </w:tcPr>
          <w:p w14:paraId="07671F33" w14:textId="77777777" w:rsidR="00B0797C" w:rsidRPr="00C76120" w:rsidRDefault="00B0797C" w:rsidP="00B0797C">
            <w:pPr>
              <w:jc w:val="center"/>
              <w:rPr>
                <w:b/>
              </w:rPr>
            </w:pPr>
            <w:r>
              <w:rPr>
                <w:b/>
              </w:rPr>
              <w:t>Suburban</w:t>
            </w:r>
          </w:p>
        </w:tc>
        <w:tc>
          <w:tcPr>
            <w:tcW w:w="665" w:type="pct"/>
          </w:tcPr>
          <w:p w14:paraId="1A24940A" w14:textId="77777777" w:rsidR="00B0797C" w:rsidRDefault="00B0797C" w:rsidP="00B0797C">
            <w:pPr>
              <w:jc w:val="center"/>
              <w:rPr>
                <w:b/>
              </w:rPr>
            </w:pPr>
            <w:r>
              <w:rPr>
                <w:b/>
              </w:rPr>
              <w:t>Rural</w:t>
            </w:r>
          </w:p>
        </w:tc>
      </w:tr>
      <w:tr w:rsidR="00B0797C" w14:paraId="32E0B1D8" w14:textId="77777777" w:rsidTr="00B0797C">
        <w:tc>
          <w:tcPr>
            <w:tcW w:w="1338" w:type="pct"/>
          </w:tcPr>
          <w:p w14:paraId="7E2C85D3" w14:textId="77777777" w:rsidR="00B0797C" w:rsidRDefault="00B0797C" w:rsidP="00327EA6">
            <w:r>
              <w:t>North Carolina</w:t>
            </w:r>
          </w:p>
        </w:tc>
        <w:tc>
          <w:tcPr>
            <w:tcW w:w="1275" w:type="pct"/>
          </w:tcPr>
          <w:p w14:paraId="0D16E7C4" w14:textId="77777777" w:rsidR="00B0797C" w:rsidRDefault="00B0797C" w:rsidP="00B0797C">
            <w:pPr>
              <w:jc w:val="center"/>
            </w:pPr>
            <w:r>
              <w:t>450</w:t>
            </w:r>
          </w:p>
        </w:tc>
        <w:tc>
          <w:tcPr>
            <w:tcW w:w="718" w:type="pct"/>
          </w:tcPr>
          <w:p w14:paraId="42C60446" w14:textId="77777777" w:rsidR="00B0797C" w:rsidRDefault="00B0797C" w:rsidP="00B0797C">
            <w:pPr>
              <w:jc w:val="center"/>
            </w:pPr>
            <w:r>
              <w:t>150</w:t>
            </w:r>
          </w:p>
        </w:tc>
        <w:tc>
          <w:tcPr>
            <w:tcW w:w="1005" w:type="pct"/>
          </w:tcPr>
          <w:p w14:paraId="419EC281" w14:textId="77777777" w:rsidR="00B0797C" w:rsidRDefault="00B0797C" w:rsidP="00B0797C">
            <w:pPr>
              <w:jc w:val="center"/>
            </w:pPr>
            <w:r>
              <w:t>150</w:t>
            </w:r>
          </w:p>
        </w:tc>
        <w:tc>
          <w:tcPr>
            <w:tcW w:w="665" w:type="pct"/>
          </w:tcPr>
          <w:p w14:paraId="029896E0" w14:textId="77777777" w:rsidR="00B0797C" w:rsidRDefault="00B0797C" w:rsidP="00B0797C">
            <w:pPr>
              <w:jc w:val="center"/>
            </w:pPr>
            <w:r>
              <w:t>150</w:t>
            </w:r>
          </w:p>
        </w:tc>
      </w:tr>
      <w:tr w:rsidR="00B0797C" w14:paraId="082162F6" w14:textId="77777777" w:rsidTr="00B0797C">
        <w:tc>
          <w:tcPr>
            <w:tcW w:w="1338" w:type="pct"/>
          </w:tcPr>
          <w:p w14:paraId="71137439" w14:textId="77777777" w:rsidR="00B0797C" w:rsidRDefault="00B0797C" w:rsidP="00327EA6">
            <w:r>
              <w:t>Alabama</w:t>
            </w:r>
          </w:p>
        </w:tc>
        <w:tc>
          <w:tcPr>
            <w:tcW w:w="1275" w:type="pct"/>
          </w:tcPr>
          <w:p w14:paraId="125EADDD" w14:textId="77777777" w:rsidR="00B0797C" w:rsidRDefault="00B0797C" w:rsidP="00B0797C">
            <w:pPr>
              <w:jc w:val="center"/>
            </w:pPr>
            <w:r>
              <w:t>450</w:t>
            </w:r>
          </w:p>
        </w:tc>
        <w:tc>
          <w:tcPr>
            <w:tcW w:w="718" w:type="pct"/>
          </w:tcPr>
          <w:p w14:paraId="5540B433" w14:textId="77777777" w:rsidR="00B0797C" w:rsidRDefault="00B0797C" w:rsidP="00B0797C">
            <w:pPr>
              <w:jc w:val="center"/>
            </w:pPr>
            <w:r>
              <w:t>150</w:t>
            </w:r>
          </w:p>
        </w:tc>
        <w:tc>
          <w:tcPr>
            <w:tcW w:w="1005" w:type="pct"/>
          </w:tcPr>
          <w:p w14:paraId="2E4DFC38" w14:textId="77777777" w:rsidR="00B0797C" w:rsidRDefault="00B0797C" w:rsidP="00B0797C">
            <w:pPr>
              <w:jc w:val="center"/>
            </w:pPr>
            <w:r>
              <w:t>150</w:t>
            </w:r>
          </w:p>
        </w:tc>
        <w:tc>
          <w:tcPr>
            <w:tcW w:w="665" w:type="pct"/>
          </w:tcPr>
          <w:p w14:paraId="00D1B535" w14:textId="77777777" w:rsidR="00B0797C" w:rsidRDefault="00B0797C" w:rsidP="00B0797C">
            <w:pPr>
              <w:jc w:val="center"/>
            </w:pPr>
            <w:r>
              <w:t>150</w:t>
            </w:r>
          </w:p>
        </w:tc>
      </w:tr>
      <w:tr w:rsidR="00B0797C" w14:paraId="4CBFE3C5" w14:textId="77777777" w:rsidTr="00B0797C">
        <w:tc>
          <w:tcPr>
            <w:tcW w:w="1338" w:type="pct"/>
          </w:tcPr>
          <w:p w14:paraId="03DE2D65" w14:textId="77777777" w:rsidR="00B0797C" w:rsidRDefault="00B0797C" w:rsidP="00327EA6">
            <w:r>
              <w:t>Oklahoma</w:t>
            </w:r>
          </w:p>
        </w:tc>
        <w:tc>
          <w:tcPr>
            <w:tcW w:w="1275" w:type="pct"/>
          </w:tcPr>
          <w:p w14:paraId="7D80393E" w14:textId="77777777" w:rsidR="00B0797C" w:rsidRDefault="00B0797C" w:rsidP="00B0797C">
            <w:pPr>
              <w:jc w:val="center"/>
            </w:pPr>
            <w:r>
              <w:t>450</w:t>
            </w:r>
          </w:p>
        </w:tc>
        <w:tc>
          <w:tcPr>
            <w:tcW w:w="718" w:type="pct"/>
          </w:tcPr>
          <w:p w14:paraId="3B20F4E6" w14:textId="77777777" w:rsidR="00B0797C" w:rsidRDefault="00B0797C" w:rsidP="00B0797C">
            <w:pPr>
              <w:jc w:val="center"/>
            </w:pPr>
            <w:r>
              <w:t>150</w:t>
            </w:r>
          </w:p>
        </w:tc>
        <w:tc>
          <w:tcPr>
            <w:tcW w:w="1005" w:type="pct"/>
          </w:tcPr>
          <w:p w14:paraId="7A5FF70A" w14:textId="77777777" w:rsidR="00B0797C" w:rsidRDefault="00B0797C" w:rsidP="00B0797C">
            <w:pPr>
              <w:jc w:val="center"/>
            </w:pPr>
            <w:r>
              <w:t>150</w:t>
            </w:r>
          </w:p>
        </w:tc>
        <w:tc>
          <w:tcPr>
            <w:tcW w:w="665" w:type="pct"/>
          </w:tcPr>
          <w:p w14:paraId="4E953284" w14:textId="77777777" w:rsidR="00B0797C" w:rsidRDefault="00B0797C" w:rsidP="00B0797C">
            <w:pPr>
              <w:jc w:val="center"/>
            </w:pPr>
            <w:r>
              <w:t>150</w:t>
            </w:r>
          </w:p>
        </w:tc>
      </w:tr>
      <w:tr w:rsidR="00B0797C" w14:paraId="01D660B4" w14:textId="77777777" w:rsidTr="00B0797C">
        <w:trPr>
          <w:trHeight w:val="197"/>
        </w:trPr>
        <w:tc>
          <w:tcPr>
            <w:tcW w:w="1338" w:type="pct"/>
          </w:tcPr>
          <w:p w14:paraId="7891D308" w14:textId="77777777" w:rsidR="00B0797C" w:rsidRDefault="00B0797C" w:rsidP="00327EA6">
            <w:r>
              <w:t>Iowa</w:t>
            </w:r>
          </w:p>
        </w:tc>
        <w:tc>
          <w:tcPr>
            <w:tcW w:w="1275" w:type="pct"/>
          </w:tcPr>
          <w:p w14:paraId="0D59CB47" w14:textId="77777777" w:rsidR="00B0797C" w:rsidRDefault="00B0797C" w:rsidP="00B0797C">
            <w:pPr>
              <w:jc w:val="center"/>
            </w:pPr>
            <w:r>
              <w:t>450</w:t>
            </w:r>
          </w:p>
        </w:tc>
        <w:tc>
          <w:tcPr>
            <w:tcW w:w="718" w:type="pct"/>
          </w:tcPr>
          <w:p w14:paraId="48D80F86" w14:textId="77777777" w:rsidR="00B0797C" w:rsidRDefault="00B0797C" w:rsidP="00B0797C">
            <w:pPr>
              <w:jc w:val="center"/>
            </w:pPr>
            <w:r>
              <w:t>150</w:t>
            </w:r>
          </w:p>
        </w:tc>
        <w:tc>
          <w:tcPr>
            <w:tcW w:w="1005" w:type="pct"/>
          </w:tcPr>
          <w:p w14:paraId="23D87261" w14:textId="77777777" w:rsidR="00B0797C" w:rsidRDefault="00B0797C" w:rsidP="00B0797C">
            <w:pPr>
              <w:jc w:val="center"/>
            </w:pPr>
            <w:r>
              <w:t>150</w:t>
            </w:r>
          </w:p>
        </w:tc>
        <w:tc>
          <w:tcPr>
            <w:tcW w:w="665" w:type="pct"/>
          </w:tcPr>
          <w:p w14:paraId="41A8BFE4" w14:textId="77777777" w:rsidR="00B0797C" w:rsidRDefault="00B0797C" w:rsidP="00B0797C">
            <w:pPr>
              <w:jc w:val="center"/>
            </w:pPr>
            <w:r>
              <w:t>150</w:t>
            </w:r>
          </w:p>
        </w:tc>
      </w:tr>
      <w:tr w:rsidR="00B0797C" w14:paraId="6BCF77D4" w14:textId="77777777" w:rsidTr="00B0797C">
        <w:tc>
          <w:tcPr>
            <w:tcW w:w="1338" w:type="pct"/>
          </w:tcPr>
          <w:p w14:paraId="184888D3" w14:textId="77777777" w:rsidR="00B0797C" w:rsidRPr="00475248" w:rsidRDefault="00B0797C" w:rsidP="00327EA6">
            <w:pPr>
              <w:rPr>
                <w:b/>
              </w:rPr>
            </w:pPr>
            <w:r w:rsidRPr="00475248">
              <w:rPr>
                <w:b/>
              </w:rPr>
              <w:t>Totals</w:t>
            </w:r>
          </w:p>
        </w:tc>
        <w:tc>
          <w:tcPr>
            <w:tcW w:w="1275" w:type="pct"/>
          </w:tcPr>
          <w:p w14:paraId="31B5B94F" w14:textId="4A7551B4" w:rsidR="00B0797C" w:rsidRPr="00475248" w:rsidRDefault="00B0797C" w:rsidP="00B0797C">
            <w:pPr>
              <w:jc w:val="center"/>
              <w:rPr>
                <w:b/>
              </w:rPr>
            </w:pPr>
            <w:r w:rsidRPr="00475248">
              <w:rPr>
                <w:b/>
              </w:rPr>
              <w:t>1</w:t>
            </w:r>
            <w:r w:rsidR="00940B32">
              <w:rPr>
                <w:b/>
              </w:rPr>
              <w:t>,</w:t>
            </w:r>
            <w:r>
              <w:rPr>
                <w:b/>
              </w:rPr>
              <w:t>80</w:t>
            </w:r>
            <w:r w:rsidRPr="00475248">
              <w:rPr>
                <w:b/>
              </w:rPr>
              <w:t>0</w:t>
            </w:r>
          </w:p>
        </w:tc>
        <w:tc>
          <w:tcPr>
            <w:tcW w:w="718" w:type="pct"/>
          </w:tcPr>
          <w:p w14:paraId="2392CE16" w14:textId="77777777" w:rsidR="00B0797C" w:rsidRPr="00475248" w:rsidRDefault="00B0797C" w:rsidP="00B0797C">
            <w:pPr>
              <w:jc w:val="center"/>
              <w:rPr>
                <w:b/>
              </w:rPr>
            </w:pPr>
            <w:r>
              <w:rPr>
                <w:b/>
              </w:rPr>
              <w:t>600</w:t>
            </w:r>
          </w:p>
        </w:tc>
        <w:tc>
          <w:tcPr>
            <w:tcW w:w="1005" w:type="pct"/>
          </w:tcPr>
          <w:p w14:paraId="51F8F948" w14:textId="77777777" w:rsidR="00B0797C" w:rsidRPr="00475248" w:rsidRDefault="00B0797C" w:rsidP="00B0797C">
            <w:pPr>
              <w:jc w:val="center"/>
              <w:rPr>
                <w:b/>
              </w:rPr>
            </w:pPr>
            <w:r>
              <w:rPr>
                <w:b/>
              </w:rPr>
              <w:t>600</w:t>
            </w:r>
          </w:p>
        </w:tc>
        <w:tc>
          <w:tcPr>
            <w:tcW w:w="665" w:type="pct"/>
          </w:tcPr>
          <w:p w14:paraId="57803072" w14:textId="77777777" w:rsidR="00B0797C" w:rsidRPr="00475248" w:rsidRDefault="00B0797C" w:rsidP="00B0797C">
            <w:pPr>
              <w:jc w:val="center"/>
              <w:rPr>
                <w:b/>
              </w:rPr>
            </w:pPr>
            <w:r>
              <w:rPr>
                <w:b/>
              </w:rPr>
              <w:t>600</w:t>
            </w:r>
          </w:p>
        </w:tc>
      </w:tr>
    </w:tbl>
    <w:p w14:paraId="1134E7DF" w14:textId="77777777" w:rsidR="00C1145F" w:rsidRDefault="00C1145F" w:rsidP="00BA7109">
      <w:pPr>
        <w:rPr>
          <w:lang w:val="en-GB" w:eastAsia="en-GB"/>
        </w:rPr>
      </w:pPr>
    </w:p>
    <w:p w14:paraId="35B00033"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3C04621E" w14:textId="77777777" w:rsidR="00606AE9" w:rsidRDefault="00606AE9" w:rsidP="00BA7109">
      <w:pPr>
        <w:rPr>
          <w:b/>
          <w:lang w:val="en-GB" w:eastAsia="en-GB"/>
        </w:rPr>
      </w:pPr>
    </w:p>
    <w:p w14:paraId="0F34FE94" w14:textId="77777777" w:rsidR="00835E16" w:rsidRPr="00E12B6F" w:rsidRDefault="00106600" w:rsidP="00606AE9">
      <w:pPr>
        <w:ind w:left="360"/>
        <w:rPr>
          <w:i/>
          <w:u w:val="single"/>
          <w:lang w:val="en-GB" w:eastAsia="en-GB"/>
        </w:rPr>
      </w:pPr>
      <w:r w:rsidRPr="00106600">
        <w:rPr>
          <w:i/>
          <w:u w:val="single"/>
          <w:lang w:val="en-GB" w:eastAsia="en-GB"/>
        </w:rPr>
        <w:t>Statistical Method for Stratification and Sample Selection</w:t>
      </w:r>
    </w:p>
    <w:p w14:paraId="7F1739E5" w14:textId="77777777" w:rsidR="00CE1019" w:rsidRDefault="00CE1019" w:rsidP="00CE1019">
      <w:pPr>
        <w:rPr>
          <w:lang w:val="en-GB" w:eastAsia="en-GB"/>
        </w:rPr>
      </w:pPr>
    </w:p>
    <w:p w14:paraId="391506FE" w14:textId="77777777" w:rsidR="00CE1019" w:rsidRDefault="00406E2C" w:rsidP="00504724">
      <w:pPr>
        <w:ind w:left="720"/>
        <w:rPr>
          <w:lang w:val="en-GB" w:eastAsia="en-GB"/>
        </w:rPr>
      </w:pPr>
      <w:r>
        <w:rPr>
          <w:lang w:val="en-GB" w:eastAsia="en-GB"/>
        </w:rPr>
        <w:t>NWS</w:t>
      </w:r>
      <w:r w:rsidR="00D1721F">
        <w:rPr>
          <w:lang w:val="en-GB" w:eastAsia="en-GB"/>
        </w:rPr>
        <w:t xml:space="preserve"> is not using statistical methods for stratification or sample selection. The respondents </w:t>
      </w:r>
      <w:proofErr w:type="gramStart"/>
      <w:r w:rsidR="00D1721F">
        <w:rPr>
          <w:lang w:val="en-GB" w:eastAsia="en-GB"/>
        </w:rPr>
        <w:t>will be randomly selected</w:t>
      </w:r>
      <w:proofErr w:type="gramEnd"/>
      <w:r w:rsidR="00D1721F">
        <w:rPr>
          <w:lang w:val="en-GB" w:eastAsia="en-GB"/>
        </w:rPr>
        <w:t xml:space="preserve"> from the panel maintained by </w:t>
      </w:r>
      <w:proofErr w:type="spellStart"/>
      <w:r w:rsidR="00D1721F">
        <w:rPr>
          <w:lang w:val="en-GB" w:eastAsia="en-GB"/>
        </w:rPr>
        <w:t>Qualtrics</w:t>
      </w:r>
      <w:proofErr w:type="spellEnd"/>
      <w:r w:rsidR="00D1721F">
        <w:rPr>
          <w:lang w:val="en-GB" w:eastAsia="en-GB"/>
        </w:rPr>
        <w:t xml:space="preserve"> partners, but inclusion of respondents in the panel itself is not probability based. </w:t>
      </w:r>
    </w:p>
    <w:p w14:paraId="76BA2167" w14:textId="77777777" w:rsidR="007678A2" w:rsidRDefault="007678A2" w:rsidP="00606AE9">
      <w:pPr>
        <w:ind w:left="360"/>
        <w:rPr>
          <w:i/>
          <w:u w:val="single"/>
          <w:lang w:val="en-GB" w:eastAsia="en-GB"/>
        </w:rPr>
      </w:pPr>
    </w:p>
    <w:p w14:paraId="5DA0522B" w14:textId="77777777" w:rsidR="00835E16" w:rsidRPr="00835E16" w:rsidRDefault="00835E16" w:rsidP="00606AE9">
      <w:pPr>
        <w:ind w:left="360"/>
        <w:rPr>
          <w:i/>
          <w:u w:val="single"/>
          <w:lang w:val="en-GB" w:eastAsia="en-GB"/>
        </w:rPr>
      </w:pPr>
      <w:r w:rsidRPr="00835E16">
        <w:rPr>
          <w:i/>
          <w:u w:val="single"/>
          <w:lang w:val="en-GB" w:eastAsia="en-GB"/>
        </w:rPr>
        <w:t>Estimation Procedure and Accuracy</w:t>
      </w:r>
    </w:p>
    <w:p w14:paraId="6A7D2F3C" w14:textId="77777777" w:rsidR="00835E16" w:rsidRDefault="00406E2C" w:rsidP="005A2104">
      <w:pPr>
        <w:ind w:left="720"/>
        <w:rPr>
          <w:lang w:val="en-GB" w:eastAsia="en-GB"/>
        </w:rPr>
      </w:pPr>
      <w:r>
        <w:rPr>
          <w:lang w:val="en-GB" w:eastAsia="en-GB"/>
        </w:rPr>
        <w:t xml:space="preserve">NWS is not using statistical methods for this data collection. However, in order to facilitate meaningful data analysis within the sample itself, </w:t>
      </w:r>
      <w:r w:rsidR="005A2104" w:rsidRPr="005A2104">
        <w:rPr>
          <w:lang w:val="en-GB" w:eastAsia="en-GB"/>
        </w:rPr>
        <w:t xml:space="preserve">we estimated needing 150 people per cell with </w:t>
      </w:r>
      <w:proofErr w:type="gramStart"/>
      <w:r w:rsidR="005A2104" w:rsidRPr="005A2104">
        <w:rPr>
          <w:lang w:val="en-GB" w:eastAsia="en-GB"/>
        </w:rPr>
        <w:t>4</w:t>
      </w:r>
      <w:proofErr w:type="gramEnd"/>
      <w:r w:rsidR="005A2104" w:rsidRPr="005A2104">
        <w:rPr>
          <w:lang w:val="en-GB" w:eastAsia="en-GB"/>
        </w:rPr>
        <w:t xml:space="preserve"> states and 3 </w:t>
      </w:r>
      <w:r>
        <w:rPr>
          <w:lang w:val="en-GB" w:eastAsia="en-GB"/>
        </w:rPr>
        <w:t xml:space="preserve">comparative </w:t>
      </w:r>
      <w:r w:rsidR="005A2104" w:rsidRPr="005A2104">
        <w:rPr>
          <w:lang w:val="en-GB" w:eastAsia="en-GB"/>
        </w:rPr>
        <w:t>conditions</w:t>
      </w:r>
      <w:r w:rsidR="005A2104">
        <w:rPr>
          <w:lang w:val="en-GB" w:eastAsia="en-GB"/>
        </w:rPr>
        <w:t xml:space="preserve"> (150 x12), which equals</w:t>
      </w:r>
      <w:r w:rsidR="005A2104" w:rsidRPr="005A2104">
        <w:rPr>
          <w:lang w:val="en-GB" w:eastAsia="en-GB"/>
        </w:rPr>
        <w:t xml:space="preserve"> 1800 people.</w:t>
      </w:r>
    </w:p>
    <w:p w14:paraId="5F89F50D" w14:textId="77777777" w:rsidR="005A2104" w:rsidRDefault="005A2104" w:rsidP="005A2104">
      <w:pPr>
        <w:ind w:left="720"/>
        <w:rPr>
          <w:lang w:val="en-GB" w:eastAsia="en-GB"/>
        </w:rPr>
      </w:pPr>
    </w:p>
    <w:p w14:paraId="4A8ACEE9" w14:textId="77777777" w:rsidR="00835E16" w:rsidRPr="00835E16" w:rsidRDefault="00835E16" w:rsidP="00606AE9">
      <w:pPr>
        <w:ind w:left="360"/>
        <w:rPr>
          <w:i/>
          <w:u w:val="single"/>
          <w:lang w:val="en-GB" w:eastAsia="en-GB"/>
        </w:rPr>
      </w:pPr>
      <w:r w:rsidRPr="00835E16">
        <w:rPr>
          <w:i/>
          <w:u w:val="single"/>
          <w:lang w:val="en-GB" w:eastAsia="en-GB"/>
        </w:rPr>
        <w:t>Unusual Problems Requiring Specialized Sampling Procedures</w:t>
      </w:r>
    </w:p>
    <w:p w14:paraId="4A309CA8" w14:textId="77777777" w:rsidR="002327CE" w:rsidRDefault="002327CE" w:rsidP="00606AE9">
      <w:pPr>
        <w:ind w:left="720"/>
        <w:rPr>
          <w:lang w:val="en-GB" w:eastAsia="en-GB"/>
        </w:rPr>
      </w:pPr>
      <w:r>
        <w:rPr>
          <w:lang w:val="en-GB" w:eastAsia="en-GB"/>
        </w:rPr>
        <w:t xml:space="preserve">None </w:t>
      </w:r>
      <w:proofErr w:type="gramStart"/>
      <w:r>
        <w:rPr>
          <w:lang w:val="en-GB" w:eastAsia="en-GB"/>
        </w:rPr>
        <w:t>are</w:t>
      </w:r>
      <w:proofErr w:type="gramEnd"/>
      <w:r>
        <w:rPr>
          <w:lang w:val="en-GB" w:eastAsia="en-GB"/>
        </w:rPr>
        <w:t xml:space="preserve"> required.</w:t>
      </w:r>
    </w:p>
    <w:p w14:paraId="45F6B4F8" w14:textId="77777777" w:rsidR="002327CE" w:rsidRDefault="002327CE" w:rsidP="00606AE9">
      <w:pPr>
        <w:ind w:left="360"/>
        <w:rPr>
          <w:lang w:val="en-GB" w:eastAsia="en-GB"/>
        </w:rPr>
      </w:pPr>
    </w:p>
    <w:p w14:paraId="24896310" w14:textId="77777777" w:rsidR="002327CE" w:rsidRDefault="002327CE" w:rsidP="00606AE9">
      <w:pPr>
        <w:ind w:left="360"/>
        <w:rPr>
          <w:i/>
          <w:u w:val="single"/>
          <w:lang w:val="en-GB" w:eastAsia="en-GB"/>
        </w:rPr>
      </w:pPr>
      <w:r w:rsidRPr="002327CE">
        <w:rPr>
          <w:i/>
          <w:u w:val="single"/>
          <w:lang w:val="en-GB" w:eastAsia="en-GB"/>
        </w:rPr>
        <w:t>Periodic Data Collection Cycles</w:t>
      </w:r>
    </w:p>
    <w:p w14:paraId="45AA35E7" w14:textId="77777777" w:rsidR="002327CE" w:rsidRDefault="002327CE" w:rsidP="00606AE9">
      <w:pPr>
        <w:ind w:left="720"/>
        <w:rPr>
          <w:lang w:val="en-GB" w:eastAsia="en-GB"/>
        </w:rPr>
      </w:pPr>
      <w:r>
        <w:rPr>
          <w:lang w:val="en-GB" w:eastAsia="en-GB"/>
        </w:rPr>
        <w:t>This request is for a one-time data collection.</w:t>
      </w:r>
    </w:p>
    <w:p w14:paraId="2DE2B7A2" w14:textId="77777777" w:rsidR="00835E16" w:rsidRDefault="00835E16" w:rsidP="00606AE9">
      <w:pPr>
        <w:ind w:left="360"/>
        <w:rPr>
          <w:lang w:val="en-GB" w:eastAsia="en-GB"/>
        </w:rPr>
      </w:pPr>
    </w:p>
    <w:p w14:paraId="6DAB9E16" w14:textId="77777777" w:rsidR="003C4320" w:rsidRPr="00B23F18" w:rsidRDefault="00BA7109" w:rsidP="00E84818">
      <w:pPr>
        <w:numPr>
          <w:ilvl w:val="0"/>
          <w:numId w:val="9"/>
        </w:numPr>
        <w:autoSpaceDE w:val="0"/>
        <w:autoSpaceDN w:val="0"/>
        <w:adjustRightInd w:val="0"/>
        <w:ind w:left="360"/>
        <w:rPr>
          <w:b/>
          <w:bCs/>
          <w:color w:val="000000"/>
          <w:lang w:val="en-GB" w:eastAsia="en-GB"/>
        </w:rPr>
      </w:pPr>
      <w:r w:rsidRPr="00BA7109">
        <w:rPr>
          <w:b/>
          <w:bCs/>
          <w:color w:val="000000"/>
          <w:lang w:val="en-GB" w:eastAsia="en-GB"/>
        </w:rPr>
        <w:t xml:space="preserve">Describe the methods used to maximize response rates and to deal with nonresponse. The accuracy and reliability of the information collected </w:t>
      </w:r>
      <w:proofErr w:type="gramStart"/>
      <w:r w:rsidRPr="00BA7109">
        <w:rPr>
          <w:b/>
          <w:bCs/>
          <w:color w:val="000000"/>
          <w:lang w:val="en-GB" w:eastAsia="en-GB"/>
        </w:rPr>
        <w:t>must be shown</w:t>
      </w:r>
      <w:proofErr w:type="gramEnd"/>
      <w:r w:rsidRPr="00BA7109">
        <w:rPr>
          <w:b/>
          <w:bCs/>
          <w:color w:val="000000"/>
          <w:lang w:val="en-GB" w:eastAsia="en-GB"/>
        </w:rPr>
        <w:t xml:space="preserve"> to be adequate for the intended uses. For collections based on sampling, a special justification </w:t>
      </w:r>
      <w:proofErr w:type="gramStart"/>
      <w:r w:rsidRPr="00BA7109">
        <w:rPr>
          <w:b/>
          <w:bCs/>
          <w:color w:val="000000"/>
          <w:lang w:val="en-GB" w:eastAsia="en-GB"/>
        </w:rPr>
        <w:t>must be provided</w:t>
      </w:r>
      <w:proofErr w:type="gramEnd"/>
      <w:r w:rsidRPr="00BA7109">
        <w:rPr>
          <w:b/>
          <w:bCs/>
          <w:color w:val="000000"/>
          <w:lang w:val="en-GB" w:eastAsia="en-GB"/>
        </w:rPr>
        <w:t xml:space="preserve"> if they will not yield "reliable" data that can be generalized to the universe studied.</w:t>
      </w:r>
    </w:p>
    <w:p w14:paraId="6BDCA2D5" w14:textId="77777777" w:rsidR="00E84818" w:rsidRDefault="00E84818" w:rsidP="00E84818">
      <w:pPr>
        <w:ind w:left="360"/>
        <w:rPr>
          <w:lang w:val="en-GB" w:eastAsia="en-GB"/>
        </w:rPr>
      </w:pPr>
    </w:p>
    <w:p w14:paraId="6D5BE0B5" w14:textId="4F6AA9D3" w:rsidR="00940B32" w:rsidRPr="00940B32" w:rsidRDefault="00F75930" w:rsidP="00940B32">
      <w:pPr>
        <w:ind w:left="360"/>
      </w:pPr>
      <w:r>
        <w:rPr>
          <w:lang w:val="en-GB" w:eastAsia="en-GB"/>
        </w:rPr>
        <w:t xml:space="preserve">ERG </w:t>
      </w:r>
      <w:r w:rsidR="00940B32">
        <w:rPr>
          <w:lang w:val="en-GB" w:eastAsia="en-GB"/>
        </w:rPr>
        <w:t>is not conducting a probability-</w:t>
      </w:r>
      <w:r>
        <w:rPr>
          <w:lang w:val="en-GB" w:eastAsia="en-GB"/>
        </w:rPr>
        <w:t>based sample</w:t>
      </w:r>
      <w:r w:rsidR="00E65522">
        <w:rPr>
          <w:lang w:val="en-GB" w:eastAsia="en-GB"/>
        </w:rPr>
        <w:t>, but rather using a</w:t>
      </w:r>
      <w:r w:rsidR="00E65522">
        <w:t xml:space="preserve"> random, non-probability public sample using a </w:t>
      </w:r>
      <w:proofErr w:type="spellStart"/>
      <w:r w:rsidR="00E65522">
        <w:t>Qualtrics</w:t>
      </w:r>
      <w:proofErr w:type="spellEnd"/>
      <w:r w:rsidR="00E65522">
        <w:t xml:space="preserve"> panel. These panels represent a large, convenient sample of the United States. That is, participants opt-in voluntarily to par</w:t>
      </w:r>
      <w:r w:rsidR="00940B32">
        <w:t xml:space="preserve">ticipate in </w:t>
      </w:r>
      <w:proofErr w:type="spellStart"/>
      <w:r w:rsidR="00940B32">
        <w:t>Qualtrics</w:t>
      </w:r>
      <w:proofErr w:type="spellEnd"/>
      <w:r w:rsidR="00940B32">
        <w:t xml:space="preserve"> surveys. </w:t>
      </w:r>
      <w:r w:rsidR="00940B32" w:rsidRPr="00940B32">
        <w:rPr>
          <w:bCs/>
        </w:rPr>
        <w:t xml:space="preserve">A sample size of approximately 1800 participants </w:t>
      </w:r>
      <w:proofErr w:type="gramStart"/>
      <w:r w:rsidR="00940B32" w:rsidRPr="00940B32">
        <w:rPr>
          <w:bCs/>
        </w:rPr>
        <w:t>will be needed</w:t>
      </w:r>
      <w:proofErr w:type="gramEnd"/>
      <w:r w:rsidR="00940B32" w:rsidRPr="00940B32">
        <w:t xml:space="preserve"> with 450 participants from each state while also </w:t>
      </w:r>
      <w:r w:rsidR="00940B32" w:rsidRPr="00940B32">
        <w:lastRenderedPageBreak/>
        <w:t xml:space="preserve">varying the urban, suburban, rural distribution of the sample. </w:t>
      </w:r>
      <w:proofErr w:type="spellStart"/>
      <w:r w:rsidR="00940B32" w:rsidRPr="00940B32">
        <w:t>Qualtrics</w:t>
      </w:r>
      <w:proofErr w:type="spellEnd"/>
      <w:r w:rsidR="00940B32" w:rsidRPr="00940B32">
        <w:t xml:space="preserve"> will determine respondents that are highly likely to qualify for the panel in each state based on the inclusion requirements and target geography. It </w:t>
      </w:r>
      <w:proofErr w:type="gramStart"/>
      <w:r w:rsidR="00940B32" w:rsidRPr="00940B32">
        <w:t>will initially randomly select</w:t>
      </w:r>
      <w:proofErr w:type="gramEnd"/>
      <w:r w:rsidR="00940B32" w:rsidRPr="00940B32">
        <w:t xml:space="preserve"> 450 participants within the sample in each state since that is our target completion number. </w:t>
      </w:r>
      <w:proofErr w:type="spellStart"/>
      <w:r w:rsidR="00940B32" w:rsidRPr="00940B32">
        <w:t>Qualtrics</w:t>
      </w:r>
      <w:proofErr w:type="spellEnd"/>
      <w:r w:rsidR="00940B32" w:rsidRPr="00940B32">
        <w:t xml:space="preserve"> will then increase the number of contacts until it reaches the target number of completed surveys. </w:t>
      </w:r>
      <w:proofErr w:type="spellStart"/>
      <w:r w:rsidR="00940B32" w:rsidRPr="00940B32">
        <w:t>Qualtrics</w:t>
      </w:r>
      <w:proofErr w:type="spellEnd"/>
      <w:r w:rsidR="00940B32" w:rsidRPr="00940B32">
        <w:t xml:space="preserve"> provides all of this sample information, which will enable us to assess the response rate of how many individuals </w:t>
      </w:r>
      <w:proofErr w:type="gramStart"/>
      <w:r w:rsidR="00940B32" w:rsidRPr="00940B32">
        <w:t>were asked</w:t>
      </w:r>
      <w:proofErr w:type="gramEnd"/>
      <w:r w:rsidR="00940B32" w:rsidRPr="00940B32">
        <w:t xml:space="preserve"> to take the survey versus how many valid responses were provided. If </w:t>
      </w:r>
      <w:proofErr w:type="spellStart"/>
      <w:r w:rsidR="00940B32" w:rsidRPr="00940B32">
        <w:t>Qualtrics</w:t>
      </w:r>
      <w:proofErr w:type="spellEnd"/>
      <w:r w:rsidR="00940B32" w:rsidRPr="00940B32">
        <w:t xml:space="preserve"> cannot attain the 1,800 completes across all states, then we will broaden our target geography </w:t>
      </w:r>
      <w:r w:rsidR="00940B32">
        <w:t>to a regional versus a state approach</w:t>
      </w:r>
      <w:r w:rsidR="00940B32" w:rsidRPr="00940B32">
        <w:t xml:space="preserve">. </w:t>
      </w:r>
      <w:proofErr w:type="spellStart"/>
      <w:r w:rsidR="00940B32" w:rsidRPr="00940B32">
        <w:t>Qualtrics</w:t>
      </w:r>
      <w:proofErr w:type="spellEnd"/>
      <w:r w:rsidR="00940B32" w:rsidRPr="00940B32">
        <w:t xml:space="preserve"> will also remind the participants with follow-up emails for up to 2 weeks to increase the response rate.</w:t>
      </w:r>
    </w:p>
    <w:p w14:paraId="2E5609BA" w14:textId="77777777" w:rsidR="00940B32" w:rsidRDefault="00940B32" w:rsidP="003C4320">
      <w:pPr>
        <w:ind w:left="360"/>
      </w:pPr>
    </w:p>
    <w:p w14:paraId="149C545D" w14:textId="77777777" w:rsidR="00E65522" w:rsidRDefault="00E65522" w:rsidP="003C4320">
      <w:pPr>
        <w:ind w:left="360"/>
        <w:rPr>
          <w:b/>
          <w:lang w:val="en-GB" w:eastAsia="en-GB"/>
        </w:rPr>
      </w:pPr>
    </w:p>
    <w:p w14:paraId="4C5D40A9"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 xml:space="preserve">Describe any tests of procedures or methods to be undertaken. Tests are encouraged as effective means to refine collections, but if ten or more test respondents are </w:t>
      </w:r>
      <w:proofErr w:type="gramStart"/>
      <w:r w:rsidRPr="00BA7109">
        <w:rPr>
          <w:b/>
          <w:bCs/>
          <w:color w:val="000000"/>
          <w:lang w:val="en-GB" w:eastAsia="en-GB"/>
        </w:rPr>
        <w:t>involved</w:t>
      </w:r>
      <w:proofErr w:type="gramEnd"/>
      <w:r w:rsidRPr="00BA7109">
        <w:rPr>
          <w:b/>
          <w:bCs/>
          <w:color w:val="000000"/>
          <w:lang w:val="en-GB" w:eastAsia="en-GB"/>
        </w:rPr>
        <w:t xml:space="preserve"> OMB must give prior approval.</w:t>
      </w:r>
    </w:p>
    <w:p w14:paraId="30867B2C" w14:textId="77777777" w:rsidR="00BA7109" w:rsidRPr="00BA7109" w:rsidRDefault="00BA7109" w:rsidP="00BA7109">
      <w:pPr>
        <w:rPr>
          <w:lang w:val="en-GB" w:eastAsia="en-GB"/>
        </w:rPr>
      </w:pPr>
    </w:p>
    <w:p w14:paraId="3230106A" w14:textId="1BA1DC08" w:rsidR="00E65522" w:rsidRDefault="00940B32" w:rsidP="00C1145F">
      <w:pPr>
        <w:ind w:left="360"/>
        <w:rPr>
          <w:lang w:eastAsia="en-GB"/>
        </w:rPr>
      </w:pPr>
      <w:r>
        <w:t xml:space="preserve">As a prior step of this work, </w:t>
      </w:r>
      <w:r w:rsidRPr="00C1145F">
        <w:rPr>
          <w:lang w:eastAsia="en-GB"/>
        </w:rPr>
        <w:t xml:space="preserve">Eastern Research Group, Inc. (ERG) </w:t>
      </w:r>
      <w:r>
        <w:rPr>
          <w:lang w:eastAsia="en-GB"/>
        </w:rPr>
        <w:t xml:space="preserve">conducted focus groups </w:t>
      </w:r>
      <w:r>
        <w:t xml:space="preserve">(OMB Reference number: </w:t>
      </w:r>
      <w:r w:rsidRPr="00162494">
        <w:rPr>
          <w:rFonts w:eastAsia="Calibri"/>
        </w:rPr>
        <w:t>2015</w:t>
      </w:r>
      <w:r>
        <w:rPr>
          <w:rFonts w:eastAsia="Calibri"/>
        </w:rPr>
        <w:t xml:space="preserve">04-0648-015ICR) </w:t>
      </w:r>
      <w:r>
        <w:rPr>
          <w:lang w:eastAsia="en-GB"/>
        </w:rPr>
        <w:t xml:space="preserve">in the four states where the survey will be deployed. The focus groups helped to refine the messages tested in the survey. </w:t>
      </w:r>
      <w:r>
        <w:rPr>
          <w:rFonts w:eastAsia="Calibri"/>
        </w:rPr>
        <w:t xml:space="preserve">The survey is also building off previous work </w:t>
      </w:r>
      <w:r w:rsidR="00E65522">
        <w:rPr>
          <w:rFonts w:eastAsia="Calibri"/>
        </w:rPr>
        <w:t xml:space="preserve">of previous work conducted by </w:t>
      </w:r>
      <w:r w:rsidR="00E65522">
        <w:t xml:space="preserve">Dr. Joseph </w:t>
      </w:r>
      <w:proofErr w:type="spellStart"/>
      <w:r w:rsidR="00E65522">
        <w:t>Ripberger</w:t>
      </w:r>
      <w:proofErr w:type="spellEnd"/>
      <w:r w:rsidR="00E65522">
        <w:t xml:space="preserve">, Deputy Director for Research at the University </w:t>
      </w:r>
      <w:proofErr w:type="gramStart"/>
      <w:r w:rsidR="00E65522">
        <w:t>of</w:t>
      </w:r>
      <w:proofErr w:type="gramEnd"/>
      <w:r w:rsidR="00E65522">
        <w:t xml:space="preserve"> Oklahoma</w:t>
      </w:r>
      <w:r w:rsidR="00E65522" w:rsidRPr="003849A0">
        <w:t xml:space="preserve"> Center for Risk and Crisis Management</w:t>
      </w:r>
      <w:r w:rsidR="00E65522">
        <w:t xml:space="preserve">. Dr. </w:t>
      </w:r>
      <w:proofErr w:type="spellStart"/>
      <w:r w:rsidR="00E65522">
        <w:t>Ripberger</w:t>
      </w:r>
      <w:proofErr w:type="spellEnd"/>
      <w:r w:rsidR="00E65522">
        <w:t xml:space="preserve"> has conducted many research projects related to risk communication and efficacy of messages, including work on studying public response to weather threat tags. </w:t>
      </w:r>
      <w:bookmarkStart w:id="1" w:name="_GoBack"/>
      <w:bookmarkEnd w:id="1"/>
    </w:p>
    <w:p w14:paraId="78F28CA5" w14:textId="77777777" w:rsidR="00E65522" w:rsidRDefault="00E65522" w:rsidP="00C1145F">
      <w:pPr>
        <w:ind w:left="360"/>
        <w:rPr>
          <w:lang w:eastAsia="en-GB"/>
        </w:rPr>
      </w:pPr>
    </w:p>
    <w:p w14:paraId="0C0A837D"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 xml:space="preserve">Provide the name and telephone number of individuals consulted on the statistical aspects of the design, and the name of the agency unit, contractor(s), grantee(s), or other person(s) who will actually collect and/or </w:t>
      </w:r>
      <w:proofErr w:type="spellStart"/>
      <w:r w:rsidRPr="00BA7109">
        <w:rPr>
          <w:b/>
          <w:bCs/>
          <w:color w:val="000000"/>
          <w:lang w:val="en-GB" w:eastAsia="en-GB"/>
        </w:rPr>
        <w:t>analyze</w:t>
      </w:r>
      <w:proofErr w:type="spellEnd"/>
      <w:r w:rsidRPr="00BA7109">
        <w:rPr>
          <w:b/>
          <w:bCs/>
          <w:color w:val="000000"/>
          <w:lang w:val="en-GB" w:eastAsia="en-GB"/>
        </w:rPr>
        <w:t xml:space="preserve"> the information for the agency.</w:t>
      </w:r>
    </w:p>
    <w:p w14:paraId="0A631B78" w14:textId="77777777" w:rsidR="00BA7109" w:rsidRPr="00BA7109" w:rsidRDefault="00BA7109" w:rsidP="00BA7109">
      <w:pPr>
        <w:rPr>
          <w:b/>
          <w:color w:val="000000"/>
          <w:lang w:val="en-GB" w:eastAsia="en-GB"/>
        </w:rPr>
      </w:pPr>
    </w:p>
    <w:p w14:paraId="172181E5" w14:textId="38735020" w:rsidR="00CF2605" w:rsidRPr="005F3D48" w:rsidRDefault="006D7D25" w:rsidP="005F3D48">
      <w:pPr>
        <w:ind w:left="360"/>
      </w:pPr>
      <w:r>
        <w:rPr>
          <w:color w:val="000000"/>
          <w:lang w:val="en-GB" w:eastAsia="en-GB"/>
        </w:rPr>
        <w:t xml:space="preserve">The </w:t>
      </w:r>
      <w:r w:rsidR="00606AE9">
        <w:rPr>
          <w:color w:val="000000"/>
          <w:lang w:val="en-GB" w:eastAsia="en-GB"/>
        </w:rPr>
        <w:t>NWS</w:t>
      </w:r>
      <w:r w:rsidR="00C1145F" w:rsidRPr="00C1145F">
        <w:rPr>
          <w:color w:val="000000"/>
          <w:lang w:val="en-GB" w:eastAsia="en-GB"/>
        </w:rPr>
        <w:t xml:space="preserve"> has contracted with Eastern Research Group, Inc</w:t>
      </w:r>
      <w:r w:rsidR="007678A2">
        <w:rPr>
          <w:color w:val="000000"/>
          <w:lang w:val="en-GB" w:eastAsia="en-GB"/>
        </w:rPr>
        <w:t>.</w:t>
      </w:r>
      <w:r w:rsidR="00C1145F" w:rsidRPr="00C1145F">
        <w:rPr>
          <w:color w:val="000000"/>
          <w:lang w:val="en-GB" w:eastAsia="en-GB"/>
        </w:rPr>
        <w:t xml:space="preserve"> (ERG) of Lexington, MA</w:t>
      </w:r>
      <w:r w:rsidR="007678A2">
        <w:rPr>
          <w:color w:val="000000"/>
          <w:lang w:val="en-GB" w:eastAsia="en-GB"/>
        </w:rPr>
        <w:t>,</w:t>
      </w:r>
      <w:r w:rsidR="00C1145F" w:rsidRPr="00C1145F">
        <w:rPr>
          <w:color w:val="000000"/>
          <w:lang w:val="en-GB" w:eastAsia="en-GB"/>
        </w:rPr>
        <w:t xml:space="preserve"> to design the </w:t>
      </w:r>
      <w:r w:rsidR="00244352">
        <w:rPr>
          <w:color w:val="000000"/>
          <w:lang w:val="en-GB" w:eastAsia="en-GB"/>
        </w:rPr>
        <w:t>survey</w:t>
      </w:r>
      <w:r w:rsidR="00606AE9">
        <w:rPr>
          <w:color w:val="000000"/>
          <w:lang w:val="en-GB" w:eastAsia="en-GB"/>
        </w:rPr>
        <w:t xml:space="preserve"> </w:t>
      </w:r>
      <w:r w:rsidR="00C1145F" w:rsidRPr="00C1145F">
        <w:rPr>
          <w:color w:val="000000"/>
          <w:lang w:val="en-GB" w:eastAsia="en-GB"/>
        </w:rPr>
        <w:t xml:space="preserve">and implement the data collections. ERG’s project manager for this work is </w:t>
      </w:r>
      <w:proofErr w:type="spellStart"/>
      <w:r w:rsidR="00406E2C">
        <w:rPr>
          <w:color w:val="000000"/>
          <w:lang w:val="en-GB" w:eastAsia="en-GB"/>
        </w:rPr>
        <w:t>Dr.</w:t>
      </w:r>
      <w:proofErr w:type="spellEnd"/>
      <w:r w:rsidR="00406E2C">
        <w:rPr>
          <w:color w:val="000000"/>
          <w:lang w:val="en-GB" w:eastAsia="en-GB"/>
        </w:rPr>
        <w:t xml:space="preserve"> </w:t>
      </w:r>
      <w:r w:rsidR="0072761D">
        <w:rPr>
          <w:color w:val="000000"/>
          <w:lang w:val="en-GB" w:eastAsia="en-GB"/>
        </w:rPr>
        <w:t xml:space="preserve">Gina </w:t>
      </w:r>
      <w:proofErr w:type="spellStart"/>
      <w:r w:rsidR="0072761D">
        <w:rPr>
          <w:color w:val="000000"/>
          <w:lang w:val="en-GB" w:eastAsia="en-GB"/>
        </w:rPr>
        <w:t>Eosco</w:t>
      </w:r>
      <w:proofErr w:type="spellEnd"/>
      <w:r w:rsidR="00C1145F" w:rsidRPr="00C1145F">
        <w:rPr>
          <w:color w:val="000000"/>
          <w:lang w:val="en-GB" w:eastAsia="en-GB"/>
        </w:rPr>
        <w:t xml:space="preserve"> (</w:t>
      </w:r>
      <w:r w:rsidR="0072761D">
        <w:rPr>
          <w:color w:val="000000"/>
          <w:lang w:val="en-GB" w:eastAsia="en-GB"/>
        </w:rPr>
        <w:t>7</w:t>
      </w:r>
      <w:r w:rsidR="00475248">
        <w:rPr>
          <w:color w:val="000000"/>
          <w:lang w:val="en-GB" w:eastAsia="en-GB"/>
        </w:rPr>
        <w:t>03</w:t>
      </w:r>
      <w:r w:rsidR="00606AE9">
        <w:rPr>
          <w:color w:val="000000"/>
          <w:lang w:val="en-GB" w:eastAsia="en-GB"/>
        </w:rPr>
        <w:t>-</w:t>
      </w:r>
      <w:r w:rsidR="00475248">
        <w:rPr>
          <w:color w:val="000000"/>
          <w:lang w:val="en-GB" w:eastAsia="en-GB"/>
        </w:rPr>
        <w:t>841</w:t>
      </w:r>
      <w:r w:rsidR="00606AE9">
        <w:rPr>
          <w:color w:val="000000"/>
          <w:lang w:val="en-GB" w:eastAsia="en-GB"/>
        </w:rPr>
        <w:t>-</w:t>
      </w:r>
      <w:r w:rsidR="00475248">
        <w:rPr>
          <w:color w:val="000000"/>
          <w:lang w:val="en-GB" w:eastAsia="en-GB"/>
        </w:rPr>
        <w:t>1705</w:t>
      </w:r>
      <w:r w:rsidR="00C1145F" w:rsidRPr="00C1145F">
        <w:rPr>
          <w:color w:val="000000"/>
          <w:lang w:val="en-GB" w:eastAsia="en-GB"/>
        </w:rPr>
        <w:t xml:space="preserve">; </w:t>
      </w:r>
      <w:hyperlink r:id="rId11" w:history="1">
        <w:r w:rsidR="0072761D" w:rsidRPr="00167776">
          <w:rPr>
            <w:rStyle w:val="Hyperlink"/>
            <w:lang w:val="en-GB" w:eastAsia="en-GB"/>
          </w:rPr>
          <w:t>gina.eosco@erg.com</w:t>
        </w:r>
      </w:hyperlink>
      <w:r w:rsidR="00C1145F" w:rsidRPr="00C1145F">
        <w:rPr>
          <w:color w:val="000000"/>
          <w:lang w:val="en-GB" w:eastAsia="en-GB"/>
        </w:rPr>
        <w:t xml:space="preserve">). </w:t>
      </w:r>
      <w:r w:rsidR="00406E2C">
        <w:rPr>
          <w:color w:val="000000"/>
          <w:lang w:val="en-GB" w:eastAsia="en-GB"/>
        </w:rPr>
        <w:t xml:space="preserve">ERG also had one </w:t>
      </w:r>
      <w:r w:rsidR="005F3D48">
        <w:rPr>
          <w:color w:val="000000"/>
          <w:lang w:val="en-GB" w:eastAsia="en-GB"/>
        </w:rPr>
        <w:t xml:space="preserve">of </w:t>
      </w:r>
      <w:r w:rsidR="00406E2C">
        <w:rPr>
          <w:color w:val="000000"/>
          <w:lang w:val="en-GB" w:eastAsia="en-GB"/>
        </w:rPr>
        <w:t>its survey experts review this work (</w:t>
      </w:r>
      <w:proofErr w:type="spellStart"/>
      <w:r w:rsidR="00406E2C">
        <w:rPr>
          <w:color w:val="000000"/>
          <w:lang w:val="en-GB" w:eastAsia="en-GB"/>
        </w:rPr>
        <w:t>Dr.</w:t>
      </w:r>
      <w:proofErr w:type="spellEnd"/>
      <w:r w:rsidR="00406E2C">
        <w:rPr>
          <w:color w:val="000000"/>
          <w:lang w:val="en-GB" w:eastAsia="en-GB"/>
        </w:rPr>
        <w:t xml:space="preserve"> Lou Nadeau; 781-674-7316; </w:t>
      </w:r>
      <w:hyperlink r:id="rId12" w:history="1">
        <w:r w:rsidR="00406E2C" w:rsidRPr="00242BEF">
          <w:rPr>
            <w:rStyle w:val="Hyperlink"/>
            <w:lang w:val="en-GB" w:eastAsia="en-GB"/>
          </w:rPr>
          <w:t>lou.nadeau@erg.com</w:t>
        </w:r>
      </w:hyperlink>
      <w:r w:rsidR="00406E2C">
        <w:rPr>
          <w:color w:val="000000"/>
          <w:lang w:val="en-GB" w:eastAsia="en-GB"/>
        </w:rPr>
        <w:t xml:space="preserve">) and also retained </w:t>
      </w:r>
      <w:r w:rsidR="005F3D48">
        <w:t xml:space="preserve">Dr. Joseph </w:t>
      </w:r>
      <w:proofErr w:type="spellStart"/>
      <w:r w:rsidR="005F3D48">
        <w:t>Ripberger</w:t>
      </w:r>
      <w:proofErr w:type="spellEnd"/>
      <w:r w:rsidR="005F3D48">
        <w:t>, Deputy Director for Research at the University of Oklahoma</w:t>
      </w:r>
      <w:r w:rsidR="005F3D48" w:rsidRPr="003849A0">
        <w:t xml:space="preserve"> Center for Risk and Crisis Management</w:t>
      </w:r>
      <w:r w:rsidR="005F3D48">
        <w:t xml:space="preserve"> (</w:t>
      </w:r>
      <w:r w:rsidR="005F3D48" w:rsidRPr="005F3D48">
        <w:t>405-325-5872</w:t>
      </w:r>
      <w:r w:rsidR="005F3D48">
        <w:t xml:space="preserve">; </w:t>
      </w:r>
      <w:hyperlink r:id="rId13" w:history="1">
        <w:r w:rsidR="005F3D48" w:rsidRPr="005F3D48">
          <w:rPr>
            <w:rStyle w:val="Hyperlink"/>
          </w:rPr>
          <w:t>jtr@ou.edu</w:t>
        </w:r>
      </w:hyperlink>
      <w:r w:rsidR="005F3D48">
        <w:t>)</w:t>
      </w:r>
      <w:r w:rsidR="005F3D48">
        <w:rPr>
          <w:color w:val="000000"/>
          <w:lang w:val="en-GB" w:eastAsia="en-GB"/>
        </w:rPr>
        <w:t xml:space="preserve"> </w:t>
      </w:r>
      <w:r w:rsidR="00406E2C">
        <w:rPr>
          <w:color w:val="000000"/>
          <w:lang w:val="en-GB" w:eastAsia="en-GB"/>
        </w:rPr>
        <w:t>to assist in development of this survey instrument.</w:t>
      </w:r>
    </w:p>
    <w:p w14:paraId="7B80E39D" w14:textId="77777777" w:rsidR="005A17CE" w:rsidRDefault="005A17CE" w:rsidP="00F0690A">
      <w:pPr>
        <w:ind w:left="360"/>
        <w:rPr>
          <w:b/>
        </w:rPr>
      </w:pPr>
    </w:p>
    <w:sectPr w:rsidR="005A17CE" w:rsidSect="00F316DF">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D30263" w15:done="0"/>
  <w15:commentEx w15:paraId="7C1D20A2" w15:paraIdParent="6CD302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BCBEF" w14:textId="77777777" w:rsidR="000363BA" w:rsidRDefault="000363BA" w:rsidP="004B2986">
      <w:r>
        <w:separator/>
      </w:r>
    </w:p>
  </w:endnote>
  <w:endnote w:type="continuationSeparator" w:id="0">
    <w:p w14:paraId="4BD047E9" w14:textId="77777777" w:rsidR="000363BA" w:rsidRDefault="000363BA" w:rsidP="004B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E0CE1" w14:textId="7D51CA8A" w:rsidR="00C81A31" w:rsidRPr="00577B77" w:rsidRDefault="005A17CE">
    <w:pPr>
      <w:pStyle w:val="Footer"/>
      <w:jc w:val="right"/>
      <w:rPr>
        <w:rFonts w:ascii="Times New Roman" w:hAnsi="Times New Roman"/>
        <w:b w:val="0"/>
      </w:rPr>
    </w:pPr>
    <w:r>
      <w:rPr>
        <w:rFonts w:ascii="Times New Roman" w:hAnsi="Times New Roman"/>
        <w:b w:val="0"/>
        <w:i/>
        <w:sz w:val="20"/>
        <w:szCs w:val="22"/>
      </w:rPr>
      <w:t>IBW</w:t>
    </w:r>
    <w:r w:rsidR="00D77C77">
      <w:rPr>
        <w:rFonts w:ascii="Times New Roman" w:hAnsi="Times New Roman"/>
        <w:b w:val="0"/>
        <w:i/>
        <w:sz w:val="20"/>
        <w:szCs w:val="22"/>
      </w:rPr>
      <w:t xml:space="preserve"> Research Project</w:t>
    </w:r>
    <w:r w:rsidR="00C81A31">
      <w:rPr>
        <w:sz w:val="22"/>
        <w:szCs w:val="22"/>
      </w:rPr>
      <w:tab/>
    </w:r>
    <w:r w:rsidR="004213F9" w:rsidRPr="00577B77">
      <w:rPr>
        <w:rFonts w:ascii="Times New Roman" w:hAnsi="Times New Roman"/>
        <w:b w:val="0"/>
      </w:rPr>
      <w:fldChar w:fldCharType="begin"/>
    </w:r>
    <w:r w:rsidR="00C81A31" w:rsidRPr="00577B77">
      <w:rPr>
        <w:rFonts w:ascii="Times New Roman" w:hAnsi="Times New Roman"/>
        <w:b w:val="0"/>
      </w:rPr>
      <w:instrText xml:space="preserve"> PAGE   \* MERGEFORMAT </w:instrText>
    </w:r>
    <w:r w:rsidR="004213F9" w:rsidRPr="00577B77">
      <w:rPr>
        <w:rFonts w:ascii="Times New Roman" w:hAnsi="Times New Roman"/>
        <w:b w:val="0"/>
      </w:rPr>
      <w:fldChar w:fldCharType="separate"/>
    </w:r>
    <w:r w:rsidR="005F4E48">
      <w:rPr>
        <w:rFonts w:ascii="Times New Roman" w:hAnsi="Times New Roman"/>
        <w:b w:val="0"/>
        <w:noProof/>
      </w:rPr>
      <w:t>5</w:t>
    </w:r>
    <w:r w:rsidR="004213F9" w:rsidRPr="00577B77">
      <w:rPr>
        <w:rFonts w:ascii="Times New Roman" w:hAnsi="Times New Roman"/>
        <w:b w:val="0"/>
      </w:rPr>
      <w:fldChar w:fldCharType="end"/>
    </w:r>
  </w:p>
  <w:p w14:paraId="04D0CB0A" w14:textId="77777777" w:rsidR="00C81A31" w:rsidRDefault="00475248" w:rsidP="00475248">
    <w:pPr>
      <w:pStyle w:val="Footer"/>
      <w:tabs>
        <w:tab w:val="clear" w:pos="4680"/>
        <w:tab w:val="clear" w:pos="9360"/>
        <w:tab w:val="left" w:pos="535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B1E06" w14:textId="77777777" w:rsidR="000363BA" w:rsidRDefault="000363BA" w:rsidP="004B2986">
      <w:r>
        <w:separator/>
      </w:r>
    </w:p>
  </w:footnote>
  <w:footnote w:type="continuationSeparator" w:id="0">
    <w:p w14:paraId="7F5357AB" w14:textId="77777777" w:rsidR="000363BA" w:rsidRDefault="000363BA" w:rsidP="004B2986">
      <w:r>
        <w:continuationSeparator/>
      </w:r>
    </w:p>
  </w:footnote>
  <w:footnote w:id="1">
    <w:p w14:paraId="786D1203" w14:textId="77777777" w:rsidR="00406E2C" w:rsidRPr="005F3D48" w:rsidRDefault="00406E2C">
      <w:pPr>
        <w:pStyle w:val="FootnoteText"/>
        <w:rPr>
          <w:lang w:val="en-US"/>
        </w:rPr>
      </w:pPr>
      <w:r>
        <w:rPr>
          <w:rStyle w:val="FootnoteReference"/>
        </w:rPr>
        <w:footnoteRef/>
      </w:r>
      <w:r>
        <w:t xml:space="preserve"> OMB Reference number: </w:t>
      </w:r>
      <w:r w:rsidRPr="00162494">
        <w:rPr>
          <w:rFonts w:eastAsia="Calibri"/>
        </w:rPr>
        <w:t>2015</w:t>
      </w:r>
      <w:r>
        <w:rPr>
          <w:rFonts w:eastAsia="Calibri"/>
        </w:rPr>
        <w:t>04-0648-015ICR</w:t>
      </w:r>
    </w:p>
  </w:footnote>
  <w:footnote w:id="2">
    <w:p w14:paraId="0B58FB7F" w14:textId="77777777" w:rsidR="00406E2C" w:rsidRPr="005F3D48" w:rsidRDefault="00406E2C">
      <w:pPr>
        <w:pStyle w:val="FootnoteText"/>
        <w:rPr>
          <w:lang w:val="en-US"/>
        </w:rPr>
      </w:pPr>
      <w:r>
        <w:rPr>
          <w:rStyle w:val="FootnoteReference"/>
        </w:rPr>
        <w:footnoteRef/>
      </w:r>
      <w:r>
        <w:t xml:space="preserve"> </w:t>
      </w:r>
      <w:r>
        <w:rPr>
          <w:lang w:val="en-US"/>
        </w:rPr>
        <w:t>We refer to these as “random, non-probability” samples since the selection of respondents from the panel itself will be random; however, inclusion of respondents in the panel itself is not random since potential respondents must opt into the panel.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9933A" w14:textId="77777777" w:rsidR="0049136F" w:rsidRDefault="0049136F" w:rsidP="0049136F">
    <w:pPr>
      <w:jc w:val="right"/>
    </w:pPr>
    <w:r>
      <w:t>NOAA National Weather Service</w:t>
    </w:r>
  </w:p>
  <w:p w14:paraId="6951C699" w14:textId="77777777" w:rsidR="003355B9" w:rsidRDefault="002423F1" w:rsidP="0049136F">
    <w:pPr>
      <w:jc w:val="right"/>
    </w:pPr>
    <w:r>
      <w:t>Impact Based Warnings</w:t>
    </w:r>
    <w:r w:rsidR="005A17CE">
      <w:t xml:space="preserve"> (IBW)</w:t>
    </w:r>
    <w:r w:rsidR="003355B9">
      <w:t xml:space="preserve"> Project </w:t>
    </w:r>
  </w:p>
  <w:p w14:paraId="013CD412" w14:textId="77777777" w:rsidR="0049136F" w:rsidRDefault="0049136F" w:rsidP="0049136F">
    <w:pPr>
      <w:jc w:val="right"/>
    </w:pPr>
    <w:r>
      <w:t>Part A and B DOC/NOAA Customer Survey Clearance</w:t>
    </w:r>
  </w:p>
  <w:p w14:paraId="15A06D04" w14:textId="49BACED3" w:rsidR="0049136F" w:rsidRDefault="0049136F" w:rsidP="0049136F">
    <w:pPr>
      <w:jc w:val="right"/>
    </w:pPr>
    <w:r w:rsidRPr="006C2D92">
      <w:t>OMB Control No. 0648-0342</w:t>
    </w:r>
    <w:r w:rsidR="002E6DF4">
      <w:t xml:space="preserve">                                                      </w:t>
    </w:r>
  </w:p>
  <w:p w14:paraId="4682E7F4" w14:textId="77777777" w:rsidR="0049136F" w:rsidRPr="006C2D92" w:rsidRDefault="0049136F" w:rsidP="0049136F">
    <w:pPr>
      <w:jc w:val="right"/>
    </w:pPr>
    <w:r>
      <w:t xml:space="preserve"> </w:t>
    </w:r>
  </w:p>
  <w:p w14:paraId="27095525" w14:textId="77777777" w:rsidR="0049136F" w:rsidRDefault="00491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F4DA13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E97AD7"/>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31ED2"/>
    <w:multiLevelType w:val="hybridMultilevel"/>
    <w:tmpl w:val="8EFCD7EC"/>
    <w:lvl w:ilvl="0" w:tplc="2F5C29AC">
      <w:start w:val="1"/>
      <w:numFmt w:val="bullet"/>
      <w:lvlText w:val=""/>
      <w:lvlJc w:val="left"/>
      <w:pPr>
        <w:tabs>
          <w:tab w:val="num" w:pos="720"/>
        </w:tabs>
        <w:ind w:left="720" w:hanging="360"/>
      </w:pPr>
      <w:rPr>
        <w:rFonts w:ascii="Symbol" w:hAnsi="Symbol" w:hint="default"/>
      </w:rPr>
    </w:lvl>
    <w:lvl w:ilvl="1" w:tplc="9F96CF5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F06B4"/>
    <w:multiLevelType w:val="hybridMultilevel"/>
    <w:tmpl w:val="CAFCA9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9E1677"/>
    <w:multiLevelType w:val="hybridMultilevel"/>
    <w:tmpl w:val="F3FEDC4E"/>
    <w:lvl w:ilvl="0" w:tplc="04090001">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7">
    <w:nsid w:val="31A65E2A"/>
    <w:multiLevelType w:val="hybridMultilevel"/>
    <w:tmpl w:val="412EFB0E"/>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550855"/>
    <w:multiLevelType w:val="hybridMultilevel"/>
    <w:tmpl w:val="D02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2340CE"/>
    <w:multiLevelType w:val="hybridMultilevel"/>
    <w:tmpl w:val="A892837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1">
    <w:nsid w:val="357338F7"/>
    <w:multiLevelType w:val="hybridMultilevel"/>
    <w:tmpl w:val="5B202FC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90D5774"/>
    <w:multiLevelType w:val="hybridMultilevel"/>
    <w:tmpl w:val="A3A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70CCC"/>
    <w:multiLevelType w:val="hybridMultilevel"/>
    <w:tmpl w:val="51D4A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9B0C63"/>
    <w:multiLevelType w:val="hybridMultilevel"/>
    <w:tmpl w:val="A4502C34"/>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AC7A03"/>
    <w:multiLevelType w:val="hybridMultilevel"/>
    <w:tmpl w:val="2B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3730A6"/>
    <w:multiLevelType w:val="hybridMultilevel"/>
    <w:tmpl w:val="B10CACA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54771AD0"/>
    <w:multiLevelType w:val="hybridMultilevel"/>
    <w:tmpl w:val="AA4808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1">
    <w:nsid w:val="65680BF4"/>
    <w:multiLevelType w:val="hybridMultilevel"/>
    <w:tmpl w:val="9D5A0F22"/>
    <w:lvl w:ilvl="0" w:tplc="2F5C29A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7D34947"/>
    <w:multiLevelType w:val="hybridMultilevel"/>
    <w:tmpl w:val="F600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C871BC"/>
    <w:multiLevelType w:val="hybridMultilevel"/>
    <w:tmpl w:val="F90A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DE57EC"/>
    <w:multiLevelType w:val="hybridMultilevel"/>
    <w:tmpl w:val="7F7E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D4175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9"/>
  </w:num>
  <w:num w:numId="4">
    <w:abstractNumId w:val="3"/>
  </w:num>
  <w:num w:numId="5">
    <w:abstractNumId w:val="9"/>
  </w:num>
  <w:num w:numId="6">
    <w:abstractNumId w:val="21"/>
  </w:num>
  <w:num w:numId="7">
    <w:abstractNumId w:val="13"/>
  </w:num>
  <w:num w:numId="8">
    <w:abstractNumId w:val="6"/>
  </w:num>
  <w:num w:numId="9">
    <w:abstractNumId w:val="24"/>
  </w:num>
  <w:num w:numId="10">
    <w:abstractNumId w:val="8"/>
  </w:num>
  <w:num w:numId="11">
    <w:abstractNumId w:val="7"/>
  </w:num>
  <w:num w:numId="12">
    <w:abstractNumId w:val="15"/>
  </w:num>
  <w:num w:numId="13">
    <w:abstractNumId w:val="12"/>
  </w:num>
  <w:num w:numId="14">
    <w:abstractNumId w:val="20"/>
  </w:num>
  <w:num w:numId="15">
    <w:abstractNumId w:val="10"/>
  </w:num>
  <w:num w:numId="16">
    <w:abstractNumId w:val="4"/>
  </w:num>
  <w:num w:numId="17">
    <w:abstractNumId w:val="2"/>
  </w:num>
  <w:num w:numId="18">
    <w:abstractNumId w:val="25"/>
  </w:num>
  <w:num w:numId="19">
    <w:abstractNumId w:val="14"/>
  </w:num>
  <w:num w:numId="20">
    <w:abstractNumId w:val="1"/>
  </w:num>
  <w:num w:numId="21">
    <w:abstractNumId w:val="18"/>
  </w:num>
  <w:num w:numId="22">
    <w:abstractNumId w:val="22"/>
  </w:num>
  <w:num w:numId="23">
    <w:abstractNumId w:val="23"/>
  </w:num>
  <w:num w:numId="24">
    <w:abstractNumId w:val="17"/>
  </w:num>
  <w:num w:numId="25">
    <w:abstractNumId w:val="11"/>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na Eosco">
    <w15:presenceInfo w15:providerId="AD" w15:userId="S-1-5-21-772653363-1706447627-576915096-28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986"/>
    <w:rsid w:val="00012BA6"/>
    <w:rsid w:val="000363BA"/>
    <w:rsid w:val="000461FF"/>
    <w:rsid w:val="00075366"/>
    <w:rsid w:val="00076244"/>
    <w:rsid w:val="00084853"/>
    <w:rsid w:val="00091271"/>
    <w:rsid w:val="00091F7C"/>
    <w:rsid w:val="00092167"/>
    <w:rsid w:val="0009474E"/>
    <w:rsid w:val="000D16F2"/>
    <w:rsid w:val="000D377B"/>
    <w:rsid w:val="00105082"/>
    <w:rsid w:val="00106600"/>
    <w:rsid w:val="00112B97"/>
    <w:rsid w:val="001563C1"/>
    <w:rsid w:val="00157063"/>
    <w:rsid w:val="0015718F"/>
    <w:rsid w:val="00162494"/>
    <w:rsid w:val="001626E4"/>
    <w:rsid w:val="00182573"/>
    <w:rsid w:val="00190158"/>
    <w:rsid w:val="001A5EF5"/>
    <w:rsid w:val="001B05E6"/>
    <w:rsid w:val="001B2033"/>
    <w:rsid w:val="001C496B"/>
    <w:rsid w:val="001E44B1"/>
    <w:rsid w:val="001E62DA"/>
    <w:rsid w:val="002119A0"/>
    <w:rsid w:val="00211D67"/>
    <w:rsid w:val="00214AD0"/>
    <w:rsid w:val="0021645F"/>
    <w:rsid w:val="00216D2A"/>
    <w:rsid w:val="0022410D"/>
    <w:rsid w:val="002327CE"/>
    <w:rsid w:val="00237A89"/>
    <w:rsid w:val="00240CDF"/>
    <w:rsid w:val="002423F1"/>
    <w:rsid w:val="00244352"/>
    <w:rsid w:val="00244AD4"/>
    <w:rsid w:val="00251D7E"/>
    <w:rsid w:val="00255064"/>
    <w:rsid w:val="00277FCB"/>
    <w:rsid w:val="00285474"/>
    <w:rsid w:val="00285B1D"/>
    <w:rsid w:val="002903EA"/>
    <w:rsid w:val="00291A37"/>
    <w:rsid w:val="00296C3B"/>
    <w:rsid w:val="002A1DF1"/>
    <w:rsid w:val="002A2FB7"/>
    <w:rsid w:val="002B7041"/>
    <w:rsid w:val="002C7E1F"/>
    <w:rsid w:val="002D315A"/>
    <w:rsid w:val="002E0336"/>
    <w:rsid w:val="002E348F"/>
    <w:rsid w:val="002E6DF4"/>
    <w:rsid w:val="002F5582"/>
    <w:rsid w:val="0030112B"/>
    <w:rsid w:val="00301882"/>
    <w:rsid w:val="003157A5"/>
    <w:rsid w:val="00321E82"/>
    <w:rsid w:val="003268B5"/>
    <w:rsid w:val="003355B9"/>
    <w:rsid w:val="003404E6"/>
    <w:rsid w:val="00340971"/>
    <w:rsid w:val="003448DF"/>
    <w:rsid w:val="0034697E"/>
    <w:rsid w:val="003517F4"/>
    <w:rsid w:val="00372651"/>
    <w:rsid w:val="003800C6"/>
    <w:rsid w:val="0038262B"/>
    <w:rsid w:val="003849A0"/>
    <w:rsid w:val="00384B90"/>
    <w:rsid w:val="00390CC9"/>
    <w:rsid w:val="00392DA5"/>
    <w:rsid w:val="00395BBA"/>
    <w:rsid w:val="003A35EB"/>
    <w:rsid w:val="003A6DE6"/>
    <w:rsid w:val="003A7DC6"/>
    <w:rsid w:val="003B5739"/>
    <w:rsid w:val="003B6D9E"/>
    <w:rsid w:val="003B7A0E"/>
    <w:rsid w:val="003C0FC4"/>
    <w:rsid w:val="003C4320"/>
    <w:rsid w:val="003E1FDB"/>
    <w:rsid w:val="003E5A6F"/>
    <w:rsid w:val="004059B9"/>
    <w:rsid w:val="00406B7C"/>
    <w:rsid w:val="00406E2C"/>
    <w:rsid w:val="00412A19"/>
    <w:rsid w:val="00413D96"/>
    <w:rsid w:val="004213F9"/>
    <w:rsid w:val="004309E7"/>
    <w:rsid w:val="00432DC2"/>
    <w:rsid w:val="004346C8"/>
    <w:rsid w:val="00466576"/>
    <w:rsid w:val="00472777"/>
    <w:rsid w:val="00475248"/>
    <w:rsid w:val="00475267"/>
    <w:rsid w:val="0048777F"/>
    <w:rsid w:val="00490B26"/>
    <w:rsid w:val="0049136F"/>
    <w:rsid w:val="004A4419"/>
    <w:rsid w:val="004A6FA9"/>
    <w:rsid w:val="004B2986"/>
    <w:rsid w:val="004B6336"/>
    <w:rsid w:val="004D7B0C"/>
    <w:rsid w:val="004F0F25"/>
    <w:rsid w:val="005005D6"/>
    <w:rsid w:val="00500A43"/>
    <w:rsid w:val="00504724"/>
    <w:rsid w:val="00516E97"/>
    <w:rsid w:val="0051799B"/>
    <w:rsid w:val="005216DE"/>
    <w:rsid w:val="00525508"/>
    <w:rsid w:val="005342B1"/>
    <w:rsid w:val="005407E0"/>
    <w:rsid w:val="005523FB"/>
    <w:rsid w:val="0055485C"/>
    <w:rsid w:val="00555071"/>
    <w:rsid w:val="00560EEB"/>
    <w:rsid w:val="00566799"/>
    <w:rsid w:val="00566DC6"/>
    <w:rsid w:val="00570DB7"/>
    <w:rsid w:val="00572501"/>
    <w:rsid w:val="00574291"/>
    <w:rsid w:val="005767CD"/>
    <w:rsid w:val="00582CFD"/>
    <w:rsid w:val="0058389D"/>
    <w:rsid w:val="00586983"/>
    <w:rsid w:val="00596379"/>
    <w:rsid w:val="005A17CE"/>
    <w:rsid w:val="005A2104"/>
    <w:rsid w:val="005A30B5"/>
    <w:rsid w:val="005A31DF"/>
    <w:rsid w:val="005A485D"/>
    <w:rsid w:val="005A4CFB"/>
    <w:rsid w:val="005B2814"/>
    <w:rsid w:val="005C0203"/>
    <w:rsid w:val="005F2CEB"/>
    <w:rsid w:val="005F3D48"/>
    <w:rsid w:val="005F41B1"/>
    <w:rsid w:val="005F4E48"/>
    <w:rsid w:val="005F6F57"/>
    <w:rsid w:val="00606AE9"/>
    <w:rsid w:val="006124F9"/>
    <w:rsid w:val="00613EA6"/>
    <w:rsid w:val="00625F8D"/>
    <w:rsid w:val="00631A2D"/>
    <w:rsid w:val="0065090A"/>
    <w:rsid w:val="00651243"/>
    <w:rsid w:val="006529D5"/>
    <w:rsid w:val="00666720"/>
    <w:rsid w:val="00676FF8"/>
    <w:rsid w:val="006833BA"/>
    <w:rsid w:val="00696801"/>
    <w:rsid w:val="006A3CE3"/>
    <w:rsid w:val="006A3EC7"/>
    <w:rsid w:val="006B4494"/>
    <w:rsid w:val="006B7A92"/>
    <w:rsid w:val="006C08D0"/>
    <w:rsid w:val="006C6E8C"/>
    <w:rsid w:val="006D0E6C"/>
    <w:rsid w:val="006D4CC6"/>
    <w:rsid w:val="006D686A"/>
    <w:rsid w:val="006D7D25"/>
    <w:rsid w:val="00700E3D"/>
    <w:rsid w:val="00704F57"/>
    <w:rsid w:val="00705DC5"/>
    <w:rsid w:val="007060C0"/>
    <w:rsid w:val="0070684D"/>
    <w:rsid w:val="00711095"/>
    <w:rsid w:val="00711C59"/>
    <w:rsid w:val="00712CC7"/>
    <w:rsid w:val="00715973"/>
    <w:rsid w:val="0071649C"/>
    <w:rsid w:val="007258C8"/>
    <w:rsid w:val="0072761D"/>
    <w:rsid w:val="00732867"/>
    <w:rsid w:val="007515A6"/>
    <w:rsid w:val="007558FF"/>
    <w:rsid w:val="00760AA2"/>
    <w:rsid w:val="007678A2"/>
    <w:rsid w:val="00770BC0"/>
    <w:rsid w:val="007A348D"/>
    <w:rsid w:val="007A6FB0"/>
    <w:rsid w:val="007D5C76"/>
    <w:rsid w:val="007E4E78"/>
    <w:rsid w:val="007F6887"/>
    <w:rsid w:val="00800CBD"/>
    <w:rsid w:val="00827BE1"/>
    <w:rsid w:val="00835E16"/>
    <w:rsid w:val="00854DD9"/>
    <w:rsid w:val="00857A7C"/>
    <w:rsid w:val="0086344B"/>
    <w:rsid w:val="008744BD"/>
    <w:rsid w:val="008823DB"/>
    <w:rsid w:val="008939DE"/>
    <w:rsid w:val="008941E4"/>
    <w:rsid w:val="00895F80"/>
    <w:rsid w:val="008A1382"/>
    <w:rsid w:val="008C0200"/>
    <w:rsid w:val="008D7123"/>
    <w:rsid w:val="008F0D87"/>
    <w:rsid w:val="00900D67"/>
    <w:rsid w:val="00906A8D"/>
    <w:rsid w:val="00906FA7"/>
    <w:rsid w:val="00922355"/>
    <w:rsid w:val="00922D66"/>
    <w:rsid w:val="0092420B"/>
    <w:rsid w:val="00926036"/>
    <w:rsid w:val="009344F1"/>
    <w:rsid w:val="00940B32"/>
    <w:rsid w:val="00943486"/>
    <w:rsid w:val="00943BE1"/>
    <w:rsid w:val="00963722"/>
    <w:rsid w:val="0099307E"/>
    <w:rsid w:val="009A1474"/>
    <w:rsid w:val="009C0467"/>
    <w:rsid w:val="009C4A4A"/>
    <w:rsid w:val="009C5A07"/>
    <w:rsid w:val="009C7A95"/>
    <w:rsid w:val="009D36E7"/>
    <w:rsid w:val="009D499F"/>
    <w:rsid w:val="009E5CCE"/>
    <w:rsid w:val="009F41AC"/>
    <w:rsid w:val="009F4D55"/>
    <w:rsid w:val="00A102EC"/>
    <w:rsid w:val="00A13374"/>
    <w:rsid w:val="00A338EA"/>
    <w:rsid w:val="00A401A0"/>
    <w:rsid w:val="00A436AA"/>
    <w:rsid w:val="00A537A4"/>
    <w:rsid w:val="00A56920"/>
    <w:rsid w:val="00A57125"/>
    <w:rsid w:val="00A61C55"/>
    <w:rsid w:val="00A61C62"/>
    <w:rsid w:val="00A652B3"/>
    <w:rsid w:val="00A67AA8"/>
    <w:rsid w:val="00A76C36"/>
    <w:rsid w:val="00A9138A"/>
    <w:rsid w:val="00AA3FE0"/>
    <w:rsid w:val="00AC7C6E"/>
    <w:rsid w:val="00AD22E0"/>
    <w:rsid w:val="00AE5850"/>
    <w:rsid w:val="00AF5091"/>
    <w:rsid w:val="00B0555D"/>
    <w:rsid w:val="00B062C9"/>
    <w:rsid w:val="00B0797C"/>
    <w:rsid w:val="00B100B6"/>
    <w:rsid w:val="00B23F18"/>
    <w:rsid w:val="00B2696F"/>
    <w:rsid w:val="00B4241F"/>
    <w:rsid w:val="00B44B7B"/>
    <w:rsid w:val="00B507B2"/>
    <w:rsid w:val="00B6499F"/>
    <w:rsid w:val="00B76277"/>
    <w:rsid w:val="00B8542A"/>
    <w:rsid w:val="00B91E4E"/>
    <w:rsid w:val="00BA7109"/>
    <w:rsid w:val="00BB27E8"/>
    <w:rsid w:val="00BB4025"/>
    <w:rsid w:val="00BB63AD"/>
    <w:rsid w:val="00BC4B8F"/>
    <w:rsid w:val="00BC697B"/>
    <w:rsid w:val="00BD2CB0"/>
    <w:rsid w:val="00BD4D08"/>
    <w:rsid w:val="00BD6430"/>
    <w:rsid w:val="00BE5DCE"/>
    <w:rsid w:val="00C00A3B"/>
    <w:rsid w:val="00C1145F"/>
    <w:rsid w:val="00C26021"/>
    <w:rsid w:val="00C356ED"/>
    <w:rsid w:val="00C76120"/>
    <w:rsid w:val="00C809AF"/>
    <w:rsid w:val="00C812AB"/>
    <w:rsid w:val="00C81A31"/>
    <w:rsid w:val="00C86948"/>
    <w:rsid w:val="00C90855"/>
    <w:rsid w:val="00CA410A"/>
    <w:rsid w:val="00CB47A0"/>
    <w:rsid w:val="00CB6B67"/>
    <w:rsid w:val="00CC4BFA"/>
    <w:rsid w:val="00CC5256"/>
    <w:rsid w:val="00CC70AC"/>
    <w:rsid w:val="00CD500B"/>
    <w:rsid w:val="00CE1019"/>
    <w:rsid w:val="00CE1B08"/>
    <w:rsid w:val="00CE51ED"/>
    <w:rsid w:val="00CE7FE3"/>
    <w:rsid w:val="00CF2605"/>
    <w:rsid w:val="00D1721F"/>
    <w:rsid w:val="00D232A1"/>
    <w:rsid w:val="00D306F8"/>
    <w:rsid w:val="00D42592"/>
    <w:rsid w:val="00D64F19"/>
    <w:rsid w:val="00D709BB"/>
    <w:rsid w:val="00D73CF5"/>
    <w:rsid w:val="00D77C77"/>
    <w:rsid w:val="00D92DD1"/>
    <w:rsid w:val="00D94C28"/>
    <w:rsid w:val="00DB15B4"/>
    <w:rsid w:val="00DB6A23"/>
    <w:rsid w:val="00DB74A5"/>
    <w:rsid w:val="00DC456B"/>
    <w:rsid w:val="00DC6CDA"/>
    <w:rsid w:val="00DD3B1F"/>
    <w:rsid w:val="00DD4F5F"/>
    <w:rsid w:val="00DE58D7"/>
    <w:rsid w:val="00DF4388"/>
    <w:rsid w:val="00DF4752"/>
    <w:rsid w:val="00E04E1C"/>
    <w:rsid w:val="00E115DB"/>
    <w:rsid w:val="00E12B6F"/>
    <w:rsid w:val="00E142D0"/>
    <w:rsid w:val="00E173AE"/>
    <w:rsid w:val="00E41CBC"/>
    <w:rsid w:val="00E45833"/>
    <w:rsid w:val="00E45F3B"/>
    <w:rsid w:val="00E65522"/>
    <w:rsid w:val="00E827DF"/>
    <w:rsid w:val="00E84818"/>
    <w:rsid w:val="00E92BD1"/>
    <w:rsid w:val="00E93ED7"/>
    <w:rsid w:val="00EA230F"/>
    <w:rsid w:val="00EA31B5"/>
    <w:rsid w:val="00EA6C21"/>
    <w:rsid w:val="00EB1749"/>
    <w:rsid w:val="00EC5B10"/>
    <w:rsid w:val="00ED35D4"/>
    <w:rsid w:val="00ED59A8"/>
    <w:rsid w:val="00ED63F4"/>
    <w:rsid w:val="00EF3436"/>
    <w:rsid w:val="00EF47F9"/>
    <w:rsid w:val="00EF5392"/>
    <w:rsid w:val="00EF6CCC"/>
    <w:rsid w:val="00F0690A"/>
    <w:rsid w:val="00F13B4E"/>
    <w:rsid w:val="00F20D52"/>
    <w:rsid w:val="00F23D88"/>
    <w:rsid w:val="00F316DF"/>
    <w:rsid w:val="00F3247E"/>
    <w:rsid w:val="00F32CDE"/>
    <w:rsid w:val="00F37F41"/>
    <w:rsid w:val="00F541F6"/>
    <w:rsid w:val="00F54D0D"/>
    <w:rsid w:val="00F75930"/>
    <w:rsid w:val="00F7678A"/>
    <w:rsid w:val="00F76940"/>
    <w:rsid w:val="00F92FF8"/>
    <w:rsid w:val="00FA18C9"/>
    <w:rsid w:val="00FB4BF4"/>
    <w:rsid w:val="00FC744F"/>
    <w:rsid w:val="00FE7623"/>
    <w:rsid w:val="00FF3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37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B32"/>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paragraph" w:customStyle="1" w:styleId="Default">
    <w:name w:val="Default"/>
    <w:rsid w:val="007A6FB0"/>
    <w:pPr>
      <w:autoSpaceDE w:val="0"/>
      <w:autoSpaceDN w:val="0"/>
      <w:adjustRightInd w:val="0"/>
    </w:pPr>
    <w:rPr>
      <w:rFonts w:ascii="Cambria" w:eastAsia="Times New Roman" w:hAnsi="Cambria" w:cs="Cambria"/>
      <w:color w:val="000000"/>
      <w:sz w:val="24"/>
      <w:szCs w:val="24"/>
    </w:rPr>
  </w:style>
  <w:style w:type="character" w:customStyle="1" w:styleId="caption2">
    <w:name w:val="caption2"/>
    <w:basedOn w:val="DefaultParagraphFont"/>
    <w:rsid w:val="0038262B"/>
    <w:rPr>
      <w:rFonts w:ascii="Helvetica" w:hAnsi="Helvetica" w:cs="Helvetica" w:hint="default"/>
      <w:vanish w:val="0"/>
      <w:webHidden w:val="0"/>
      <w:color w:val="666666"/>
      <w:sz w:val="18"/>
      <w:szCs w:val="18"/>
      <w:specVanish w:val="0"/>
    </w:rPr>
  </w:style>
  <w:style w:type="character" w:customStyle="1" w:styleId="byline4">
    <w:name w:val="byline4"/>
    <w:basedOn w:val="DefaultParagraphFont"/>
    <w:rsid w:val="0038262B"/>
    <w:rPr>
      <w:rFonts w:ascii="Helvetica" w:hAnsi="Helvetica" w:cs="Helvetica" w:hint="default"/>
      <w:i/>
      <w:iCs/>
      <w:vanish w:val="0"/>
      <w:webHidden w:val="0"/>
      <w:color w:val="666666"/>
      <w:sz w:val="15"/>
      <w:szCs w:val="15"/>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B32"/>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paragraph" w:customStyle="1" w:styleId="Default">
    <w:name w:val="Default"/>
    <w:rsid w:val="007A6FB0"/>
    <w:pPr>
      <w:autoSpaceDE w:val="0"/>
      <w:autoSpaceDN w:val="0"/>
      <w:adjustRightInd w:val="0"/>
    </w:pPr>
    <w:rPr>
      <w:rFonts w:ascii="Cambria" w:eastAsia="Times New Roman" w:hAnsi="Cambria" w:cs="Cambria"/>
      <w:color w:val="000000"/>
      <w:sz w:val="24"/>
      <w:szCs w:val="24"/>
    </w:rPr>
  </w:style>
  <w:style w:type="character" w:customStyle="1" w:styleId="caption2">
    <w:name w:val="caption2"/>
    <w:basedOn w:val="DefaultParagraphFont"/>
    <w:rsid w:val="0038262B"/>
    <w:rPr>
      <w:rFonts w:ascii="Helvetica" w:hAnsi="Helvetica" w:cs="Helvetica" w:hint="default"/>
      <w:vanish w:val="0"/>
      <w:webHidden w:val="0"/>
      <w:color w:val="666666"/>
      <w:sz w:val="18"/>
      <w:szCs w:val="18"/>
      <w:specVanish w:val="0"/>
    </w:rPr>
  </w:style>
  <w:style w:type="character" w:customStyle="1" w:styleId="byline4">
    <w:name w:val="byline4"/>
    <w:basedOn w:val="DefaultParagraphFont"/>
    <w:rsid w:val="0038262B"/>
    <w:rPr>
      <w:rFonts w:ascii="Helvetica" w:hAnsi="Helvetica" w:cs="Helvetica" w:hint="default"/>
      <w:i/>
      <w:iCs/>
      <w:vanish w:val="0"/>
      <w:webHidden w:val="0"/>
      <w:color w:val="666666"/>
      <w:sz w:val="15"/>
      <w:szCs w:val="15"/>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394">
      <w:bodyDiv w:val="1"/>
      <w:marLeft w:val="0"/>
      <w:marRight w:val="0"/>
      <w:marTop w:val="0"/>
      <w:marBottom w:val="0"/>
      <w:divBdr>
        <w:top w:val="none" w:sz="0" w:space="0" w:color="auto"/>
        <w:left w:val="none" w:sz="0" w:space="0" w:color="auto"/>
        <w:bottom w:val="none" w:sz="0" w:space="0" w:color="auto"/>
        <w:right w:val="none" w:sz="0" w:space="0" w:color="auto"/>
      </w:divBdr>
    </w:div>
    <w:div w:id="171337016">
      <w:bodyDiv w:val="1"/>
      <w:marLeft w:val="0"/>
      <w:marRight w:val="0"/>
      <w:marTop w:val="0"/>
      <w:marBottom w:val="0"/>
      <w:divBdr>
        <w:top w:val="none" w:sz="0" w:space="0" w:color="auto"/>
        <w:left w:val="none" w:sz="0" w:space="0" w:color="auto"/>
        <w:bottom w:val="none" w:sz="0" w:space="0" w:color="auto"/>
        <w:right w:val="none" w:sz="0" w:space="0" w:color="auto"/>
      </w:divBdr>
      <w:divsChild>
        <w:div w:id="545335319">
          <w:marLeft w:val="0"/>
          <w:marRight w:val="0"/>
          <w:marTop w:val="0"/>
          <w:marBottom w:val="0"/>
          <w:divBdr>
            <w:top w:val="none" w:sz="0" w:space="0" w:color="auto"/>
            <w:left w:val="none" w:sz="0" w:space="0" w:color="auto"/>
            <w:bottom w:val="none" w:sz="0" w:space="0" w:color="auto"/>
            <w:right w:val="none" w:sz="0" w:space="0" w:color="auto"/>
          </w:divBdr>
          <w:divsChild>
            <w:div w:id="467017511">
              <w:marLeft w:val="0"/>
              <w:marRight w:val="0"/>
              <w:marTop w:val="0"/>
              <w:marBottom w:val="0"/>
              <w:divBdr>
                <w:top w:val="none" w:sz="0" w:space="0" w:color="auto"/>
                <w:left w:val="none" w:sz="0" w:space="0" w:color="auto"/>
                <w:bottom w:val="none" w:sz="0" w:space="0" w:color="auto"/>
                <w:right w:val="none" w:sz="0" w:space="0" w:color="auto"/>
              </w:divBdr>
              <w:divsChild>
                <w:div w:id="15114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2454">
      <w:bodyDiv w:val="1"/>
      <w:marLeft w:val="0"/>
      <w:marRight w:val="0"/>
      <w:marTop w:val="0"/>
      <w:marBottom w:val="0"/>
      <w:divBdr>
        <w:top w:val="none" w:sz="0" w:space="0" w:color="auto"/>
        <w:left w:val="none" w:sz="0" w:space="0" w:color="auto"/>
        <w:bottom w:val="none" w:sz="0" w:space="0" w:color="auto"/>
        <w:right w:val="none" w:sz="0" w:space="0" w:color="auto"/>
      </w:divBdr>
      <w:divsChild>
        <w:div w:id="110444619">
          <w:marLeft w:val="0"/>
          <w:marRight w:val="0"/>
          <w:marTop w:val="0"/>
          <w:marBottom w:val="0"/>
          <w:divBdr>
            <w:top w:val="none" w:sz="0" w:space="0" w:color="auto"/>
            <w:left w:val="none" w:sz="0" w:space="0" w:color="auto"/>
            <w:bottom w:val="none" w:sz="0" w:space="0" w:color="auto"/>
            <w:right w:val="none" w:sz="0" w:space="0" w:color="auto"/>
          </w:divBdr>
          <w:divsChild>
            <w:div w:id="1416827859">
              <w:marLeft w:val="0"/>
              <w:marRight w:val="0"/>
              <w:marTop w:val="0"/>
              <w:marBottom w:val="0"/>
              <w:divBdr>
                <w:top w:val="none" w:sz="0" w:space="0" w:color="auto"/>
                <w:left w:val="none" w:sz="0" w:space="0" w:color="auto"/>
                <w:bottom w:val="none" w:sz="0" w:space="0" w:color="auto"/>
                <w:right w:val="none" w:sz="0" w:space="0" w:color="auto"/>
              </w:divBdr>
              <w:divsChild>
                <w:div w:id="1461653237">
                  <w:marLeft w:val="0"/>
                  <w:marRight w:val="0"/>
                  <w:marTop w:val="225"/>
                  <w:marBottom w:val="0"/>
                  <w:divBdr>
                    <w:top w:val="none" w:sz="0" w:space="0" w:color="auto"/>
                    <w:left w:val="none" w:sz="0" w:space="0" w:color="auto"/>
                    <w:bottom w:val="none" w:sz="0" w:space="0" w:color="auto"/>
                    <w:right w:val="none" w:sz="0" w:space="0" w:color="auto"/>
                  </w:divBdr>
                  <w:divsChild>
                    <w:div w:id="1854802033">
                      <w:marLeft w:val="0"/>
                      <w:marRight w:val="0"/>
                      <w:marTop w:val="0"/>
                      <w:marBottom w:val="0"/>
                      <w:divBdr>
                        <w:top w:val="none" w:sz="0" w:space="0" w:color="auto"/>
                        <w:left w:val="none" w:sz="0" w:space="0" w:color="auto"/>
                        <w:bottom w:val="none" w:sz="0" w:space="0" w:color="auto"/>
                        <w:right w:val="none" w:sz="0" w:space="0" w:color="auto"/>
                      </w:divBdr>
                      <w:divsChild>
                        <w:div w:id="240405832">
                          <w:marLeft w:val="0"/>
                          <w:marRight w:val="0"/>
                          <w:marTop w:val="0"/>
                          <w:marBottom w:val="0"/>
                          <w:divBdr>
                            <w:top w:val="none" w:sz="0" w:space="0" w:color="auto"/>
                            <w:left w:val="none" w:sz="0" w:space="0" w:color="auto"/>
                            <w:bottom w:val="none" w:sz="0" w:space="0" w:color="auto"/>
                            <w:right w:val="none" w:sz="0" w:space="0" w:color="auto"/>
                          </w:divBdr>
                          <w:divsChild>
                            <w:div w:id="693270443">
                              <w:marLeft w:val="0"/>
                              <w:marRight w:val="0"/>
                              <w:marTop w:val="0"/>
                              <w:marBottom w:val="0"/>
                              <w:divBdr>
                                <w:top w:val="none" w:sz="0" w:space="0" w:color="auto"/>
                                <w:left w:val="none" w:sz="0" w:space="0" w:color="auto"/>
                                <w:bottom w:val="none" w:sz="0" w:space="0" w:color="auto"/>
                                <w:right w:val="none" w:sz="0" w:space="0" w:color="auto"/>
                              </w:divBdr>
                              <w:divsChild>
                                <w:div w:id="1021052199">
                                  <w:marLeft w:val="0"/>
                                  <w:marRight w:val="0"/>
                                  <w:marTop w:val="0"/>
                                  <w:marBottom w:val="0"/>
                                  <w:divBdr>
                                    <w:top w:val="none" w:sz="0" w:space="0" w:color="auto"/>
                                    <w:left w:val="none" w:sz="0" w:space="0" w:color="auto"/>
                                    <w:bottom w:val="none" w:sz="0" w:space="0" w:color="auto"/>
                                    <w:right w:val="none" w:sz="0" w:space="0" w:color="auto"/>
                                  </w:divBdr>
                                  <w:divsChild>
                                    <w:div w:id="1464810448">
                                      <w:marLeft w:val="0"/>
                                      <w:marRight w:val="0"/>
                                      <w:marTop w:val="0"/>
                                      <w:marBottom w:val="0"/>
                                      <w:divBdr>
                                        <w:top w:val="none" w:sz="0" w:space="0" w:color="auto"/>
                                        <w:left w:val="none" w:sz="0" w:space="0" w:color="auto"/>
                                        <w:bottom w:val="none" w:sz="0" w:space="0" w:color="auto"/>
                                        <w:right w:val="none" w:sz="0" w:space="0" w:color="auto"/>
                                      </w:divBdr>
                                      <w:divsChild>
                                        <w:div w:id="3624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205048">
      <w:bodyDiv w:val="1"/>
      <w:marLeft w:val="0"/>
      <w:marRight w:val="0"/>
      <w:marTop w:val="0"/>
      <w:marBottom w:val="0"/>
      <w:divBdr>
        <w:top w:val="none" w:sz="0" w:space="0" w:color="auto"/>
        <w:left w:val="none" w:sz="0" w:space="0" w:color="auto"/>
        <w:bottom w:val="none" w:sz="0" w:space="0" w:color="auto"/>
        <w:right w:val="none" w:sz="0" w:space="0" w:color="auto"/>
      </w:divBdr>
      <w:divsChild>
        <w:div w:id="218369169">
          <w:marLeft w:val="0"/>
          <w:marRight w:val="0"/>
          <w:marTop w:val="0"/>
          <w:marBottom w:val="0"/>
          <w:divBdr>
            <w:top w:val="none" w:sz="0" w:space="0" w:color="auto"/>
            <w:left w:val="none" w:sz="0" w:space="0" w:color="auto"/>
            <w:bottom w:val="none" w:sz="0" w:space="0" w:color="auto"/>
            <w:right w:val="none" w:sz="0" w:space="0" w:color="auto"/>
          </w:divBdr>
          <w:divsChild>
            <w:div w:id="659702048">
              <w:marLeft w:val="0"/>
              <w:marRight w:val="0"/>
              <w:marTop w:val="0"/>
              <w:marBottom w:val="0"/>
              <w:divBdr>
                <w:top w:val="none" w:sz="0" w:space="0" w:color="auto"/>
                <w:left w:val="none" w:sz="0" w:space="0" w:color="auto"/>
                <w:bottom w:val="none" w:sz="0" w:space="0" w:color="auto"/>
                <w:right w:val="none" w:sz="0" w:space="0" w:color="auto"/>
              </w:divBdr>
              <w:divsChild>
                <w:div w:id="13201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868870">
      <w:bodyDiv w:val="1"/>
      <w:marLeft w:val="0"/>
      <w:marRight w:val="0"/>
      <w:marTop w:val="0"/>
      <w:marBottom w:val="0"/>
      <w:divBdr>
        <w:top w:val="none" w:sz="0" w:space="0" w:color="auto"/>
        <w:left w:val="none" w:sz="0" w:space="0" w:color="auto"/>
        <w:bottom w:val="none" w:sz="0" w:space="0" w:color="auto"/>
        <w:right w:val="none" w:sz="0" w:space="0" w:color="auto"/>
      </w:divBdr>
    </w:div>
    <w:div w:id="536506130">
      <w:bodyDiv w:val="1"/>
      <w:marLeft w:val="0"/>
      <w:marRight w:val="0"/>
      <w:marTop w:val="0"/>
      <w:marBottom w:val="0"/>
      <w:divBdr>
        <w:top w:val="none" w:sz="0" w:space="0" w:color="auto"/>
        <w:left w:val="none" w:sz="0" w:space="0" w:color="auto"/>
        <w:bottom w:val="none" w:sz="0" w:space="0" w:color="auto"/>
        <w:right w:val="none" w:sz="0" w:space="0" w:color="auto"/>
      </w:divBdr>
    </w:div>
    <w:div w:id="1030297369">
      <w:bodyDiv w:val="1"/>
      <w:marLeft w:val="0"/>
      <w:marRight w:val="0"/>
      <w:marTop w:val="0"/>
      <w:marBottom w:val="0"/>
      <w:divBdr>
        <w:top w:val="none" w:sz="0" w:space="0" w:color="auto"/>
        <w:left w:val="none" w:sz="0" w:space="0" w:color="auto"/>
        <w:bottom w:val="none" w:sz="0" w:space="0" w:color="auto"/>
        <w:right w:val="none" w:sz="0" w:space="0" w:color="auto"/>
      </w:divBdr>
    </w:div>
    <w:div w:id="133984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GEosco\AppData\Local\Microsoft\Windows\INetCache\Content.Outlook\LE9UXT1X\jtr@ou.ed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ou.nadeau@erg.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na.eosco@erg.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weather.gov/images/impacts/examples/IBWexample.P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D6FD4-5821-4313-A34D-C83F2574F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1971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13185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Eosco</dc:creator>
  <cp:lastModifiedBy>Sarah Brabson</cp:lastModifiedBy>
  <cp:revision>4</cp:revision>
  <cp:lastPrinted>2011-03-07T19:51:00Z</cp:lastPrinted>
  <dcterms:created xsi:type="dcterms:W3CDTF">2016-08-26T16:10:00Z</dcterms:created>
  <dcterms:modified xsi:type="dcterms:W3CDTF">2016-08-26T16:27:00Z</dcterms:modified>
</cp:coreProperties>
</file>