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AD0F" w14:textId="42B5B933" w:rsidR="003355B9" w:rsidRDefault="00475248" w:rsidP="003B7A0E">
      <w:pPr>
        <w:jc w:val="center"/>
        <w:rPr>
          <w:b/>
        </w:rPr>
      </w:pPr>
      <w:bookmarkStart w:id="0" w:name="_Toc395102849"/>
      <w:r>
        <w:rPr>
          <w:b/>
        </w:rPr>
        <w:t>Impact Based Warnings</w:t>
      </w:r>
      <w:r w:rsidR="003355B9">
        <w:rPr>
          <w:b/>
        </w:rPr>
        <w:t xml:space="preserve"> Research Project</w:t>
      </w:r>
    </w:p>
    <w:p w14:paraId="48DCFD87" w14:textId="7E5CF3A7" w:rsidR="003B7A0E" w:rsidRPr="003B7A0E" w:rsidRDefault="00475248" w:rsidP="003B7A0E">
      <w:pPr>
        <w:jc w:val="center"/>
        <w:rPr>
          <w:rFonts w:ascii="Times New Roman Bold" w:hAnsi="Times New Roman Bold"/>
          <w:b/>
        </w:rPr>
      </w:pPr>
      <w:r>
        <w:rPr>
          <w:rFonts w:ascii="Times New Roman Bold" w:hAnsi="Times New Roman Bold"/>
          <w:b/>
        </w:rPr>
        <w:t>December 11</w:t>
      </w:r>
      <w:r w:rsidR="003B7A0E" w:rsidRPr="003B7A0E">
        <w:rPr>
          <w:rFonts w:ascii="Times New Roman Bold" w:hAnsi="Times New Roman Bold"/>
          <w:b/>
        </w:rPr>
        <w:t>, 201</w:t>
      </w:r>
      <w:r w:rsidR="005342B1">
        <w:rPr>
          <w:rFonts w:ascii="Times New Roman Bold" w:hAnsi="Times New Roman Bold"/>
          <w:b/>
        </w:rPr>
        <w:t>5</w:t>
      </w:r>
    </w:p>
    <w:p w14:paraId="60F6FF27" w14:textId="77777777" w:rsidR="003B7A0E" w:rsidRPr="003B7A0E" w:rsidRDefault="003B7A0E" w:rsidP="003B7A0E">
      <w:pPr>
        <w:jc w:val="center"/>
        <w:rPr>
          <w:b/>
          <w:smallCaps/>
        </w:rPr>
      </w:pPr>
    </w:p>
    <w:bookmarkEnd w:id="0"/>
    <w:p w14:paraId="7EA77692" w14:textId="77777777" w:rsidR="003B7A0E" w:rsidRDefault="003B7A0E" w:rsidP="003B7A0E">
      <w:pPr>
        <w:autoSpaceDE w:val="0"/>
        <w:autoSpaceDN w:val="0"/>
        <w:adjustRightInd w:val="0"/>
        <w:rPr>
          <w:b/>
          <w:bCs/>
        </w:rPr>
      </w:pPr>
    </w:p>
    <w:p w14:paraId="797CC575" w14:textId="77777777" w:rsidR="004B2986" w:rsidRPr="00DC456B" w:rsidRDefault="004B2986" w:rsidP="003B7A0E">
      <w:pPr>
        <w:pStyle w:val="ListParagraph"/>
        <w:numPr>
          <w:ilvl w:val="0"/>
          <w:numId w:val="21"/>
        </w:numPr>
        <w:autoSpaceDE w:val="0"/>
        <w:autoSpaceDN w:val="0"/>
        <w:adjustRightInd w:val="0"/>
        <w:rPr>
          <w:b/>
          <w:bCs/>
          <w:sz w:val="24"/>
          <w:szCs w:val="24"/>
        </w:rPr>
      </w:pPr>
      <w:r w:rsidRPr="00DC456B">
        <w:rPr>
          <w:b/>
          <w:bCs/>
          <w:sz w:val="24"/>
          <w:szCs w:val="24"/>
        </w:rPr>
        <w:t>Supplemental Questions for DOC/NOAA Customer Survey Clearance</w:t>
      </w:r>
      <w:r w:rsidRPr="00DC456B">
        <w:rPr>
          <w:b/>
          <w:bCs/>
          <w:sz w:val="24"/>
          <w:szCs w:val="24"/>
        </w:rPr>
        <w:br/>
        <w:t>(OMB Control Number 0648-0342)</w:t>
      </w:r>
    </w:p>
    <w:p w14:paraId="42B0149C" w14:textId="77777777" w:rsidR="004B2986" w:rsidRDefault="004B2986">
      <w:pPr>
        <w:autoSpaceDE w:val="0"/>
        <w:autoSpaceDN w:val="0"/>
        <w:adjustRightInd w:val="0"/>
        <w:rPr>
          <w:b/>
          <w:bCs/>
        </w:rPr>
      </w:pPr>
    </w:p>
    <w:p w14:paraId="78138F4B" w14:textId="77777777" w:rsidR="00413D96" w:rsidRPr="00413D96" w:rsidRDefault="004B2986" w:rsidP="00413D96">
      <w:pPr>
        <w:pStyle w:val="ListParagraph"/>
        <w:numPr>
          <w:ilvl w:val="0"/>
          <w:numId w:val="25"/>
        </w:numPr>
        <w:tabs>
          <w:tab w:val="left" w:pos="450"/>
        </w:tabs>
        <w:autoSpaceDE w:val="0"/>
        <w:autoSpaceDN w:val="0"/>
        <w:adjustRightInd w:val="0"/>
        <w:rPr>
          <w:b/>
        </w:rPr>
      </w:pPr>
      <w:r w:rsidRPr="00613EA6">
        <w:rPr>
          <w:b/>
        </w:rPr>
        <w:t xml:space="preserve">Explain who will be conducting this survey. What program office will be </w:t>
      </w:r>
      <w:r w:rsidRPr="00613EA6">
        <w:rPr>
          <w:b/>
        </w:rPr>
        <w:br/>
        <w:t>conducting the survey? What services does this program provide? Who are the customers? How are these services provided to the customer?</w:t>
      </w:r>
    </w:p>
    <w:p w14:paraId="216D1C4B" w14:textId="77777777" w:rsidR="00092167" w:rsidRDefault="00092167" w:rsidP="00092167">
      <w:pPr>
        <w:ind w:left="360"/>
        <w:rPr>
          <w:rFonts w:eastAsia="Calibri"/>
        </w:rPr>
      </w:pPr>
    </w:p>
    <w:p w14:paraId="71E34063" w14:textId="203BA8A7" w:rsidR="00CE7FE3" w:rsidRDefault="00413D96" w:rsidP="003800C6">
      <w:pPr>
        <w:ind w:left="450"/>
        <w:rPr>
          <w:rFonts w:eastAsia="Calibri"/>
        </w:rPr>
      </w:pPr>
      <w:r>
        <w:rPr>
          <w:rFonts w:eastAsia="Calibri"/>
        </w:rPr>
        <w:t xml:space="preserve">NOAA’s National Weather Service (NWS) </w:t>
      </w:r>
      <w:r w:rsidR="003800C6">
        <w:rPr>
          <w:rFonts w:eastAsia="Calibri"/>
        </w:rPr>
        <w:t>monitors, forecasts</w:t>
      </w:r>
      <w:r w:rsidR="00211D67">
        <w:rPr>
          <w:rFonts w:eastAsia="Calibri"/>
        </w:rPr>
        <w:t>,</w:t>
      </w:r>
      <w:r>
        <w:rPr>
          <w:rFonts w:eastAsia="Calibri"/>
        </w:rPr>
        <w:t xml:space="preserve"> and issues </w:t>
      </w:r>
      <w:r w:rsidR="003800C6">
        <w:rPr>
          <w:rFonts w:eastAsia="Calibri"/>
        </w:rPr>
        <w:t xml:space="preserve">weather </w:t>
      </w:r>
      <w:r>
        <w:rPr>
          <w:rFonts w:eastAsia="Calibri"/>
        </w:rPr>
        <w:t>watches, warnings</w:t>
      </w:r>
      <w:r w:rsidR="00211D67">
        <w:rPr>
          <w:rFonts w:eastAsia="Calibri"/>
        </w:rPr>
        <w:t>,</w:t>
      </w:r>
      <w:r>
        <w:rPr>
          <w:rFonts w:eastAsia="Calibri"/>
        </w:rPr>
        <w:t xml:space="preserve"> and advisories for all weather types across all 50 states.  In particular, the NWS</w:t>
      </w:r>
      <w:r w:rsidR="003800C6">
        <w:rPr>
          <w:rFonts w:eastAsia="Calibri"/>
        </w:rPr>
        <w:t xml:space="preserve"> local offices issue these warnings and other information products </w:t>
      </w:r>
      <w:r w:rsidR="007A6FB0" w:rsidRPr="0038262B">
        <w:rPr>
          <w:rFonts w:eastAsia="Calibri"/>
        </w:rPr>
        <w:t xml:space="preserve">through websites, </w:t>
      </w:r>
      <w:r w:rsidR="0009474E">
        <w:rPr>
          <w:rFonts w:eastAsia="Calibri"/>
        </w:rPr>
        <w:t xml:space="preserve">through </w:t>
      </w:r>
      <w:r w:rsidR="007A6FB0" w:rsidRPr="0038262B">
        <w:rPr>
          <w:rFonts w:eastAsia="Calibri"/>
        </w:rPr>
        <w:t xml:space="preserve">NOAA Weather Radio, and through interactions with partners such as </w:t>
      </w:r>
      <w:r w:rsidR="00092167" w:rsidRPr="0038262B">
        <w:rPr>
          <w:rFonts w:eastAsia="Calibri"/>
        </w:rPr>
        <w:t xml:space="preserve">the media, </w:t>
      </w:r>
      <w:r w:rsidR="007A6FB0" w:rsidRPr="0038262B">
        <w:rPr>
          <w:rFonts w:eastAsia="Calibri"/>
        </w:rPr>
        <w:t>government</w:t>
      </w:r>
      <w:r w:rsidR="00092167" w:rsidRPr="0038262B">
        <w:rPr>
          <w:rFonts w:eastAsia="Calibri"/>
        </w:rPr>
        <w:t xml:space="preserve"> officials, emergency managers</w:t>
      </w:r>
      <w:r w:rsidR="003404E6">
        <w:rPr>
          <w:rFonts w:eastAsia="Calibri"/>
        </w:rPr>
        <w:t>, and community groups</w:t>
      </w:r>
      <w:r w:rsidR="002D315A">
        <w:rPr>
          <w:rFonts w:eastAsia="Calibri"/>
        </w:rPr>
        <w:t xml:space="preserve">. These warnings provide </w:t>
      </w:r>
      <w:r w:rsidR="00922D66">
        <w:rPr>
          <w:rFonts w:eastAsia="Calibri"/>
        </w:rPr>
        <w:t>lifesaving</w:t>
      </w:r>
      <w:r w:rsidR="002D315A">
        <w:rPr>
          <w:rFonts w:eastAsia="Calibri"/>
        </w:rPr>
        <w:t xml:space="preserve"> information, such as when to shelter from a severe thunderstorm or tornado warning.</w:t>
      </w:r>
    </w:p>
    <w:p w14:paraId="3629F952" w14:textId="77777777" w:rsidR="00CE7FE3" w:rsidRDefault="00CE7FE3" w:rsidP="00CE7FE3">
      <w:pPr>
        <w:ind w:left="450"/>
        <w:rPr>
          <w:rFonts w:eastAsia="Calibri"/>
        </w:rPr>
      </w:pPr>
    </w:p>
    <w:p w14:paraId="034E933D" w14:textId="02D8CA37" w:rsidR="0038262B" w:rsidRPr="0038262B" w:rsidRDefault="00211D67" w:rsidP="003800C6">
      <w:pPr>
        <w:shd w:val="clear" w:color="auto" w:fill="FFFFFF"/>
        <w:ind w:left="450"/>
      </w:pPr>
      <w:r>
        <w:rPr>
          <w:noProof/>
        </w:rPr>
        <mc:AlternateContent>
          <mc:Choice Requires="wps">
            <w:drawing>
              <wp:anchor distT="0" distB="0" distL="114300" distR="114300" simplePos="0" relativeHeight="251660288" behindDoc="0" locked="0" layoutInCell="1" allowOverlap="1" wp14:anchorId="5901E167" wp14:editId="0BF1275E">
                <wp:simplePos x="0" y="0"/>
                <wp:positionH relativeFrom="column">
                  <wp:posOffset>99060</wp:posOffset>
                </wp:positionH>
                <wp:positionV relativeFrom="paragraph">
                  <wp:posOffset>1741805</wp:posOffset>
                </wp:positionV>
                <wp:extent cx="5943600" cy="146050"/>
                <wp:effectExtent l="0" t="0" r="0" b="0"/>
                <wp:wrapTight wrapText="bothSides">
                  <wp:wrapPolygon edited="0">
                    <wp:start x="-97" y="0"/>
                    <wp:lineTo x="-97" y="20285"/>
                    <wp:lineTo x="21600" y="20285"/>
                    <wp:lineTo x="21600" y="0"/>
                    <wp:lineTo x="-97"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381D8" w14:textId="77777777" w:rsidR="0009474E" w:rsidRPr="00A70D27" w:rsidRDefault="002D315A" w:rsidP="0009474E">
                            <w:pPr>
                              <w:pStyle w:val="Caption"/>
                              <w:rPr>
                                <w:rFonts w:ascii="Times New Roman" w:hAnsi="Times New Roman" w:cs="Times New Roman"/>
                                <w:noProof/>
                              </w:rPr>
                            </w:pPr>
                            <w:r>
                              <w:t>Examples of Impact Based Warning Tags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01E167" id="_x0000_t202" coordsize="21600,21600" o:spt="202" path="m,l,21600r21600,l21600,xe">
                <v:stroke joinstyle="miter"/>
                <v:path gradientshapeok="t" o:connecttype="rect"/>
              </v:shapetype>
              <v:shape id="Text Box 2" o:spid="_x0000_s1026" type="#_x0000_t202" style="position:absolute;left:0;text-align:left;margin-left:7.8pt;margin-top:137.15pt;width:468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" stroked="f">
                <v:textbox style="mso-fit-shape-to-text:t" inset="0,0,0,0">
                  <w:txbxContent>
                    <w:p w14:paraId="493381D8" w14:textId="77777777" w:rsidR="0009474E" w:rsidRPr="00A70D27" w:rsidRDefault="002D315A" w:rsidP="0009474E">
                      <w:pPr>
                        <w:pStyle w:val="Caption"/>
                        <w:rPr>
                          <w:rFonts w:ascii="Times New Roman" w:hAnsi="Times New Roman" w:cs="Times New Roman"/>
                          <w:noProof/>
                        </w:rPr>
                      </w:pPr>
                      <w:r>
                        <w:t>Examples of Impact Based Warning Tags</w:t>
                      </w:r>
                    </w:p>
                  </w:txbxContent>
                </v:textbox>
                <w10:wrap type="tight"/>
              </v:shape>
            </w:pict>
          </mc:Fallback>
        </mc:AlternateContent>
      </w:r>
      <w:r w:rsidR="003800C6">
        <w:t xml:space="preserve">In the wake of </w:t>
      </w:r>
      <w:r w:rsidR="002D315A">
        <w:t xml:space="preserve">the </w:t>
      </w:r>
      <w:r>
        <w:t xml:space="preserve">2011 Joplin, MO, </w:t>
      </w:r>
      <w:r w:rsidR="002D315A">
        <w:t>tornado</w:t>
      </w:r>
      <w:r>
        <w:t>—the deadliest</w:t>
      </w:r>
      <w:r w:rsidR="002D315A">
        <w:t xml:space="preserve"> to strike the United States since modern recordkeeping began in the 1950s</w:t>
      </w:r>
      <w:r>
        <w:t>—</w:t>
      </w:r>
      <w:r w:rsidR="003800C6">
        <w:t>the NWS began considering ways to better alert the public to such dangerous weather event risks</w:t>
      </w:r>
      <w:r>
        <w:t>.</w:t>
      </w:r>
      <w:r w:rsidR="003800C6">
        <w:t xml:space="preserve"> The NWS Central </w:t>
      </w:r>
      <w:r w:rsidR="002D315A">
        <w:t xml:space="preserve">Region conducted an </w:t>
      </w:r>
      <w:r w:rsidR="003800C6">
        <w:t>experiment with five weather stations in Missouri and Kansas t</w:t>
      </w:r>
      <w:r>
        <w:t xml:space="preserve">o test whether the </w:t>
      </w:r>
      <w:r w:rsidR="003800C6">
        <w:t>incorporat</w:t>
      </w:r>
      <w:r>
        <w:t>ion of</w:t>
      </w:r>
      <w:r w:rsidR="003800C6">
        <w:t xml:space="preserve"> impact-based </w:t>
      </w:r>
      <w:r>
        <w:t xml:space="preserve">warning (IBW) </w:t>
      </w:r>
      <w:r w:rsidR="003800C6">
        <w:t xml:space="preserve">information into tornado warnings </w:t>
      </w:r>
      <w:r>
        <w:t xml:space="preserve">would </w:t>
      </w:r>
      <w:r w:rsidR="003800C6">
        <w:t>help people make quicker decisions. Along with new wording, threat tags were attached to the warnings based on the severity of the situation</w:t>
      </w:r>
      <w:r>
        <w:t xml:space="preserve"> (see illustration below)</w:t>
      </w:r>
      <w:r w:rsidR="003800C6">
        <w:t xml:space="preserve">. In 2013, the experiment was extended to 38 weather </w:t>
      </w:r>
      <w:r w:rsidR="002D315A">
        <w:t>offices</w:t>
      </w:r>
      <w:r w:rsidR="003800C6">
        <w:t xml:space="preserve"> throughout 12 additional states within the Central Region; this expansion continue</w:t>
      </w:r>
      <w:r>
        <w:t>d</w:t>
      </w:r>
      <w:r w:rsidR="003800C6">
        <w:t xml:space="preserve"> in 2015 to include more offices in the Southern, Eastern, and Western Regions.</w:t>
      </w:r>
    </w:p>
    <w:p w14:paraId="78733378" w14:textId="58FD63F9" w:rsidR="009F41AC" w:rsidRDefault="005A17CE" w:rsidP="007A6FB0">
      <w:pPr>
        <w:ind w:left="450"/>
      </w:pPr>
      <w:r>
        <w:rPr>
          <w:noProof/>
        </w:rPr>
        <w:drawing>
          <wp:anchor distT="0" distB="0" distL="114300" distR="114300" simplePos="0" relativeHeight="251661312" behindDoc="0" locked="0" layoutInCell="1" allowOverlap="1" wp14:anchorId="3831117F" wp14:editId="695D6F4D">
            <wp:simplePos x="0" y="0"/>
            <wp:positionH relativeFrom="margin">
              <wp:posOffset>573810</wp:posOffset>
            </wp:positionH>
            <wp:positionV relativeFrom="margin">
              <wp:posOffset>4911090</wp:posOffset>
            </wp:positionV>
            <wp:extent cx="4951095" cy="2887980"/>
            <wp:effectExtent l="0" t="0" r="1905" b="7620"/>
            <wp:wrapSquare wrapText="bothSides"/>
            <wp:docPr id="3" name="Picture 1" descr="http://www.weather.gov/images/impacts/examples/IBWexampl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ather.gov/images/impacts/examples/IBWexample.PNG">
                      <a:hlinkClick r:id="rId9"/>
                    </pic:cNvPr>
                    <pic:cNvPicPr>
                      <a:picLocks noChangeAspect="1" noChangeArrowheads="1"/>
                    </pic:cNvPicPr>
                  </pic:nvPicPr>
                  <pic:blipFill>
                    <a:blip r:embed="rId10" cstate="print"/>
                    <a:srcRect/>
                    <a:stretch>
                      <a:fillRect/>
                    </a:stretch>
                  </pic:blipFill>
                  <pic:spPr bwMode="auto">
                    <a:xfrm>
                      <a:off x="0" y="0"/>
                      <a:ext cx="4951095" cy="2887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548919" w14:textId="1461BE0B" w:rsidR="002E0336" w:rsidRDefault="009F41AC" w:rsidP="00211D67">
      <w:pPr>
        <w:ind w:left="450"/>
        <w:rPr>
          <w:rFonts w:eastAsia="Calibri"/>
        </w:rPr>
      </w:pPr>
      <w:r>
        <w:lastRenderedPageBreak/>
        <w:t xml:space="preserve">The </w:t>
      </w:r>
      <w:r w:rsidR="002D315A">
        <w:rPr>
          <w:rFonts w:eastAsia="Calibri"/>
        </w:rPr>
        <w:t>NWS</w:t>
      </w:r>
      <w:r w:rsidR="00943486" w:rsidRPr="0038262B">
        <w:rPr>
          <w:rFonts w:eastAsia="Calibri"/>
        </w:rPr>
        <w:t xml:space="preserve"> is looking </w:t>
      </w:r>
      <w:r w:rsidR="007A6FB0" w:rsidRPr="0038262B">
        <w:rPr>
          <w:rFonts w:eastAsia="Calibri"/>
        </w:rPr>
        <w:t xml:space="preserve">for input on </w:t>
      </w:r>
      <w:r>
        <w:rPr>
          <w:rFonts w:eastAsia="Calibri"/>
        </w:rPr>
        <w:t xml:space="preserve">how the </w:t>
      </w:r>
      <w:r w:rsidR="002D315A">
        <w:rPr>
          <w:rFonts w:eastAsia="Calibri"/>
        </w:rPr>
        <w:t>IBW threat tags are</w:t>
      </w:r>
      <w:r>
        <w:rPr>
          <w:rFonts w:eastAsia="Calibri"/>
        </w:rPr>
        <w:t xml:space="preserve"> </w:t>
      </w:r>
      <w:r w:rsidR="00CC4BFA">
        <w:rPr>
          <w:rFonts w:eastAsia="Calibri"/>
        </w:rPr>
        <w:t xml:space="preserve">used </w:t>
      </w:r>
      <w:r w:rsidR="00A67AA8">
        <w:rPr>
          <w:rFonts w:eastAsia="Calibri"/>
        </w:rPr>
        <w:t>by its partners</w:t>
      </w:r>
      <w:r w:rsidR="00211D67">
        <w:rPr>
          <w:rFonts w:eastAsia="Calibri"/>
        </w:rPr>
        <w:t>,</w:t>
      </w:r>
      <w:r w:rsidR="00A67AA8">
        <w:rPr>
          <w:rFonts w:eastAsia="Calibri"/>
        </w:rPr>
        <w:t xml:space="preserve"> including NWS local office forecasters, </w:t>
      </w:r>
      <w:r w:rsidR="007A6FB0" w:rsidRPr="0038262B">
        <w:t>broadcast meteorologists</w:t>
      </w:r>
      <w:r w:rsidR="00211D67">
        <w:t>,</w:t>
      </w:r>
      <w:r w:rsidR="002D315A">
        <w:t xml:space="preserve"> and emergency manager</w:t>
      </w:r>
      <w:r w:rsidR="00DC6CDA">
        <w:t>s</w:t>
      </w:r>
      <w:r w:rsidR="002D315A">
        <w:t>, and how th</w:t>
      </w:r>
      <w:r w:rsidR="00211D67">
        <w:t>ese tags</w:t>
      </w:r>
      <w:r w:rsidR="002D315A">
        <w:t xml:space="preserve"> subsequently impact, if at all, public response and decision making.</w:t>
      </w:r>
      <w:r w:rsidR="009A1474">
        <w:t xml:space="preserve"> </w:t>
      </w:r>
      <w:r w:rsidR="00211D67">
        <w:t xml:space="preserve">In addition, the NWS </w:t>
      </w:r>
      <w:r w:rsidR="00475248">
        <w:t>is looking</w:t>
      </w:r>
      <w:r w:rsidR="009A1474">
        <w:t xml:space="preserve"> for input on a</w:t>
      </w:r>
      <w:r w:rsidR="00211D67">
        <w:t>lternative</w:t>
      </w:r>
      <w:r w:rsidR="009A1474">
        <w:t xml:space="preserve"> ways to convey levels of storm severity, if the </w:t>
      </w:r>
      <w:r w:rsidR="00211D67">
        <w:t xml:space="preserve">threat tags are </w:t>
      </w:r>
      <w:r w:rsidR="009A1474">
        <w:t>not meeting user</w:t>
      </w:r>
      <w:r w:rsidR="00211D67">
        <w:t>s’</w:t>
      </w:r>
      <w:r w:rsidR="009A1474">
        <w:t xml:space="preserve"> needs. </w:t>
      </w:r>
      <w:r w:rsidR="002E0336">
        <w:t xml:space="preserve">This evaluation will be useful in helping the NWS develop and evaluate its warning language to ensure </w:t>
      </w:r>
      <w:r w:rsidR="00211D67">
        <w:t>it</w:t>
      </w:r>
      <w:r w:rsidR="002E0336">
        <w:t xml:space="preserve"> </w:t>
      </w:r>
      <w:r w:rsidR="00211D67">
        <w:t xml:space="preserve">is </w:t>
      </w:r>
      <w:r w:rsidR="002E0336">
        <w:t xml:space="preserve">meeting </w:t>
      </w:r>
      <w:r w:rsidR="00211D67">
        <w:t>its</w:t>
      </w:r>
      <w:r w:rsidR="002E0336">
        <w:t xml:space="preserve"> mission to save lives and protect property.</w:t>
      </w:r>
      <w:r w:rsidR="00211D67">
        <w:t xml:space="preserve"> </w:t>
      </w:r>
      <w:r w:rsidR="007A6FB0">
        <w:rPr>
          <w:rFonts w:eastAsia="Calibri"/>
        </w:rPr>
        <w:t xml:space="preserve">To accomplish this, </w:t>
      </w:r>
      <w:r w:rsidR="00E45833">
        <w:rPr>
          <w:rFonts w:eastAsia="Calibri"/>
        </w:rPr>
        <w:t xml:space="preserve">the </w:t>
      </w:r>
      <w:r w:rsidR="00092167" w:rsidRPr="007A6FB0">
        <w:rPr>
          <w:rFonts w:eastAsia="Calibri"/>
        </w:rPr>
        <w:t>N</w:t>
      </w:r>
      <w:r w:rsidR="0034697E" w:rsidRPr="007A6FB0">
        <w:rPr>
          <w:rFonts w:eastAsia="Calibri"/>
        </w:rPr>
        <w:t>WS</w:t>
      </w:r>
      <w:r w:rsidR="00092167" w:rsidRPr="007A6FB0">
        <w:rPr>
          <w:rFonts w:eastAsia="Calibri"/>
        </w:rPr>
        <w:t xml:space="preserve"> seeks</w:t>
      </w:r>
      <w:r w:rsidR="00E45833">
        <w:rPr>
          <w:rFonts w:eastAsia="Calibri"/>
        </w:rPr>
        <w:t xml:space="preserve"> </w:t>
      </w:r>
      <w:r w:rsidR="005B2814">
        <w:rPr>
          <w:rFonts w:eastAsia="Calibri"/>
        </w:rPr>
        <w:t xml:space="preserve">to conduct focus groups </w:t>
      </w:r>
      <w:r w:rsidR="00922D66">
        <w:rPr>
          <w:rFonts w:eastAsia="Calibri"/>
        </w:rPr>
        <w:t xml:space="preserve">with </w:t>
      </w:r>
      <w:r w:rsidR="005B2814">
        <w:rPr>
          <w:rFonts w:eastAsia="Calibri"/>
        </w:rPr>
        <w:t>emergency managers and broadcast meteorologists to discuss the IBW program and other ways to communicate levels of severity for convective storms</w:t>
      </w:r>
      <w:r w:rsidR="00E45833">
        <w:rPr>
          <w:rFonts w:eastAsia="Calibri"/>
        </w:rPr>
        <w:t>.</w:t>
      </w:r>
      <w:r w:rsidR="00A67AA8">
        <w:rPr>
          <w:rFonts w:eastAsia="Calibri"/>
        </w:rPr>
        <w:t xml:space="preserve"> </w:t>
      </w:r>
    </w:p>
    <w:p w14:paraId="7993E72C" w14:textId="77777777" w:rsidR="00211D67" w:rsidRDefault="00211D67" w:rsidP="00211D67">
      <w:pPr>
        <w:ind w:left="450"/>
        <w:rPr>
          <w:rFonts w:eastAsia="Calibri"/>
        </w:rPr>
      </w:pPr>
    </w:p>
    <w:p w14:paraId="371C4CFD" w14:textId="77777777" w:rsidR="004B2986" w:rsidRPr="00613EA6" w:rsidRDefault="004B2986" w:rsidP="00613EA6">
      <w:pPr>
        <w:pStyle w:val="ListParagraph"/>
        <w:numPr>
          <w:ilvl w:val="0"/>
          <w:numId w:val="25"/>
        </w:numPr>
        <w:autoSpaceDE w:val="0"/>
        <w:autoSpaceDN w:val="0"/>
        <w:adjustRightInd w:val="0"/>
        <w:rPr>
          <w:b/>
        </w:rPr>
      </w:pPr>
      <w:r w:rsidRPr="00613EA6">
        <w:rPr>
          <w:b/>
        </w:rPr>
        <w:t xml:space="preserve">Explain how this survey was developed. With whom did you consult </w:t>
      </w:r>
      <w:r w:rsidR="009C4A4A" w:rsidRPr="00613EA6">
        <w:rPr>
          <w:b/>
        </w:rPr>
        <w:t xml:space="preserve">regarding content </w:t>
      </w:r>
      <w:r w:rsidRPr="00613EA6">
        <w:rPr>
          <w:b/>
        </w:rPr>
        <w:t>during the development of this survey? Statistics? What suggestions did you get about improving the survey?</w:t>
      </w:r>
    </w:p>
    <w:p w14:paraId="53C255A2" w14:textId="77777777" w:rsidR="004B2986" w:rsidRDefault="004B2986" w:rsidP="00676FF8">
      <w:pPr>
        <w:ind w:left="450" w:hanging="360"/>
        <w:rPr>
          <w:b/>
        </w:rPr>
      </w:pPr>
    </w:p>
    <w:p w14:paraId="615C0BE1" w14:textId="0B66DE68" w:rsidR="003849A0" w:rsidRDefault="00211D67" w:rsidP="007A6FB0">
      <w:pPr>
        <w:autoSpaceDE w:val="0"/>
        <w:autoSpaceDN w:val="0"/>
        <w:adjustRightInd w:val="0"/>
        <w:ind w:left="450"/>
        <w:rPr>
          <w:rFonts w:eastAsia="Calibri"/>
        </w:rPr>
      </w:pPr>
      <w:r>
        <w:t xml:space="preserve">The </w:t>
      </w:r>
      <w:r w:rsidR="00651243">
        <w:t>NWS</w:t>
      </w:r>
      <w:r w:rsidR="004B2986" w:rsidRPr="004B2986">
        <w:t xml:space="preserve"> con</w:t>
      </w:r>
      <w:r w:rsidR="00651243">
        <w:t xml:space="preserve">tracted with </w:t>
      </w:r>
      <w:r w:rsidR="004B2986" w:rsidRPr="004B2986">
        <w:t>Eastern R</w:t>
      </w:r>
      <w:r w:rsidR="00A61C62">
        <w:t xml:space="preserve">esearch Group, Inc. (ERG) on the </w:t>
      </w:r>
      <w:r w:rsidR="004B2986" w:rsidRPr="004B2986">
        <w:t xml:space="preserve">development of </w:t>
      </w:r>
      <w:r w:rsidR="0070684D">
        <w:t xml:space="preserve">the </w:t>
      </w:r>
      <w:r w:rsidR="009A1474">
        <w:t>focus group guide</w:t>
      </w:r>
      <w:r w:rsidR="00651243">
        <w:t>.</w:t>
      </w:r>
      <w:r w:rsidR="00A61C62">
        <w:t xml:space="preserve"> </w:t>
      </w:r>
      <w:r w:rsidR="004B2986" w:rsidRPr="004B2986">
        <w:t>ERG has significant experience</w:t>
      </w:r>
      <w:r w:rsidR="009A1474">
        <w:t xml:space="preserve"> in organizing and facilitating focus groups </w:t>
      </w:r>
      <w:r w:rsidR="003E1FDB">
        <w:t xml:space="preserve">for federal agencies </w:t>
      </w:r>
      <w:r w:rsidR="004B2986" w:rsidRPr="004B2986">
        <w:t xml:space="preserve">that focus on customer satisfaction and outcome attainment. </w:t>
      </w:r>
      <w:r w:rsidR="00651243">
        <w:t xml:space="preserve">To develop the </w:t>
      </w:r>
      <w:r w:rsidR="009A1474">
        <w:t>focus group</w:t>
      </w:r>
      <w:r w:rsidR="00651243">
        <w:t xml:space="preserve"> </w:t>
      </w:r>
      <w:r w:rsidR="009A1474">
        <w:t>guide</w:t>
      </w:r>
      <w:r w:rsidR="003849A0">
        <w:t>,</w:t>
      </w:r>
      <w:r w:rsidR="00651243">
        <w:t xml:space="preserve"> ERG worked with Dr. </w:t>
      </w:r>
      <w:r w:rsidR="003849A0">
        <w:t>Joseph Ripberger</w:t>
      </w:r>
      <w:r w:rsidR="00651243">
        <w:t xml:space="preserve">, </w:t>
      </w:r>
      <w:r w:rsidR="003849A0">
        <w:t>Deputy Director for Research at the University of Oklahoma</w:t>
      </w:r>
      <w:r w:rsidR="003849A0" w:rsidRPr="003849A0">
        <w:t xml:space="preserve"> Center for Risk and Crisis Management</w:t>
      </w:r>
      <w:r w:rsidR="00EC5B10">
        <w:t xml:space="preserve">. Dr. Ripberger </w:t>
      </w:r>
      <w:r w:rsidR="00651243">
        <w:t>has conducted many</w:t>
      </w:r>
      <w:r w:rsidR="003E1FDB">
        <w:t xml:space="preserve"> research projects </w:t>
      </w:r>
      <w:r w:rsidR="003849A0">
        <w:t>related to risk communication and behavioral respon</w:t>
      </w:r>
      <w:r w:rsidR="003E1FDB">
        <w:t>s</w:t>
      </w:r>
      <w:r w:rsidR="003849A0">
        <w:t>e</w:t>
      </w:r>
      <w:r w:rsidR="00EC5B10">
        <w:t>,</w:t>
      </w:r>
      <w:r w:rsidR="003849A0">
        <w:t xml:space="preserve"> including work on studying public response to weather threat tags</w:t>
      </w:r>
      <w:r w:rsidR="003E1FDB">
        <w:t xml:space="preserve">. </w:t>
      </w:r>
      <w:r w:rsidR="007A6FB0">
        <w:rPr>
          <w:rFonts w:eastAsia="Calibri"/>
        </w:rPr>
        <w:t xml:space="preserve">ERG and Dr. </w:t>
      </w:r>
      <w:r w:rsidR="003849A0">
        <w:rPr>
          <w:rFonts w:eastAsia="Calibri"/>
        </w:rPr>
        <w:t>Ripberger</w:t>
      </w:r>
      <w:r w:rsidR="007A6FB0">
        <w:rPr>
          <w:rFonts w:eastAsia="Calibri"/>
        </w:rPr>
        <w:t xml:space="preserve"> also work</w:t>
      </w:r>
      <w:r w:rsidR="003E1FDB">
        <w:rPr>
          <w:rFonts w:eastAsia="Calibri"/>
        </w:rPr>
        <w:t>ed</w:t>
      </w:r>
      <w:r w:rsidR="007A6FB0">
        <w:rPr>
          <w:rFonts w:eastAsia="Calibri"/>
        </w:rPr>
        <w:t xml:space="preserve"> closely with </w:t>
      </w:r>
      <w:r w:rsidR="003849A0">
        <w:rPr>
          <w:rFonts w:eastAsia="Calibri"/>
        </w:rPr>
        <w:t xml:space="preserve">John Ferree, NWS Severe Storms Services Leader, Mike Hudson, </w:t>
      </w:r>
      <w:r w:rsidR="003849A0" w:rsidRPr="003849A0">
        <w:rPr>
          <w:rFonts w:eastAsia="Calibri"/>
        </w:rPr>
        <w:t>Chief Operating Officer, National Weather Service Central Region</w:t>
      </w:r>
      <w:r w:rsidR="003849A0">
        <w:rPr>
          <w:rFonts w:eastAsia="Calibri"/>
        </w:rPr>
        <w:t xml:space="preserve">, and </w:t>
      </w:r>
      <w:r w:rsidR="002423F1">
        <w:rPr>
          <w:rFonts w:eastAsia="Calibri"/>
        </w:rPr>
        <w:t xml:space="preserve">Dr. </w:t>
      </w:r>
      <w:r w:rsidR="003849A0">
        <w:rPr>
          <w:rFonts w:eastAsia="Calibri"/>
        </w:rPr>
        <w:t xml:space="preserve">Vankita Brown, </w:t>
      </w:r>
      <w:r w:rsidR="002423F1">
        <w:rPr>
          <w:rFonts w:eastAsia="Calibri"/>
        </w:rPr>
        <w:t>NWS Social Scientist.</w:t>
      </w:r>
    </w:p>
    <w:p w14:paraId="2340A363" w14:textId="77777777" w:rsidR="003849A0" w:rsidRDefault="003849A0" w:rsidP="007A6FB0">
      <w:pPr>
        <w:autoSpaceDE w:val="0"/>
        <w:autoSpaceDN w:val="0"/>
        <w:adjustRightInd w:val="0"/>
        <w:ind w:left="450"/>
        <w:rPr>
          <w:rFonts w:eastAsia="Calibri"/>
        </w:rPr>
      </w:pPr>
    </w:p>
    <w:p w14:paraId="01C8CEFB" w14:textId="4B90A013" w:rsidR="003268B5" w:rsidRPr="0071649C" w:rsidRDefault="009A1474" w:rsidP="0071649C">
      <w:pPr>
        <w:autoSpaceDE w:val="0"/>
        <w:autoSpaceDN w:val="0"/>
        <w:adjustRightInd w:val="0"/>
        <w:ind w:left="450"/>
        <w:rPr>
          <w:rFonts w:ascii="Times-Roman" w:eastAsia="Calibri" w:hAnsi="Times-Roman" w:cs="Times-Roman"/>
        </w:rPr>
      </w:pPr>
      <w:r>
        <w:rPr>
          <w:rFonts w:eastAsia="Calibri"/>
        </w:rPr>
        <w:t>The focus group</w:t>
      </w:r>
      <w:r w:rsidR="00F7678A">
        <w:rPr>
          <w:rFonts w:eastAsia="Calibri"/>
        </w:rPr>
        <w:t xml:space="preserve"> questions </w:t>
      </w:r>
      <w:r>
        <w:rPr>
          <w:rFonts w:eastAsia="Calibri"/>
        </w:rPr>
        <w:t xml:space="preserve">are divided into two sections.  The first section focuses on new ideas to communicate levels of severity and urgency of action for thunderstorms and tornadoes, and subsequently how this information may impact decision processes. The second section focuses on the participants’ perceptions </w:t>
      </w:r>
      <w:r w:rsidR="00EC5B10">
        <w:rPr>
          <w:rFonts w:eastAsia="Calibri"/>
        </w:rPr>
        <w:t xml:space="preserve">and use </w:t>
      </w:r>
      <w:r>
        <w:rPr>
          <w:rFonts w:eastAsia="Calibri"/>
        </w:rPr>
        <w:t xml:space="preserve">of the current </w:t>
      </w:r>
      <w:r w:rsidR="00EC5B10">
        <w:rPr>
          <w:rFonts w:eastAsia="Calibri"/>
        </w:rPr>
        <w:t>IBW</w:t>
      </w:r>
      <w:r>
        <w:rPr>
          <w:rFonts w:eastAsia="Calibri"/>
        </w:rPr>
        <w:t xml:space="preserve"> program</w:t>
      </w:r>
      <w:r w:rsidR="00EC5B10">
        <w:rPr>
          <w:rFonts w:eastAsia="Calibri"/>
        </w:rPr>
        <w:t>.</w:t>
      </w:r>
      <w:r w:rsidR="00F7678A">
        <w:rPr>
          <w:rFonts w:eastAsia="Calibri"/>
        </w:rPr>
        <w:t xml:space="preserve">  </w:t>
      </w:r>
    </w:p>
    <w:p w14:paraId="0FB927A3" w14:textId="77777777" w:rsidR="003268B5" w:rsidRDefault="003268B5" w:rsidP="007A6FB0">
      <w:pPr>
        <w:autoSpaceDE w:val="0"/>
        <w:autoSpaceDN w:val="0"/>
        <w:adjustRightInd w:val="0"/>
        <w:ind w:left="450"/>
        <w:rPr>
          <w:rFonts w:eastAsia="Calibri"/>
        </w:rPr>
      </w:pPr>
    </w:p>
    <w:p w14:paraId="1E692426" w14:textId="77777777" w:rsidR="00B8542A" w:rsidRDefault="00B8542A" w:rsidP="00112B97">
      <w:pPr>
        <w:autoSpaceDE w:val="0"/>
        <w:autoSpaceDN w:val="0"/>
        <w:adjustRightInd w:val="0"/>
        <w:ind w:left="450"/>
        <w:rPr>
          <w:rFonts w:eastAsia="Calibri"/>
        </w:rPr>
      </w:pPr>
    </w:p>
    <w:p w14:paraId="429C8FD6" w14:textId="77777777" w:rsidR="00406B7C" w:rsidRPr="00406B7C" w:rsidRDefault="004B2986" w:rsidP="00406B7C">
      <w:pPr>
        <w:pStyle w:val="ListParagraph"/>
        <w:numPr>
          <w:ilvl w:val="0"/>
          <w:numId w:val="25"/>
        </w:numPr>
        <w:autoSpaceDE w:val="0"/>
        <w:autoSpaceDN w:val="0"/>
        <w:adjustRightInd w:val="0"/>
        <w:rPr>
          <w:b/>
        </w:rPr>
      </w:pPr>
      <w:r w:rsidRPr="00613EA6">
        <w:rPr>
          <w:b/>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0B46C9E8" w14:textId="77777777" w:rsidR="004B2986" w:rsidRDefault="004B2986" w:rsidP="00676FF8">
      <w:pPr>
        <w:autoSpaceDE w:val="0"/>
        <w:autoSpaceDN w:val="0"/>
        <w:adjustRightInd w:val="0"/>
        <w:ind w:left="450" w:hanging="360"/>
        <w:rPr>
          <w:b/>
        </w:rPr>
      </w:pPr>
    </w:p>
    <w:p w14:paraId="11ADE2A5" w14:textId="0D1A9E35" w:rsidR="002A1DF1" w:rsidRDefault="008D7123" w:rsidP="006D7D25">
      <w:pPr>
        <w:ind w:left="450"/>
      </w:pPr>
      <w:r>
        <w:t xml:space="preserve">The focus groups will be conducted in </w:t>
      </w:r>
      <w:r w:rsidR="00EC5B10">
        <w:t>four</w:t>
      </w:r>
      <w:r>
        <w:t xml:space="preserve"> locations chosen for their varying levels of severe weather experience</w:t>
      </w:r>
      <w:r w:rsidR="00EC5B10">
        <w:t>:</w:t>
      </w:r>
      <w:r w:rsidR="00895F80">
        <w:t xml:space="preserve"> Raleigh, NC; Birmingham, AL; Norman, OK; and Des Moine, IA.</w:t>
      </w:r>
      <w:r>
        <w:t xml:space="preserve">  ERG will contact the Warning Coordination Meteorologist </w:t>
      </w:r>
      <w:r w:rsidR="00EC5B10">
        <w:t xml:space="preserve">(WCM) </w:t>
      </w:r>
      <w:r>
        <w:t xml:space="preserve">at each Warning Forecast Office in each of the locations to organize the focus groups. The WCMs will invite the emergency managers and media using their respective decision support </w:t>
      </w:r>
      <w:r w:rsidR="00895F80">
        <w:t>list serve</w:t>
      </w:r>
      <w:r>
        <w:t xml:space="preserve">.  </w:t>
      </w:r>
      <w:r w:rsidR="00895F80">
        <w:t xml:space="preserve">. </w:t>
      </w:r>
      <w:r w:rsidR="00C76120">
        <w:t xml:space="preserve">The emergency management customers could include local, </w:t>
      </w:r>
      <w:r w:rsidR="00895F80">
        <w:t>state, regional, and even institutional (</w:t>
      </w:r>
      <w:r w:rsidR="002A1DF1">
        <w:t>i.e.</w:t>
      </w:r>
      <w:r w:rsidR="00895F80">
        <w:t>, university, hospital, etc.)</w:t>
      </w:r>
      <w:r w:rsidR="00C76120">
        <w:t xml:space="preserve"> representatives. Broadcaster customers may include local affiliates (ABC, NBC, CBS and FOX). Depending on the use of radio in the area, National Public Radio or local radio broadcasters may also be included</w:t>
      </w:r>
      <w:r w:rsidR="002A1DF1">
        <w:t xml:space="preserve">. </w:t>
      </w:r>
      <w:r w:rsidR="00EC5B10">
        <w:t xml:space="preserve">In each location, we will </w:t>
      </w:r>
      <w:r w:rsidR="002A1DF1">
        <w:t xml:space="preserve">aim to </w:t>
      </w:r>
      <w:r w:rsidR="00EC5B10">
        <w:t xml:space="preserve">conduct three focus groups of no more than 15 participants per group (two with emergency managers and </w:t>
      </w:r>
      <w:r w:rsidR="00C76120">
        <w:t>one</w:t>
      </w:r>
      <w:r w:rsidR="00EC5B10">
        <w:t xml:space="preserve"> with the media)</w:t>
      </w:r>
      <w:r w:rsidR="007678A2">
        <w:t>.</w:t>
      </w:r>
      <w:r w:rsidR="002A1DF1">
        <w:t xml:space="preserve"> </w:t>
      </w:r>
    </w:p>
    <w:p w14:paraId="4875C780" w14:textId="77777777" w:rsidR="00D64F19" w:rsidRDefault="00D64F19" w:rsidP="006D7D25">
      <w:pPr>
        <w:ind w:left="450"/>
      </w:pPr>
    </w:p>
    <w:p w14:paraId="07A1AA2C" w14:textId="7F4F2DFA" w:rsidR="00D64F19" w:rsidRDefault="00D64F19" w:rsidP="00ED35D4">
      <w:pPr>
        <w:ind w:left="450"/>
      </w:pPr>
      <w:r>
        <w:rPr>
          <w:lang w:val="en-GB" w:eastAsia="en-GB"/>
        </w:rPr>
        <w:t xml:space="preserve">ERG will contact all of </w:t>
      </w:r>
      <w:r w:rsidR="002A1DF1">
        <w:rPr>
          <w:lang w:val="en-GB" w:eastAsia="en-GB"/>
        </w:rPr>
        <w:t>the WCMs</w:t>
      </w:r>
      <w:r>
        <w:rPr>
          <w:lang w:val="en-GB" w:eastAsia="en-GB"/>
        </w:rPr>
        <w:t xml:space="preserve"> to introduce the project, our role in t</w:t>
      </w:r>
      <w:r w:rsidR="002A1DF1">
        <w:rPr>
          <w:lang w:val="en-GB" w:eastAsia="en-GB"/>
        </w:rPr>
        <w:t xml:space="preserve">he project, and request that focus groups </w:t>
      </w:r>
      <w:r>
        <w:rPr>
          <w:lang w:val="en-GB" w:eastAsia="en-GB"/>
        </w:rPr>
        <w:t>be scheduled at a convenient time</w:t>
      </w:r>
      <w:r>
        <w:t xml:space="preserve">. </w:t>
      </w:r>
      <w:r w:rsidR="00ED35D4">
        <w:t xml:space="preserve">The NWS local office will be responsible for </w:t>
      </w:r>
      <w:r w:rsidR="00ED35D4">
        <w:lastRenderedPageBreak/>
        <w:t xml:space="preserve">inviting their media and emergency management partners. The NWS expects that </w:t>
      </w:r>
      <w:r w:rsidR="00475248">
        <w:t>75 percent</w:t>
      </w:r>
      <w:r w:rsidR="00ED35D4">
        <w:t xml:space="preserve"> of the invitees will </w:t>
      </w:r>
      <w:r w:rsidR="004D7B0C">
        <w:t xml:space="preserve">agree to </w:t>
      </w:r>
      <w:r w:rsidR="00ED35D4">
        <w:t xml:space="preserve">participate in the </w:t>
      </w:r>
      <w:r w:rsidR="00572501">
        <w:t>focus group</w:t>
      </w:r>
      <w:r w:rsidR="004D7B0C">
        <w:t>s</w:t>
      </w:r>
      <w:r w:rsidR="00ED35D4">
        <w:t xml:space="preserve"> with ERG, given the importance and level of interest in this project. </w:t>
      </w:r>
      <w:r w:rsidR="004D7B0C">
        <w:t>We anticipate that travel or timing conflicts will be the prime reasons for invitees to decline participation.</w:t>
      </w:r>
      <w:r w:rsidR="00ED35D4">
        <w:t xml:space="preserve"> Dates</w:t>
      </w:r>
      <w:r w:rsidR="004D7B0C">
        <w:t xml:space="preserve"> and focus group sites</w:t>
      </w:r>
      <w:r w:rsidR="00ED35D4">
        <w:t xml:space="preserve"> will be chosen to maximize participation.</w:t>
      </w:r>
      <w:r w:rsidR="004D7B0C">
        <w:t xml:space="preserve"> </w:t>
      </w:r>
    </w:p>
    <w:p w14:paraId="21585CD5" w14:textId="77777777" w:rsidR="00ED35D4" w:rsidRDefault="00ED35D4" w:rsidP="00ED35D4">
      <w:pPr>
        <w:ind w:left="450"/>
      </w:pPr>
    </w:p>
    <w:p w14:paraId="0FC78C2C" w14:textId="77777777" w:rsidR="000461FF" w:rsidRPr="000461FF" w:rsidRDefault="004B2986" w:rsidP="000461FF">
      <w:pPr>
        <w:pStyle w:val="ListParagraph"/>
        <w:numPr>
          <w:ilvl w:val="0"/>
          <w:numId w:val="25"/>
        </w:numPr>
        <w:autoSpaceDE w:val="0"/>
        <w:autoSpaceDN w:val="0"/>
        <w:adjustRightInd w:val="0"/>
        <w:rPr>
          <w:b/>
        </w:rPr>
      </w:pPr>
      <w:r w:rsidRPr="00613EA6">
        <w:rPr>
          <w:b/>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5593A7D" w14:textId="77777777" w:rsidR="00CC70AC" w:rsidRDefault="00CC70AC" w:rsidP="0009474E">
      <w:pPr>
        <w:pStyle w:val="Heading2"/>
        <w:ind w:left="450"/>
        <w:rPr>
          <w:b w:val="0"/>
          <w:bCs w:val="0"/>
          <w:sz w:val="22"/>
          <w:szCs w:val="22"/>
        </w:rPr>
      </w:pPr>
    </w:p>
    <w:p w14:paraId="7B25CAB0" w14:textId="265ED2FC" w:rsidR="000461FF" w:rsidRDefault="000461FF" w:rsidP="0009474E">
      <w:pPr>
        <w:pStyle w:val="Heading2"/>
        <w:ind w:left="450"/>
        <w:rPr>
          <w:b w:val="0"/>
          <w:bCs w:val="0"/>
          <w:sz w:val="22"/>
          <w:szCs w:val="22"/>
        </w:rPr>
      </w:pPr>
      <w:r>
        <w:rPr>
          <w:b w:val="0"/>
          <w:bCs w:val="0"/>
          <w:sz w:val="22"/>
          <w:szCs w:val="22"/>
        </w:rPr>
        <w:t>The NWS will use the information resulting from this data collection to help guide refinements in threat tag definitions</w:t>
      </w:r>
      <w:r w:rsidR="004D7B0C">
        <w:rPr>
          <w:b w:val="0"/>
          <w:bCs w:val="0"/>
          <w:sz w:val="22"/>
          <w:szCs w:val="22"/>
        </w:rPr>
        <w:t xml:space="preserve"> </w:t>
      </w:r>
      <w:r>
        <w:rPr>
          <w:b w:val="0"/>
          <w:bCs w:val="0"/>
          <w:sz w:val="22"/>
          <w:szCs w:val="22"/>
        </w:rPr>
        <w:t xml:space="preserve">and </w:t>
      </w:r>
      <w:r w:rsidR="004D7B0C">
        <w:rPr>
          <w:b w:val="0"/>
          <w:bCs w:val="0"/>
          <w:sz w:val="22"/>
          <w:szCs w:val="22"/>
        </w:rPr>
        <w:t xml:space="preserve">messaging to </w:t>
      </w:r>
      <w:r>
        <w:rPr>
          <w:b w:val="0"/>
          <w:bCs w:val="0"/>
          <w:sz w:val="22"/>
          <w:szCs w:val="22"/>
        </w:rPr>
        <w:t>ensure the project is meeting its goal to facilitate improved public response.</w:t>
      </w:r>
      <w:r w:rsidR="002A2FB7">
        <w:rPr>
          <w:b w:val="0"/>
          <w:bCs w:val="0"/>
          <w:sz w:val="22"/>
          <w:szCs w:val="22"/>
        </w:rPr>
        <w:t xml:space="preserve"> This information will also help the NWS determine if additional training is required for NWS local office forecasters to utilize th</w:t>
      </w:r>
      <w:r w:rsidR="004D7B0C">
        <w:rPr>
          <w:b w:val="0"/>
          <w:bCs w:val="0"/>
          <w:sz w:val="22"/>
          <w:szCs w:val="22"/>
        </w:rPr>
        <w:t>e IBW program</w:t>
      </w:r>
      <w:r w:rsidR="002A2FB7">
        <w:rPr>
          <w:b w:val="0"/>
          <w:bCs w:val="0"/>
          <w:sz w:val="22"/>
          <w:szCs w:val="22"/>
        </w:rPr>
        <w:t xml:space="preserve"> and/or if more partner coordination is necessary to make the pro</w:t>
      </w:r>
      <w:r w:rsidR="004D7B0C">
        <w:rPr>
          <w:b w:val="0"/>
          <w:bCs w:val="0"/>
          <w:sz w:val="22"/>
          <w:szCs w:val="22"/>
        </w:rPr>
        <w:t>gram</w:t>
      </w:r>
      <w:r w:rsidR="002A2FB7">
        <w:rPr>
          <w:b w:val="0"/>
          <w:bCs w:val="0"/>
          <w:sz w:val="22"/>
          <w:szCs w:val="22"/>
        </w:rPr>
        <w:t xml:space="preserve"> more successful.</w:t>
      </w:r>
    </w:p>
    <w:p w14:paraId="73DDB6BF" w14:textId="77777777" w:rsidR="00AE5850" w:rsidRDefault="00AE5850" w:rsidP="002A2FB7">
      <w:pPr>
        <w:pStyle w:val="Heading2"/>
        <w:rPr>
          <w:b w:val="0"/>
          <w:sz w:val="22"/>
          <w:szCs w:val="22"/>
        </w:rPr>
      </w:pPr>
    </w:p>
    <w:p w14:paraId="1BB8C47C" w14:textId="4BEB396F" w:rsidR="00EF5392" w:rsidRDefault="00A401A0" w:rsidP="007258C8">
      <w:pPr>
        <w:pStyle w:val="Heading2"/>
        <w:ind w:left="450"/>
        <w:rPr>
          <w:b w:val="0"/>
          <w:sz w:val="22"/>
          <w:szCs w:val="22"/>
        </w:rPr>
      </w:pPr>
      <w:r w:rsidRPr="007258C8">
        <w:rPr>
          <w:b w:val="0"/>
          <w:sz w:val="22"/>
          <w:szCs w:val="22"/>
        </w:rPr>
        <w:t xml:space="preserve">ERG </w:t>
      </w:r>
      <w:r w:rsidR="004D7B0C">
        <w:rPr>
          <w:b w:val="0"/>
          <w:sz w:val="22"/>
          <w:szCs w:val="22"/>
        </w:rPr>
        <w:t xml:space="preserve">will </w:t>
      </w:r>
      <w:r w:rsidRPr="007258C8">
        <w:rPr>
          <w:b w:val="0"/>
          <w:sz w:val="22"/>
          <w:szCs w:val="22"/>
        </w:rPr>
        <w:t xml:space="preserve">perform </w:t>
      </w:r>
      <w:r w:rsidR="002A2FB7">
        <w:rPr>
          <w:b w:val="0"/>
          <w:sz w:val="22"/>
          <w:szCs w:val="22"/>
        </w:rPr>
        <w:t xml:space="preserve">thematic </w:t>
      </w:r>
      <w:r w:rsidRPr="007258C8">
        <w:rPr>
          <w:b w:val="0"/>
          <w:sz w:val="22"/>
          <w:szCs w:val="22"/>
        </w:rPr>
        <w:t xml:space="preserve">analyses on the detailed </w:t>
      </w:r>
      <w:r w:rsidR="00ED35D4">
        <w:rPr>
          <w:b w:val="0"/>
          <w:sz w:val="22"/>
          <w:szCs w:val="22"/>
        </w:rPr>
        <w:t>focus group</w:t>
      </w:r>
      <w:r w:rsidRPr="007258C8">
        <w:rPr>
          <w:b w:val="0"/>
          <w:sz w:val="22"/>
          <w:szCs w:val="22"/>
        </w:rPr>
        <w:t xml:space="preserve"> </w:t>
      </w:r>
      <w:r w:rsidR="00EF5392">
        <w:rPr>
          <w:b w:val="0"/>
          <w:sz w:val="22"/>
          <w:szCs w:val="22"/>
        </w:rPr>
        <w:t>notes to</w:t>
      </w:r>
      <w:r w:rsidRPr="007258C8">
        <w:rPr>
          <w:b w:val="0"/>
          <w:sz w:val="22"/>
          <w:szCs w:val="22"/>
        </w:rPr>
        <w:t xml:space="preserve"> identify</w:t>
      </w:r>
      <w:r w:rsidR="007258C8">
        <w:rPr>
          <w:b w:val="0"/>
          <w:sz w:val="22"/>
          <w:szCs w:val="22"/>
        </w:rPr>
        <w:t xml:space="preserve"> </w:t>
      </w:r>
      <w:r w:rsidRPr="007258C8">
        <w:rPr>
          <w:b w:val="0"/>
          <w:sz w:val="22"/>
          <w:szCs w:val="22"/>
        </w:rPr>
        <w:t xml:space="preserve">key </w:t>
      </w:r>
      <w:r w:rsidR="007258C8">
        <w:rPr>
          <w:b w:val="0"/>
          <w:sz w:val="22"/>
          <w:szCs w:val="22"/>
        </w:rPr>
        <w:t>findings</w:t>
      </w:r>
      <w:r w:rsidR="00ED35D4">
        <w:rPr>
          <w:b w:val="0"/>
          <w:sz w:val="22"/>
          <w:szCs w:val="22"/>
        </w:rPr>
        <w:t xml:space="preserve"> and recommendations</w:t>
      </w:r>
      <w:r w:rsidR="00255064">
        <w:rPr>
          <w:b w:val="0"/>
          <w:sz w:val="22"/>
          <w:szCs w:val="22"/>
        </w:rPr>
        <w:t xml:space="preserve">. </w:t>
      </w:r>
      <w:r w:rsidR="004D7B0C">
        <w:rPr>
          <w:b w:val="0"/>
          <w:sz w:val="22"/>
          <w:szCs w:val="22"/>
        </w:rPr>
        <w:t>The</w:t>
      </w:r>
      <w:r w:rsidR="00255064">
        <w:rPr>
          <w:b w:val="0"/>
          <w:sz w:val="22"/>
          <w:szCs w:val="22"/>
        </w:rPr>
        <w:t xml:space="preserve"> </w:t>
      </w:r>
      <w:r w:rsidR="00ED35D4" w:rsidRPr="00ED35D4">
        <w:rPr>
          <w:b w:val="0"/>
          <w:sz w:val="22"/>
          <w:szCs w:val="22"/>
        </w:rPr>
        <w:t xml:space="preserve">NWS is not using any statistical methods to select participants from the population and will select all population members.  </w:t>
      </w:r>
    </w:p>
    <w:p w14:paraId="1A568FB5" w14:textId="77777777" w:rsidR="007258C8" w:rsidRPr="0055485C" w:rsidRDefault="007258C8" w:rsidP="007258C8"/>
    <w:p w14:paraId="05D3D13F" w14:textId="77777777" w:rsidR="00E12B6F" w:rsidRPr="0055485C" w:rsidRDefault="00E12B6F" w:rsidP="00555071">
      <w:pPr>
        <w:autoSpaceDE w:val="0"/>
        <w:autoSpaceDN w:val="0"/>
        <w:adjustRightInd w:val="0"/>
        <w:ind w:left="450"/>
        <w:rPr>
          <w:bCs/>
        </w:rPr>
      </w:pPr>
      <w:r w:rsidRPr="0055485C">
        <w:rPr>
          <w:bCs/>
        </w:rPr>
        <w:t>T</w:t>
      </w:r>
      <w:r w:rsidR="004B2986" w:rsidRPr="0055485C">
        <w:rPr>
          <w:bCs/>
        </w:rPr>
        <w:t xml:space="preserve">he data </w:t>
      </w:r>
      <w:r w:rsidRPr="0055485C">
        <w:rPr>
          <w:bCs/>
        </w:rPr>
        <w:t>do</w:t>
      </w:r>
      <w:r w:rsidR="004B2986" w:rsidRPr="0055485C">
        <w:rPr>
          <w:bCs/>
        </w:rPr>
        <w:t xml:space="preserve"> not directly contribute to a GPRA measure</w:t>
      </w:r>
      <w:r w:rsidRPr="0055485C">
        <w:rPr>
          <w:bCs/>
        </w:rPr>
        <w:t>.</w:t>
      </w:r>
      <w:r w:rsidRPr="0055485C" w:rsidDel="00E12B6F">
        <w:rPr>
          <w:bCs/>
        </w:rPr>
        <w:t xml:space="preserve"> </w:t>
      </w:r>
    </w:p>
    <w:p w14:paraId="7C286A73" w14:textId="79B6F92E" w:rsidR="00F0690A" w:rsidRDefault="00943BE1" w:rsidP="002A0B1E">
      <w:pPr>
        <w:autoSpaceDE w:val="0"/>
        <w:autoSpaceDN w:val="0"/>
        <w:adjustRightInd w:val="0"/>
        <w:ind w:left="450"/>
        <w:rPr>
          <w:bCs/>
        </w:rPr>
      </w:pPr>
      <w:r>
        <w:rPr>
          <w:bCs/>
          <w:highlight w:val="yellow"/>
        </w:rPr>
        <w:t xml:space="preserve"> </w:t>
      </w:r>
      <w:bookmarkStart w:id="1" w:name="_GoBack"/>
      <w:bookmarkEnd w:id="1"/>
    </w:p>
    <w:p w14:paraId="3588C4B9" w14:textId="77777777" w:rsidR="00BA7109" w:rsidRPr="00DC456B" w:rsidRDefault="00BA7109" w:rsidP="00DC456B">
      <w:pPr>
        <w:pStyle w:val="ListParagraph"/>
        <w:numPr>
          <w:ilvl w:val="0"/>
          <w:numId w:val="21"/>
        </w:numPr>
        <w:autoSpaceDE w:val="0"/>
        <w:autoSpaceDN w:val="0"/>
        <w:adjustRightInd w:val="0"/>
        <w:rPr>
          <w:b/>
          <w:bCs/>
          <w:sz w:val="24"/>
          <w:szCs w:val="24"/>
        </w:rPr>
      </w:pPr>
      <w:r w:rsidRPr="00DC456B">
        <w:rPr>
          <w:b/>
          <w:bCs/>
          <w:sz w:val="24"/>
          <w:szCs w:val="24"/>
        </w:rPr>
        <w:t>C</w:t>
      </w:r>
      <w:r w:rsidR="00DC456B">
        <w:rPr>
          <w:b/>
          <w:bCs/>
          <w:sz w:val="24"/>
          <w:szCs w:val="24"/>
        </w:rPr>
        <w:t>ollections of Information Employing Statistical Methods</w:t>
      </w:r>
    </w:p>
    <w:p w14:paraId="5AEFCC4A" w14:textId="77777777" w:rsidR="00BA7109" w:rsidRPr="00BA7109" w:rsidRDefault="00BA7109" w:rsidP="00BA7109">
      <w:pPr>
        <w:autoSpaceDE w:val="0"/>
        <w:autoSpaceDN w:val="0"/>
        <w:adjustRightInd w:val="0"/>
        <w:ind w:left="360"/>
        <w:rPr>
          <w:bCs/>
          <w:color w:val="000000"/>
          <w:lang w:val="en-GB" w:eastAsia="en-GB"/>
        </w:rPr>
      </w:pPr>
    </w:p>
    <w:p w14:paraId="3C7D1FFB" w14:textId="77777777" w:rsidR="00255064" w:rsidRPr="00255064" w:rsidRDefault="00BA7109" w:rsidP="00255064">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7FE2A319" w14:textId="77777777" w:rsidR="0065090A" w:rsidRDefault="0065090A" w:rsidP="00C1145F">
      <w:pPr>
        <w:ind w:left="360"/>
      </w:pPr>
    </w:p>
    <w:p w14:paraId="74C355FC" w14:textId="66A5122E" w:rsidR="00255064" w:rsidRDefault="003448DF" w:rsidP="00B23F18">
      <w:pPr>
        <w:ind w:left="360"/>
      </w:pPr>
      <w:r>
        <w:t>T</w:t>
      </w:r>
      <w:r w:rsidR="00B4241F">
        <w:t>he potential respondent universe is based on the size of the emergency management community and media market for the chosen NWS offices</w:t>
      </w:r>
      <w:r w:rsidR="007678A2">
        <w:t>, which varies from one location to another.</w:t>
      </w:r>
      <w:r w:rsidR="00B4241F">
        <w:t xml:space="preserve">  Given </w:t>
      </w:r>
      <w:r w:rsidR="007678A2">
        <w:t xml:space="preserve">busy </w:t>
      </w:r>
      <w:r w:rsidR="00B4241F">
        <w:t xml:space="preserve">schedules and </w:t>
      </w:r>
      <w:r w:rsidR="007678A2">
        <w:t>the need for broadcast meteorologists/</w:t>
      </w:r>
      <w:r w:rsidR="00B4241F">
        <w:t xml:space="preserve">media </w:t>
      </w:r>
      <w:r w:rsidR="007678A2">
        <w:t xml:space="preserve">to work around their broadcast </w:t>
      </w:r>
      <w:r w:rsidR="00B4241F">
        <w:t>air time</w:t>
      </w:r>
      <w:r w:rsidR="007678A2">
        <w:t>s</w:t>
      </w:r>
      <w:r w:rsidR="00B4241F">
        <w:t xml:space="preserve">, the total number of potential participants </w:t>
      </w:r>
      <w:r w:rsidR="00ED35D4">
        <w:t xml:space="preserve">at each location is </w:t>
      </w:r>
      <w:r w:rsidR="007678A2">
        <w:t xml:space="preserve">anticipated to be </w:t>
      </w:r>
      <w:r w:rsidR="00ED35D4">
        <w:t xml:space="preserve">approximately 45 </w:t>
      </w:r>
      <w:r w:rsidR="007678A2">
        <w:t xml:space="preserve">(30 emergency managers and 15 media) per location </w:t>
      </w:r>
      <w:r w:rsidR="00ED35D4">
        <w:t xml:space="preserve">for a total of </w:t>
      </w:r>
      <w:r w:rsidR="00B23F18">
        <w:t xml:space="preserve">180 </w:t>
      </w:r>
      <w:r w:rsidR="007678A2">
        <w:t xml:space="preserve">participants </w:t>
      </w:r>
      <w:r w:rsidR="00B23F18">
        <w:t xml:space="preserve">in all </w:t>
      </w:r>
      <w:r w:rsidR="004D7B0C">
        <w:t xml:space="preserve">four </w:t>
      </w:r>
      <w:r w:rsidR="00B23F18">
        <w:t>locations</w:t>
      </w:r>
      <w:r w:rsidR="007678A2">
        <w:t xml:space="preserve"> (see chart below)</w:t>
      </w:r>
      <w:r w:rsidR="00B23F18">
        <w:t>.</w:t>
      </w:r>
    </w:p>
    <w:p w14:paraId="52FA026A" w14:textId="77777777" w:rsidR="007678A2" w:rsidRDefault="007678A2" w:rsidP="00B23F18">
      <w:pPr>
        <w:ind w:left="360"/>
      </w:pPr>
    </w:p>
    <w:p w14:paraId="3079836B" w14:textId="77777777" w:rsidR="007678A2" w:rsidRPr="00327EA6" w:rsidRDefault="007678A2" w:rsidP="007678A2">
      <w:pPr>
        <w:ind w:left="450"/>
        <w:rPr>
          <w:b/>
        </w:rPr>
      </w:pPr>
      <w:r w:rsidRPr="00327EA6">
        <w:rPr>
          <w:b/>
        </w:rPr>
        <w:t>Focus Group Sample</w:t>
      </w:r>
    </w:p>
    <w:tbl>
      <w:tblPr>
        <w:tblStyle w:val="TableGrid"/>
        <w:tblW w:w="8995" w:type="dxa"/>
        <w:tblInd w:w="450" w:type="dxa"/>
        <w:tblLook w:val="04A0" w:firstRow="1" w:lastRow="0" w:firstColumn="1" w:lastColumn="0" w:noHBand="0" w:noVBand="1"/>
      </w:tblPr>
      <w:tblGrid>
        <w:gridCol w:w="2245"/>
        <w:gridCol w:w="2700"/>
        <w:gridCol w:w="2610"/>
        <w:gridCol w:w="1440"/>
      </w:tblGrid>
      <w:tr w:rsidR="007678A2" w14:paraId="2A9F00D6" w14:textId="77777777" w:rsidTr="00327EA6">
        <w:trPr>
          <w:trHeight w:val="503"/>
        </w:trPr>
        <w:tc>
          <w:tcPr>
            <w:tcW w:w="2245" w:type="dxa"/>
          </w:tcPr>
          <w:p w14:paraId="40B36B2D" w14:textId="77777777" w:rsidR="007678A2" w:rsidRPr="00C76120" w:rsidRDefault="007678A2" w:rsidP="00327EA6">
            <w:pPr>
              <w:rPr>
                <w:b/>
              </w:rPr>
            </w:pPr>
            <w:r w:rsidRPr="00C76120">
              <w:rPr>
                <w:b/>
              </w:rPr>
              <w:t>Location</w:t>
            </w:r>
          </w:p>
        </w:tc>
        <w:tc>
          <w:tcPr>
            <w:tcW w:w="2700" w:type="dxa"/>
          </w:tcPr>
          <w:p w14:paraId="3E2365E1" w14:textId="77777777" w:rsidR="007678A2" w:rsidRPr="00C76120" w:rsidRDefault="007678A2" w:rsidP="00327EA6">
            <w:pPr>
              <w:rPr>
                <w:b/>
              </w:rPr>
            </w:pPr>
            <w:r w:rsidRPr="00C76120">
              <w:rPr>
                <w:b/>
              </w:rPr>
              <w:t>Emergency Managers</w:t>
            </w:r>
          </w:p>
          <w:p w14:paraId="6F083BFB" w14:textId="77777777" w:rsidR="007678A2" w:rsidRPr="00C76120" w:rsidRDefault="007678A2" w:rsidP="00327EA6">
            <w:pPr>
              <w:rPr>
                <w:b/>
              </w:rPr>
            </w:pPr>
            <w:r w:rsidRPr="00C76120">
              <w:rPr>
                <w:b/>
              </w:rPr>
              <w:t>(Two groups per location)</w:t>
            </w:r>
          </w:p>
        </w:tc>
        <w:tc>
          <w:tcPr>
            <w:tcW w:w="2610" w:type="dxa"/>
          </w:tcPr>
          <w:p w14:paraId="29F204D2" w14:textId="77777777" w:rsidR="007678A2" w:rsidRPr="00C76120" w:rsidRDefault="007678A2" w:rsidP="00327EA6">
            <w:pPr>
              <w:rPr>
                <w:b/>
              </w:rPr>
            </w:pPr>
            <w:r w:rsidRPr="00C76120">
              <w:rPr>
                <w:b/>
              </w:rPr>
              <w:t>Media</w:t>
            </w:r>
          </w:p>
          <w:p w14:paraId="44AFB0D9" w14:textId="77777777" w:rsidR="007678A2" w:rsidRPr="00C76120" w:rsidRDefault="007678A2" w:rsidP="00327EA6">
            <w:pPr>
              <w:rPr>
                <w:b/>
              </w:rPr>
            </w:pPr>
            <w:r w:rsidRPr="00C76120">
              <w:rPr>
                <w:b/>
              </w:rPr>
              <w:t>(One group per location)</w:t>
            </w:r>
          </w:p>
        </w:tc>
        <w:tc>
          <w:tcPr>
            <w:tcW w:w="1440" w:type="dxa"/>
          </w:tcPr>
          <w:p w14:paraId="23205664" w14:textId="77777777" w:rsidR="007678A2" w:rsidRPr="00C76120" w:rsidRDefault="007678A2" w:rsidP="00327EA6">
            <w:pPr>
              <w:rPr>
                <w:b/>
              </w:rPr>
            </w:pPr>
            <w:r w:rsidRPr="00C76120">
              <w:rPr>
                <w:b/>
              </w:rPr>
              <w:t>Totals</w:t>
            </w:r>
          </w:p>
        </w:tc>
      </w:tr>
      <w:tr w:rsidR="007678A2" w14:paraId="4EA186B1" w14:textId="77777777" w:rsidTr="00327EA6">
        <w:tc>
          <w:tcPr>
            <w:tcW w:w="2245" w:type="dxa"/>
          </w:tcPr>
          <w:p w14:paraId="30EFE8A9" w14:textId="77777777" w:rsidR="007678A2" w:rsidRDefault="007678A2" w:rsidP="00327EA6">
            <w:r>
              <w:t>Raleigh, NC</w:t>
            </w:r>
          </w:p>
        </w:tc>
        <w:tc>
          <w:tcPr>
            <w:tcW w:w="2700" w:type="dxa"/>
          </w:tcPr>
          <w:p w14:paraId="7EBD69D7" w14:textId="77777777" w:rsidR="007678A2" w:rsidRDefault="007678A2" w:rsidP="00327EA6">
            <w:r>
              <w:t>30</w:t>
            </w:r>
          </w:p>
        </w:tc>
        <w:tc>
          <w:tcPr>
            <w:tcW w:w="2610" w:type="dxa"/>
          </w:tcPr>
          <w:p w14:paraId="43926420" w14:textId="77777777" w:rsidR="007678A2" w:rsidRDefault="007678A2" w:rsidP="00327EA6">
            <w:r>
              <w:t>15</w:t>
            </w:r>
          </w:p>
        </w:tc>
        <w:tc>
          <w:tcPr>
            <w:tcW w:w="1440" w:type="dxa"/>
          </w:tcPr>
          <w:p w14:paraId="621805C0" w14:textId="77777777" w:rsidR="007678A2" w:rsidRDefault="007678A2" w:rsidP="00327EA6">
            <w:r>
              <w:t>45</w:t>
            </w:r>
          </w:p>
        </w:tc>
      </w:tr>
      <w:tr w:rsidR="007678A2" w14:paraId="02F92E34" w14:textId="77777777" w:rsidTr="00327EA6">
        <w:tc>
          <w:tcPr>
            <w:tcW w:w="2245" w:type="dxa"/>
          </w:tcPr>
          <w:p w14:paraId="25B91C61" w14:textId="77777777" w:rsidR="007678A2" w:rsidRDefault="007678A2" w:rsidP="00327EA6">
            <w:r>
              <w:t>Birmingham, AL</w:t>
            </w:r>
          </w:p>
        </w:tc>
        <w:tc>
          <w:tcPr>
            <w:tcW w:w="2700" w:type="dxa"/>
          </w:tcPr>
          <w:p w14:paraId="4982742E" w14:textId="77777777" w:rsidR="007678A2" w:rsidRDefault="007678A2" w:rsidP="00327EA6">
            <w:r>
              <w:t>30</w:t>
            </w:r>
          </w:p>
        </w:tc>
        <w:tc>
          <w:tcPr>
            <w:tcW w:w="2610" w:type="dxa"/>
          </w:tcPr>
          <w:p w14:paraId="2CAFD25E" w14:textId="77777777" w:rsidR="007678A2" w:rsidRDefault="007678A2" w:rsidP="00327EA6">
            <w:r>
              <w:t>15</w:t>
            </w:r>
          </w:p>
        </w:tc>
        <w:tc>
          <w:tcPr>
            <w:tcW w:w="1440" w:type="dxa"/>
          </w:tcPr>
          <w:p w14:paraId="702628D4" w14:textId="77777777" w:rsidR="007678A2" w:rsidRDefault="007678A2" w:rsidP="00327EA6">
            <w:r>
              <w:t>45</w:t>
            </w:r>
          </w:p>
        </w:tc>
      </w:tr>
      <w:tr w:rsidR="007678A2" w14:paraId="169F3263" w14:textId="77777777" w:rsidTr="00327EA6">
        <w:tc>
          <w:tcPr>
            <w:tcW w:w="2245" w:type="dxa"/>
          </w:tcPr>
          <w:p w14:paraId="2C6E24A2" w14:textId="77777777" w:rsidR="007678A2" w:rsidRDefault="007678A2" w:rsidP="00327EA6">
            <w:r>
              <w:t>Norman, OK</w:t>
            </w:r>
          </w:p>
        </w:tc>
        <w:tc>
          <w:tcPr>
            <w:tcW w:w="2700" w:type="dxa"/>
          </w:tcPr>
          <w:p w14:paraId="188026FC" w14:textId="77777777" w:rsidR="007678A2" w:rsidRDefault="007678A2" w:rsidP="00327EA6">
            <w:r>
              <w:t>30</w:t>
            </w:r>
          </w:p>
        </w:tc>
        <w:tc>
          <w:tcPr>
            <w:tcW w:w="2610" w:type="dxa"/>
          </w:tcPr>
          <w:p w14:paraId="07644AA5" w14:textId="77777777" w:rsidR="007678A2" w:rsidRDefault="007678A2" w:rsidP="00327EA6">
            <w:r>
              <w:t>15</w:t>
            </w:r>
          </w:p>
        </w:tc>
        <w:tc>
          <w:tcPr>
            <w:tcW w:w="1440" w:type="dxa"/>
          </w:tcPr>
          <w:p w14:paraId="2D905F27" w14:textId="77777777" w:rsidR="007678A2" w:rsidRDefault="007678A2" w:rsidP="00327EA6">
            <w:r>
              <w:t>45</w:t>
            </w:r>
          </w:p>
        </w:tc>
      </w:tr>
      <w:tr w:rsidR="007678A2" w14:paraId="399B2E10" w14:textId="77777777" w:rsidTr="00327EA6">
        <w:trPr>
          <w:trHeight w:val="197"/>
        </w:trPr>
        <w:tc>
          <w:tcPr>
            <w:tcW w:w="2245" w:type="dxa"/>
          </w:tcPr>
          <w:p w14:paraId="745CC3EC" w14:textId="77777777" w:rsidR="007678A2" w:rsidRDefault="007678A2" w:rsidP="00327EA6">
            <w:r>
              <w:t>Des Moines, IA</w:t>
            </w:r>
          </w:p>
        </w:tc>
        <w:tc>
          <w:tcPr>
            <w:tcW w:w="2700" w:type="dxa"/>
          </w:tcPr>
          <w:p w14:paraId="25D52B46" w14:textId="77777777" w:rsidR="007678A2" w:rsidRDefault="007678A2" w:rsidP="00327EA6">
            <w:r>
              <w:t>30</w:t>
            </w:r>
          </w:p>
        </w:tc>
        <w:tc>
          <w:tcPr>
            <w:tcW w:w="2610" w:type="dxa"/>
          </w:tcPr>
          <w:p w14:paraId="7DE9DDB0" w14:textId="77777777" w:rsidR="007678A2" w:rsidRDefault="007678A2" w:rsidP="00327EA6">
            <w:r>
              <w:t>15</w:t>
            </w:r>
          </w:p>
        </w:tc>
        <w:tc>
          <w:tcPr>
            <w:tcW w:w="1440" w:type="dxa"/>
          </w:tcPr>
          <w:p w14:paraId="0FEAB129" w14:textId="77777777" w:rsidR="007678A2" w:rsidRDefault="007678A2" w:rsidP="00327EA6">
            <w:r>
              <w:t>45</w:t>
            </w:r>
          </w:p>
        </w:tc>
      </w:tr>
      <w:tr w:rsidR="007678A2" w14:paraId="7557A32C" w14:textId="77777777" w:rsidTr="00327EA6">
        <w:tc>
          <w:tcPr>
            <w:tcW w:w="2245" w:type="dxa"/>
          </w:tcPr>
          <w:p w14:paraId="1142F02F" w14:textId="77777777" w:rsidR="007678A2" w:rsidRPr="00475248" w:rsidRDefault="007678A2" w:rsidP="00327EA6">
            <w:pPr>
              <w:rPr>
                <w:b/>
              </w:rPr>
            </w:pPr>
            <w:r w:rsidRPr="00475248">
              <w:rPr>
                <w:b/>
              </w:rPr>
              <w:t>Totals</w:t>
            </w:r>
          </w:p>
        </w:tc>
        <w:tc>
          <w:tcPr>
            <w:tcW w:w="2700" w:type="dxa"/>
          </w:tcPr>
          <w:p w14:paraId="500502C8" w14:textId="77777777" w:rsidR="007678A2" w:rsidRPr="00475248" w:rsidRDefault="007678A2" w:rsidP="00327EA6">
            <w:pPr>
              <w:rPr>
                <w:b/>
              </w:rPr>
            </w:pPr>
            <w:r w:rsidRPr="00475248">
              <w:rPr>
                <w:b/>
              </w:rPr>
              <w:t>120</w:t>
            </w:r>
          </w:p>
        </w:tc>
        <w:tc>
          <w:tcPr>
            <w:tcW w:w="2610" w:type="dxa"/>
          </w:tcPr>
          <w:p w14:paraId="6B4885F9" w14:textId="77777777" w:rsidR="007678A2" w:rsidRPr="00475248" w:rsidRDefault="007678A2" w:rsidP="00327EA6">
            <w:pPr>
              <w:rPr>
                <w:b/>
              </w:rPr>
            </w:pPr>
            <w:r w:rsidRPr="00475248">
              <w:rPr>
                <w:b/>
              </w:rPr>
              <w:t>60</w:t>
            </w:r>
          </w:p>
        </w:tc>
        <w:tc>
          <w:tcPr>
            <w:tcW w:w="1440" w:type="dxa"/>
          </w:tcPr>
          <w:p w14:paraId="5848A10F" w14:textId="77777777" w:rsidR="007678A2" w:rsidRPr="00475248" w:rsidRDefault="007678A2" w:rsidP="00327EA6">
            <w:pPr>
              <w:rPr>
                <w:b/>
              </w:rPr>
            </w:pPr>
            <w:r w:rsidRPr="00475248">
              <w:rPr>
                <w:b/>
              </w:rPr>
              <w:t>180</w:t>
            </w:r>
          </w:p>
        </w:tc>
      </w:tr>
    </w:tbl>
    <w:p w14:paraId="04C688A8" w14:textId="77777777" w:rsidR="00C1145F" w:rsidRDefault="00C1145F" w:rsidP="00BA7109">
      <w:pPr>
        <w:rPr>
          <w:lang w:val="en-GB" w:eastAsia="en-GB"/>
        </w:rPr>
      </w:pPr>
    </w:p>
    <w:p w14:paraId="4F753BEB"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5F888AA0" w14:textId="77777777" w:rsidR="00606AE9" w:rsidRDefault="00606AE9" w:rsidP="00BA7109">
      <w:pPr>
        <w:rPr>
          <w:b/>
          <w:lang w:val="en-GB" w:eastAsia="en-GB"/>
        </w:rPr>
      </w:pPr>
    </w:p>
    <w:p w14:paraId="143AF751" w14:textId="77777777" w:rsidR="00835E16" w:rsidRPr="00E12B6F" w:rsidRDefault="00106600" w:rsidP="00606AE9">
      <w:pPr>
        <w:ind w:left="360"/>
        <w:rPr>
          <w:i/>
          <w:u w:val="single"/>
          <w:lang w:val="en-GB" w:eastAsia="en-GB"/>
        </w:rPr>
      </w:pPr>
      <w:r w:rsidRPr="00106600">
        <w:rPr>
          <w:i/>
          <w:u w:val="single"/>
          <w:lang w:val="en-GB" w:eastAsia="en-GB"/>
        </w:rPr>
        <w:t>Statistical Method for Stratification and Sample Selection</w:t>
      </w:r>
    </w:p>
    <w:p w14:paraId="56F378D7" w14:textId="77777777" w:rsidR="00CE1019" w:rsidRDefault="00CE1019" w:rsidP="00CE1019">
      <w:pPr>
        <w:rPr>
          <w:lang w:val="en-GB" w:eastAsia="en-GB"/>
        </w:rPr>
      </w:pPr>
    </w:p>
    <w:p w14:paraId="556FA513" w14:textId="25D77D15" w:rsidR="00CE1019" w:rsidRDefault="007678A2" w:rsidP="00606AE9">
      <w:pPr>
        <w:ind w:left="720"/>
        <w:rPr>
          <w:lang w:val="en-GB" w:eastAsia="en-GB"/>
        </w:rPr>
      </w:pPr>
      <w:r>
        <w:rPr>
          <w:lang w:val="en-GB" w:eastAsia="en-GB"/>
        </w:rPr>
        <w:t>T</w:t>
      </w:r>
      <w:r w:rsidR="00CE1019">
        <w:rPr>
          <w:lang w:val="en-GB" w:eastAsia="en-GB"/>
        </w:rPr>
        <w:t>he NWS is not using statistical methods for collecting this data.</w:t>
      </w:r>
    </w:p>
    <w:p w14:paraId="69E1F099" w14:textId="77777777" w:rsidR="007678A2" w:rsidRDefault="007678A2" w:rsidP="00606AE9">
      <w:pPr>
        <w:ind w:left="360"/>
        <w:rPr>
          <w:i/>
          <w:u w:val="single"/>
          <w:lang w:val="en-GB" w:eastAsia="en-GB"/>
        </w:rPr>
      </w:pPr>
    </w:p>
    <w:p w14:paraId="090F0521" w14:textId="77777777" w:rsidR="00835E16" w:rsidRPr="00835E16" w:rsidRDefault="00835E16" w:rsidP="00606AE9">
      <w:pPr>
        <w:ind w:left="360"/>
        <w:rPr>
          <w:i/>
          <w:u w:val="single"/>
          <w:lang w:val="en-GB" w:eastAsia="en-GB"/>
        </w:rPr>
      </w:pPr>
      <w:r w:rsidRPr="00835E16">
        <w:rPr>
          <w:i/>
          <w:u w:val="single"/>
          <w:lang w:val="en-GB" w:eastAsia="en-GB"/>
        </w:rPr>
        <w:t>Estimation Procedure and Accuracy</w:t>
      </w:r>
    </w:p>
    <w:p w14:paraId="204476D7" w14:textId="7BBA22FE" w:rsidR="002327CE" w:rsidRDefault="007678A2" w:rsidP="00606AE9">
      <w:pPr>
        <w:ind w:left="720"/>
        <w:rPr>
          <w:lang w:val="en-GB" w:eastAsia="en-GB"/>
        </w:rPr>
      </w:pPr>
      <w:r>
        <w:rPr>
          <w:lang w:val="en-GB" w:eastAsia="en-GB"/>
        </w:rPr>
        <w:t>T</w:t>
      </w:r>
      <w:r w:rsidR="006D7D25">
        <w:rPr>
          <w:lang w:val="en-GB" w:eastAsia="en-GB"/>
        </w:rPr>
        <w:t xml:space="preserve">he </w:t>
      </w:r>
      <w:r w:rsidR="00606AE9">
        <w:rPr>
          <w:lang w:val="en-GB" w:eastAsia="en-GB"/>
        </w:rPr>
        <w:t xml:space="preserve">NWS </w:t>
      </w:r>
      <w:r w:rsidR="002327CE">
        <w:rPr>
          <w:lang w:val="en-GB" w:eastAsia="en-GB"/>
        </w:rPr>
        <w:t xml:space="preserve">does not need to extrapolate the results to the population and will therefore not need to estimate population parameters from the collected data. </w:t>
      </w:r>
    </w:p>
    <w:p w14:paraId="3CA31517" w14:textId="77777777" w:rsidR="00835E16" w:rsidRDefault="00835E16" w:rsidP="00606AE9">
      <w:pPr>
        <w:ind w:left="360"/>
        <w:rPr>
          <w:lang w:val="en-GB" w:eastAsia="en-GB"/>
        </w:rPr>
      </w:pPr>
    </w:p>
    <w:p w14:paraId="576CDB6F" w14:textId="77777777" w:rsidR="00835E16" w:rsidRPr="00835E16" w:rsidRDefault="00835E16" w:rsidP="00606AE9">
      <w:pPr>
        <w:ind w:left="360"/>
        <w:rPr>
          <w:i/>
          <w:u w:val="single"/>
          <w:lang w:val="en-GB" w:eastAsia="en-GB"/>
        </w:rPr>
      </w:pPr>
      <w:r w:rsidRPr="00835E16">
        <w:rPr>
          <w:i/>
          <w:u w:val="single"/>
          <w:lang w:val="en-GB" w:eastAsia="en-GB"/>
        </w:rPr>
        <w:t>Unusual Problems Requiring Specialized Sampling Procedures</w:t>
      </w:r>
    </w:p>
    <w:p w14:paraId="062B277D" w14:textId="77777777" w:rsidR="002327CE" w:rsidRDefault="002327CE" w:rsidP="00606AE9">
      <w:pPr>
        <w:ind w:left="720"/>
        <w:rPr>
          <w:lang w:val="en-GB" w:eastAsia="en-GB"/>
        </w:rPr>
      </w:pPr>
      <w:r>
        <w:rPr>
          <w:lang w:val="en-GB" w:eastAsia="en-GB"/>
        </w:rPr>
        <w:t>None are required.</w:t>
      </w:r>
    </w:p>
    <w:p w14:paraId="4096AB0B" w14:textId="77777777" w:rsidR="002327CE" w:rsidRDefault="002327CE" w:rsidP="00606AE9">
      <w:pPr>
        <w:ind w:left="360"/>
        <w:rPr>
          <w:lang w:val="en-GB" w:eastAsia="en-GB"/>
        </w:rPr>
      </w:pPr>
    </w:p>
    <w:p w14:paraId="6F2CAD85" w14:textId="77777777" w:rsidR="002327CE" w:rsidRDefault="002327CE" w:rsidP="00606AE9">
      <w:pPr>
        <w:ind w:left="360"/>
        <w:rPr>
          <w:i/>
          <w:u w:val="single"/>
          <w:lang w:val="en-GB" w:eastAsia="en-GB"/>
        </w:rPr>
      </w:pPr>
      <w:r w:rsidRPr="002327CE">
        <w:rPr>
          <w:i/>
          <w:u w:val="single"/>
          <w:lang w:val="en-GB" w:eastAsia="en-GB"/>
        </w:rPr>
        <w:t>Periodic Data Collection Cycles</w:t>
      </w:r>
    </w:p>
    <w:p w14:paraId="2009B012" w14:textId="77777777" w:rsidR="002327CE" w:rsidRDefault="002327CE" w:rsidP="00606AE9">
      <w:pPr>
        <w:ind w:left="720"/>
        <w:rPr>
          <w:lang w:val="en-GB" w:eastAsia="en-GB"/>
        </w:rPr>
      </w:pPr>
      <w:r>
        <w:rPr>
          <w:lang w:val="en-GB" w:eastAsia="en-GB"/>
        </w:rPr>
        <w:t>This request is for a one-time data collection.</w:t>
      </w:r>
    </w:p>
    <w:p w14:paraId="2EB4539E" w14:textId="77777777" w:rsidR="00835E16" w:rsidRDefault="00835E16" w:rsidP="00606AE9">
      <w:pPr>
        <w:ind w:left="360"/>
        <w:rPr>
          <w:lang w:val="en-GB" w:eastAsia="en-GB"/>
        </w:rPr>
      </w:pPr>
    </w:p>
    <w:p w14:paraId="1D1BCD84" w14:textId="2DA4FE87" w:rsidR="003C4320" w:rsidRPr="00B23F18" w:rsidRDefault="00BA7109" w:rsidP="00E84818">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1E8F3828" w14:textId="77777777" w:rsidR="00E84818" w:rsidRDefault="00E84818" w:rsidP="00E84818">
      <w:pPr>
        <w:ind w:left="360"/>
        <w:rPr>
          <w:lang w:val="en-GB" w:eastAsia="en-GB"/>
        </w:rPr>
      </w:pPr>
    </w:p>
    <w:p w14:paraId="776A29B3" w14:textId="5FD8DB86" w:rsidR="00E84818" w:rsidRDefault="00B23F18" w:rsidP="00E84818">
      <w:pPr>
        <w:ind w:left="360"/>
        <w:rPr>
          <w:lang w:val="en-GB" w:eastAsia="en-GB"/>
        </w:rPr>
      </w:pPr>
      <w:r>
        <w:rPr>
          <w:lang w:val="en-GB" w:eastAsia="en-GB"/>
        </w:rPr>
        <w:t>T</w:t>
      </w:r>
      <w:r w:rsidR="00E84818">
        <w:rPr>
          <w:lang w:val="en-GB" w:eastAsia="en-GB"/>
        </w:rPr>
        <w:t xml:space="preserve">he NWS office in the region will send out the invitation to the </w:t>
      </w:r>
      <w:r>
        <w:rPr>
          <w:lang w:val="en-GB" w:eastAsia="en-GB"/>
        </w:rPr>
        <w:t>focus groups</w:t>
      </w:r>
      <w:r w:rsidR="00E84818">
        <w:rPr>
          <w:lang w:val="en-GB" w:eastAsia="en-GB"/>
        </w:rPr>
        <w:t>. This invitation should help to encourage response since it will come from an entity the potential attendees will recognize. Additionally, the po</w:t>
      </w:r>
      <w:r>
        <w:rPr>
          <w:lang w:val="en-GB" w:eastAsia="en-GB"/>
        </w:rPr>
        <w:t xml:space="preserve">tential attendees have all </w:t>
      </w:r>
      <w:r w:rsidR="00E84818">
        <w:rPr>
          <w:lang w:val="en-GB" w:eastAsia="en-GB"/>
        </w:rPr>
        <w:t>previously worked closely with the NWS.  The NWS will send out reminder invitations as well.</w:t>
      </w:r>
    </w:p>
    <w:p w14:paraId="4DD26348" w14:textId="77777777" w:rsidR="00606AE9" w:rsidRDefault="00606AE9" w:rsidP="003C4320">
      <w:pPr>
        <w:ind w:left="360"/>
        <w:rPr>
          <w:b/>
          <w:lang w:val="en-GB" w:eastAsia="en-GB"/>
        </w:rPr>
      </w:pPr>
    </w:p>
    <w:p w14:paraId="1B378F4F"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Describe any tests of procedures or methods to be undertaken. Tests are encouraged as effective means to refine collections, but if ten or more test respondents are involved OMB must give prior approval.</w:t>
      </w:r>
    </w:p>
    <w:p w14:paraId="3D818E7C" w14:textId="77777777" w:rsidR="00BA7109" w:rsidRPr="00BA7109" w:rsidRDefault="00BA7109" w:rsidP="00BA7109">
      <w:pPr>
        <w:rPr>
          <w:lang w:val="en-GB" w:eastAsia="en-GB"/>
        </w:rPr>
      </w:pPr>
    </w:p>
    <w:p w14:paraId="2E43FB26" w14:textId="053401A7" w:rsidR="00BA7109" w:rsidRPr="00C1145F" w:rsidRDefault="006D7D25" w:rsidP="00C1145F">
      <w:pPr>
        <w:ind w:left="360"/>
        <w:rPr>
          <w:lang w:eastAsia="en-GB"/>
        </w:rPr>
      </w:pPr>
      <w:r>
        <w:t xml:space="preserve">The </w:t>
      </w:r>
      <w:r w:rsidR="00606AE9">
        <w:t>NWS</w:t>
      </w:r>
      <w:r w:rsidR="00C1145F" w:rsidRPr="00C1145F">
        <w:rPr>
          <w:lang w:eastAsia="en-GB"/>
        </w:rPr>
        <w:t xml:space="preserve"> consulted with Eastern Research Group, Inc. (ERG) on the development of the</w:t>
      </w:r>
      <w:r w:rsidR="00B23F18">
        <w:rPr>
          <w:lang w:eastAsia="en-GB"/>
        </w:rPr>
        <w:t xml:space="preserve"> focus group guide</w:t>
      </w:r>
      <w:r w:rsidR="00606AE9">
        <w:rPr>
          <w:lang w:eastAsia="en-GB"/>
        </w:rPr>
        <w:t>.</w:t>
      </w:r>
      <w:r w:rsidR="00C1145F" w:rsidRPr="00C1145F">
        <w:rPr>
          <w:lang w:eastAsia="en-GB"/>
        </w:rPr>
        <w:t xml:space="preserve"> ERG has significant experience assessing technical assistance provided by </w:t>
      </w:r>
      <w:r w:rsidR="00606AE9">
        <w:rPr>
          <w:lang w:eastAsia="en-GB"/>
        </w:rPr>
        <w:t>f</w:t>
      </w:r>
      <w:r w:rsidR="00C1145F" w:rsidRPr="00C1145F">
        <w:rPr>
          <w:lang w:eastAsia="en-GB"/>
        </w:rPr>
        <w:t>ederal</w:t>
      </w:r>
      <w:r w:rsidR="00C1145F">
        <w:rPr>
          <w:lang w:eastAsia="en-GB"/>
        </w:rPr>
        <w:t xml:space="preserve"> </w:t>
      </w:r>
      <w:r w:rsidR="00C1145F" w:rsidRPr="00C1145F">
        <w:rPr>
          <w:lang w:eastAsia="en-GB"/>
        </w:rPr>
        <w:t>agencies through detailed interviews, focus groups, stakeholder engagement, and surveys that</w:t>
      </w:r>
      <w:r w:rsidR="00C1145F">
        <w:rPr>
          <w:lang w:eastAsia="en-GB"/>
        </w:rPr>
        <w:t xml:space="preserve"> </w:t>
      </w:r>
      <w:r w:rsidR="00C1145F" w:rsidRPr="00C1145F">
        <w:rPr>
          <w:lang w:eastAsia="en-GB"/>
        </w:rPr>
        <w:t xml:space="preserve">focus on customer satisfaction with services. The </w:t>
      </w:r>
      <w:r w:rsidR="00B23F18">
        <w:rPr>
          <w:lang w:eastAsia="en-GB"/>
        </w:rPr>
        <w:t>focus group guide</w:t>
      </w:r>
      <w:r w:rsidR="00606AE9">
        <w:rPr>
          <w:lang w:eastAsia="en-GB"/>
        </w:rPr>
        <w:t xml:space="preserve"> </w:t>
      </w:r>
      <w:r w:rsidR="00C1145F" w:rsidRPr="00C1145F">
        <w:rPr>
          <w:lang w:eastAsia="en-GB"/>
        </w:rPr>
        <w:t xml:space="preserve">development process was informed </w:t>
      </w:r>
      <w:r w:rsidR="00C1145F">
        <w:rPr>
          <w:lang w:eastAsia="en-GB"/>
        </w:rPr>
        <w:t xml:space="preserve">through </w:t>
      </w:r>
      <w:r w:rsidR="003C4320">
        <w:rPr>
          <w:lang w:eastAsia="en-GB"/>
        </w:rPr>
        <w:t xml:space="preserve">discussions with </w:t>
      </w:r>
      <w:r w:rsidR="0072761D">
        <w:rPr>
          <w:lang w:eastAsia="en-GB"/>
        </w:rPr>
        <w:t>NWS</w:t>
      </w:r>
      <w:r w:rsidR="003C4320">
        <w:rPr>
          <w:lang w:eastAsia="en-GB"/>
        </w:rPr>
        <w:t xml:space="preserve"> </w:t>
      </w:r>
      <w:r w:rsidR="00606AE9">
        <w:rPr>
          <w:lang w:eastAsia="en-GB"/>
        </w:rPr>
        <w:t>staff.</w:t>
      </w:r>
    </w:p>
    <w:p w14:paraId="01069AF4" w14:textId="77777777" w:rsidR="00BA7109" w:rsidRPr="00BA7109" w:rsidRDefault="00BA7109" w:rsidP="00BA7109">
      <w:pPr>
        <w:rPr>
          <w:lang w:val="en-GB" w:eastAsia="en-GB"/>
        </w:rPr>
      </w:pPr>
    </w:p>
    <w:p w14:paraId="75733451" w14:textId="77777777" w:rsidR="00BA7109" w:rsidRPr="00BA7109" w:rsidRDefault="00BA7109" w:rsidP="00BA7109">
      <w:pPr>
        <w:numPr>
          <w:ilvl w:val="0"/>
          <w:numId w:val="9"/>
        </w:numPr>
        <w:autoSpaceDE w:val="0"/>
        <w:autoSpaceDN w:val="0"/>
        <w:adjustRightInd w:val="0"/>
        <w:ind w:left="360"/>
        <w:rPr>
          <w:b/>
          <w:bCs/>
          <w:color w:val="000000"/>
          <w:lang w:val="en-GB" w:eastAsia="en-GB"/>
        </w:rPr>
      </w:pPr>
      <w:r w:rsidRPr="00BA7109">
        <w:rPr>
          <w:b/>
          <w:bCs/>
          <w:color w:val="000000"/>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5FAAF1AC" w14:textId="77777777" w:rsidR="00BA7109" w:rsidRPr="00BA7109" w:rsidRDefault="00BA7109" w:rsidP="00BA7109">
      <w:pPr>
        <w:rPr>
          <w:b/>
          <w:color w:val="000000"/>
          <w:lang w:val="en-GB" w:eastAsia="en-GB"/>
        </w:rPr>
      </w:pPr>
    </w:p>
    <w:p w14:paraId="3C064E98" w14:textId="5FBD59D4" w:rsidR="00CF2605" w:rsidRDefault="006D7D25" w:rsidP="00F0690A">
      <w:pPr>
        <w:ind w:left="360"/>
        <w:rPr>
          <w:color w:val="000000"/>
          <w:lang w:val="en-GB" w:eastAsia="en-GB"/>
        </w:rPr>
      </w:pPr>
      <w:r>
        <w:rPr>
          <w:color w:val="000000"/>
          <w:lang w:val="en-GB" w:eastAsia="en-GB"/>
        </w:rPr>
        <w:t xml:space="preserve">The </w:t>
      </w:r>
      <w:r w:rsidR="00606AE9">
        <w:rPr>
          <w:color w:val="000000"/>
          <w:lang w:val="en-GB" w:eastAsia="en-GB"/>
        </w:rPr>
        <w:t>NWS</w:t>
      </w:r>
      <w:r w:rsidR="00C1145F" w:rsidRPr="00C1145F">
        <w:rPr>
          <w:color w:val="000000"/>
          <w:lang w:val="en-GB" w:eastAsia="en-GB"/>
        </w:rPr>
        <w:t xml:space="preserve"> has contracted with Eastern Research Group, Inc</w:t>
      </w:r>
      <w:r w:rsidR="007678A2">
        <w:rPr>
          <w:color w:val="000000"/>
          <w:lang w:val="en-GB" w:eastAsia="en-GB"/>
        </w:rPr>
        <w:t>.</w:t>
      </w:r>
      <w:r w:rsidR="00C1145F" w:rsidRPr="00C1145F">
        <w:rPr>
          <w:color w:val="000000"/>
          <w:lang w:val="en-GB" w:eastAsia="en-GB"/>
        </w:rPr>
        <w:t xml:space="preserve"> (ERG) of Lexington, MA</w:t>
      </w:r>
      <w:r w:rsidR="007678A2">
        <w:rPr>
          <w:color w:val="000000"/>
          <w:lang w:val="en-GB" w:eastAsia="en-GB"/>
        </w:rPr>
        <w:t>,</w:t>
      </w:r>
      <w:r w:rsidR="00C1145F" w:rsidRPr="00C1145F">
        <w:rPr>
          <w:color w:val="000000"/>
          <w:lang w:val="en-GB" w:eastAsia="en-GB"/>
        </w:rPr>
        <w:t xml:space="preserve"> to design the </w:t>
      </w:r>
      <w:r w:rsidR="00B23F18">
        <w:rPr>
          <w:color w:val="000000"/>
          <w:lang w:val="en-GB" w:eastAsia="en-GB"/>
        </w:rPr>
        <w:t>focus group</w:t>
      </w:r>
      <w:r w:rsidR="00606AE9">
        <w:rPr>
          <w:color w:val="000000"/>
          <w:lang w:val="en-GB" w:eastAsia="en-GB"/>
        </w:rPr>
        <w:t xml:space="preserve"> guide </w:t>
      </w:r>
      <w:r w:rsidR="00C1145F" w:rsidRPr="00C1145F">
        <w:rPr>
          <w:color w:val="000000"/>
          <w:lang w:val="en-GB" w:eastAsia="en-GB"/>
        </w:rPr>
        <w:t xml:space="preserve">and implement the data collections. ERG’s project manager for this work is </w:t>
      </w:r>
      <w:r w:rsidR="0072761D">
        <w:rPr>
          <w:color w:val="000000"/>
          <w:lang w:val="en-GB" w:eastAsia="en-GB"/>
        </w:rPr>
        <w:t>Gina Eosco</w:t>
      </w:r>
      <w:r w:rsidR="00C1145F" w:rsidRPr="00C1145F">
        <w:rPr>
          <w:color w:val="000000"/>
          <w:lang w:val="en-GB" w:eastAsia="en-GB"/>
        </w:rPr>
        <w:t xml:space="preserve"> (</w:t>
      </w:r>
      <w:r w:rsidR="0072761D">
        <w:rPr>
          <w:color w:val="000000"/>
          <w:lang w:val="en-GB" w:eastAsia="en-GB"/>
        </w:rPr>
        <w:t>7</w:t>
      </w:r>
      <w:r w:rsidR="00475248">
        <w:rPr>
          <w:color w:val="000000"/>
          <w:lang w:val="en-GB" w:eastAsia="en-GB"/>
        </w:rPr>
        <w:t>03</w:t>
      </w:r>
      <w:r w:rsidR="00606AE9">
        <w:rPr>
          <w:color w:val="000000"/>
          <w:lang w:val="en-GB" w:eastAsia="en-GB"/>
        </w:rPr>
        <w:t>-</w:t>
      </w:r>
      <w:r w:rsidR="00475248">
        <w:rPr>
          <w:color w:val="000000"/>
          <w:lang w:val="en-GB" w:eastAsia="en-GB"/>
        </w:rPr>
        <w:t>841</w:t>
      </w:r>
      <w:r w:rsidR="00606AE9">
        <w:rPr>
          <w:color w:val="000000"/>
          <w:lang w:val="en-GB" w:eastAsia="en-GB"/>
        </w:rPr>
        <w:t>-</w:t>
      </w:r>
      <w:r w:rsidR="00475248">
        <w:rPr>
          <w:color w:val="000000"/>
          <w:lang w:val="en-GB" w:eastAsia="en-GB"/>
        </w:rPr>
        <w:t>1705</w:t>
      </w:r>
      <w:r w:rsidR="00C1145F" w:rsidRPr="00C1145F">
        <w:rPr>
          <w:color w:val="000000"/>
          <w:lang w:val="en-GB" w:eastAsia="en-GB"/>
        </w:rPr>
        <w:t xml:space="preserve">; </w:t>
      </w:r>
      <w:hyperlink r:id="rId11" w:history="1">
        <w:r w:rsidR="0072761D" w:rsidRPr="00167776">
          <w:rPr>
            <w:rStyle w:val="Hyperlink"/>
            <w:lang w:val="en-GB" w:eastAsia="en-GB"/>
          </w:rPr>
          <w:t>gina.eosco@erg.com</w:t>
        </w:r>
      </w:hyperlink>
      <w:r w:rsidR="00C1145F" w:rsidRPr="00C1145F">
        <w:rPr>
          <w:color w:val="000000"/>
          <w:lang w:val="en-GB" w:eastAsia="en-GB"/>
        </w:rPr>
        <w:t xml:space="preserve">). </w:t>
      </w:r>
      <w:r w:rsidR="00F0690A">
        <w:rPr>
          <w:color w:val="000000"/>
          <w:lang w:val="en-GB" w:eastAsia="en-GB"/>
        </w:rPr>
        <w:t xml:space="preserve"> </w:t>
      </w:r>
    </w:p>
    <w:p w14:paraId="5D1B03D3" w14:textId="77777777" w:rsidR="005A17CE" w:rsidRDefault="005A17CE" w:rsidP="00F0690A">
      <w:pPr>
        <w:ind w:left="360"/>
        <w:rPr>
          <w:b/>
        </w:rPr>
      </w:pPr>
    </w:p>
    <w:sectPr w:rsidR="005A17CE" w:rsidSect="00F316D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B31E" w14:textId="77777777" w:rsidR="00C64057" w:rsidRDefault="00C64057" w:rsidP="004B2986">
      <w:r>
        <w:separator/>
      </w:r>
    </w:p>
  </w:endnote>
  <w:endnote w:type="continuationSeparator" w:id="0">
    <w:p w14:paraId="3EB73138" w14:textId="77777777" w:rsidR="00C64057" w:rsidRDefault="00C64057"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D68B" w14:textId="24CBDF95" w:rsidR="00C81A31" w:rsidRPr="00577B77" w:rsidRDefault="005A17CE">
    <w:pPr>
      <w:pStyle w:val="Footer"/>
      <w:jc w:val="right"/>
      <w:rPr>
        <w:rFonts w:ascii="Times New Roman" w:hAnsi="Times New Roman"/>
        <w:b w:val="0"/>
      </w:rPr>
    </w:pPr>
    <w:r>
      <w:rPr>
        <w:rFonts w:ascii="Times New Roman" w:hAnsi="Times New Roman"/>
        <w:b w:val="0"/>
        <w:i/>
        <w:sz w:val="20"/>
        <w:szCs w:val="22"/>
      </w:rPr>
      <w:t>IBW</w:t>
    </w:r>
    <w:r w:rsidR="00D77C77">
      <w:rPr>
        <w:rFonts w:ascii="Times New Roman" w:hAnsi="Times New Roman"/>
        <w:b w:val="0"/>
        <w:i/>
        <w:sz w:val="20"/>
        <w:szCs w:val="22"/>
      </w:rPr>
      <w:t xml:space="preserve"> Research Project</w:t>
    </w:r>
    <w:r w:rsidR="00C81A31">
      <w:rPr>
        <w:sz w:val="22"/>
        <w:szCs w:val="22"/>
      </w:rPr>
      <w:tab/>
    </w:r>
    <w:r w:rsidR="004213F9" w:rsidRPr="00577B77">
      <w:rPr>
        <w:rFonts w:ascii="Times New Roman" w:hAnsi="Times New Roman"/>
        <w:b w:val="0"/>
      </w:rPr>
      <w:fldChar w:fldCharType="begin"/>
    </w:r>
    <w:r w:rsidR="00C81A31" w:rsidRPr="00577B77">
      <w:rPr>
        <w:rFonts w:ascii="Times New Roman" w:hAnsi="Times New Roman"/>
        <w:b w:val="0"/>
      </w:rPr>
      <w:instrText xml:space="preserve"> PAGE   \* MERGEFORMAT </w:instrText>
    </w:r>
    <w:r w:rsidR="004213F9" w:rsidRPr="00577B77">
      <w:rPr>
        <w:rFonts w:ascii="Times New Roman" w:hAnsi="Times New Roman"/>
        <w:b w:val="0"/>
      </w:rPr>
      <w:fldChar w:fldCharType="separate"/>
    </w:r>
    <w:r w:rsidR="002A0B1E">
      <w:rPr>
        <w:rFonts w:ascii="Times New Roman" w:hAnsi="Times New Roman"/>
        <w:b w:val="0"/>
        <w:noProof/>
      </w:rPr>
      <w:t>3</w:t>
    </w:r>
    <w:r w:rsidR="004213F9" w:rsidRPr="00577B77">
      <w:rPr>
        <w:rFonts w:ascii="Times New Roman" w:hAnsi="Times New Roman"/>
        <w:b w:val="0"/>
      </w:rPr>
      <w:fldChar w:fldCharType="end"/>
    </w:r>
  </w:p>
  <w:p w14:paraId="67838968" w14:textId="3C4D0B6E" w:rsidR="00C81A31" w:rsidRDefault="00475248" w:rsidP="00475248">
    <w:pPr>
      <w:pStyle w:val="Footer"/>
      <w:tabs>
        <w:tab w:val="clear" w:pos="4680"/>
        <w:tab w:val="clear" w:pos="9360"/>
        <w:tab w:val="left" w:pos="53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C61F0" w14:textId="77777777" w:rsidR="00C64057" w:rsidRDefault="00C64057" w:rsidP="004B2986">
      <w:r>
        <w:separator/>
      </w:r>
    </w:p>
  </w:footnote>
  <w:footnote w:type="continuationSeparator" w:id="0">
    <w:p w14:paraId="0A235FE0" w14:textId="77777777" w:rsidR="00C64057" w:rsidRDefault="00C64057" w:rsidP="004B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26CFB" w14:textId="77777777" w:rsidR="0049136F" w:rsidRDefault="0049136F" w:rsidP="0049136F">
    <w:pPr>
      <w:jc w:val="right"/>
    </w:pPr>
    <w:r>
      <w:t>NOAA National Weather Service</w:t>
    </w:r>
  </w:p>
  <w:p w14:paraId="1D2BBC2B" w14:textId="10CC7C58" w:rsidR="003355B9" w:rsidRDefault="002423F1" w:rsidP="0049136F">
    <w:pPr>
      <w:jc w:val="right"/>
    </w:pPr>
    <w:r>
      <w:t>Impact Based Warnings</w:t>
    </w:r>
    <w:r w:rsidR="005A17CE">
      <w:t xml:space="preserve"> (IBW)</w:t>
    </w:r>
    <w:r w:rsidR="003355B9">
      <w:t xml:space="preserve"> Project </w:t>
    </w:r>
  </w:p>
  <w:p w14:paraId="31DE6F13" w14:textId="77777777" w:rsidR="0049136F" w:rsidRDefault="0049136F" w:rsidP="0049136F">
    <w:pPr>
      <w:jc w:val="right"/>
    </w:pPr>
    <w:r>
      <w:t>Part A and B DOC/NOAA Customer Survey Clearance</w:t>
    </w:r>
  </w:p>
  <w:p w14:paraId="3D58013F" w14:textId="77777777" w:rsidR="0049136F" w:rsidRDefault="0049136F" w:rsidP="0049136F">
    <w:pPr>
      <w:jc w:val="right"/>
    </w:pPr>
    <w:r w:rsidRPr="006C2D92">
      <w:t>OMB Control No. 0648-0342</w:t>
    </w:r>
    <w:r>
      <w:t xml:space="preserve">                                                                                                            </w:t>
    </w:r>
  </w:p>
  <w:p w14:paraId="7434A374" w14:textId="4667E492" w:rsidR="0049136F" w:rsidRPr="006C2D92" w:rsidRDefault="0049136F" w:rsidP="0049136F">
    <w:pPr>
      <w:jc w:val="right"/>
    </w:pPr>
    <w:r>
      <w:t xml:space="preserve"> </w:t>
    </w:r>
  </w:p>
  <w:p w14:paraId="226F839E" w14:textId="77777777" w:rsidR="0049136F" w:rsidRDefault="0049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F4DA13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F06B4"/>
    <w:multiLevelType w:val="hybridMultilevel"/>
    <w:tmpl w:val="CAFCA9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7">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nsid w:val="357338F7"/>
    <w:multiLevelType w:val="hybridMultilevel"/>
    <w:tmpl w:val="5B202FC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C7A03"/>
    <w:multiLevelType w:val="hybridMultilevel"/>
    <w:tmpl w:val="2B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7D34947"/>
    <w:multiLevelType w:val="hybridMultilevel"/>
    <w:tmpl w:val="F60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1BC"/>
    <w:multiLevelType w:val="hybridMultilevel"/>
    <w:tmpl w:val="F90AA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DE57EC"/>
    <w:multiLevelType w:val="hybridMultilevel"/>
    <w:tmpl w:val="7F7E6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9"/>
  </w:num>
  <w:num w:numId="4">
    <w:abstractNumId w:val="3"/>
  </w:num>
  <w:num w:numId="5">
    <w:abstractNumId w:val="9"/>
  </w:num>
  <w:num w:numId="6">
    <w:abstractNumId w:val="21"/>
  </w:num>
  <w:num w:numId="7">
    <w:abstractNumId w:val="13"/>
  </w:num>
  <w:num w:numId="8">
    <w:abstractNumId w:val="6"/>
  </w:num>
  <w:num w:numId="9">
    <w:abstractNumId w:val="24"/>
  </w:num>
  <w:num w:numId="10">
    <w:abstractNumId w:val="8"/>
  </w:num>
  <w:num w:numId="11">
    <w:abstractNumId w:val="7"/>
  </w:num>
  <w:num w:numId="12">
    <w:abstractNumId w:val="15"/>
  </w:num>
  <w:num w:numId="13">
    <w:abstractNumId w:val="12"/>
  </w:num>
  <w:num w:numId="14">
    <w:abstractNumId w:val="20"/>
  </w:num>
  <w:num w:numId="15">
    <w:abstractNumId w:val="10"/>
  </w:num>
  <w:num w:numId="16">
    <w:abstractNumId w:val="4"/>
  </w:num>
  <w:num w:numId="17">
    <w:abstractNumId w:val="2"/>
  </w:num>
  <w:num w:numId="18">
    <w:abstractNumId w:val="25"/>
  </w:num>
  <w:num w:numId="19">
    <w:abstractNumId w:val="14"/>
  </w:num>
  <w:num w:numId="20">
    <w:abstractNumId w:val="1"/>
  </w:num>
  <w:num w:numId="21">
    <w:abstractNumId w:val="18"/>
  </w:num>
  <w:num w:numId="22">
    <w:abstractNumId w:val="22"/>
  </w:num>
  <w:num w:numId="23">
    <w:abstractNumId w:val="23"/>
  </w:num>
  <w:num w:numId="24">
    <w:abstractNumId w:val="17"/>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12BA6"/>
    <w:rsid w:val="000461FF"/>
    <w:rsid w:val="00075366"/>
    <w:rsid w:val="00076244"/>
    <w:rsid w:val="00084853"/>
    <w:rsid w:val="00091271"/>
    <w:rsid w:val="00091F7C"/>
    <w:rsid w:val="00092167"/>
    <w:rsid w:val="0009474E"/>
    <w:rsid w:val="000D16F2"/>
    <w:rsid w:val="000D377B"/>
    <w:rsid w:val="00105082"/>
    <w:rsid w:val="00106600"/>
    <w:rsid w:val="00112B97"/>
    <w:rsid w:val="001563C1"/>
    <w:rsid w:val="00157063"/>
    <w:rsid w:val="0015718F"/>
    <w:rsid w:val="001626E4"/>
    <w:rsid w:val="00182573"/>
    <w:rsid w:val="00190158"/>
    <w:rsid w:val="001A5EF5"/>
    <w:rsid w:val="001B05E6"/>
    <w:rsid w:val="001B2033"/>
    <w:rsid w:val="001C496B"/>
    <w:rsid w:val="001E44B1"/>
    <w:rsid w:val="001E62DA"/>
    <w:rsid w:val="002119A0"/>
    <w:rsid w:val="00211D67"/>
    <w:rsid w:val="00214AD0"/>
    <w:rsid w:val="0021645F"/>
    <w:rsid w:val="0022410D"/>
    <w:rsid w:val="002327CE"/>
    <w:rsid w:val="00237A89"/>
    <w:rsid w:val="00240CDF"/>
    <w:rsid w:val="002423F1"/>
    <w:rsid w:val="00244AD4"/>
    <w:rsid w:val="00255064"/>
    <w:rsid w:val="00277FCB"/>
    <w:rsid w:val="00285474"/>
    <w:rsid w:val="00285B1D"/>
    <w:rsid w:val="002903EA"/>
    <w:rsid w:val="00291A37"/>
    <w:rsid w:val="00296C3B"/>
    <w:rsid w:val="002A0B1E"/>
    <w:rsid w:val="002A1DF1"/>
    <w:rsid w:val="002A2FB7"/>
    <w:rsid w:val="002B7041"/>
    <w:rsid w:val="002C7E1F"/>
    <w:rsid w:val="002D315A"/>
    <w:rsid w:val="002E0336"/>
    <w:rsid w:val="002F5582"/>
    <w:rsid w:val="0030112B"/>
    <w:rsid w:val="00301882"/>
    <w:rsid w:val="003157A5"/>
    <w:rsid w:val="00321E82"/>
    <w:rsid w:val="003268B5"/>
    <w:rsid w:val="003355B9"/>
    <w:rsid w:val="003404E6"/>
    <w:rsid w:val="00340971"/>
    <w:rsid w:val="003448DF"/>
    <w:rsid w:val="0034697E"/>
    <w:rsid w:val="003517F4"/>
    <w:rsid w:val="00372651"/>
    <w:rsid w:val="003800C6"/>
    <w:rsid w:val="0038262B"/>
    <w:rsid w:val="003849A0"/>
    <w:rsid w:val="00384B90"/>
    <w:rsid w:val="00390CC9"/>
    <w:rsid w:val="00392DA5"/>
    <w:rsid w:val="00395BBA"/>
    <w:rsid w:val="003A35EB"/>
    <w:rsid w:val="003A6DE6"/>
    <w:rsid w:val="003A7DC6"/>
    <w:rsid w:val="003B5739"/>
    <w:rsid w:val="003B7A0E"/>
    <w:rsid w:val="003C0FC4"/>
    <w:rsid w:val="003C4320"/>
    <w:rsid w:val="003E1FDB"/>
    <w:rsid w:val="003E5A6F"/>
    <w:rsid w:val="004059B9"/>
    <w:rsid w:val="00406B7C"/>
    <w:rsid w:val="00412A19"/>
    <w:rsid w:val="00413D96"/>
    <w:rsid w:val="004213F9"/>
    <w:rsid w:val="004309E7"/>
    <w:rsid w:val="00432DC2"/>
    <w:rsid w:val="004346C8"/>
    <w:rsid w:val="00472777"/>
    <w:rsid w:val="00475248"/>
    <w:rsid w:val="00475267"/>
    <w:rsid w:val="0048777F"/>
    <w:rsid w:val="00490B26"/>
    <w:rsid w:val="0049136F"/>
    <w:rsid w:val="004A4419"/>
    <w:rsid w:val="004A6FA9"/>
    <w:rsid w:val="004B2986"/>
    <w:rsid w:val="004B6336"/>
    <w:rsid w:val="004D7B0C"/>
    <w:rsid w:val="004F0F25"/>
    <w:rsid w:val="00500A43"/>
    <w:rsid w:val="00516E97"/>
    <w:rsid w:val="005216DE"/>
    <w:rsid w:val="005342B1"/>
    <w:rsid w:val="005407E0"/>
    <w:rsid w:val="005523FB"/>
    <w:rsid w:val="0055485C"/>
    <w:rsid w:val="00555071"/>
    <w:rsid w:val="00566DC6"/>
    <w:rsid w:val="00572501"/>
    <w:rsid w:val="00574291"/>
    <w:rsid w:val="005767CD"/>
    <w:rsid w:val="0058389D"/>
    <w:rsid w:val="00596379"/>
    <w:rsid w:val="005A17CE"/>
    <w:rsid w:val="005A30B5"/>
    <w:rsid w:val="005A31DF"/>
    <w:rsid w:val="005A485D"/>
    <w:rsid w:val="005A4CFB"/>
    <w:rsid w:val="005B2814"/>
    <w:rsid w:val="005C0203"/>
    <w:rsid w:val="005F2CEB"/>
    <w:rsid w:val="005F41B1"/>
    <w:rsid w:val="005F6F57"/>
    <w:rsid w:val="00606AE9"/>
    <w:rsid w:val="006124F9"/>
    <w:rsid w:val="00613EA6"/>
    <w:rsid w:val="00625F8D"/>
    <w:rsid w:val="00631A2D"/>
    <w:rsid w:val="0065090A"/>
    <w:rsid w:val="00651243"/>
    <w:rsid w:val="006529D5"/>
    <w:rsid w:val="00666720"/>
    <w:rsid w:val="00676FF8"/>
    <w:rsid w:val="006833BA"/>
    <w:rsid w:val="00696801"/>
    <w:rsid w:val="006A3CE3"/>
    <w:rsid w:val="006A3EC7"/>
    <w:rsid w:val="006B4494"/>
    <w:rsid w:val="006C08D0"/>
    <w:rsid w:val="006C6E8C"/>
    <w:rsid w:val="006D0E6C"/>
    <w:rsid w:val="006D4CC6"/>
    <w:rsid w:val="006D686A"/>
    <w:rsid w:val="006D7D25"/>
    <w:rsid w:val="00700E3D"/>
    <w:rsid w:val="00705DC5"/>
    <w:rsid w:val="007060C0"/>
    <w:rsid w:val="0070684D"/>
    <w:rsid w:val="00711095"/>
    <w:rsid w:val="00711C59"/>
    <w:rsid w:val="00712CC7"/>
    <w:rsid w:val="00715973"/>
    <w:rsid w:val="0071649C"/>
    <w:rsid w:val="007258C8"/>
    <w:rsid w:val="0072761D"/>
    <w:rsid w:val="00732867"/>
    <w:rsid w:val="007515A6"/>
    <w:rsid w:val="00760AA2"/>
    <w:rsid w:val="007678A2"/>
    <w:rsid w:val="00770BC0"/>
    <w:rsid w:val="007A348D"/>
    <w:rsid w:val="007A6FB0"/>
    <w:rsid w:val="007E4E78"/>
    <w:rsid w:val="007F6887"/>
    <w:rsid w:val="00800CBD"/>
    <w:rsid w:val="00827BE1"/>
    <w:rsid w:val="00835E16"/>
    <w:rsid w:val="00854DD9"/>
    <w:rsid w:val="00857A7C"/>
    <w:rsid w:val="0086344B"/>
    <w:rsid w:val="008744BD"/>
    <w:rsid w:val="008823DB"/>
    <w:rsid w:val="008939DE"/>
    <w:rsid w:val="008941E4"/>
    <w:rsid w:val="00895F80"/>
    <w:rsid w:val="008A1382"/>
    <w:rsid w:val="008C0200"/>
    <w:rsid w:val="008D7123"/>
    <w:rsid w:val="008F0D87"/>
    <w:rsid w:val="00900D67"/>
    <w:rsid w:val="00906A8D"/>
    <w:rsid w:val="00906FA7"/>
    <w:rsid w:val="00922D66"/>
    <w:rsid w:val="00926036"/>
    <w:rsid w:val="009344F1"/>
    <w:rsid w:val="00943486"/>
    <w:rsid w:val="00943BE1"/>
    <w:rsid w:val="00963722"/>
    <w:rsid w:val="00984199"/>
    <w:rsid w:val="0099307E"/>
    <w:rsid w:val="009A1474"/>
    <w:rsid w:val="009C0467"/>
    <w:rsid w:val="009C4A4A"/>
    <w:rsid w:val="009C5A07"/>
    <w:rsid w:val="009C7A95"/>
    <w:rsid w:val="009D36E7"/>
    <w:rsid w:val="009D499F"/>
    <w:rsid w:val="009E5CCE"/>
    <w:rsid w:val="009F41AC"/>
    <w:rsid w:val="00A102EC"/>
    <w:rsid w:val="00A13374"/>
    <w:rsid w:val="00A338EA"/>
    <w:rsid w:val="00A401A0"/>
    <w:rsid w:val="00A436AA"/>
    <w:rsid w:val="00A537A4"/>
    <w:rsid w:val="00A56920"/>
    <w:rsid w:val="00A57125"/>
    <w:rsid w:val="00A61C55"/>
    <w:rsid w:val="00A61C62"/>
    <w:rsid w:val="00A652B3"/>
    <w:rsid w:val="00A67AA8"/>
    <w:rsid w:val="00A76C36"/>
    <w:rsid w:val="00A9138A"/>
    <w:rsid w:val="00AA3FE0"/>
    <w:rsid w:val="00AC7C6E"/>
    <w:rsid w:val="00AD22E0"/>
    <w:rsid w:val="00AE5850"/>
    <w:rsid w:val="00B0555D"/>
    <w:rsid w:val="00B062C9"/>
    <w:rsid w:val="00B23F18"/>
    <w:rsid w:val="00B2696F"/>
    <w:rsid w:val="00B4007C"/>
    <w:rsid w:val="00B4241F"/>
    <w:rsid w:val="00B44B7B"/>
    <w:rsid w:val="00B507B2"/>
    <w:rsid w:val="00B6499F"/>
    <w:rsid w:val="00B76277"/>
    <w:rsid w:val="00B8542A"/>
    <w:rsid w:val="00B91E4E"/>
    <w:rsid w:val="00BA7109"/>
    <w:rsid w:val="00BB27E8"/>
    <w:rsid w:val="00BB4025"/>
    <w:rsid w:val="00BB63AD"/>
    <w:rsid w:val="00BC4B8F"/>
    <w:rsid w:val="00BC697B"/>
    <w:rsid w:val="00BD2CB0"/>
    <w:rsid w:val="00BD4D08"/>
    <w:rsid w:val="00BD6430"/>
    <w:rsid w:val="00BE5DCE"/>
    <w:rsid w:val="00C00A3B"/>
    <w:rsid w:val="00C1145F"/>
    <w:rsid w:val="00C26021"/>
    <w:rsid w:val="00C356ED"/>
    <w:rsid w:val="00C64057"/>
    <w:rsid w:val="00C76120"/>
    <w:rsid w:val="00C809AF"/>
    <w:rsid w:val="00C812AB"/>
    <w:rsid w:val="00C81A31"/>
    <w:rsid w:val="00C86948"/>
    <w:rsid w:val="00C90855"/>
    <w:rsid w:val="00CA410A"/>
    <w:rsid w:val="00CB47A0"/>
    <w:rsid w:val="00CB6B67"/>
    <w:rsid w:val="00CC4BFA"/>
    <w:rsid w:val="00CC5256"/>
    <w:rsid w:val="00CC70AC"/>
    <w:rsid w:val="00CD500B"/>
    <w:rsid w:val="00CE1019"/>
    <w:rsid w:val="00CE1B08"/>
    <w:rsid w:val="00CE51ED"/>
    <w:rsid w:val="00CE7FE3"/>
    <w:rsid w:val="00CF2605"/>
    <w:rsid w:val="00D306F8"/>
    <w:rsid w:val="00D42592"/>
    <w:rsid w:val="00D64F19"/>
    <w:rsid w:val="00D709BB"/>
    <w:rsid w:val="00D73CF5"/>
    <w:rsid w:val="00D77C77"/>
    <w:rsid w:val="00D92DD1"/>
    <w:rsid w:val="00D94C28"/>
    <w:rsid w:val="00DB15B4"/>
    <w:rsid w:val="00DB6A23"/>
    <w:rsid w:val="00DB74A5"/>
    <w:rsid w:val="00DC456B"/>
    <w:rsid w:val="00DC6CDA"/>
    <w:rsid w:val="00DD3B1F"/>
    <w:rsid w:val="00DD4F5F"/>
    <w:rsid w:val="00DE58D7"/>
    <w:rsid w:val="00DF4388"/>
    <w:rsid w:val="00DF4752"/>
    <w:rsid w:val="00E04E1C"/>
    <w:rsid w:val="00E115DB"/>
    <w:rsid w:val="00E12B6F"/>
    <w:rsid w:val="00E142D0"/>
    <w:rsid w:val="00E173AE"/>
    <w:rsid w:val="00E41CBC"/>
    <w:rsid w:val="00E45833"/>
    <w:rsid w:val="00E45F3B"/>
    <w:rsid w:val="00E827DF"/>
    <w:rsid w:val="00E84818"/>
    <w:rsid w:val="00E92BD1"/>
    <w:rsid w:val="00E93ED7"/>
    <w:rsid w:val="00EA230F"/>
    <w:rsid w:val="00EA31B5"/>
    <w:rsid w:val="00EA6C21"/>
    <w:rsid w:val="00EB1749"/>
    <w:rsid w:val="00EC5B10"/>
    <w:rsid w:val="00ED35D4"/>
    <w:rsid w:val="00ED59A8"/>
    <w:rsid w:val="00ED63F4"/>
    <w:rsid w:val="00EF3436"/>
    <w:rsid w:val="00EF47F9"/>
    <w:rsid w:val="00EF5392"/>
    <w:rsid w:val="00EF6CCC"/>
    <w:rsid w:val="00F0690A"/>
    <w:rsid w:val="00F13B4E"/>
    <w:rsid w:val="00F20D52"/>
    <w:rsid w:val="00F23D88"/>
    <w:rsid w:val="00F316DF"/>
    <w:rsid w:val="00F32CDE"/>
    <w:rsid w:val="00F37F41"/>
    <w:rsid w:val="00F541F6"/>
    <w:rsid w:val="00F54D0D"/>
    <w:rsid w:val="00F7678A"/>
    <w:rsid w:val="00F76940"/>
    <w:rsid w:val="00F92FF8"/>
    <w:rsid w:val="00FB4BF4"/>
    <w:rsid w:val="00FC744F"/>
    <w:rsid w:val="00FE7623"/>
    <w:rsid w:val="00FF3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D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99307E"/>
    <w:rPr>
      <w:color w:val="000000"/>
      <w:sz w:val="20"/>
      <w:szCs w:val="20"/>
      <w:lang w:val="en-GB" w:eastAsia="en-GB"/>
    </w:rPr>
  </w:style>
  <w:style w:type="character" w:customStyle="1" w:styleId="FootnoteTextChar">
    <w:name w:val="Footnote Text Char"/>
    <w:link w:val="FootnoteText"/>
    <w:rsid w:val="0099307E"/>
    <w:rPr>
      <w:rFonts w:eastAsia="Times New Roman"/>
      <w:color w:val="000000"/>
      <w:lang w:val="en-GB" w:eastAsia="en-GB"/>
    </w:rPr>
  </w:style>
  <w:style w:type="character" w:styleId="FootnoteReference">
    <w:name w:val="footnote reference"/>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paragraph" w:customStyle="1" w:styleId="Default">
    <w:name w:val="Default"/>
    <w:rsid w:val="007A6FB0"/>
    <w:pPr>
      <w:autoSpaceDE w:val="0"/>
      <w:autoSpaceDN w:val="0"/>
      <w:adjustRightInd w:val="0"/>
    </w:pPr>
    <w:rPr>
      <w:rFonts w:ascii="Cambria" w:eastAsia="Times New Roman" w:hAnsi="Cambria" w:cs="Cambria"/>
      <w:color w:val="000000"/>
      <w:sz w:val="24"/>
      <w:szCs w:val="24"/>
    </w:rPr>
  </w:style>
  <w:style w:type="character" w:customStyle="1" w:styleId="caption2">
    <w:name w:val="caption2"/>
    <w:basedOn w:val="DefaultParagraphFont"/>
    <w:rsid w:val="0038262B"/>
    <w:rPr>
      <w:rFonts w:ascii="Helvetica" w:hAnsi="Helvetica" w:cs="Helvetica" w:hint="default"/>
      <w:vanish w:val="0"/>
      <w:webHidden w:val="0"/>
      <w:color w:val="666666"/>
      <w:sz w:val="18"/>
      <w:szCs w:val="18"/>
      <w:specVanish w:val="0"/>
    </w:rPr>
  </w:style>
  <w:style w:type="character" w:customStyle="1" w:styleId="byline4">
    <w:name w:val="byline4"/>
    <w:basedOn w:val="DefaultParagraphFont"/>
    <w:rsid w:val="0038262B"/>
    <w:rPr>
      <w:rFonts w:ascii="Helvetica" w:hAnsi="Helvetica" w:cs="Helvetica" w:hint="default"/>
      <w:i/>
      <w:iCs/>
      <w:vanish w:val="0"/>
      <w:webHidden w:val="0"/>
      <w:color w:val="666666"/>
      <w:sz w:val="15"/>
      <w:szCs w:val="15"/>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2454">
      <w:bodyDiv w:val="1"/>
      <w:marLeft w:val="0"/>
      <w:marRight w:val="0"/>
      <w:marTop w:val="0"/>
      <w:marBottom w:val="0"/>
      <w:divBdr>
        <w:top w:val="none" w:sz="0" w:space="0" w:color="auto"/>
        <w:left w:val="none" w:sz="0" w:space="0" w:color="auto"/>
        <w:bottom w:val="none" w:sz="0" w:space="0" w:color="auto"/>
        <w:right w:val="none" w:sz="0" w:space="0" w:color="auto"/>
      </w:divBdr>
      <w:divsChild>
        <w:div w:id="110444619">
          <w:marLeft w:val="0"/>
          <w:marRight w:val="0"/>
          <w:marTop w:val="0"/>
          <w:marBottom w:val="0"/>
          <w:divBdr>
            <w:top w:val="none" w:sz="0" w:space="0" w:color="auto"/>
            <w:left w:val="none" w:sz="0" w:space="0" w:color="auto"/>
            <w:bottom w:val="none" w:sz="0" w:space="0" w:color="auto"/>
            <w:right w:val="none" w:sz="0" w:space="0" w:color="auto"/>
          </w:divBdr>
          <w:divsChild>
            <w:div w:id="1416827859">
              <w:marLeft w:val="0"/>
              <w:marRight w:val="0"/>
              <w:marTop w:val="0"/>
              <w:marBottom w:val="0"/>
              <w:divBdr>
                <w:top w:val="none" w:sz="0" w:space="0" w:color="auto"/>
                <w:left w:val="none" w:sz="0" w:space="0" w:color="auto"/>
                <w:bottom w:val="none" w:sz="0" w:space="0" w:color="auto"/>
                <w:right w:val="none" w:sz="0" w:space="0" w:color="auto"/>
              </w:divBdr>
              <w:divsChild>
                <w:div w:id="1461653237">
                  <w:marLeft w:val="0"/>
                  <w:marRight w:val="0"/>
                  <w:marTop w:val="225"/>
                  <w:marBottom w:val="0"/>
                  <w:divBdr>
                    <w:top w:val="none" w:sz="0" w:space="0" w:color="auto"/>
                    <w:left w:val="none" w:sz="0" w:space="0" w:color="auto"/>
                    <w:bottom w:val="none" w:sz="0" w:space="0" w:color="auto"/>
                    <w:right w:val="none" w:sz="0" w:space="0" w:color="auto"/>
                  </w:divBdr>
                  <w:divsChild>
                    <w:div w:id="1854802033">
                      <w:marLeft w:val="0"/>
                      <w:marRight w:val="0"/>
                      <w:marTop w:val="0"/>
                      <w:marBottom w:val="0"/>
                      <w:divBdr>
                        <w:top w:val="none" w:sz="0" w:space="0" w:color="auto"/>
                        <w:left w:val="none" w:sz="0" w:space="0" w:color="auto"/>
                        <w:bottom w:val="none" w:sz="0" w:space="0" w:color="auto"/>
                        <w:right w:val="none" w:sz="0" w:space="0" w:color="auto"/>
                      </w:divBdr>
                      <w:divsChild>
                        <w:div w:id="240405832">
                          <w:marLeft w:val="0"/>
                          <w:marRight w:val="0"/>
                          <w:marTop w:val="0"/>
                          <w:marBottom w:val="0"/>
                          <w:divBdr>
                            <w:top w:val="none" w:sz="0" w:space="0" w:color="auto"/>
                            <w:left w:val="none" w:sz="0" w:space="0" w:color="auto"/>
                            <w:bottom w:val="none" w:sz="0" w:space="0" w:color="auto"/>
                            <w:right w:val="none" w:sz="0" w:space="0" w:color="auto"/>
                          </w:divBdr>
                          <w:divsChild>
                            <w:div w:id="693270443">
                              <w:marLeft w:val="0"/>
                              <w:marRight w:val="0"/>
                              <w:marTop w:val="0"/>
                              <w:marBottom w:val="0"/>
                              <w:divBdr>
                                <w:top w:val="none" w:sz="0" w:space="0" w:color="auto"/>
                                <w:left w:val="none" w:sz="0" w:space="0" w:color="auto"/>
                                <w:bottom w:val="none" w:sz="0" w:space="0" w:color="auto"/>
                                <w:right w:val="none" w:sz="0" w:space="0" w:color="auto"/>
                              </w:divBdr>
                              <w:divsChild>
                                <w:div w:id="1021052199">
                                  <w:marLeft w:val="0"/>
                                  <w:marRight w:val="0"/>
                                  <w:marTop w:val="0"/>
                                  <w:marBottom w:val="0"/>
                                  <w:divBdr>
                                    <w:top w:val="none" w:sz="0" w:space="0" w:color="auto"/>
                                    <w:left w:val="none" w:sz="0" w:space="0" w:color="auto"/>
                                    <w:bottom w:val="none" w:sz="0" w:space="0" w:color="auto"/>
                                    <w:right w:val="none" w:sz="0" w:space="0" w:color="auto"/>
                                  </w:divBdr>
                                  <w:divsChild>
                                    <w:div w:id="1464810448">
                                      <w:marLeft w:val="0"/>
                                      <w:marRight w:val="0"/>
                                      <w:marTop w:val="0"/>
                                      <w:marBottom w:val="0"/>
                                      <w:divBdr>
                                        <w:top w:val="none" w:sz="0" w:space="0" w:color="auto"/>
                                        <w:left w:val="none" w:sz="0" w:space="0" w:color="auto"/>
                                        <w:bottom w:val="none" w:sz="0" w:space="0" w:color="auto"/>
                                        <w:right w:val="none" w:sz="0" w:space="0" w:color="auto"/>
                                      </w:divBdr>
                                      <w:divsChild>
                                        <w:div w:id="3624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205048">
      <w:bodyDiv w:val="1"/>
      <w:marLeft w:val="0"/>
      <w:marRight w:val="0"/>
      <w:marTop w:val="0"/>
      <w:marBottom w:val="0"/>
      <w:divBdr>
        <w:top w:val="none" w:sz="0" w:space="0" w:color="auto"/>
        <w:left w:val="none" w:sz="0" w:space="0" w:color="auto"/>
        <w:bottom w:val="none" w:sz="0" w:space="0" w:color="auto"/>
        <w:right w:val="none" w:sz="0" w:space="0" w:color="auto"/>
      </w:divBdr>
      <w:divsChild>
        <w:div w:id="218369169">
          <w:marLeft w:val="0"/>
          <w:marRight w:val="0"/>
          <w:marTop w:val="0"/>
          <w:marBottom w:val="0"/>
          <w:divBdr>
            <w:top w:val="none" w:sz="0" w:space="0" w:color="auto"/>
            <w:left w:val="none" w:sz="0" w:space="0" w:color="auto"/>
            <w:bottom w:val="none" w:sz="0" w:space="0" w:color="auto"/>
            <w:right w:val="none" w:sz="0" w:space="0" w:color="auto"/>
          </w:divBdr>
          <w:divsChild>
            <w:div w:id="659702048">
              <w:marLeft w:val="0"/>
              <w:marRight w:val="0"/>
              <w:marTop w:val="0"/>
              <w:marBottom w:val="0"/>
              <w:divBdr>
                <w:top w:val="none" w:sz="0" w:space="0" w:color="auto"/>
                <w:left w:val="none" w:sz="0" w:space="0" w:color="auto"/>
                <w:bottom w:val="none" w:sz="0" w:space="0" w:color="auto"/>
                <w:right w:val="none" w:sz="0" w:space="0" w:color="auto"/>
              </w:divBdr>
              <w:divsChild>
                <w:div w:id="13201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6130">
      <w:bodyDiv w:val="1"/>
      <w:marLeft w:val="0"/>
      <w:marRight w:val="0"/>
      <w:marTop w:val="0"/>
      <w:marBottom w:val="0"/>
      <w:divBdr>
        <w:top w:val="none" w:sz="0" w:space="0" w:color="auto"/>
        <w:left w:val="none" w:sz="0" w:space="0" w:color="auto"/>
        <w:bottom w:val="none" w:sz="0" w:space="0" w:color="auto"/>
        <w:right w:val="none" w:sz="0" w:space="0" w:color="auto"/>
      </w:divBdr>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3398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na.eosco@er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weather.gov/images/impacts/examples/IBWexample.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77CF-8E2E-48C5-8471-1728E634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dc:creator>
  <cp:lastModifiedBy>Sarah Brabson</cp:lastModifiedBy>
  <cp:revision>6</cp:revision>
  <cp:lastPrinted>2011-03-07T19:51:00Z</cp:lastPrinted>
  <dcterms:created xsi:type="dcterms:W3CDTF">2015-12-11T21:31:00Z</dcterms:created>
  <dcterms:modified xsi:type="dcterms:W3CDTF">2015-12-17T20:28:00Z</dcterms:modified>
</cp:coreProperties>
</file>