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B7" w:rsidRDefault="00DF152B" w:rsidP="001E44B1">
      <w:pPr>
        <w:jc w:val="center"/>
        <w:rPr>
          <w:b/>
        </w:rPr>
      </w:pPr>
      <w:bookmarkStart w:id="0" w:name="_Toc395102849"/>
      <w:r>
        <w:rPr>
          <w:b/>
        </w:rPr>
        <w:t>Hazardous</w:t>
      </w:r>
      <w:r w:rsidR="00C361B7">
        <w:rPr>
          <w:b/>
        </w:rPr>
        <w:t xml:space="preserve"> Weather </w:t>
      </w:r>
      <w:r w:rsidR="00EE41A1">
        <w:rPr>
          <w:b/>
        </w:rPr>
        <w:t xml:space="preserve">Messaging </w:t>
      </w:r>
      <w:r>
        <w:rPr>
          <w:b/>
        </w:rPr>
        <w:t xml:space="preserve">Case Study </w:t>
      </w:r>
      <w:r w:rsidR="00DA6DC6" w:rsidRPr="00DA6DC6">
        <w:rPr>
          <w:b/>
        </w:rPr>
        <w:t xml:space="preserve">Survey </w:t>
      </w:r>
    </w:p>
    <w:p w:rsidR="00E21DE6" w:rsidRDefault="00DA6DC6" w:rsidP="003B2481">
      <w:pPr>
        <w:pStyle w:val="BodyText"/>
        <w:ind w:left="14" w:right="14"/>
        <w:jc w:val="center"/>
        <w:rPr>
          <w:spacing w:val="-1"/>
        </w:rPr>
      </w:pPr>
      <w:proofErr w:type="gramStart"/>
      <w:r w:rsidRPr="00DA6DC6">
        <w:rPr>
          <w:b/>
        </w:rPr>
        <w:t>for</w:t>
      </w:r>
      <w:proofErr w:type="gramEnd"/>
      <w:r w:rsidRPr="00DA6DC6">
        <w:rPr>
          <w:b/>
        </w:rPr>
        <w:t xml:space="preserve"> NOAA’s National Weather Service Hazard Simplification Project</w:t>
      </w:r>
    </w:p>
    <w:p w:rsidR="00E21DE6" w:rsidRDefault="00E21DE6" w:rsidP="00E21DE6">
      <w:pPr>
        <w:pStyle w:val="BodyText"/>
        <w:ind w:left="14" w:right="14"/>
        <w:jc w:val="center"/>
        <w:rPr>
          <w:spacing w:val="-1"/>
        </w:rPr>
      </w:pPr>
      <w:r w:rsidRPr="00F233A9">
        <w:rPr>
          <w:spacing w:val="-1"/>
        </w:rPr>
        <w:t>Amendment to NOAA Watch, Warning, and Advisory Focus Groups</w:t>
      </w:r>
    </w:p>
    <w:p w:rsidR="00E21DE6" w:rsidRPr="00F233A9" w:rsidRDefault="00E21DE6" w:rsidP="00E21DE6">
      <w:pPr>
        <w:pStyle w:val="BodyText"/>
        <w:ind w:left="14" w:right="14"/>
        <w:jc w:val="center"/>
        <w:rPr>
          <w:spacing w:val="39"/>
        </w:rPr>
      </w:pPr>
      <w:r>
        <w:rPr>
          <w:spacing w:val="-1"/>
        </w:rPr>
        <w:t xml:space="preserve"> </w:t>
      </w:r>
      <w:r w:rsidRPr="00F233A9">
        <w:rPr>
          <w:color w:val="000000"/>
        </w:rPr>
        <w:t xml:space="preserve">(ICR Reference Number </w:t>
      </w:r>
      <w:r w:rsidRPr="00F233A9">
        <w:rPr>
          <w:rFonts w:eastAsia="Calibri"/>
        </w:rPr>
        <w:t xml:space="preserve">201103-0690-001, </w:t>
      </w:r>
      <w:r>
        <w:rPr>
          <w:rFonts w:eastAsia="Calibri"/>
        </w:rPr>
        <w:t xml:space="preserve">approved </w:t>
      </w:r>
      <w:r w:rsidRPr="00F233A9">
        <w:rPr>
          <w:rFonts w:eastAsia="Calibri"/>
        </w:rPr>
        <w:t>3/14/14)</w:t>
      </w:r>
    </w:p>
    <w:p w:rsidR="003B7A0E" w:rsidRPr="003B7A0E" w:rsidRDefault="003B7A0E" w:rsidP="003B7A0E">
      <w:pPr>
        <w:jc w:val="center"/>
        <w:rPr>
          <w:b/>
          <w:smallCaps/>
        </w:rPr>
      </w:pPr>
    </w:p>
    <w:bookmarkEnd w:id="0"/>
    <w:p w:rsidR="003B7A0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75267" w:rsidRPr="004B2986" w:rsidRDefault="00475267">
      <w:pPr>
        <w:autoSpaceDE w:val="0"/>
        <w:autoSpaceDN w:val="0"/>
        <w:adjustRightInd w:val="0"/>
        <w:rPr>
          <w:b/>
          <w:bCs/>
        </w:rPr>
      </w:pPr>
    </w:p>
    <w:p w:rsidR="004B2986" w:rsidRDefault="004B2986" w:rsidP="00676FF8">
      <w:pPr>
        <w:numPr>
          <w:ilvl w:val="0"/>
          <w:numId w:val="1"/>
        </w:numPr>
        <w:tabs>
          <w:tab w:val="left" w:pos="450"/>
        </w:tabs>
        <w:autoSpaceDE w:val="0"/>
        <w:autoSpaceDN w:val="0"/>
        <w:adjustRightInd w:val="0"/>
        <w:ind w:left="450"/>
        <w:rPr>
          <w:b/>
        </w:rPr>
      </w:pPr>
      <w:r w:rsidRPr="004B2986">
        <w:rPr>
          <w:b/>
        </w:rPr>
        <w:t xml:space="preserve">Explain who will be conducting this survey. What program office will be </w:t>
      </w:r>
      <w:r w:rsidRPr="004B2986">
        <w:rPr>
          <w:b/>
        </w:rPr>
        <w:br/>
        <w:t>conducting the survey? What services does this program provide? Who are the customers? How are these services provided to the customer?</w:t>
      </w:r>
    </w:p>
    <w:p w:rsidR="00783182" w:rsidRPr="004B2986" w:rsidRDefault="00783182" w:rsidP="00783182">
      <w:pPr>
        <w:tabs>
          <w:tab w:val="left" w:pos="450"/>
        </w:tabs>
        <w:autoSpaceDE w:val="0"/>
        <w:autoSpaceDN w:val="0"/>
        <w:adjustRightInd w:val="0"/>
        <w:rPr>
          <w:b/>
        </w:rPr>
      </w:pPr>
    </w:p>
    <w:p w:rsidR="00952BDA" w:rsidRPr="00783182" w:rsidRDefault="00DA6DC6" w:rsidP="00952BDA">
      <w:pPr>
        <w:ind w:left="360"/>
        <w:rPr>
          <w:rFonts w:eastAsiaTheme="minorHAnsi"/>
        </w:rPr>
      </w:pPr>
      <w:r>
        <w:rPr>
          <w:rFonts w:eastAsiaTheme="minorHAnsi"/>
        </w:rPr>
        <w:t>The survey will be conducted by NOAA’s</w:t>
      </w:r>
      <w:r w:rsidR="00783182" w:rsidRPr="00783182">
        <w:rPr>
          <w:rFonts w:eastAsiaTheme="minorHAnsi"/>
        </w:rPr>
        <w:t xml:space="preserve"> National Weather Service (NWS)</w:t>
      </w:r>
      <w:r>
        <w:rPr>
          <w:rFonts w:eastAsiaTheme="minorHAnsi"/>
        </w:rPr>
        <w:t>. The NWS</w:t>
      </w:r>
      <w:r w:rsidR="00783182" w:rsidRPr="00783182">
        <w:rPr>
          <w:rFonts w:eastAsiaTheme="minorHAnsi"/>
        </w:rPr>
        <w:t xml:space="preserve"> </w:t>
      </w:r>
      <w:r>
        <w:rPr>
          <w:rFonts w:eastAsiaTheme="minorHAnsi"/>
        </w:rPr>
        <w:t xml:space="preserve">forecasts hazardous weather situations and </w:t>
      </w:r>
      <w:r w:rsidRPr="00687DC1">
        <w:rPr>
          <w:rFonts w:eastAsia="Calibri"/>
        </w:rPr>
        <w:t>issue</w:t>
      </w:r>
      <w:r>
        <w:rPr>
          <w:rFonts w:eastAsia="Calibri"/>
        </w:rPr>
        <w:t>s</w:t>
      </w:r>
      <w:r w:rsidRPr="00687DC1">
        <w:rPr>
          <w:rFonts w:eastAsia="Calibri"/>
        </w:rPr>
        <w:t xml:space="preserve"> warnings, watches, </w:t>
      </w:r>
      <w:r w:rsidR="00952BDA">
        <w:rPr>
          <w:rFonts w:eastAsia="Calibri"/>
        </w:rPr>
        <w:t>advisories (WWA)</w:t>
      </w:r>
      <w:r w:rsidR="00E21DE6">
        <w:rPr>
          <w:rFonts w:eastAsia="Calibri"/>
        </w:rPr>
        <w:t>,</w:t>
      </w:r>
      <w:r w:rsidR="00952BDA">
        <w:rPr>
          <w:rFonts w:eastAsia="Calibri"/>
        </w:rPr>
        <w:t xml:space="preserve"> </w:t>
      </w:r>
      <w:r w:rsidRPr="00687DC1">
        <w:rPr>
          <w:rFonts w:eastAsia="Calibri"/>
        </w:rPr>
        <w:t>and other information products</w:t>
      </w:r>
      <w:r>
        <w:rPr>
          <w:rFonts w:eastAsia="Calibri"/>
        </w:rPr>
        <w:t xml:space="preserve"> to convey the threats posed by these events. These products are intended to help communities prepare for and respond to hazardous weather in order to protect people’s lives and property. </w:t>
      </w:r>
      <w:r w:rsidR="00AB45F1">
        <w:rPr>
          <w:rFonts w:eastAsia="Calibri"/>
        </w:rPr>
        <w:t>The</w:t>
      </w:r>
      <w:r w:rsidR="00952BDA">
        <w:rPr>
          <w:rFonts w:eastAsia="Calibri"/>
        </w:rPr>
        <w:t xml:space="preserve"> products are communicated to the public through websites, smart phones, </w:t>
      </w:r>
      <w:r w:rsidR="00BD4C5E">
        <w:rPr>
          <w:rFonts w:eastAsia="Calibri"/>
        </w:rPr>
        <w:t xml:space="preserve">television programs, radio broadcasts, </w:t>
      </w:r>
      <w:r w:rsidR="00952BDA">
        <w:rPr>
          <w:rFonts w:eastAsia="Calibri"/>
        </w:rPr>
        <w:t xml:space="preserve">and NOAA </w:t>
      </w:r>
      <w:r w:rsidR="009575BF">
        <w:rPr>
          <w:rFonts w:eastAsia="Calibri"/>
        </w:rPr>
        <w:t xml:space="preserve">Weather </w:t>
      </w:r>
      <w:r w:rsidR="00952BDA">
        <w:rPr>
          <w:rFonts w:eastAsia="Calibri"/>
        </w:rPr>
        <w:t>radio</w:t>
      </w:r>
      <w:r w:rsidR="00B00947">
        <w:rPr>
          <w:rFonts w:eastAsia="Calibri"/>
        </w:rPr>
        <w:t xml:space="preserve">. </w:t>
      </w:r>
      <w:r w:rsidR="00B00947">
        <w:rPr>
          <w:rFonts w:eastAsiaTheme="minorHAnsi"/>
        </w:rPr>
        <w:t>NWS customers include weather professionals,</w:t>
      </w:r>
      <w:r w:rsidR="00B00947">
        <w:rPr>
          <w:rFonts w:eastAsia="Calibri"/>
        </w:rPr>
        <w:t xml:space="preserve"> t</w:t>
      </w:r>
      <w:r w:rsidR="00B00947" w:rsidRPr="00783182">
        <w:rPr>
          <w:rFonts w:eastAsiaTheme="minorHAnsi"/>
        </w:rPr>
        <w:t>ransportation</w:t>
      </w:r>
      <w:r w:rsidR="00BD4C5E">
        <w:rPr>
          <w:rFonts w:eastAsiaTheme="minorHAnsi"/>
        </w:rPr>
        <w:t xml:space="preserve"> and aviation</w:t>
      </w:r>
      <w:r w:rsidR="00B00947" w:rsidRPr="00783182">
        <w:rPr>
          <w:rFonts w:eastAsiaTheme="minorHAnsi"/>
        </w:rPr>
        <w:t xml:space="preserve"> officials, emergency </w:t>
      </w:r>
      <w:r w:rsidR="00BD4C5E">
        <w:rPr>
          <w:rFonts w:eastAsiaTheme="minorHAnsi"/>
        </w:rPr>
        <w:t xml:space="preserve">management </w:t>
      </w:r>
      <w:r w:rsidR="00B00947" w:rsidRPr="00783182">
        <w:rPr>
          <w:rFonts w:eastAsiaTheme="minorHAnsi"/>
        </w:rPr>
        <w:t>personnel, public works departments, broadcast meteorologists</w:t>
      </w:r>
      <w:r w:rsidR="00B00947">
        <w:rPr>
          <w:rFonts w:eastAsiaTheme="minorHAnsi"/>
        </w:rPr>
        <w:t xml:space="preserve"> and </w:t>
      </w:r>
      <w:r w:rsidR="00BD4C5E">
        <w:rPr>
          <w:rFonts w:eastAsiaTheme="minorHAnsi"/>
        </w:rPr>
        <w:t>other</w:t>
      </w:r>
      <w:r w:rsidR="00B00947">
        <w:rPr>
          <w:rFonts w:eastAsiaTheme="minorHAnsi"/>
        </w:rPr>
        <w:t xml:space="preserve"> media, and the public</w:t>
      </w:r>
      <w:r w:rsidR="00B00947" w:rsidRPr="00783182">
        <w:rPr>
          <w:rFonts w:eastAsiaTheme="minorHAnsi"/>
        </w:rPr>
        <w:t>.</w:t>
      </w:r>
    </w:p>
    <w:p w:rsidR="00952BDA" w:rsidRDefault="00952BDA" w:rsidP="00DA6DC6">
      <w:pPr>
        <w:ind w:left="360"/>
        <w:rPr>
          <w:rFonts w:eastAsia="Calibri"/>
        </w:rPr>
      </w:pPr>
    </w:p>
    <w:p w:rsidR="00DB05E1" w:rsidRDefault="00DA6DC6" w:rsidP="00092167">
      <w:pPr>
        <w:ind w:left="360"/>
        <w:rPr>
          <w:rFonts w:eastAsiaTheme="minorHAnsi"/>
        </w:rPr>
      </w:pPr>
      <w:r>
        <w:rPr>
          <w:rFonts w:eastAsia="Calibri"/>
        </w:rPr>
        <w:t xml:space="preserve">The NWS </w:t>
      </w:r>
      <w:r w:rsidR="00783182" w:rsidRPr="00783182">
        <w:rPr>
          <w:rFonts w:eastAsiaTheme="minorHAnsi"/>
        </w:rPr>
        <w:t>has embarked on an effort to simplify its</w:t>
      </w:r>
      <w:r w:rsidR="00952BDA">
        <w:rPr>
          <w:rFonts w:eastAsiaTheme="minorHAnsi"/>
        </w:rPr>
        <w:t xml:space="preserve"> </w:t>
      </w:r>
      <w:r w:rsidR="00783182" w:rsidRPr="00783182">
        <w:rPr>
          <w:rFonts w:eastAsiaTheme="minorHAnsi"/>
        </w:rPr>
        <w:t xml:space="preserve">WWA products, </w:t>
      </w:r>
      <w:r w:rsidR="00952BDA">
        <w:rPr>
          <w:rFonts w:eastAsiaTheme="minorHAnsi"/>
        </w:rPr>
        <w:t xml:space="preserve">since </w:t>
      </w:r>
      <w:r w:rsidR="00DB05E1">
        <w:rPr>
          <w:rFonts w:eastAsiaTheme="minorHAnsi"/>
        </w:rPr>
        <w:t xml:space="preserve">both prior social science research and NWS service assessments have demonstrated that </w:t>
      </w:r>
      <w:r w:rsidR="00783182" w:rsidRPr="00783182">
        <w:rPr>
          <w:rFonts w:eastAsiaTheme="minorHAnsi"/>
        </w:rPr>
        <w:t>many members of the public</w:t>
      </w:r>
      <w:r>
        <w:rPr>
          <w:rFonts w:eastAsiaTheme="minorHAnsi"/>
        </w:rPr>
        <w:t>, and even some NWS partners,</w:t>
      </w:r>
      <w:r w:rsidR="00783182" w:rsidRPr="00783182">
        <w:rPr>
          <w:rFonts w:eastAsiaTheme="minorHAnsi"/>
        </w:rPr>
        <w:t xml:space="preserve"> don’t understand the distinctions </w:t>
      </w:r>
      <w:r>
        <w:rPr>
          <w:rFonts w:eastAsiaTheme="minorHAnsi"/>
        </w:rPr>
        <w:t>among</w:t>
      </w:r>
      <w:r w:rsidR="00783182" w:rsidRPr="00783182">
        <w:rPr>
          <w:rFonts w:eastAsiaTheme="minorHAnsi"/>
        </w:rPr>
        <w:t xml:space="preserve"> the terms used in the different WWA products or their intent. </w:t>
      </w:r>
      <w:r w:rsidR="00DB05E1">
        <w:rPr>
          <w:rFonts w:eastAsiaTheme="minorHAnsi"/>
        </w:rPr>
        <w:t>However, any change to the current WWA system must happen deliberately, gradually, and with transparency since the terms are recognized and widely used by NWS partners, as well as institutionalized into some kinds of societal decision-making.</w:t>
      </w:r>
    </w:p>
    <w:p w:rsidR="00DB05E1" w:rsidRDefault="00DB05E1" w:rsidP="00E656D8">
      <w:pPr>
        <w:ind w:left="720"/>
        <w:rPr>
          <w:rFonts w:eastAsiaTheme="minorHAnsi"/>
        </w:rPr>
      </w:pPr>
    </w:p>
    <w:p w:rsidR="00E656D8" w:rsidRPr="00E656D8" w:rsidRDefault="00DB05E1" w:rsidP="00E656D8">
      <w:pPr>
        <w:ind w:left="360"/>
      </w:pPr>
      <w:r>
        <w:rPr>
          <w:rFonts w:eastAsiaTheme="minorHAnsi"/>
        </w:rPr>
        <w:t xml:space="preserve">This survey builds on and furthers </w:t>
      </w:r>
      <w:r w:rsidR="00E21DE6">
        <w:rPr>
          <w:rFonts w:eastAsiaTheme="minorHAnsi"/>
        </w:rPr>
        <w:t xml:space="preserve">the </w:t>
      </w:r>
      <w:r>
        <w:rPr>
          <w:rFonts w:eastAsiaTheme="minorHAnsi"/>
        </w:rPr>
        <w:t xml:space="preserve">social science research conducted in the summer of 2014 that involved focus groups with </w:t>
      </w:r>
      <w:r>
        <w:rPr>
          <w:color w:val="000000"/>
        </w:rPr>
        <w:t xml:space="preserve">emergency managers, broadcast meteorologists, NWS Weather Forecast Office staff, and the public. The focus groups explored the current understanding and utility of the WWA </w:t>
      </w:r>
      <w:r w:rsidR="00E656D8">
        <w:rPr>
          <w:color w:val="000000"/>
        </w:rPr>
        <w:t xml:space="preserve">system </w:t>
      </w:r>
      <w:r>
        <w:rPr>
          <w:color w:val="000000"/>
        </w:rPr>
        <w:t xml:space="preserve">and possible enhancements to a new or modified system </w:t>
      </w:r>
      <w:r w:rsidRPr="00E25245">
        <w:rPr>
          <w:color w:val="000000"/>
        </w:rPr>
        <w:t xml:space="preserve">(ICR Reference Number </w:t>
      </w:r>
      <w:r w:rsidRPr="00E25245">
        <w:rPr>
          <w:rFonts w:eastAsia="Calibri"/>
        </w:rPr>
        <w:t>201103-0690-001, 3/14/14)</w:t>
      </w:r>
      <w:r>
        <w:rPr>
          <w:rFonts w:eastAsia="Calibri"/>
        </w:rPr>
        <w:t xml:space="preserve">. </w:t>
      </w:r>
      <w:r w:rsidR="00E656D8">
        <w:t xml:space="preserve">This survey </w:t>
      </w:r>
      <w:r w:rsidR="00284F0C">
        <w:t xml:space="preserve">asks for respondents to provide specific examples of the strengths and weaknesses of the current system to help NWS understand what kinds of potential changes </w:t>
      </w:r>
      <w:r w:rsidR="00E656D8">
        <w:t>would be beneficial to make to the present WWA system.</w:t>
      </w:r>
    </w:p>
    <w:p w:rsidR="00943486" w:rsidRPr="0034697E" w:rsidRDefault="00943486" w:rsidP="0034697E">
      <w:pPr>
        <w:autoSpaceDE w:val="0"/>
        <w:autoSpaceDN w:val="0"/>
        <w:adjustRightInd w:val="0"/>
        <w:ind w:left="810"/>
        <w:rPr>
          <w:b/>
        </w:rPr>
      </w:pPr>
    </w:p>
    <w:p w:rsidR="004B2986" w:rsidRPr="004B2986" w:rsidRDefault="004B2986" w:rsidP="00676FF8">
      <w:pPr>
        <w:numPr>
          <w:ilvl w:val="0"/>
          <w:numId w:val="1"/>
        </w:numPr>
        <w:autoSpaceDE w:val="0"/>
        <w:autoSpaceDN w:val="0"/>
        <w:adjustRightInd w:val="0"/>
        <w:ind w:left="450"/>
        <w:rPr>
          <w:b/>
        </w:rPr>
      </w:pPr>
      <w:r w:rsidRPr="004B2986">
        <w:rPr>
          <w:b/>
        </w:rPr>
        <w:t xml:space="preserve">Explain how this survey was developed. With whom did you consult </w:t>
      </w:r>
      <w:r w:rsidR="009C4A4A">
        <w:rPr>
          <w:b/>
        </w:rPr>
        <w:t xml:space="preserve">regarding content </w:t>
      </w:r>
      <w:r w:rsidRPr="004B2986">
        <w:rPr>
          <w:b/>
        </w:rPr>
        <w:t>during the development of this survey? Statistics? What suggestions did you get about improving the survey?</w:t>
      </w:r>
    </w:p>
    <w:p w:rsidR="00F65C9E" w:rsidRDefault="00F65C9E" w:rsidP="00F65C9E">
      <w:pPr>
        <w:autoSpaceDE w:val="0"/>
        <w:autoSpaceDN w:val="0"/>
        <w:adjustRightInd w:val="0"/>
        <w:spacing w:before="100" w:beforeAutospacing="1" w:after="100" w:afterAutospacing="1"/>
        <w:ind w:left="360"/>
        <w:contextualSpacing/>
      </w:pPr>
    </w:p>
    <w:p w:rsidR="00E21DE6" w:rsidRDefault="000440A5" w:rsidP="00F65C9E">
      <w:pPr>
        <w:autoSpaceDE w:val="0"/>
        <w:autoSpaceDN w:val="0"/>
        <w:adjustRightInd w:val="0"/>
        <w:spacing w:before="100" w:beforeAutospacing="1" w:after="100" w:afterAutospacing="1"/>
        <w:ind w:left="360"/>
        <w:contextualSpacing/>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w:t>
      </w:r>
      <w:r w:rsidR="00952BDA">
        <w:t>to develop th</w:t>
      </w:r>
      <w:r w:rsidR="00E21DE6">
        <w:t>is</w:t>
      </w:r>
      <w:r w:rsidR="00952BDA">
        <w:t xml:space="preserve"> survey. </w:t>
      </w:r>
      <w:r w:rsidR="004B2986" w:rsidRPr="004B2986">
        <w:t xml:space="preserve">ERG has significant experience </w:t>
      </w:r>
      <w:r w:rsidR="00E21DE6">
        <w:t xml:space="preserve">in planning and conducting social science research, including </w:t>
      </w:r>
      <w:r w:rsidR="004B2986" w:rsidRPr="004B2986">
        <w:t xml:space="preserve">interviews, focus groups, and surveys that focus on customer satisfaction and outcome attainment. </w:t>
      </w:r>
    </w:p>
    <w:p w:rsidR="00E21DE6" w:rsidRDefault="00E21DE6" w:rsidP="00F65C9E">
      <w:pPr>
        <w:autoSpaceDE w:val="0"/>
        <w:autoSpaceDN w:val="0"/>
        <w:adjustRightInd w:val="0"/>
        <w:spacing w:before="100" w:beforeAutospacing="1" w:after="100" w:afterAutospacing="1"/>
        <w:ind w:left="360"/>
        <w:contextualSpacing/>
      </w:pPr>
    </w:p>
    <w:p w:rsidR="00952BDA" w:rsidRPr="00EC1AFF" w:rsidRDefault="00651243" w:rsidP="00F65C9E">
      <w:pPr>
        <w:autoSpaceDE w:val="0"/>
        <w:autoSpaceDN w:val="0"/>
        <w:adjustRightInd w:val="0"/>
        <w:spacing w:before="100" w:beforeAutospacing="1" w:after="100" w:afterAutospacing="1"/>
        <w:ind w:left="360"/>
        <w:contextualSpacing/>
        <w:rPr>
          <w:rFonts w:eastAsia="Calibri"/>
        </w:rPr>
      </w:pPr>
      <w:r>
        <w:t>To develop the</w:t>
      </w:r>
      <w:r w:rsidR="00284F0C">
        <w:t xml:space="preserve"> survey</w:t>
      </w:r>
      <w:r w:rsidRPr="000440A5">
        <w:t>, ERG</w:t>
      </w:r>
      <w:r w:rsidR="00284F0C">
        <w:t>’s</w:t>
      </w:r>
      <w:r w:rsidRPr="000440A5">
        <w:t xml:space="preserve"> Dr. </w:t>
      </w:r>
      <w:r w:rsidR="00952BDA" w:rsidRPr="000440A5">
        <w:t>Gina Eosco</w:t>
      </w:r>
      <w:r w:rsidRPr="000440A5">
        <w:t xml:space="preserve">, a </w:t>
      </w:r>
      <w:r w:rsidR="000440A5">
        <w:t xml:space="preserve">well-known and </w:t>
      </w:r>
      <w:r w:rsidRPr="000440A5">
        <w:t>respected social scientist</w:t>
      </w:r>
      <w:r w:rsidR="000440A5">
        <w:t xml:space="preserve"> in the weather community</w:t>
      </w:r>
      <w:r w:rsidRPr="000440A5">
        <w:t>, w</w:t>
      </w:r>
      <w:r w:rsidR="00284F0C">
        <w:t xml:space="preserve">orked closely with a team of NOAA social scientists and contractors, including </w:t>
      </w:r>
      <w:r w:rsidR="00F93C38">
        <w:t xml:space="preserve">Dr. </w:t>
      </w:r>
      <w:r w:rsidR="00284F0C">
        <w:t>Kim Klo</w:t>
      </w:r>
      <w:r w:rsidR="000440A5" w:rsidRPr="00EC1AFF">
        <w:rPr>
          <w:color w:val="000000"/>
        </w:rPr>
        <w:t>ckow, a Post-Doctoral Fellow at the University Corporation for Atmospheric Research (UCAR), who is currently working with the NWS in the Office of Atmospheric Research and Office of Weather and Air Quality</w:t>
      </w:r>
      <w:r w:rsidR="00284F0C" w:rsidRPr="00EC1AFF">
        <w:rPr>
          <w:color w:val="000000"/>
        </w:rPr>
        <w:t>; D</w:t>
      </w:r>
      <w:r w:rsidR="00F93C38" w:rsidRPr="00EC1AFF">
        <w:rPr>
          <w:color w:val="000000"/>
        </w:rPr>
        <w:t>r. D</w:t>
      </w:r>
      <w:r w:rsidR="00284F0C" w:rsidRPr="00EC1AFF">
        <w:rPr>
          <w:color w:val="000000"/>
        </w:rPr>
        <w:t xml:space="preserve">anielle Nagele, </w:t>
      </w:r>
      <w:r w:rsidR="00F93C38" w:rsidRPr="00EC1AFF">
        <w:rPr>
          <w:color w:val="000000"/>
        </w:rPr>
        <w:t xml:space="preserve">a risk communication expert in NOAA’s National </w:t>
      </w:r>
      <w:r w:rsidR="00F93C38" w:rsidRPr="00EC1AFF">
        <w:rPr>
          <w:color w:val="000000"/>
        </w:rPr>
        <w:lastRenderedPageBreak/>
        <w:t>Ocean Service</w:t>
      </w:r>
      <w:r w:rsidR="006B6103" w:rsidRPr="00EC1AFF">
        <w:rPr>
          <w:color w:val="000000"/>
        </w:rPr>
        <w:t xml:space="preserve"> (NOS)</w:t>
      </w:r>
      <w:r w:rsidR="00F93C38" w:rsidRPr="00EC1AFF">
        <w:rPr>
          <w:color w:val="000000"/>
        </w:rPr>
        <w:t xml:space="preserve">, Dr. Vankita Brown, a social scientists with NOAA’s NWS </w:t>
      </w:r>
      <w:r w:rsidR="00F93C38" w:rsidRPr="00EC1AFF">
        <w:rPr>
          <w:rStyle w:val="Strong"/>
          <w:b w:val="0"/>
        </w:rPr>
        <w:t>Center For Advanced Public Safety</w:t>
      </w:r>
      <w:r w:rsidR="00F93C38" w:rsidRPr="00F93C38">
        <w:t xml:space="preserve">, </w:t>
      </w:r>
      <w:r w:rsidR="00F93C38">
        <w:t xml:space="preserve">and Dr. Chris Ellis, a social scientist with the </w:t>
      </w:r>
      <w:r w:rsidR="006B6103">
        <w:t>NOS Office for Coastal Management.</w:t>
      </w:r>
      <w:r w:rsidR="00F93C38" w:rsidRPr="00EC1AFF">
        <w:rPr>
          <w:color w:val="000000"/>
        </w:rPr>
        <w:t xml:space="preserve"> </w:t>
      </w:r>
      <w:r w:rsidR="00284F0C" w:rsidRPr="00EC1AFF">
        <w:rPr>
          <w:color w:val="000000"/>
        </w:rPr>
        <w:t>ERG</w:t>
      </w:r>
      <w:r w:rsidR="00E25245" w:rsidRPr="00EC1AFF">
        <w:rPr>
          <w:color w:val="000000"/>
        </w:rPr>
        <w:t xml:space="preserve"> also worked closely with </w:t>
      </w:r>
      <w:r w:rsidR="00777A66" w:rsidRPr="00EC1AFF">
        <w:rPr>
          <w:color w:val="000000"/>
        </w:rPr>
        <w:t xml:space="preserve">NOAA and </w:t>
      </w:r>
      <w:r w:rsidR="00E25245" w:rsidRPr="00EC1AFF">
        <w:rPr>
          <w:color w:val="000000"/>
        </w:rPr>
        <w:t xml:space="preserve">NWS </w:t>
      </w:r>
      <w:r w:rsidR="00777A66" w:rsidRPr="00EC1AFF">
        <w:rPr>
          <w:color w:val="000000"/>
        </w:rPr>
        <w:t xml:space="preserve">leadership on the project, including Elliott </w:t>
      </w:r>
      <w:r w:rsidR="00777A66" w:rsidRPr="00F93C38">
        <w:t xml:space="preserve">Jacks, </w:t>
      </w:r>
      <w:r w:rsidR="00F93C38" w:rsidRPr="00F93C38">
        <w:t xml:space="preserve">Acting Chief, </w:t>
      </w:r>
      <w:proofErr w:type="gramStart"/>
      <w:r w:rsidR="00F93C38" w:rsidRPr="00F93C38">
        <w:t>Forecast</w:t>
      </w:r>
      <w:proofErr w:type="gramEnd"/>
      <w:r w:rsidR="00F93C38" w:rsidRPr="00F93C38">
        <w:t xml:space="preserve"> Services Division for the NWS Analyze, Forecast and Support Office</w:t>
      </w:r>
      <w:r w:rsidR="00777A66" w:rsidRPr="00F93C38">
        <w:t xml:space="preserve">, </w:t>
      </w:r>
      <w:r w:rsidR="00E21DE6">
        <w:t xml:space="preserve">and </w:t>
      </w:r>
      <w:r w:rsidR="00DF161E">
        <w:t>J</w:t>
      </w:r>
      <w:r w:rsidR="00777A66" w:rsidRPr="00F93C38">
        <w:t>ennifer</w:t>
      </w:r>
      <w:r w:rsidR="00777A66">
        <w:t xml:space="preserve"> Sprague, </w:t>
      </w:r>
      <w:r w:rsidR="006B6103">
        <w:t xml:space="preserve">NOS </w:t>
      </w:r>
      <w:r w:rsidR="00777A66">
        <w:t>Acting Chief of Staff</w:t>
      </w:r>
      <w:r w:rsidR="00E21DE6">
        <w:t>. Additionally</w:t>
      </w:r>
      <w:r w:rsidR="00DF161E">
        <w:t xml:space="preserve">, </w:t>
      </w:r>
      <w:r w:rsidR="00E21DE6">
        <w:t xml:space="preserve">ERG consulted with </w:t>
      </w:r>
      <w:r w:rsidR="00DF161E">
        <w:t>Re</w:t>
      </w:r>
      <w:r w:rsidR="00DF161E" w:rsidRPr="00EC1AFF">
        <w:rPr>
          <w:color w:val="000000"/>
        </w:rPr>
        <w:t xml:space="preserve">becca </w:t>
      </w:r>
      <w:proofErr w:type="spellStart"/>
      <w:r w:rsidR="00DF161E" w:rsidRPr="00EC1AFF">
        <w:rPr>
          <w:color w:val="000000"/>
        </w:rPr>
        <w:t>Jenning</w:t>
      </w:r>
      <w:proofErr w:type="spellEnd"/>
      <w:r w:rsidR="00DF161E" w:rsidRPr="00EC1AFF">
        <w:rPr>
          <w:color w:val="000000"/>
        </w:rPr>
        <w:t>, a meteorologist with the Federal Emergency Management Agency (FEMA)</w:t>
      </w:r>
      <w:r w:rsidR="00F65C9E">
        <w:rPr>
          <w:color w:val="000000"/>
        </w:rPr>
        <w:t>, and Nate Johnson, a broadcast meteorologist with WRAL-TV in North Carolina</w:t>
      </w:r>
      <w:r w:rsidR="0045158C" w:rsidRPr="00EC1AFF">
        <w:rPr>
          <w:color w:val="000000"/>
        </w:rPr>
        <w:t>.</w:t>
      </w:r>
      <w:r w:rsidR="00DF161E" w:rsidRPr="00EC1AFF">
        <w:rPr>
          <w:color w:val="000000"/>
        </w:rPr>
        <w:t xml:space="preserve"> </w:t>
      </w:r>
      <w:r w:rsidR="00E25245" w:rsidRPr="00EC1AFF">
        <w:rPr>
          <w:color w:val="000000"/>
        </w:rPr>
        <w:t>Suggestions for improving the survey included</w:t>
      </w:r>
      <w:r w:rsidR="0045158C" w:rsidRPr="00EC1AFF">
        <w:rPr>
          <w:color w:val="000000"/>
        </w:rPr>
        <w:t xml:space="preserve"> changing wording to address the responders’ frame of reference, avoiding acronyms and NWS jargon, and </w:t>
      </w:r>
      <w:r w:rsidR="00E25245" w:rsidRPr="00EC1AFF">
        <w:rPr>
          <w:color w:val="000000"/>
        </w:rPr>
        <w:t>shortening and simplifying the questions being asked</w:t>
      </w:r>
      <w:r w:rsidR="0045158C" w:rsidRPr="00EC1AFF">
        <w:rPr>
          <w:color w:val="000000"/>
        </w:rPr>
        <w:t>.</w:t>
      </w:r>
    </w:p>
    <w:p w:rsidR="004B2986" w:rsidRDefault="004B2986" w:rsidP="00952BDA">
      <w:pPr>
        <w:pStyle w:val="ListParagraph"/>
        <w:numPr>
          <w:ilvl w:val="0"/>
          <w:numId w:val="1"/>
        </w:numPr>
        <w:ind w:left="360"/>
        <w:rPr>
          <w:b/>
        </w:rPr>
      </w:pPr>
      <w:r w:rsidRPr="00952BDA">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45158C" w:rsidRPr="00F05998" w:rsidRDefault="00E25245" w:rsidP="00553372">
      <w:pPr>
        <w:shd w:val="clear" w:color="auto" w:fill="FFFFFF"/>
        <w:spacing w:before="100" w:beforeAutospacing="1" w:after="240"/>
        <w:ind w:left="360"/>
      </w:pPr>
      <w:r w:rsidRPr="00F05998">
        <w:t xml:space="preserve">The </w:t>
      </w:r>
      <w:r w:rsidR="00B43471">
        <w:t xml:space="preserve">on line </w:t>
      </w:r>
      <w:r w:rsidRPr="00F05998">
        <w:t>survey</w:t>
      </w:r>
      <w:r w:rsidR="00B43471">
        <w:t xml:space="preserve"> link</w:t>
      </w:r>
      <w:r w:rsidRPr="00F05998">
        <w:t xml:space="preserve"> will be </w:t>
      </w:r>
      <w:r w:rsidR="0045158C" w:rsidRPr="00F05998">
        <w:t>distributed to partners</w:t>
      </w:r>
      <w:r w:rsidR="00F65C9E" w:rsidRPr="00F05998">
        <w:t xml:space="preserve"> in the emergency management/response communities</w:t>
      </w:r>
      <w:r w:rsidR="0045158C" w:rsidRPr="00F05998">
        <w:t xml:space="preserve"> in each NWS Weather Forecast Office (WFO) via each</w:t>
      </w:r>
      <w:r w:rsidR="00F65C9E" w:rsidRPr="00F05998">
        <w:t xml:space="preserve"> of the NWS’s 122 </w:t>
      </w:r>
      <w:r w:rsidR="0045158C" w:rsidRPr="00F05998">
        <w:t>WFOs</w:t>
      </w:r>
      <w:r w:rsidR="00F65C9E" w:rsidRPr="00F05998">
        <w:t>, as well as to broadcast meteorologists and members of the media who cover weather. Each WFO keeps detailed email list</w:t>
      </w:r>
      <w:r w:rsidR="00F05998" w:rsidRPr="00F05998">
        <w:t xml:space="preserve"> of these entities</w:t>
      </w:r>
      <w:r w:rsidR="00F65C9E" w:rsidRPr="00F05998">
        <w:t>.</w:t>
      </w:r>
      <w:r w:rsidR="00F05998" w:rsidRPr="00F05998">
        <w:t xml:space="preserve"> </w:t>
      </w:r>
      <w:r w:rsidR="00E84DDA">
        <w:t>These lists vary from office to office but typically</w:t>
      </w:r>
      <w:r w:rsidR="00123361">
        <w:t xml:space="preserve"> contain a few hundred names</w:t>
      </w:r>
      <w:r w:rsidR="00E84DDA">
        <w:t>.</w:t>
      </w:r>
      <w:r w:rsidR="00123361">
        <w:t xml:space="preserve"> </w:t>
      </w:r>
      <w:r w:rsidR="00F05998" w:rsidRPr="00F05998">
        <w:t xml:space="preserve">The survey will also be distributed to broadcasters and other members of the media via </w:t>
      </w:r>
      <w:r w:rsidR="00B12B36">
        <w:t>t</w:t>
      </w:r>
      <w:r w:rsidR="00F05998">
        <w:t xml:space="preserve">he </w:t>
      </w:r>
      <w:r w:rsidR="00F05998" w:rsidRPr="00F05998">
        <w:rPr>
          <w:color w:val="232323"/>
        </w:rPr>
        <w:t>American Meteorological Society</w:t>
      </w:r>
      <w:r w:rsidR="00F05998">
        <w:rPr>
          <w:color w:val="232323"/>
        </w:rPr>
        <w:t xml:space="preserve"> (AMS)</w:t>
      </w:r>
      <w:r w:rsidR="00123361">
        <w:rPr>
          <w:color w:val="232323"/>
        </w:rPr>
        <w:t xml:space="preserve">, which has </w:t>
      </w:r>
      <w:r w:rsidR="00B12B36">
        <w:rPr>
          <w:color w:val="232323"/>
        </w:rPr>
        <w:t>a total membership of 14,000</w:t>
      </w:r>
      <w:r w:rsidR="00123361">
        <w:rPr>
          <w:color w:val="232323"/>
        </w:rPr>
        <w:t xml:space="preserve"> of which 558 are certified broadcast meteorologists</w:t>
      </w:r>
      <w:r w:rsidR="00F05998">
        <w:rPr>
          <w:color w:val="232323"/>
        </w:rPr>
        <w:t xml:space="preserve">. </w:t>
      </w:r>
    </w:p>
    <w:p w:rsidR="00F65C9E" w:rsidRDefault="00F65C9E" w:rsidP="00E84DDA">
      <w:pPr>
        <w:spacing w:before="100" w:beforeAutospacing="1" w:after="100" w:afterAutospacing="1"/>
        <w:ind w:left="360"/>
      </w:pPr>
      <w:r w:rsidRPr="00F05998">
        <w:t xml:space="preserve">NWS anticipates that approximately </w:t>
      </w:r>
      <w:r w:rsidR="000246A9">
        <w:t>1</w:t>
      </w:r>
      <w:r w:rsidR="00123361">
        <w:t xml:space="preserve">0 </w:t>
      </w:r>
      <w:r w:rsidR="000246A9">
        <w:t xml:space="preserve">percent </w:t>
      </w:r>
      <w:r w:rsidRPr="00F05998">
        <w:t xml:space="preserve">of the customers will respond. </w:t>
      </w:r>
      <w:r w:rsidR="000246A9">
        <w:t>The survey contains a fair number of open-ended responses</w:t>
      </w:r>
      <w:r w:rsidR="00CA5787">
        <w:t>, which could limit response</w:t>
      </w:r>
      <w:r w:rsidR="000246A9">
        <w:t>. However,</w:t>
      </w:r>
      <w:r w:rsidR="00B12B36">
        <w:t xml:space="preserve"> respondents will be individuals who know</w:t>
      </w:r>
      <w:r w:rsidR="000246A9">
        <w:t>,</w:t>
      </w:r>
      <w:r w:rsidR="00B12B36">
        <w:t xml:space="preserve"> use</w:t>
      </w:r>
      <w:r w:rsidR="000246A9">
        <w:t>, and care about</w:t>
      </w:r>
      <w:r w:rsidR="00B12B36">
        <w:t xml:space="preserve"> NWS products; many of these individuals will also have worked closely with WFO staff and will understand the value of the survey. </w:t>
      </w:r>
      <w:r w:rsidR="00E84DDA">
        <w:t xml:space="preserve">These close working relationships may help to boost survey response. </w:t>
      </w:r>
      <w:r w:rsidR="00B12B36">
        <w:t xml:space="preserve">NWS </w:t>
      </w:r>
      <w:r w:rsidR="00E84DDA">
        <w:t xml:space="preserve">also </w:t>
      </w:r>
      <w:r w:rsidR="00B12B36">
        <w:t xml:space="preserve">plans to </w:t>
      </w:r>
      <w:r>
        <w:t xml:space="preserve">increase </w:t>
      </w:r>
      <w:r w:rsidR="00B12B36">
        <w:t xml:space="preserve">the sample size by using </w:t>
      </w:r>
      <w:r w:rsidR="00E84DDA">
        <w:t xml:space="preserve">a </w:t>
      </w:r>
      <w:r>
        <w:t>chain referral</w:t>
      </w:r>
      <w:r w:rsidR="00E84DDA">
        <w:t xml:space="preserve"> approach</w:t>
      </w:r>
      <w:r>
        <w:t>, whereby each respondent will be encouraged to share the survey link with colleagues</w:t>
      </w:r>
      <w:r w:rsidR="00B12B36">
        <w:t xml:space="preserve">. NWS will also send several </w:t>
      </w:r>
      <w:r>
        <w:t>reminders</w:t>
      </w:r>
      <w:r w:rsidR="00B12B36">
        <w:t xml:space="preserve"> to potential survey takers to encourage them to fill out the survey</w:t>
      </w:r>
      <w:r>
        <w:t>.</w:t>
      </w:r>
    </w:p>
    <w:p w:rsidR="004B2986" w:rsidRPr="004B2986" w:rsidRDefault="004B2986" w:rsidP="00676FF8">
      <w:pPr>
        <w:numPr>
          <w:ilvl w:val="0"/>
          <w:numId w:val="1"/>
        </w:numPr>
        <w:autoSpaceDE w:val="0"/>
        <w:autoSpaceDN w:val="0"/>
        <w:adjustRightInd w:val="0"/>
        <w:ind w:left="450"/>
        <w:rPr>
          <w:b/>
        </w:rPr>
      </w:pPr>
      <w:r w:rsidRPr="004B298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393FF6">
      <w:pPr>
        <w:autoSpaceDE w:val="0"/>
        <w:autoSpaceDN w:val="0"/>
        <w:adjustRightInd w:val="0"/>
        <w:ind w:left="810" w:hanging="360"/>
        <w:rPr>
          <w:b/>
          <w:bCs/>
        </w:rPr>
      </w:pPr>
    </w:p>
    <w:p w:rsidR="002D1789" w:rsidRPr="002D1789" w:rsidRDefault="00391177" w:rsidP="00393FF6">
      <w:pPr>
        <w:tabs>
          <w:tab w:val="left" w:pos="450"/>
        </w:tabs>
        <w:autoSpaceDE w:val="0"/>
        <w:autoSpaceDN w:val="0"/>
        <w:adjustRightInd w:val="0"/>
        <w:ind w:left="360"/>
      </w:pPr>
      <w:r w:rsidRPr="00C455AE">
        <w:t xml:space="preserve">The data gained from this survey will be reported to the NWS project leadership with the goal of </w:t>
      </w:r>
      <w:r w:rsidR="00E656D8" w:rsidRPr="00391177">
        <w:t>further consider</w:t>
      </w:r>
      <w:r w:rsidR="00123361">
        <w:t>ation of</w:t>
      </w:r>
      <w:r w:rsidR="00E656D8" w:rsidRPr="00391177">
        <w:t xml:space="preserve"> possible changes or modifications to the WWA system.</w:t>
      </w:r>
      <w:r w:rsidR="00E656D8">
        <w:rPr>
          <w:b/>
        </w:rPr>
        <w:t xml:space="preserve"> </w:t>
      </w:r>
      <w:r w:rsidR="002D1789" w:rsidRPr="002D1789">
        <w:t xml:space="preserve">NWS </w:t>
      </w:r>
      <w:r w:rsidR="002D1789">
        <w:t xml:space="preserve">will not be sampling from a </w:t>
      </w:r>
      <w:r w:rsidR="00123361">
        <w:t xml:space="preserve">customer </w:t>
      </w:r>
      <w:r w:rsidR="002D1789">
        <w:t>population for this data collection. The data are intended to provide guidance from interested stakeholders in the way in which information should best be conveyed. Thus, no extrapolation to a population will be performed.</w:t>
      </w:r>
    </w:p>
    <w:p w:rsidR="007258C8" w:rsidRPr="0055485C" w:rsidRDefault="007258C8" w:rsidP="00393FF6">
      <w:pPr>
        <w:ind w:left="360"/>
      </w:pPr>
    </w:p>
    <w:p w:rsidR="00E12B6F" w:rsidRDefault="00E12B6F" w:rsidP="00393FF6">
      <w:pPr>
        <w:autoSpaceDE w:val="0"/>
        <w:autoSpaceDN w:val="0"/>
        <w:adjustRightInd w:val="0"/>
        <w:ind w:left="36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B43471" w:rsidRDefault="00B43471" w:rsidP="00393FF6">
      <w:pPr>
        <w:autoSpaceDE w:val="0"/>
        <w:autoSpaceDN w:val="0"/>
        <w:adjustRightInd w:val="0"/>
        <w:ind w:left="360"/>
        <w:rPr>
          <w:bCs/>
        </w:rPr>
      </w:pPr>
    </w:p>
    <w:p w:rsidR="00B43471" w:rsidRDefault="00B43471" w:rsidP="00393FF6">
      <w:pPr>
        <w:autoSpaceDE w:val="0"/>
        <w:autoSpaceDN w:val="0"/>
        <w:adjustRightInd w:val="0"/>
        <w:ind w:left="360"/>
        <w:rPr>
          <w:bCs/>
        </w:rPr>
      </w:pPr>
    </w:p>
    <w:p w:rsidR="00B43471" w:rsidRDefault="00B43471" w:rsidP="00393FF6">
      <w:pPr>
        <w:autoSpaceDE w:val="0"/>
        <w:autoSpaceDN w:val="0"/>
        <w:adjustRightInd w:val="0"/>
        <w:ind w:left="360"/>
        <w:rPr>
          <w:bCs/>
        </w:rPr>
      </w:pPr>
    </w:p>
    <w:p w:rsidR="00B43471" w:rsidRDefault="00B43471" w:rsidP="00393FF6">
      <w:pPr>
        <w:autoSpaceDE w:val="0"/>
        <w:autoSpaceDN w:val="0"/>
        <w:adjustRightInd w:val="0"/>
        <w:ind w:left="360"/>
        <w:rPr>
          <w:bCs/>
        </w:rPr>
      </w:pPr>
    </w:p>
    <w:p w:rsidR="00B43471" w:rsidRDefault="00B43471">
      <w:pPr>
        <w:rPr>
          <w:bCs/>
        </w:rPr>
      </w:pPr>
      <w:r>
        <w:rPr>
          <w:bCs/>
        </w:rPr>
        <w:br w:type="page"/>
      </w: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lastRenderedPageBreak/>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CF1626" w:rsidRDefault="00E84DDA" w:rsidP="00CF1626">
      <w:pPr>
        <w:ind w:left="360"/>
      </w:pPr>
      <w:r>
        <w:t xml:space="preserve">The potential respondent universe is </w:t>
      </w:r>
      <w:r w:rsidRPr="00CF1626">
        <w:t>approximately</w:t>
      </w:r>
      <w:r w:rsidR="00182E7A">
        <w:t xml:space="preserve"> </w:t>
      </w:r>
      <w:r w:rsidR="00A61329">
        <w:t>27,454</w:t>
      </w:r>
      <w:r w:rsidR="006A0FE1">
        <w:t xml:space="preserve"> </w:t>
      </w:r>
      <w:r w:rsidR="00A61329">
        <w:t xml:space="preserve">individuals, representing agencies and organizations typically involved in emergency planning and response. This </w:t>
      </w:r>
      <w:r w:rsidR="006A0FE1">
        <w:t>includes</w:t>
      </w:r>
      <w:r w:rsidR="00EC6B8C">
        <w:t xml:space="preserve"> federal</w:t>
      </w:r>
      <w:r w:rsidR="006A0FE1">
        <w:t xml:space="preserve"> agency representatives (Coast Guard, </w:t>
      </w:r>
      <w:r w:rsidR="00A61329">
        <w:t xml:space="preserve">FAA, </w:t>
      </w:r>
      <w:r w:rsidR="006A0FE1">
        <w:t>FEMA, DOT, USGS, EPA, DOD, etc.)</w:t>
      </w:r>
      <w:r w:rsidR="00EC6B8C">
        <w:t xml:space="preserve"> state</w:t>
      </w:r>
      <w:r w:rsidR="00A61329">
        <w:t>/tribal</w:t>
      </w:r>
      <w:r w:rsidR="006A0FE1">
        <w:t xml:space="preserve"> agency representatives (state departments of environmental protection, state emergency management agencies, state departments of transportation, etc.)</w:t>
      </w:r>
      <w:r w:rsidR="00EC6B8C">
        <w:t>, and local government employees</w:t>
      </w:r>
      <w:r w:rsidR="006A0FE1">
        <w:t xml:space="preserve"> (fire</w:t>
      </w:r>
      <w:r w:rsidR="00A61329">
        <w:t xml:space="preserve"> and rescue, emergency managers, utilities, department of public works, etc.),</w:t>
      </w:r>
      <w:r w:rsidR="00EC6B8C">
        <w:t xml:space="preserve"> as well as private sector individuals (</w:t>
      </w:r>
      <w:r w:rsidR="00CF1626">
        <w:t>e.g., hospital consortia, college/university emergency managers,</w:t>
      </w:r>
      <w:r w:rsidR="00EC6B8C">
        <w:t xml:space="preserve"> broadcasters, media, and others).</w:t>
      </w:r>
      <w:r w:rsidR="00606AE9">
        <w:t xml:space="preserve"> </w:t>
      </w:r>
      <w:r w:rsidR="00C1145F">
        <w:t>No statistical methods are being used in the participant selection</w:t>
      </w:r>
      <w:r w:rsidR="00606AE9">
        <w:t xml:space="preserve">. </w:t>
      </w:r>
      <w:r w:rsidR="00664139">
        <w:t xml:space="preserve">The expected response rate is 2,745 (10 percent). </w:t>
      </w:r>
    </w:p>
    <w:p w:rsidR="00CF1626" w:rsidRDefault="00CF1626" w:rsidP="00CF1626">
      <w:pPr>
        <w:ind w:left="360"/>
      </w:pPr>
    </w:p>
    <w:tbl>
      <w:tblPr>
        <w:tblStyle w:val="TableGrid"/>
        <w:tblW w:w="0" w:type="auto"/>
        <w:tblInd w:w="360" w:type="dxa"/>
        <w:tblLayout w:type="fixed"/>
        <w:tblLook w:val="04A0" w:firstRow="1" w:lastRow="0" w:firstColumn="1" w:lastColumn="0" w:noHBand="0" w:noVBand="1"/>
      </w:tblPr>
      <w:tblGrid>
        <w:gridCol w:w="2088"/>
        <w:gridCol w:w="1710"/>
        <w:gridCol w:w="1724"/>
        <w:gridCol w:w="1336"/>
        <w:gridCol w:w="1800"/>
      </w:tblGrid>
      <w:tr w:rsidR="00CF1626" w:rsidRPr="00182E7A" w:rsidTr="004F1AD6">
        <w:tc>
          <w:tcPr>
            <w:tcW w:w="2088" w:type="dxa"/>
            <w:shd w:val="clear" w:color="auto" w:fill="C6D9F1" w:themeFill="text2" w:themeFillTint="33"/>
          </w:tcPr>
          <w:p w:rsidR="00CF1626" w:rsidRPr="00182E7A" w:rsidRDefault="00CF1626" w:rsidP="00CF1626">
            <w:pPr>
              <w:rPr>
                <w:b/>
              </w:rPr>
            </w:pPr>
            <w:r w:rsidRPr="00182E7A">
              <w:rPr>
                <w:b/>
              </w:rPr>
              <w:t>Respondent Source</w:t>
            </w:r>
          </w:p>
        </w:tc>
        <w:tc>
          <w:tcPr>
            <w:tcW w:w="1710" w:type="dxa"/>
            <w:shd w:val="clear" w:color="auto" w:fill="C6D9F1" w:themeFill="text2" w:themeFillTint="33"/>
          </w:tcPr>
          <w:p w:rsidR="00CF1626" w:rsidRPr="00182E7A" w:rsidRDefault="00CF1626" w:rsidP="00123361">
            <w:pPr>
              <w:rPr>
                <w:b/>
              </w:rPr>
            </w:pPr>
            <w:r w:rsidRPr="00182E7A">
              <w:rPr>
                <w:b/>
              </w:rPr>
              <w:t xml:space="preserve">Federal </w:t>
            </w:r>
            <w:r w:rsidR="00123361">
              <w:rPr>
                <w:b/>
              </w:rPr>
              <w:t>A</w:t>
            </w:r>
            <w:r w:rsidRPr="00182E7A">
              <w:rPr>
                <w:b/>
              </w:rPr>
              <w:t>gency</w:t>
            </w:r>
          </w:p>
        </w:tc>
        <w:tc>
          <w:tcPr>
            <w:tcW w:w="1724" w:type="dxa"/>
            <w:shd w:val="clear" w:color="auto" w:fill="C6D9F1" w:themeFill="text2" w:themeFillTint="33"/>
          </w:tcPr>
          <w:p w:rsidR="00CF1626" w:rsidRPr="00182E7A" w:rsidRDefault="00CF1626" w:rsidP="00CF1626">
            <w:pPr>
              <w:rPr>
                <w:b/>
              </w:rPr>
            </w:pPr>
            <w:r w:rsidRPr="00182E7A">
              <w:rPr>
                <w:b/>
              </w:rPr>
              <w:t>State Agency</w:t>
            </w:r>
          </w:p>
        </w:tc>
        <w:tc>
          <w:tcPr>
            <w:tcW w:w="1336" w:type="dxa"/>
            <w:shd w:val="clear" w:color="auto" w:fill="C6D9F1" w:themeFill="text2" w:themeFillTint="33"/>
          </w:tcPr>
          <w:p w:rsidR="00CF1626" w:rsidRPr="00182E7A" w:rsidRDefault="00CF1626" w:rsidP="00CF1626">
            <w:pPr>
              <w:rPr>
                <w:b/>
              </w:rPr>
            </w:pPr>
            <w:r w:rsidRPr="00182E7A">
              <w:rPr>
                <w:b/>
              </w:rPr>
              <w:t>Local/Tribal Agency</w:t>
            </w:r>
          </w:p>
        </w:tc>
        <w:tc>
          <w:tcPr>
            <w:tcW w:w="1800" w:type="dxa"/>
            <w:shd w:val="clear" w:color="auto" w:fill="C6D9F1" w:themeFill="text2" w:themeFillTint="33"/>
          </w:tcPr>
          <w:p w:rsidR="00CF1626" w:rsidRPr="00182E7A" w:rsidRDefault="00CF1626" w:rsidP="00CF1626">
            <w:pPr>
              <w:rPr>
                <w:b/>
              </w:rPr>
            </w:pPr>
            <w:r w:rsidRPr="00182E7A">
              <w:rPr>
                <w:b/>
              </w:rPr>
              <w:t>Private</w:t>
            </w:r>
          </w:p>
        </w:tc>
      </w:tr>
      <w:tr w:rsidR="00CF1626" w:rsidTr="004F1AD6">
        <w:tc>
          <w:tcPr>
            <w:tcW w:w="2088" w:type="dxa"/>
          </w:tcPr>
          <w:p w:rsidR="00CF1626" w:rsidRPr="00CF1626" w:rsidRDefault="00CF1626" w:rsidP="00CF1626">
            <w:r w:rsidRPr="00CF1626">
              <w:t>WFO Partner List</w:t>
            </w:r>
          </w:p>
          <w:p w:rsidR="00CF1626" w:rsidRPr="00123361" w:rsidRDefault="00CF1626" w:rsidP="000246A9">
            <w:pPr>
              <w:rPr>
                <w:vertAlign w:val="superscript"/>
              </w:rPr>
            </w:pPr>
            <w:r w:rsidRPr="00CF1626">
              <w:t xml:space="preserve">122 x </w:t>
            </w:r>
            <w:r w:rsidR="00123361">
              <w:t>2</w:t>
            </w:r>
            <w:r w:rsidR="000246A9">
              <w:t>0</w:t>
            </w:r>
            <w:r w:rsidRPr="00CF1626">
              <w:t>0 =</w:t>
            </w:r>
            <w:r w:rsidR="000246A9">
              <w:t>24,400</w:t>
            </w:r>
            <w:r w:rsidR="00123361">
              <w:t>*</w:t>
            </w:r>
          </w:p>
        </w:tc>
        <w:tc>
          <w:tcPr>
            <w:tcW w:w="1710" w:type="dxa"/>
          </w:tcPr>
          <w:p w:rsidR="00CF1626" w:rsidRPr="00CF1626" w:rsidRDefault="000246A9" w:rsidP="004F1AD6">
            <w:r>
              <w:t>6,100</w:t>
            </w:r>
          </w:p>
        </w:tc>
        <w:tc>
          <w:tcPr>
            <w:tcW w:w="1724" w:type="dxa"/>
          </w:tcPr>
          <w:p w:rsidR="00CF1626" w:rsidRPr="00CF1626" w:rsidRDefault="000246A9" w:rsidP="00CF1626">
            <w:r>
              <w:t>6,100</w:t>
            </w:r>
          </w:p>
        </w:tc>
        <w:tc>
          <w:tcPr>
            <w:tcW w:w="1336" w:type="dxa"/>
          </w:tcPr>
          <w:p w:rsidR="00CF1626" w:rsidRPr="00CF1626" w:rsidRDefault="000246A9" w:rsidP="00CF1626">
            <w:r>
              <w:t>6,100</w:t>
            </w:r>
          </w:p>
        </w:tc>
        <w:tc>
          <w:tcPr>
            <w:tcW w:w="1800" w:type="dxa"/>
          </w:tcPr>
          <w:p w:rsidR="00CF1626" w:rsidRPr="00CF1626" w:rsidRDefault="000246A9" w:rsidP="00CF1626">
            <w:r>
              <w:t>6,100</w:t>
            </w:r>
          </w:p>
        </w:tc>
      </w:tr>
      <w:tr w:rsidR="00CF1626" w:rsidTr="004F1AD6">
        <w:tc>
          <w:tcPr>
            <w:tcW w:w="2088" w:type="dxa"/>
          </w:tcPr>
          <w:p w:rsidR="00CF1626" w:rsidRPr="00CF1626" w:rsidRDefault="00CF1626" w:rsidP="00CF1626">
            <w:r w:rsidRPr="00CF1626">
              <w:t>AMS</w:t>
            </w:r>
          </w:p>
        </w:tc>
        <w:tc>
          <w:tcPr>
            <w:tcW w:w="1710" w:type="dxa"/>
          </w:tcPr>
          <w:p w:rsidR="00CF1626" w:rsidRPr="00CF1626" w:rsidRDefault="00CF1626" w:rsidP="00CF1626"/>
        </w:tc>
        <w:tc>
          <w:tcPr>
            <w:tcW w:w="1724" w:type="dxa"/>
          </w:tcPr>
          <w:p w:rsidR="00CF1626" w:rsidRPr="00CF1626" w:rsidRDefault="00CF1626" w:rsidP="00CF1626"/>
        </w:tc>
        <w:tc>
          <w:tcPr>
            <w:tcW w:w="1336" w:type="dxa"/>
          </w:tcPr>
          <w:p w:rsidR="00CF1626" w:rsidRPr="00CF1626" w:rsidRDefault="00CF1626" w:rsidP="00CF1626"/>
        </w:tc>
        <w:tc>
          <w:tcPr>
            <w:tcW w:w="1800" w:type="dxa"/>
          </w:tcPr>
          <w:p w:rsidR="00CF1626" w:rsidRPr="00CF1626" w:rsidRDefault="00182E7A" w:rsidP="008E4EB6">
            <w:r>
              <w:t xml:space="preserve"> </w:t>
            </w:r>
            <w:r w:rsidR="00123361">
              <w:t>558</w:t>
            </w:r>
          </w:p>
        </w:tc>
      </w:tr>
      <w:tr w:rsidR="004F1AD6" w:rsidTr="004F1AD6">
        <w:tc>
          <w:tcPr>
            <w:tcW w:w="2088" w:type="dxa"/>
          </w:tcPr>
          <w:p w:rsidR="004F1AD6" w:rsidRPr="00CF1626" w:rsidRDefault="004F1AD6" w:rsidP="00CF1626">
            <w:r>
              <w:t>Referrals**</w:t>
            </w:r>
          </w:p>
        </w:tc>
        <w:tc>
          <w:tcPr>
            <w:tcW w:w="1710" w:type="dxa"/>
          </w:tcPr>
          <w:p w:rsidR="004F1AD6" w:rsidRDefault="008F6FC5" w:rsidP="00CF1626">
            <w:r>
              <w:t>61</w:t>
            </w:r>
            <w:r w:rsidR="00A61329">
              <w:t>0</w:t>
            </w:r>
          </w:p>
          <w:p w:rsidR="000246A9" w:rsidRPr="00CF1626" w:rsidRDefault="000246A9" w:rsidP="00CF1626"/>
        </w:tc>
        <w:tc>
          <w:tcPr>
            <w:tcW w:w="1724" w:type="dxa"/>
          </w:tcPr>
          <w:p w:rsidR="004F1AD6" w:rsidRPr="00CF1626" w:rsidRDefault="008F6FC5" w:rsidP="00CF1626">
            <w:r>
              <w:t>61</w:t>
            </w:r>
            <w:r w:rsidR="00A61329">
              <w:t>0</w:t>
            </w:r>
          </w:p>
        </w:tc>
        <w:tc>
          <w:tcPr>
            <w:tcW w:w="1336" w:type="dxa"/>
          </w:tcPr>
          <w:p w:rsidR="004F1AD6" w:rsidRPr="00CF1626" w:rsidRDefault="008F6FC5" w:rsidP="00CF1626">
            <w:r>
              <w:t>61</w:t>
            </w:r>
            <w:r w:rsidR="00A61329">
              <w:t>0</w:t>
            </w:r>
          </w:p>
        </w:tc>
        <w:tc>
          <w:tcPr>
            <w:tcW w:w="1800" w:type="dxa"/>
          </w:tcPr>
          <w:p w:rsidR="004F1AD6" w:rsidRDefault="00A61329" w:rsidP="008E4EB6">
            <w:r>
              <w:t>610 + 56 = 666</w:t>
            </w:r>
          </w:p>
          <w:p w:rsidR="006A0FE1" w:rsidRDefault="006A0FE1" w:rsidP="008E4EB6"/>
        </w:tc>
      </w:tr>
      <w:tr w:rsidR="00CF1626" w:rsidRPr="00182E7A" w:rsidTr="004F1AD6">
        <w:trPr>
          <w:trHeight w:val="197"/>
        </w:trPr>
        <w:tc>
          <w:tcPr>
            <w:tcW w:w="2088" w:type="dxa"/>
          </w:tcPr>
          <w:p w:rsidR="00CF1626" w:rsidRPr="00182E7A" w:rsidRDefault="008E4EB6" w:rsidP="008E4EB6">
            <w:pPr>
              <w:rPr>
                <w:b/>
              </w:rPr>
            </w:pPr>
            <w:r>
              <w:rPr>
                <w:b/>
              </w:rPr>
              <w:t>Subt</w:t>
            </w:r>
            <w:r w:rsidR="00CF1626" w:rsidRPr="00182E7A">
              <w:rPr>
                <w:b/>
              </w:rPr>
              <w:t>otals</w:t>
            </w:r>
          </w:p>
        </w:tc>
        <w:tc>
          <w:tcPr>
            <w:tcW w:w="1710" w:type="dxa"/>
          </w:tcPr>
          <w:p w:rsidR="00CF1626" w:rsidRPr="00182E7A" w:rsidRDefault="00A61329" w:rsidP="00CF1626">
            <w:pPr>
              <w:rPr>
                <w:b/>
              </w:rPr>
            </w:pPr>
            <w:r>
              <w:rPr>
                <w:b/>
              </w:rPr>
              <w:t>6,710</w:t>
            </w:r>
          </w:p>
        </w:tc>
        <w:tc>
          <w:tcPr>
            <w:tcW w:w="1724" w:type="dxa"/>
          </w:tcPr>
          <w:p w:rsidR="00CF1626" w:rsidRPr="00182E7A" w:rsidRDefault="00A61329" w:rsidP="00CF1626">
            <w:pPr>
              <w:rPr>
                <w:b/>
              </w:rPr>
            </w:pPr>
            <w:r>
              <w:rPr>
                <w:b/>
              </w:rPr>
              <w:t>6,710</w:t>
            </w:r>
          </w:p>
        </w:tc>
        <w:tc>
          <w:tcPr>
            <w:tcW w:w="1336" w:type="dxa"/>
          </w:tcPr>
          <w:p w:rsidR="00CF1626" w:rsidRPr="00182E7A" w:rsidRDefault="00A61329" w:rsidP="00CF1626">
            <w:pPr>
              <w:rPr>
                <w:b/>
              </w:rPr>
            </w:pPr>
            <w:r>
              <w:rPr>
                <w:b/>
              </w:rPr>
              <w:t>6,710</w:t>
            </w:r>
          </w:p>
        </w:tc>
        <w:tc>
          <w:tcPr>
            <w:tcW w:w="1800" w:type="dxa"/>
          </w:tcPr>
          <w:p w:rsidR="00CF1626" w:rsidRPr="00182E7A" w:rsidRDefault="00A61329" w:rsidP="00CF1626">
            <w:pPr>
              <w:rPr>
                <w:b/>
              </w:rPr>
            </w:pPr>
            <w:r>
              <w:rPr>
                <w:b/>
              </w:rPr>
              <w:t>7,324</w:t>
            </w:r>
          </w:p>
        </w:tc>
      </w:tr>
      <w:tr w:rsidR="008E4EB6" w:rsidRPr="00182E7A" w:rsidTr="007C6D31">
        <w:trPr>
          <w:trHeight w:val="197"/>
        </w:trPr>
        <w:tc>
          <w:tcPr>
            <w:tcW w:w="2088" w:type="dxa"/>
          </w:tcPr>
          <w:p w:rsidR="008E4EB6" w:rsidRPr="00182E7A" w:rsidRDefault="008E4EB6" w:rsidP="00CF1626">
            <w:pPr>
              <w:rPr>
                <w:b/>
              </w:rPr>
            </w:pPr>
            <w:r>
              <w:rPr>
                <w:b/>
              </w:rPr>
              <w:t>Total</w:t>
            </w:r>
          </w:p>
        </w:tc>
        <w:tc>
          <w:tcPr>
            <w:tcW w:w="6570" w:type="dxa"/>
            <w:gridSpan w:val="4"/>
          </w:tcPr>
          <w:p w:rsidR="008E4EB6" w:rsidRDefault="00A61329" w:rsidP="00CF1626">
            <w:pPr>
              <w:rPr>
                <w:b/>
              </w:rPr>
            </w:pPr>
            <w:r>
              <w:rPr>
                <w:b/>
              </w:rPr>
              <w:t>27,454</w:t>
            </w:r>
          </w:p>
        </w:tc>
      </w:tr>
      <w:tr w:rsidR="00664139" w:rsidRPr="00182E7A" w:rsidTr="007C6D31">
        <w:trPr>
          <w:trHeight w:val="197"/>
        </w:trPr>
        <w:tc>
          <w:tcPr>
            <w:tcW w:w="2088" w:type="dxa"/>
          </w:tcPr>
          <w:p w:rsidR="00664139" w:rsidRDefault="00664139" w:rsidP="00CF1626">
            <w:pPr>
              <w:rPr>
                <w:b/>
              </w:rPr>
            </w:pPr>
            <w:r>
              <w:rPr>
                <w:b/>
              </w:rPr>
              <w:t>Expected Response (10 percent of Total)</w:t>
            </w:r>
          </w:p>
        </w:tc>
        <w:tc>
          <w:tcPr>
            <w:tcW w:w="6570" w:type="dxa"/>
            <w:gridSpan w:val="4"/>
          </w:tcPr>
          <w:p w:rsidR="00664139" w:rsidRDefault="00664139" w:rsidP="00CF1626">
            <w:pPr>
              <w:rPr>
                <w:b/>
              </w:rPr>
            </w:pPr>
            <w:r>
              <w:rPr>
                <w:b/>
              </w:rPr>
              <w:t>2,745</w:t>
            </w:r>
          </w:p>
        </w:tc>
      </w:tr>
    </w:tbl>
    <w:p w:rsidR="00CF1626" w:rsidRDefault="00123361" w:rsidP="00CF1626">
      <w:pPr>
        <w:ind w:left="360"/>
        <w:rPr>
          <w:i/>
        </w:rPr>
      </w:pPr>
      <w:r>
        <w:rPr>
          <w:b/>
        </w:rPr>
        <w:t>*</w:t>
      </w:r>
      <w:r w:rsidR="004F1AD6" w:rsidRPr="004F1AD6">
        <w:rPr>
          <w:i/>
        </w:rPr>
        <w:t xml:space="preserve"> </w:t>
      </w:r>
      <w:r w:rsidR="004F1AD6">
        <w:rPr>
          <w:i/>
        </w:rPr>
        <w:t xml:space="preserve">There are 122 </w:t>
      </w:r>
      <w:r w:rsidR="00A61329">
        <w:rPr>
          <w:i/>
        </w:rPr>
        <w:t xml:space="preserve">NWS </w:t>
      </w:r>
      <w:r w:rsidR="004F1AD6">
        <w:rPr>
          <w:i/>
        </w:rPr>
        <w:t xml:space="preserve">WFOs—each with its own partner list. </w:t>
      </w:r>
      <w:r w:rsidR="008E4EB6">
        <w:rPr>
          <w:i/>
        </w:rPr>
        <w:t>Based on information from the WFOs, w</w:t>
      </w:r>
      <w:r w:rsidR="004F1AD6">
        <w:rPr>
          <w:i/>
        </w:rPr>
        <w:t>e assume</w:t>
      </w:r>
      <w:r w:rsidRPr="004F1AD6">
        <w:rPr>
          <w:i/>
        </w:rPr>
        <w:t xml:space="preserve"> the average WFO list contains about 2</w:t>
      </w:r>
      <w:r w:rsidR="000246A9">
        <w:rPr>
          <w:i/>
        </w:rPr>
        <w:t>0</w:t>
      </w:r>
      <w:r w:rsidRPr="004F1AD6">
        <w:rPr>
          <w:i/>
        </w:rPr>
        <w:t>0 partner</w:t>
      </w:r>
      <w:r w:rsidR="008E4EB6">
        <w:rPr>
          <w:i/>
        </w:rPr>
        <w:t xml:space="preserve"> names</w:t>
      </w:r>
      <w:r w:rsidR="004F1AD6">
        <w:rPr>
          <w:i/>
        </w:rPr>
        <w:t>.</w:t>
      </w:r>
      <w:r w:rsidRPr="004F1AD6">
        <w:rPr>
          <w:i/>
        </w:rPr>
        <w:t xml:space="preserve"> </w:t>
      </w:r>
      <w:r w:rsidR="008E4EB6">
        <w:rPr>
          <w:i/>
        </w:rPr>
        <w:t>Also b</w:t>
      </w:r>
      <w:r w:rsidR="004F1AD6">
        <w:rPr>
          <w:i/>
        </w:rPr>
        <w:t>ased on information from the WFOs, w</w:t>
      </w:r>
      <w:r w:rsidRPr="004F1AD6">
        <w:rPr>
          <w:i/>
        </w:rPr>
        <w:t xml:space="preserve">e presume the </w:t>
      </w:r>
      <w:r w:rsidR="004F1AD6">
        <w:rPr>
          <w:i/>
        </w:rPr>
        <w:t xml:space="preserve">partners are </w:t>
      </w:r>
      <w:r w:rsidRPr="004F1AD6">
        <w:rPr>
          <w:i/>
        </w:rPr>
        <w:t>split</w:t>
      </w:r>
      <w:r w:rsidR="00A61329">
        <w:rPr>
          <w:i/>
        </w:rPr>
        <w:t xml:space="preserve"> fairly</w:t>
      </w:r>
      <w:r w:rsidRPr="004F1AD6">
        <w:rPr>
          <w:i/>
        </w:rPr>
        <w:t xml:space="preserve"> evenly among federal agencies, state agencies, local agencies, and the private sector.</w:t>
      </w:r>
    </w:p>
    <w:p w:rsidR="004F1AD6" w:rsidRPr="004F1AD6" w:rsidRDefault="004F1AD6" w:rsidP="00CF1626">
      <w:pPr>
        <w:ind w:left="360"/>
        <w:rPr>
          <w:i/>
        </w:rPr>
      </w:pPr>
      <w:r>
        <w:rPr>
          <w:b/>
        </w:rPr>
        <w:t>**</w:t>
      </w:r>
      <w:r w:rsidRPr="004F1AD6">
        <w:rPr>
          <w:i/>
        </w:rPr>
        <w:t xml:space="preserve"> Survey respondents will be encouraged to share the survey link. Th</w:t>
      </w:r>
      <w:r w:rsidR="00A61329">
        <w:rPr>
          <w:i/>
        </w:rPr>
        <w:t xml:space="preserve">e number of referrals </w:t>
      </w:r>
      <w:r w:rsidRPr="004F1AD6">
        <w:rPr>
          <w:i/>
        </w:rPr>
        <w:t xml:space="preserve">assumes </w:t>
      </w:r>
      <w:r w:rsidR="008F6FC5">
        <w:rPr>
          <w:i/>
        </w:rPr>
        <w:t>1</w:t>
      </w:r>
      <w:r w:rsidRPr="004F1AD6">
        <w:rPr>
          <w:i/>
        </w:rPr>
        <w:t xml:space="preserve">0 percent of each category of potential respondents </w:t>
      </w:r>
      <w:r w:rsidR="008E4EB6">
        <w:rPr>
          <w:i/>
        </w:rPr>
        <w:t xml:space="preserve">will </w:t>
      </w:r>
      <w:r w:rsidRPr="004F1AD6">
        <w:rPr>
          <w:i/>
        </w:rPr>
        <w:t>complete the survey (</w:t>
      </w:r>
      <w:r w:rsidR="008F6FC5">
        <w:rPr>
          <w:i/>
        </w:rPr>
        <w:t>610</w:t>
      </w:r>
      <w:r w:rsidRPr="004F1AD6">
        <w:rPr>
          <w:i/>
        </w:rPr>
        <w:t>) and all share the link.</w:t>
      </w:r>
      <w:r w:rsidR="00A61329">
        <w:rPr>
          <w:i/>
        </w:rPr>
        <w:t xml:space="preserve"> </w:t>
      </w:r>
      <w:r w:rsidR="008E4EB6">
        <w:rPr>
          <w:i/>
        </w:rPr>
        <w:t xml:space="preserve">For the AMS referrals, this </w:t>
      </w:r>
      <w:r w:rsidRPr="004F1AD6">
        <w:rPr>
          <w:i/>
        </w:rPr>
        <w:t xml:space="preserve">assumes </w:t>
      </w:r>
      <w:r w:rsidR="008F6FC5">
        <w:rPr>
          <w:i/>
        </w:rPr>
        <w:t>1</w:t>
      </w:r>
      <w:r w:rsidRPr="004F1AD6">
        <w:rPr>
          <w:i/>
        </w:rPr>
        <w:t xml:space="preserve">0 percent of </w:t>
      </w:r>
      <w:r>
        <w:rPr>
          <w:i/>
        </w:rPr>
        <w:t>the broadcasters (</w:t>
      </w:r>
      <w:r w:rsidR="008F6FC5">
        <w:rPr>
          <w:i/>
        </w:rPr>
        <w:t>56</w:t>
      </w:r>
      <w:r>
        <w:rPr>
          <w:i/>
        </w:rPr>
        <w:t>)</w:t>
      </w:r>
      <w:r w:rsidRPr="004F1AD6">
        <w:rPr>
          <w:i/>
        </w:rPr>
        <w:t xml:space="preserve"> complete the survey</w:t>
      </w:r>
      <w:r>
        <w:rPr>
          <w:i/>
        </w:rPr>
        <w:t xml:space="preserve"> </w:t>
      </w:r>
      <w:r w:rsidRPr="004F1AD6">
        <w:rPr>
          <w:i/>
        </w:rPr>
        <w:t xml:space="preserve">and all share the link. </w:t>
      </w:r>
    </w:p>
    <w:p w:rsidR="00C1145F" w:rsidRPr="00182E7A" w:rsidRDefault="00C1145F" w:rsidP="00BA7109">
      <w:pPr>
        <w:rPr>
          <w:b/>
          <w:lang w:val="en-GB" w:eastAsia="en-GB"/>
        </w:rPr>
      </w:pPr>
    </w:p>
    <w:p w:rsidR="00606AE9" w:rsidRDefault="00700E3D" w:rsidP="00D306F8">
      <w:pPr>
        <w:ind w:left="360"/>
      </w:pPr>
      <w:r>
        <w:t>No statistical methods are being used in the participant selection</w:t>
      </w:r>
      <w:r w:rsidR="00606AE9">
        <w:t>.</w:t>
      </w:r>
    </w:p>
    <w:p w:rsidR="00C1145F" w:rsidRPr="00BA7109" w:rsidRDefault="00C1145F" w:rsidP="00C1145F">
      <w:pPr>
        <w:ind w:left="360"/>
        <w:rPr>
          <w:b/>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06AE9" w:rsidRDefault="00606AE9" w:rsidP="00BA7109">
      <w:pPr>
        <w:rPr>
          <w:b/>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E12B6F" w:rsidP="00606AE9">
      <w:pPr>
        <w:ind w:left="720"/>
        <w:rPr>
          <w:lang w:val="en-GB" w:eastAsia="en-GB"/>
        </w:rPr>
      </w:pPr>
      <w:r>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606AE9" w:rsidP="00606AE9">
      <w:pPr>
        <w:ind w:left="720"/>
        <w:rPr>
          <w:lang w:val="en-GB" w:eastAsia="en-GB"/>
        </w:rPr>
      </w:pPr>
      <w:r>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835E16" w:rsidRDefault="00835E16" w:rsidP="00606AE9">
      <w:pPr>
        <w:ind w:left="360"/>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306F8" w:rsidRDefault="00182E7A" w:rsidP="00182E7A">
      <w:pPr>
        <w:spacing w:before="100" w:beforeAutospacing="1" w:after="100" w:afterAutospacing="1"/>
        <w:ind w:left="360"/>
        <w:rPr>
          <w:lang w:val="en-GB" w:eastAsia="en-GB"/>
        </w:rPr>
      </w:pPr>
      <w:r>
        <w:t xml:space="preserve">The WFOs and </w:t>
      </w:r>
      <w:r w:rsidR="008E4EB6">
        <w:t>AMS</w:t>
      </w:r>
      <w:r>
        <w:t xml:space="preserve"> will send a personalized letter with the survey link to the p</w:t>
      </w:r>
      <w:r w:rsidR="00EE41A1">
        <w:t xml:space="preserve">otential respondents; this letter should </w:t>
      </w:r>
      <w:r>
        <w:t xml:space="preserve">help to encourage response since </w:t>
      </w:r>
      <w:r w:rsidR="00EE41A1">
        <w:t>it</w:t>
      </w:r>
      <w:r>
        <w:t xml:space="preserve"> will come from an entity the potential respondents</w:t>
      </w:r>
      <w:r w:rsidR="00EE41A1">
        <w:t xml:space="preserve"> will</w:t>
      </w:r>
      <w:r>
        <w:t xml:space="preserve"> recognize. Additionally, the potential respondents will be individuals who know and use NWS products; many of these individuals will also have worked closely with WFO staff and will understand the value of the survey. These close working relationships may </w:t>
      </w:r>
      <w:r w:rsidR="00EE41A1">
        <w:t xml:space="preserve">also </w:t>
      </w:r>
      <w:r>
        <w:t>help to boost survey response. The NWS will also promote the survey at several upcoming AMS and N</w:t>
      </w:r>
      <w:r w:rsidR="008E4EB6">
        <w:t>ational Weather Association</w:t>
      </w:r>
      <w:r>
        <w:t xml:space="preserve"> conferences to help boost response</w:t>
      </w:r>
      <w:r w:rsidR="008E4EB6">
        <w:t>,</w:t>
      </w:r>
      <w:r w:rsidR="00EE41A1">
        <w:t xml:space="preserve"> and reminders will also be sent to potential respondents to encourage their participation</w:t>
      </w:r>
      <w:r>
        <w:t xml:space="preserve">. </w:t>
      </w: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C1145F" w:rsidRDefault="00BA7109" w:rsidP="00C1145F">
      <w:pPr>
        <w:ind w:left="360"/>
        <w:rPr>
          <w:lang w:eastAsia="en-GB"/>
        </w:rPr>
      </w:pPr>
    </w:p>
    <w:p w:rsidR="00EE41A1" w:rsidRDefault="00393FF6" w:rsidP="00393FF6">
      <w:pPr>
        <w:ind w:left="360"/>
        <w:rPr>
          <w:rFonts w:eastAsia="Calibri"/>
        </w:rPr>
      </w:pPr>
      <w:r>
        <w:rPr>
          <w:rFonts w:eastAsiaTheme="minorHAnsi"/>
        </w:rPr>
        <w:t xml:space="preserve">The </w:t>
      </w:r>
      <w:r w:rsidR="00C243DC">
        <w:rPr>
          <w:rFonts w:eastAsiaTheme="minorHAnsi"/>
        </w:rPr>
        <w:t>NWS distributed a slightly different version of this survey, tailored to forecasters, internally within the NWS in early April. The development of that survey provided the basis for this external survey. NWS social scientists and NWS leadership provided feedback on that survey before it was distributed. Additionally, a series of focus</w:t>
      </w:r>
      <w:r>
        <w:rPr>
          <w:rFonts w:eastAsiaTheme="minorHAnsi"/>
        </w:rPr>
        <w:t xml:space="preserve"> groups conducted under </w:t>
      </w:r>
      <w:r w:rsidRPr="00E25245">
        <w:rPr>
          <w:color w:val="000000"/>
        </w:rPr>
        <w:t xml:space="preserve">ICR Reference Number </w:t>
      </w:r>
      <w:r w:rsidRPr="00E25245">
        <w:rPr>
          <w:rFonts w:eastAsia="Calibri"/>
        </w:rPr>
        <w:t>201103-0690-001</w:t>
      </w:r>
      <w:r>
        <w:rPr>
          <w:rFonts w:eastAsia="Calibri"/>
        </w:rPr>
        <w:t xml:space="preserve"> (approved on </w:t>
      </w:r>
      <w:r w:rsidRPr="00E25245">
        <w:rPr>
          <w:rFonts w:eastAsia="Calibri"/>
        </w:rPr>
        <w:t>3/14/14</w:t>
      </w:r>
      <w:r>
        <w:rPr>
          <w:rFonts w:eastAsia="Calibri"/>
        </w:rPr>
        <w:t>) provided valuable input to develop this survey</w:t>
      </w:r>
      <w:r w:rsidR="00C243DC">
        <w:rPr>
          <w:rFonts w:eastAsia="Calibri"/>
        </w:rPr>
        <w:t xml:space="preserve"> </w:t>
      </w:r>
      <w:r w:rsidR="00EE41A1">
        <w:rPr>
          <w:rFonts w:eastAsia="Calibri"/>
        </w:rPr>
        <w:t xml:space="preserve">about the current strengths and weaknesses in the watch, warning, </w:t>
      </w:r>
      <w:r w:rsidR="00C243DC">
        <w:rPr>
          <w:rFonts w:eastAsia="Calibri"/>
        </w:rPr>
        <w:t xml:space="preserve">and advisory </w:t>
      </w:r>
      <w:r w:rsidR="00EE41A1">
        <w:rPr>
          <w:rFonts w:eastAsia="Calibri"/>
        </w:rPr>
        <w:t>system.</w:t>
      </w:r>
    </w:p>
    <w:p w:rsidR="00BA7109" w:rsidRP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391177" w:rsidRPr="00C455AE" w:rsidRDefault="00393FF6" w:rsidP="00391177">
      <w:pPr>
        <w:ind w:left="450"/>
      </w:pPr>
      <w:r>
        <w:t xml:space="preserve">The </w:t>
      </w:r>
      <w:r w:rsidR="00391177" w:rsidRPr="00C455AE">
        <w:t xml:space="preserve">NWS </w:t>
      </w:r>
      <w:r>
        <w:t xml:space="preserve">has </w:t>
      </w:r>
      <w:r w:rsidR="00391177" w:rsidRPr="00C455AE">
        <w:t>contracted with Eastern Research Group, Inc. (ERG) of Lexington, MA, to design the survey instrument, develop the sampling approach, implement the survey, and analyze the resulting data collected. The survey design team included the following individuals:</w:t>
      </w:r>
    </w:p>
    <w:p w:rsidR="00391177" w:rsidRPr="00C455AE" w:rsidRDefault="00391177" w:rsidP="00391177">
      <w:pPr>
        <w:ind w:left="450"/>
      </w:pPr>
    </w:p>
    <w:p w:rsidR="00391177" w:rsidRDefault="00391177" w:rsidP="00391177">
      <w:pPr>
        <w:ind w:left="450"/>
      </w:pPr>
      <w:r w:rsidRPr="00C455AE">
        <w:t xml:space="preserve">Dr. Lou Nadeau (781) 674-7316; </w:t>
      </w:r>
      <w:hyperlink r:id="rId9" w:history="1">
        <w:r w:rsidRPr="00391177">
          <w:rPr>
            <w:color w:val="0000FF"/>
            <w:u w:val="single"/>
          </w:rPr>
          <w:t>lou.nadeau@erg.com</w:t>
        </w:r>
      </w:hyperlink>
    </w:p>
    <w:p w:rsidR="00391177" w:rsidRPr="00391177" w:rsidRDefault="00391177" w:rsidP="00391177">
      <w:pPr>
        <w:ind w:left="450"/>
      </w:pPr>
      <w:r>
        <w:t xml:space="preserve">Dr. </w:t>
      </w:r>
      <w:r w:rsidRPr="00C455AE">
        <w:t xml:space="preserve">Gina </w:t>
      </w:r>
      <w:proofErr w:type="spellStart"/>
      <w:r w:rsidRPr="00C455AE">
        <w:t>Eosco</w:t>
      </w:r>
      <w:proofErr w:type="spellEnd"/>
      <w:r w:rsidRPr="00C455AE">
        <w:t xml:space="preserve"> (781) 704-4458; </w:t>
      </w:r>
      <w:r w:rsidR="001B5572" w:rsidRPr="00391177">
        <w:rPr>
          <w:color w:val="0000FF"/>
          <w:u w:val="single"/>
        </w:rPr>
        <w:fldChar w:fldCharType="begin"/>
      </w:r>
      <w:r w:rsidRPr="00391177">
        <w:rPr>
          <w:color w:val="0000FF"/>
          <w:u w:val="single"/>
        </w:rPr>
        <w:instrText xml:space="preserve"> HYPERLINK "mailto:gina.eosco@erg.com</w:instrText>
      </w:r>
    </w:p>
    <w:p w:rsidR="00391177" w:rsidRPr="00F06F06" w:rsidRDefault="00391177" w:rsidP="00391177">
      <w:pPr>
        <w:ind w:left="450"/>
        <w:rPr>
          <w:rStyle w:val="Hyperlink"/>
        </w:rPr>
      </w:pPr>
      <w:r w:rsidRPr="00391177">
        <w:rPr>
          <w:color w:val="0000FF"/>
          <w:u w:val="single"/>
        </w:rPr>
        <w:instrText xml:space="preserve">" </w:instrText>
      </w:r>
      <w:r w:rsidR="001B5572" w:rsidRPr="00391177">
        <w:rPr>
          <w:color w:val="0000FF"/>
          <w:u w:val="single"/>
        </w:rPr>
        <w:fldChar w:fldCharType="separate"/>
      </w:r>
      <w:r w:rsidRPr="00F06F06">
        <w:rPr>
          <w:rStyle w:val="Hyperlink"/>
        </w:rPr>
        <w:t>gina.eosco@erg.com</w:t>
      </w:r>
    </w:p>
    <w:p w:rsidR="00EE41A1" w:rsidRDefault="001B5572" w:rsidP="00EE41A1">
      <w:pPr>
        <w:ind w:left="450"/>
      </w:pPr>
      <w:r w:rsidRPr="00391177">
        <w:rPr>
          <w:color w:val="0000FF"/>
          <w:u w:val="single"/>
        </w:rPr>
        <w:fldChar w:fldCharType="end"/>
      </w:r>
      <w:r w:rsidR="00EE41A1">
        <w:t xml:space="preserve">Linda </w:t>
      </w:r>
      <w:proofErr w:type="spellStart"/>
      <w:r w:rsidR="00EE41A1">
        <w:t>Girardi</w:t>
      </w:r>
      <w:proofErr w:type="spellEnd"/>
      <w:r w:rsidR="00EE41A1">
        <w:t xml:space="preserve"> (703) 841-0501; </w:t>
      </w:r>
      <w:hyperlink r:id="rId10" w:history="1">
        <w:r w:rsidR="00EE41A1" w:rsidRPr="00F06F06">
          <w:rPr>
            <w:rStyle w:val="Hyperlink"/>
          </w:rPr>
          <w:t>linda.girardi@erg.com</w:t>
        </w:r>
      </w:hyperlink>
    </w:p>
    <w:p w:rsidR="007806A4" w:rsidRDefault="007806A4" w:rsidP="00391177">
      <w:pPr>
        <w:ind w:left="450"/>
      </w:pPr>
      <w:bookmarkStart w:id="1" w:name="_GoBack"/>
      <w:bookmarkEnd w:id="1"/>
    </w:p>
    <w:sectPr w:rsidR="007806A4" w:rsidSect="00F316DF">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29" w:rsidRDefault="00B53D29" w:rsidP="004B2986">
      <w:r>
        <w:separator/>
      </w:r>
    </w:p>
  </w:endnote>
  <w:endnote w:type="continuationSeparator" w:id="0">
    <w:p w:rsidR="00B53D29" w:rsidRDefault="00B53D29"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C81A31">
    <w:pPr>
      <w:pStyle w:val="Footer"/>
      <w:jc w:val="right"/>
      <w:rPr>
        <w:rFonts w:ascii="Times New Roman" w:hAnsi="Times New Roman"/>
        <w:b w:val="0"/>
      </w:rPr>
    </w:pPr>
    <w:r>
      <w:rPr>
        <w:sz w:val="22"/>
        <w:szCs w:val="22"/>
      </w:rPr>
      <w:tab/>
    </w:r>
    <w:r w:rsidR="001B5572"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1B5572" w:rsidRPr="00577B77">
      <w:rPr>
        <w:rFonts w:ascii="Times New Roman" w:hAnsi="Times New Roman"/>
        <w:b w:val="0"/>
      </w:rPr>
      <w:fldChar w:fldCharType="separate"/>
    </w:r>
    <w:r w:rsidR="00B43471">
      <w:rPr>
        <w:rFonts w:ascii="Times New Roman" w:hAnsi="Times New Roman"/>
        <w:b w:val="0"/>
        <w:noProof/>
      </w:rPr>
      <w:t>4</w:t>
    </w:r>
    <w:r w:rsidR="001B5572"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29" w:rsidRDefault="00B53D29" w:rsidP="004B2986">
      <w:r>
        <w:separator/>
      </w:r>
    </w:p>
  </w:footnote>
  <w:footnote w:type="continuationSeparator" w:id="0">
    <w:p w:rsidR="00B53D29" w:rsidRDefault="00B53D29"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A1" w:rsidRPr="00F233A9" w:rsidRDefault="00EE41A1" w:rsidP="00EE41A1">
    <w:pPr>
      <w:pStyle w:val="BodyText"/>
      <w:ind w:left="2976" w:right="20" w:hanging="99"/>
      <w:jc w:val="right"/>
    </w:pPr>
    <w:r w:rsidRPr="00F233A9">
      <w:rPr>
        <w:spacing w:val="-1"/>
      </w:rPr>
      <w:t>OMB Control</w:t>
    </w:r>
    <w:r w:rsidRPr="00F233A9">
      <w:rPr>
        <w:spacing w:val="1"/>
      </w:rPr>
      <w:t xml:space="preserve"> </w:t>
    </w:r>
    <w:r w:rsidRPr="00F233A9">
      <w:rPr>
        <w:spacing w:val="-1"/>
      </w:rPr>
      <w:t>No.</w:t>
    </w:r>
    <w:r w:rsidRPr="00F233A9">
      <w:t xml:space="preserve"> </w:t>
    </w:r>
    <w:r w:rsidRPr="00F233A9">
      <w:rPr>
        <w:spacing w:val="-1"/>
      </w:rPr>
      <w:t>0648-0342</w:t>
    </w:r>
    <w:r w:rsidRPr="00F233A9">
      <w:rPr>
        <w:spacing w:val="21"/>
      </w:rPr>
      <w:t xml:space="preserve"> </w:t>
    </w:r>
  </w:p>
  <w:p w:rsidR="00EE41A1" w:rsidRDefault="003B2481">
    <w:pPr>
      <w:pStyle w:val="Header"/>
    </w:pPr>
    <w:r>
      <w:tab/>
      <w:t xml:space="preserve">                                                                                                     </w:t>
    </w:r>
    <w:r w:rsidR="00B43471">
      <w:t xml:space="preserve">                  </w:t>
    </w:r>
    <w:r>
      <w:t>Expiration Date:</w:t>
    </w:r>
    <w:r w:rsidR="00B43471">
      <w:t xml:space="preserve"> 05/31/2018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2388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6">
    <w:nsid w:val="23A05C09"/>
    <w:multiLevelType w:val="multilevel"/>
    <w:tmpl w:val="13A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F6261D"/>
    <w:multiLevelType w:val="multilevel"/>
    <w:tmpl w:val="BBD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05BD6"/>
    <w:multiLevelType w:val="hybridMultilevel"/>
    <w:tmpl w:val="F13AD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BB1258"/>
    <w:multiLevelType w:val="hybridMultilevel"/>
    <w:tmpl w:val="49D0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CF53FA9"/>
    <w:multiLevelType w:val="hybridMultilevel"/>
    <w:tmpl w:val="EC74C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6E1F7498"/>
    <w:multiLevelType w:val="hybridMultilevel"/>
    <w:tmpl w:val="8968F3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D4D65"/>
    <w:multiLevelType w:val="multilevel"/>
    <w:tmpl w:val="DA2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E57EC"/>
    <w:multiLevelType w:val="hybridMultilevel"/>
    <w:tmpl w:val="EEDE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10"/>
  </w:num>
  <w:num w:numId="6">
    <w:abstractNumId w:val="22"/>
  </w:num>
  <w:num w:numId="7">
    <w:abstractNumId w:val="13"/>
  </w:num>
  <w:num w:numId="8">
    <w:abstractNumId w:val="5"/>
  </w:num>
  <w:num w:numId="9">
    <w:abstractNumId w:val="26"/>
  </w:num>
  <w:num w:numId="10">
    <w:abstractNumId w:val="9"/>
  </w:num>
  <w:num w:numId="11">
    <w:abstractNumId w:val="8"/>
  </w:num>
  <w:num w:numId="12">
    <w:abstractNumId w:val="15"/>
  </w:num>
  <w:num w:numId="13">
    <w:abstractNumId w:val="12"/>
  </w:num>
  <w:num w:numId="14">
    <w:abstractNumId w:val="21"/>
  </w:num>
  <w:num w:numId="15">
    <w:abstractNumId w:val="11"/>
  </w:num>
  <w:num w:numId="16">
    <w:abstractNumId w:val="4"/>
  </w:num>
  <w:num w:numId="17">
    <w:abstractNumId w:val="2"/>
  </w:num>
  <w:num w:numId="18">
    <w:abstractNumId w:val="27"/>
  </w:num>
  <w:num w:numId="19">
    <w:abstractNumId w:val="14"/>
  </w:num>
  <w:num w:numId="20">
    <w:abstractNumId w:val="1"/>
  </w:num>
  <w:num w:numId="21">
    <w:abstractNumId w:val="18"/>
  </w:num>
  <w:num w:numId="22">
    <w:abstractNumId w:val="6"/>
  </w:num>
  <w:num w:numId="23">
    <w:abstractNumId w:val="23"/>
  </w:num>
  <w:num w:numId="24">
    <w:abstractNumId w:val="24"/>
  </w:num>
  <w:num w:numId="25">
    <w:abstractNumId w:val="17"/>
  </w:num>
  <w:num w:numId="26">
    <w:abstractNumId w:val="20"/>
  </w:num>
  <w:num w:numId="27">
    <w:abstractNumId w:val="7"/>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986"/>
    <w:rsid w:val="000058F9"/>
    <w:rsid w:val="00007BF2"/>
    <w:rsid w:val="00012BA6"/>
    <w:rsid w:val="000246A9"/>
    <w:rsid w:val="000440A5"/>
    <w:rsid w:val="00044B1F"/>
    <w:rsid w:val="00075366"/>
    <w:rsid w:val="00076244"/>
    <w:rsid w:val="00084853"/>
    <w:rsid w:val="00091271"/>
    <w:rsid w:val="00091F7C"/>
    <w:rsid w:val="00092167"/>
    <w:rsid w:val="000C2943"/>
    <w:rsid w:val="000D16F2"/>
    <w:rsid w:val="000D377B"/>
    <w:rsid w:val="000D76E1"/>
    <w:rsid w:val="00105082"/>
    <w:rsid w:val="00106600"/>
    <w:rsid w:val="00123361"/>
    <w:rsid w:val="0013067D"/>
    <w:rsid w:val="001558A9"/>
    <w:rsid w:val="001563C1"/>
    <w:rsid w:val="00157063"/>
    <w:rsid w:val="001626E4"/>
    <w:rsid w:val="00174D61"/>
    <w:rsid w:val="00182573"/>
    <w:rsid w:val="00182E7A"/>
    <w:rsid w:val="00197CAD"/>
    <w:rsid w:val="001A5EF5"/>
    <w:rsid w:val="001B05E6"/>
    <w:rsid w:val="001B2033"/>
    <w:rsid w:val="001B5572"/>
    <w:rsid w:val="001C496B"/>
    <w:rsid w:val="001E44B1"/>
    <w:rsid w:val="001E62DA"/>
    <w:rsid w:val="002039CE"/>
    <w:rsid w:val="002119A0"/>
    <w:rsid w:val="0021645F"/>
    <w:rsid w:val="0022410D"/>
    <w:rsid w:val="002327CE"/>
    <w:rsid w:val="00237A89"/>
    <w:rsid w:val="00240CDF"/>
    <w:rsid w:val="00244AD4"/>
    <w:rsid w:val="00277FCB"/>
    <w:rsid w:val="00284F0C"/>
    <w:rsid w:val="00285474"/>
    <w:rsid w:val="00285B1D"/>
    <w:rsid w:val="00296C3B"/>
    <w:rsid w:val="002B5E4F"/>
    <w:rsid w:val="002C7E1F"/>
    <w:rsid w:val="002D1789"/>
    <w:rsid w:val="002F5582"/>
    <w:rsid w:val="0030112B"/>
    <w:rsid w:val="00301882"/>
    <w:rsid w:val="00302782"/>
    <w:rsid w:val="00321E82"/>
    <w:rsid w:val="00336F0F"/>
    <w:rsid w:val="0034697E"/>
    <w:rsid w:val="00372651"/>
    <w:rsid w:val="00384B90"/>
    <w:rsid w:val="00390CC9"/>
    <w:rsid w:val="00391177"/>
    <w:rsid w:val="00392DA5"/>
    <w:rsid w:val="00393FF6"/>
    <w:rsid w:val="00395BBA"/>
    <w:rsid w:val="003A7DC6"/>
    <w:rsid w:val="003B2481"/>
    <w:rsid w:val="003B5739"/>
    <w:rsid w:val="003B7A0E"/>
    <w:rsid w:val="003C0FC4"/>
    <w:rsid w:val="003E5A6F"/>
    <w:rsid w:val="004059B9"/>
    <w:rsid w:val="00417F19"/>
    <w:rsid w:val="00430F86"/>
    <w:rsid w:val="00432DC2"/>
    <w:rsid w:val="004346C8"/>
    <w:rsid w:val="00442F88"/>
    <w:rsid w:val="0045158C"/>
    <w:rsid w:val="00472777"/>
    <w:rsid w:val="00475267"/>
    <w:rsid w:val="00485D4E"/>
    <w:rsid w:val="0048777F"/>
    <w:rsid w:val="00490B26"/>
    <w:rsid w:val="004A4419"/>
    <w:rsid w:val="004B2986"/>
    <w:rsid w:val="004C3774"/>
    <w:rsid w:val="004C6FAE"/>
    <w:rsid w:val="004E58D5"/>
    <w:rsid w:val="004F0F25"/>
    <w:rsid w:val="004F1AD6"/>
    <w:rsid w:val="005003A2"/>
    <w:rsid w:val="00500A43"/>
    <w:rsid w:val="00516E97"/>
    <w:rsid w:val="005407E0"/>
    <w:rsid w:val="005523FB"/>
    <w:rsid w:val="00553372"/>
    <w:rsid w:val="0055485C"/>
    <w:rsid w:val="00555071"/>
    <w:rsid w:val="00566DC6"/>
    <w:rsid w:val="00574291"/>
    <w:rsid w:val="005767CD"/>
    <w:rsid w:val="0058389D"/>
    <w:rsid w:val="00596379"/>
    <w:rsid w:val="005A1C66"/>
    <w:rsid w:val="005A30B5"/>
    <w:rsid w:val="005A31DF"/>
    <w:rsid w:val="005A485D"/>
    <w:rsid w:val="005A4CFB"/>
    <w:rsid w:val="005B41E6"/>
    <w:rsid w:val="005C0203"/>
    <w:rsid w:val="005C60E4"/>
    <w:rsid w:val="005E67A5"/>
    <w:rsid w:val="005F2CEB"/>
    <w:rsid w:val="005F41B1"/>
    <w:rsid w:val="005F6544"/>
    <w:rsid w:val="005F6F57"/>
    <w:rsid w:val="00606AE9"/>
    <w:rsid w:val="0061122D"/>
    <w:rsid w:val="0061619E"/>
    <w:rsid w:val="00625F8D"/>
    <w:rsid w:val="00631A2D"/>
    <w:rsid w:val="00651243"/>
    <w:rsid w:val="006529D5"/>
    <w:rsid w:val="00664139"/>
    <w:rsid w:val="00666720"/>
    <w:rsid w:val="00676FF8"/>
    <w:rsid w:val="006833BA"/>
    <w:rsid w:val="006A0FE1"/>
    <w:rsid w:val="006A3CE3"/>
    <w:rsid w:val="006A3EC7"/>
    <w:rsid w:val="006B4494"/>
    <w:rsid w:val="006B6103"/>
    <w:rsid w:val="006C08D0"/>
    <w:rsid w:val="006D0E6C"/>
    <w:rsid w:val="006D4CC6"/>
    <w:rsid w:val="006D686A"/>
    <w:rsid w:val="006F2E92"/>
    <w:rsid w:val="00700E3D"/>
    <w:rsid w:val="007060C0"/>
    <w:rsid w:val="0070684D"/>
    <w:rsid w:val="00711C59"/>
    <w:rsid w:val="00712CC7"/>
    <w:rsid w:val="00715973"/>
    <w:rsid w:val="007258C8"/>
    <w:rsid w:val="00732867"/>
    <w:rsid w:val="007515A6"/>
    <w:rsid w:val="00760AA2"/>
    <w:rsid w:val="00770BC0"/>
    <w:rsid w:val="00777A66"/>
    <w:rsid w:val="007806A4"/>
    <w:rsid w:val="00783182"/>
    <w:rsid w:val="007F6887"/>
    <w:rsid w:val="00800CBD"/>
    <w:rsid w:val="00827BE1"/>
    <w:rsid w:val="00835E16"/>
    <w:rsid w:val="0086344B"/>
    <w:rsid w:val="00871769"/>
    <w:rsid w:val="00872E93"/>
    <w:rsid w:val="008823DB"/>
    <w:rsid w:val="008939DE"/>
    <w:rsid w:val="008941E4"/>
    <w:rsid w:val="008A1382"/>
    <w:rsid w:val="008C0200"/>
    <w:rsid w:val="008E4EB6"/>
    <w:rsid w:val="008F0D87"/>
    <w:rsid w:val="008F6FC5"/>
    <w:rsid w:val="008F7B77"/>
    <w:rsid w:val="00900D67"/>
    <w:rsid w:val="00906A8D"/>
    <w:rsid w:val="00920EB4"/>
    <w:rsid w:val="00926036"/>
    <w:rsid w:val="009344F1"/>
    <w:rsid w:val="00943486"/>
    <w:rsid w:val="00947007"/>
    <w:rsid w:val="009529E0"/>
    <w:rsid w:val="00952BDA"/>
    <w:rsid w:val="009575BF"/>
    <w:rsid w:val="00963722"/>
    <w:rsid w:val="0099307E"/>
    <w:rsid w:val="00996C37"/>
    <w:rsid w:val="009C0467"/>
    <w:rsid w:val="009C4A4A"/>
    <w:rsid w:val="009C5A07"/>
    <w:rsid w:val="009C7A95"/>
    <w:rsid w:val="009D1E6D"/>
    <w:rsid w:val="009D36E7"/>
    <w:rsid w:val="009D499F"/>
    <w:rsid w:val="009E5CCE"/>
    <w:rsid w:val="009F4285"/>
    <w:rsid w:val="00A102EC"/>
    <w:rsid w:val="00A13374"/>
    <w:rsid w:val="00A338EA"/>
    <w:rsid w:val="00A401A0"/>
    <w:rsid w:val="00A436AA"/>
    <w:rsid w:val="00A537A4"/>
    <w:rsid w:val="00A57125"/>
    <w:rsid w:val="00A61329"/>
    <w:rsid w:val="00A61C55"/>
    <w:rsid w:val="00A61C62"/>
    <w:rsid w:val="00A652B3"/>
    <w:rsid w:val="00A76C36"/>
    <w:rsid w:val="00A9138A"/>
    <w:rsid w:val="00AA33FA"/>
    <w:rsid w:val="00AA3FE0"/>
    <w:rsid w:val="00AB45F1"/>
    <w:rsid w:val="00AC0010"/>
    <w:rsid w:val="00AF376A"/>
    <w:rsid w:val="00B00947"/>
    <w:rsid w:val="00B0555D"/>
    <w:rsid w:val="00B12B36"/>
    <w:rsid w:val="00B43471"/>
    <w:rsid w:val="00B44B7B"/>
    <w:rsid w:val="00B4638E"/>
    <w:rsid w:val="00B507B2"/>
    <w:rsid w:val="00B52B3B"/>
    <w:rsid w:val="00B53D29"/>
    <w:rsid w:val="00B6499F"/>
    <w:rsid w:val="00B76277"/>
    <w:rsid w:val="00B91E4E"/>
    <w:rsid w:val="00BA7109"/>
    <w:rsid w:val="00BB27E8"/>
    <w:rsid w:val="00BB4025"/>
    <w:rsid w:val="00BB63AD"/>
    <w:rsid w:val="00BC4B8F"/>
    <w:rsid w:val="00BC697B"/>
    <w:rsid w:val="00BD2CB0"/>
    <w:rsid w:val="00BD4C5E"/>
    <w:rsid w:val="00BD4D08"/>
    <w:rsid w:val="00BD6430"/>
    <w:rsid w:val="00BD6B85"/>
    <w:rsid w:val="00BE5DCE"/>
    <w:rsid w:val="00C1145F"/>
    <w:rsid w:val="00C243DC"/>
    <w:rsid w:val="00C26021"/>
    <w:rsid w:val="00C356ED"/>
    <w:rsid w:val="00C361B7"/>
    <w:rsid w:val="00C537F1"/>
    <w:rsid w:val="00C809AF"/>
    <w:rsid w:val="00C812AB"/>
    <w:rsid w:val="00C81A31"/>
    <w:rsid w:val="00C90855"/>
    <w:rsid w:val="00CA410A"/>
    <w:rsid w:val="00CA5787"/>
    <w:rsid w:val="00CB6B67"/>
    <w:rsid w:val="00CC5256"/>
    <w:rsid w:val="00CE51ED"/>
    <w:rsid w:val="00CF1626"/>
    <w:rsid w:val="00CF2605"/>
    <w:rsid w:val="00D306F8"/>
    <w:rsid w:val="00D42592"/>
    <w:rsid w:val="00D709BB"/>
    <w:rsid w:val="00D73CF5"/>
    <w:rsid w:val="00D92DD1"/>
    <w:rsid w:val="00DA6DC6"/>
    <w:rsid w:val="00DB05E1"/>
    <w:rsid w:val="00DB15B4"/>
    <w:rsid w:val="00DB6A23"/>
    <w:rsid w:val="00DB74A5"/>
    <w:rsid w:val="00DC456B"/>
    <w:rsid w:val="00DD4F5F"/>
    <w:rsid w:val="00DF152B"/>
    <w:rsid w:val="00DF161E"/>
    <w:rsid w:val="00DF4388"/>
    <w:rsid w:val="00DF4752"/>
    <w:rsid w:val="00E04E1C"/>
    <w:rsid w:val="00E12B6F"/>
    <w:rsid w:val="00E142D0"/>
    <w:rsid w:val="00E173AE"/>
    <w:rsid w:val="00E21DE6"/>
    <w:rsid w:val="00E25245"/>
    <w:rsid w:val="00E41CBC"/>
    <w:rsid w:val="00E45F3B"/>
    <w:rsid w:val="00E656D8"/>
    <w:rsid w:val="00E8493F"/>
    <w:rsid w:val="00E84DDA"/>
    <w:rsid w:val="00E92D89"/>
    <w:rsid w:val="00EA230F"/>
    <w:rsid w:val="00EA6C21"/>
    <w:rsid w:val="00EB1749"/>
    <w:rsid w:val="00EC1AFF"/>
    <w:rsid w:val="00EC6B8C"/>
    <w:rsid w:val="00ED520A"/>
    <w:rsid w:val="00ED63F4"/>
    <w:rsid w:val="00EE41A1"/>
    <w:rsid w:val="00EF3436"/>
    <w:rsid w:val="00EF47F9"/>
    <w:rsid w:val="00EF6CCC"/>
    <w:rsid w:val="00EF72B6"/>
    <w:rsid w:val="00F05998"/>
    <w:rsid w:val="00F0690A"/>
    <w:rsid w:val="00F13B4E"/>
    <w:rsid w:val="00F20D52"/>
    <w:rsid w:val="00F233A9"/>
    <w:rsid w:val="00F23D88"/>
    <w:rsid w:val="00F316DF"/>
    <w:rsid w:val="00F32CDE"/>
    <w:rsid w:val="00F37F41"/>
    <w:rsid w:val="00F46664"/>
    <w:rsid w:val="00F541F6"/>
    <w:rsid w:val="00F54D0D"/>
    <w:rsid w:val="00F65C9E"/>
    <w:rsid w:val="00F74B7A"/>
    <w:rsid w:val="00F76940"/>
    <w:rsid w:val="00F9117B"/>
    <w:rsid w:val="00F92FF8"/>
    <w:rsid w:val="00F93C38"/>
    <w:rsid w:val="00FA3739"/>
    <w:rsid w:val="00FB740D"/>
    <w:rsid w:val="00FC129A"/>
    <w:rsid w:val="00FC7938"/>
    <w:rsid w:val="00FD1E12"/>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paragraph" w:styleId="PlainText">
    <w:name w:val="Plain Text"/>
    <w:basedOn w:val="Normal"/>
    <w:link w:val="PlainTextChar"/>
    <w:uiPriority w:val="99"/>
    <w:semiHidden/>
    <w:unhideWhenUsed/>
    <w:rsid w:val="00DF161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F161E"/>
    <w:rPr>
      <w:rFonts w:ascii="Consolas" w:eastAsiaTheme="minorHAnsi" w:hAnsi="Consolas" w:cstheme="minorBidi"/>
      <w:sz w:val="21"/>
      <w:szCs w:val="21"/>
    </w:rPr>
  </w:style>
  <w:style w:type="character" w:customStyle="1" w:styleId="cwcot">
    <w:name w:val="cwcot"/>
    <w:basedOn w:val="DefaultParagraphFont"/>
    <w:rsid w:val="00CF1626"/>
  </w:style>
  <w:style w:type="paragraph" w:styleId="BodyText">
    <w:name w:val="Body Text"/>
    <w:basedOn w:val="Normal"/>
    <w:link w:val="BodyTextChar"/>
    <w:uiPriority w:val="1"/>
    <w:qFormat/>
    <w:rsid w:val="00EE41A1"/>
    <w:pPr>
      <w:widowControl w:val="0"/>
      <w:ind w:left="550"/>
    </w:pPr>
    <w:rPr>
      <w:rFonts w:cstheme="minorBidi"/>
    </w:rPr>
  </w:style>
  <w:style w:type="character" w:customStyle="1" w:styleId="BodyTextChar">
    <w:name w:val="Body Text Char"/>
    <w:basedOn w:val="DefaultParagraphFont"/>
    <w:link w:val="BodyText"/>
    <w:uiPriority w:val="1"/>
    <w:rsid w:val="00EE41A1"/>
    <w:rPr>
      <w:rFonts w:eastAsia="Times New Roman" w:cstheme="minorBidi"/>
      <w:sz w:val="22"/>
      <w:szCs w:val="22"/>
    </w:rPr>
  </w:style>
  <w:style w:type="character" w:styleId="FollowedHyperlink">
    <w:name w:val="FollowedHyperlink"/>
    <w:basedOn w:val="DefaultParagraphFont"/>
    <w:semiHidden/>
    <w:unhideWhenUsed/>
    <w:rsid w:val="001233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6226">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322470030">
      <w:bodyDiv w:val="1"/>
      <w:marLeft w:val="0"/>
      <w:marRight w:val="0"/>
      <w:marTop w:val="0"/>
      <w:marBottom w:val="0"/>
      <w:divBdr>
        <w:top w:val="none" w:sz="0" w:space="0" w:color="auto"/>
        <w:left w:val="none" w:sz="0" w:space="0" w:color="auto"/>
        <w:bottom w:val="none" w:sz="0" w:space="0" w:color="auto"/>
        <w:right w:val="none" w:sz="0" w:space="0" w:color="auto"/>
      </w:divBdr>
    </w:div>
    <w:div w:id="1367948828">
      <w:bodyDiv w:val="1"/>
      <w:marLeft w:val="0"/>
      <w:marRight w:val="0"/>
      <w:marTop w:val="0"/>
      <w:marBottom w:val="0"/>
      <w:divBdr>
        <w:top w:val="none" w:sz="0" w:space="0" w:color="auto"/>
        <w:left w:val="none" w:sz="0" w:space="0" w:color="auto"/>
        <w:bottom w:val="none" w:sz="0" w:space="0" w:color="auto"/>
        <w:right w:val="none" w:sz="0" w:space="0" w:color="auto"/>
      </w:divBdr>
      <w:divsChild>
        <w:div w:id="893808309">
          <w:marLeft w:val="0"/>
          <w:marRight w:val="0"/>
          <w:marTop w:val="0"/>
          <w:marBottom w:val="0"/>
          <w:divBdr>
            <w:top w:val="none" w:sz="0" w:space="0" w:color="auto"/>
            <w:left w:val="none" w:sz="0" w:space="0" w:color="auto"/>
            <w:bottom w:val="none" w:sz="0" w:space="0" w:color="auto"/>
            <w:right w:val="none" w:sz="0" w:space="0" w:color="auto"/>
          </w:divBdr>
          <w:divsChild>
            <w:div w:id="1833373438">
              <w:marLeft w:val="0"/>
              <w:marRight w:val="0"/>
              <w:marTop w:val="0"/>
              <w:marBottom w:val="0"/>
              <w:divBdr>
                <w:top w:val="none" w:sz="0" w:space="0" w:color="auto"/>
                <w:left w:val="none" w:sz="0" w:space="0" w:color="auto"/>
                <w:bottom w:val="none" w:sz="0" w:space="0" w:color="auto"/>
                <w:right w:val="none" w:sz="0" w:space="0" w:color="auto"/>
              </w:divBdr>
              <w:divsChild>
                <w:div w:id="206141685">
                  <w:marLeft w:val="0"/>
                  <w:marRight w:val="0"/>
                  <w:marTop w:val="0"/>
                  <w:marBottom w:val="0"/>
                  <w:divBdr>
                    <w:top w:val="none" w:sz="0" w:space="0" w:color="auto"/>
                    <w:left w:val="none" w:sz="0" w:space="0" w:color="auto"/>
                    <w:bottom w:val="none" w:sz="0" w:space="0" w:color="auto"/>
                    <w:right w:val="none" w:sz="0" w:space="0" w:color="auto"/>
                  </w:divBdr>
                  <w:divsChild>
                    <w:div w:id="1132868752">
                      <w:marLeft w:val="0"/>
                      <w:marRight w:val="0"/>
                      <w:marTop w:val="0"/>
                      <w:marBottom w:val="0"/>
                      <w:divBdr>
                        <w:top w:val="none" w:sz="0" w:space="0" w:color="auto"/>
                        <w:left w:val="none" w:sz="0" w:space="0" w:color="auto"/>
                        <w:bottom w:val="none" w:sz="0" w:space="0" w:color="auto"/>
                        <w:right w:val="none" w:sz="0" w:space="0" w:color="auto"/>
                      </w:divBdr>
                      <w:divsChild>
                        <w:div w:id="1798714867">
                          <w:marLeft w:val="0"/>
                          <w:marRight w:val="0"/>
                          <w:marTop w:val="0"/>
                          <w:marBottom w:val="0"/>
                          <w:divBdr>
                            <w:top w:val="none" w:sz="0" w:space="0" w:color="auto"/>
                            <w:left w:val="none" w:sz="0" w:space="0" w:color="auto"/>
                            <w:bottom w:val="none" w:sz="0" w:space="0" w:color="auto"/>
                            <w:right w:val="none" w:sz="0" w:space="0" w:color="auto"/>
                          </w:divBdr>
                          <w:divsChild>
                            <w:div w:id="1221283004">
                              <w:marLeft w:val="0"/>
                              <w:marRight w:val="0"/>
                              <w:marTop w:val="0"/>
                              <w:marBottom w:val="0"/>
                              <w:divBdr>
                                <w:top w:val="none" w:sz="0" w:space="0" w:color="auto"/>
                                <w:left w:val="none" w:sz="0" w:space="0" w:color="auto"/>
                                <w:bottom w:val="none" w:sz="0" w:space="0" w:color="auto"/>
                                <w:right w:val="none" w:sz="0" w:space="0" w:color="auto"/>
                              </w:divBdr>
                              <w:divsChild>
                                <w:div w:id="1966539548">
                                  <w:marLeft w:val="0"/>
                                  <w:marRight w:val="0"/>
                                  <w:marTop w:val="0"/>
                                  <w:marBottom w:val="0"/>
                                  <w:divBdr>
                                    <w:top w:val="none" w:sz="0" w:space="0" w:color="auto"/>
                                    <w:left w:val="none" w:sz="0" w:space="0" w:color="auto"/>
                                    <w:bottom w:val="none" w:sz="0" w:space="0" w:color="auto"/>
                                    <w:right w:val="none" w:sz="0" w:space="0" w:color="auto"/>
                                  </w:divBdr>
                                  <w:divsChild>
                                    <w:div w:id="360133382">
                                      <w:marLeft w:val="0"/>
                                      <w:marRight w:val="0"/>
                                      <w:marTop w:val="0"/>
                                      <w:marBottom w:val="0"/>
                                      <w:divBdr>
                                        <w:top w:val="none" w:sz="0" w:space="0" w:color="auto"/>
                                        <w:left w:val="none" w:sz="0" w:space="0" w:color="auto"/>
                                        <w:bottom w:val="none" w:sz="0" w:space="0" w:color="auto"/>
                                        <w:right w:val="none" w:sz="0" w:space="0" w:color="auto"/>
                                      </w:divBdr>
                                      <w:divsChild>
                                        <w:div w:id="538476133">
                                          <w:marLeft w:val="0"/>
                                          <w:marRight w:val="0"/>
                                          <w:marTop w:val="0"/>
                                          <w:marBottom w:val="0"/>
                                          <w:divBdr>
                                            <w:top w:val="none" w:sz="0" w:space="0" w:color="auto"/>
                                            <w:left w:val="none" w:sz="0" w:space="0" w:color="auto"/>
                                            <w:bottom w:val="none" w:sz="0" w:space="0" w:color="auto"/>
                                            <w:right w:val="none" w:sz="0" w:space="0" w:color="auto"/>
                                          </w:divBdr>
                                          <w:divsChild>
                                            <w:div w:id="1717047905">
                                              <w:marLeft w:val="0"/>
                                              <w:marRight w:val="0"/>
                                              <w:marTop w:val="0"/>
                                              <w:marBottom w:val="0"/>
                                              <w:divBdr>
                                                <w:top w:val="none" w:sz="0" w:space="0" w:color="auto"/>
                                                <w:left w:val="none" w:sz="0" w:space="0" w:color="auto"/>
                                                <w:bottom w:val="none" w:sz="0" w:space="0" w:color="auto"/>
                                                <w:right w:val="none" w:sz="0" w:space="0" w:color="auto"/>
                                              </w:divBdr>
                                              <w:divsChild>
                                                <w:div w:id="1086728431">
                                                  <w:marLeft w:val="0"/>
                                                  <w:marRight w:val="0"/>
                                                  <w:marTop w:val="0"/>
                                                  <w:marBottom w:val="0"/>
                                                  <w:divBdr>
                                                    <w:top w:val="none" w:sz="0" w:space="0" w:color="auto"/>
                                                    <w:left w:val="none" w:sz="0" w:space="0" w:color="auto"/>
                                                    <w:bottom w:val="none" w:sz="0" w:space="0" w:color="auto"/>
                                                    <w:right w:val="none" w:sz="0" w:space="0" w:color="auto"/>
                                                  </w:divBdr>
                                                  <w:divsChild>
                                                    <w:div w:id="1565070526">
                                                      <w:marLeft w:val="0"/>
                                                      <w:marRight w:val="0"/>
                                                      <w:marTop w:val="0"/>
                                                      <w:marBottom w:val="0"/>
                                                      <w:divBdr>
                                                        <w:top w:val="none" w:sz="0" w:space="0" w:color="auto"/>
                                                        <w:left w:val="none" w:sz="0" w:space="0" w:color="auto"/>
                                                        <w:bottom w:val="none" w:sz="0" w:space="0" w:color="auto"/>
                                                        <w:right w:val="none" w:sz="0" w:space="0" w:color="auto"/>
                                                      </w:divBdr>
                                                      <w:divsChild>
                                                        <w:div w:id="16517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2493479">
      <w:bodyDiv w:val="1"/>
      <w:marLeft w:val="0"/>
      <w:marRight w:val="0"/>
      <w:marTop w:val="0"/>
      <w:marBottom w:val="0"/>
      <w:divBdr>
        <w:top w:val="none" w:sz="0" w:space="0" w:color="auto"/>
        <w:left w:val="none" w:sz="0" w:space="0" w:color="auto"/>
        <w:bottom w:val="none" w:sz="0" w:space="0" w:color="auto"/>
        <w:right w:val="none" w:sz="0" w:space="0" w:color="auto"/>
      </w:divBdr>
      <w:divsChild>
        <w:div w:id="1130364974">
          <w:marLeft w:val="0"/>
          <w:marRight w:val="0"/>
          <w:marTop w:val="0"/>
          <w:marBottom w:val="0"/>
          <w:divBdr>
            <w:top w:val="none" w:sz="0" w:space="0" w:color="auto"/>
            <w:left w:val="none" w:sz="0" w:space="0" w:color="auto"/>
            <w:bottom w:val="none" w:sz="0" w:space="0" w:color="auto"/>
            <w:right w:val="none" w:sz="0" w:space="0" w:color="auto"/>
          </w:divBdr>
          <w:divsChild>
            <w:div w:id="408160395">
              <w:marLeft w:val="0"/>
              <w:marRight w:val="0"/>
              <w:marTop w:val="225"/>
              <w:marBottom w:val="0"/>
              <w:divBdr>
                <w:top w:val="none" w:sz="0" w:space="0" w:color="auto"/>
                <w:left w:val="none" w:sz="0" w:space="0" w:color="auto"/>
                <w:bottom w:val="none" w:sz="0" w:space="0" w:color="auto"/>
                <w:right w:val="none" w:sz="0" w:space="0" w:color="auto"/>
              </w:divBdr>
              <w:divsChild>
                <w:div w:id="5873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4362">
      <w:bodyDiv w:val="1"/>
      <w:marLeft w:val="0"/>
      <w:marRight w:val="0"/>
      <w:marTop w:val="0"/>
      <w:marBottom w:val="0"/>
      <w:divBdr>
        <w:top w:val="none" w:sz="0" w:space="0" w:color="auto"/>
        <w:left w:val="none" w:sz="0" w:space="0" w:color="auto"/>
        <w:bottom w:val="none" w:sz="0" w:space="0" w:color="auto"/>
        <w:right w:val="none" w:sz="0" w:space="0" w:color="auto"/>
      </w:divBdr>
      <w:divsChild>
        <w:div w:id="1832870134">
          <w:marLeft w:val="0"/>
          <w:marRight w:val="0"/>
          <w:marTop w:val="0"/>
          <w:marBottom w:val="0"/>
          <w:divBdr>
            <w:top w:val="none" w:sz="0" w:space="0" w:color="auto"/>
            <w:left w:val="none" w:sz="0" w:space="0" w:color="auto"/>
            <w:bottom w:val="none" w:sz="0" w:space="0" w:color="auto"/>
            <w:right w:val="none" w:sz="0" w:space="0" w:color="auto"/>
          </w:divBdr>
          <w:divsChild>
            <w:div w:id="1013339652">
              <w:marLeft w:val="0"/>
              <w:marRight w:val="0"/>
              <w:marTop w:val="225"/>
              <w:marBottom w:val="0"/>
              <w:divBdr>
                <w:top w:val="none" w:sz="0" w:space="0" w:color="auto"/>
                <w:left w:val="none" w:sz="0" w:space="0" w:color="auto"/>
                <w:bottom w:val="none" w:sz="0" w:space="0" w:color="auto"/>
                <w:right w:val="none" w:sz="0" w:space="0" w:color="auto"/>
              </w:divBdr>
              <w:divsChild>
                <w:div w:id="956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da.girardi@erg.com"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ou.nadeau@erg.com" TargetMode="External"/><Relationship Id="rId14"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5182-AEA3-4C35-B73B-14F83728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5</cp:revision>
  <cp:lastPrinted>2015-05-13T16:00:00Z</cp:lastPrinted>
  <dcterms:created xsi:type="dcterms:W3CDTF">2015-05-15T22:03:00Z</dcterms:created>
  <dcterms:modified xsi:type="dcterms:W3CDTF">2015-05-27T14:12:00Z</dcterms:modified>
</cp:coreProperties>
</file>