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1E1" w:rsidRDefault="00F251E1" w:rsidP="001568CA">
      <w:pPr>
        <w:tabs>
          <w:tab w:val="center" w:pos="4680"/>
        </w:tabs>
        <w:jc w:val="center"/>
        <w:rPr>
          <w:b/>
          <w:sz w:val="32"/>
          <w:szCs w:val="32"/>
        </w:rPr>
      </w:pPr>
      <w:bookmarkStart w:id="0" w:name="_GoBack"/>
      <w:bookmarkEnd w:id="0"/>
      <w:r>
        <w:rPr>
          <w:b/>
          <w:sz w:val="32"/>
          <w:szCs w:val="32"/>
        </w:rPr>
        <w:t xml:space="preserve">2015 </w:t>
      </w:r>
      <w:r w:rsidR="00AB1ED1" w:rsidRPr="00A3298C">
        <w:rPr>
          <w:b/>
          <w:sz w:val="32"/>
          <w:szCs w:val="32"/>
        </w:rPr>
        <w:t>National Survey of Children's Health</w:t>
      </w:r>
      <w:r w:rsidR="005D750C">
        <w:rPr>
          <w:b/>
          <w:sz w:val="32"/>
          <w:szCs w:val="32"/>
        </w:rPr>
        <w:t xml:space="preserve"> Pretest:</w:t>
      </w:r>
    </w:p>
    <w:p w:rsidR="00F251E1" w:rsidRDefault="005D750C" w:rsidP="00F251E1">
      <w:pPr>
        <w:tabs>
          <w:tab w:val="center" w:pos="4680"/>
        </w:tabs>
        <w:jc w:val="center"/>
        <w:rPr>
          <w:b/>
          <w:sz w:val="32"/>
          <w:szCs w:val="32"/>
        </w:rPr>
      </w:pPr>
      <w:r>
        <w:rPr>
          <w:b/>
          <w:sz w:val="32"/>
          <w:szCs w:val="32"/>
        </w:rPr>
        <w:t>Request for OMB Review</w:t>
      </w:r>
    </w:p>
    <w:p w:rsidR="005D750C" w:rsidRDefault="005D750C" w:rsidP="00F251E1">
      <w:pPr>
        <w:tabs>
          <w:tab w:val="center" w:pos="4680"/>
        </w:tabs>
        <w:jc w:val="center"/>
        <w:rPr>
          <w:b/>
          <w:sz w:val="32"/>
          <w:szCs w:val="32"/>
        </w:rPr>
      </w:pPr>
    </w:p>
    <w:p w:rsidR="005D750C" w:rsidRPr="00A3298C" w:rsidRDefault="005D750C" w:rsidP="00490B70">
      <w:pPr>
        <w:tabs>
          <w:tab w:val="center" w:pos="4680"/>
        </w:tabs>
        <w:jc w:val="center"/>
        <w:rPr>
          <w:b/>
          <w:bCs/>
          <w:sz w:val="32"/>
          <w:szCs w:val="32"/>
        </w:rPr>
      </w:pPr>
      <w:r w:rsidRPr="00A3298C">
        <w:rPr>
          <w:b/>
          <w:bCs/>
          <w:sz w:val="32"/>
          <w:szCs w:val="32"/>
        </w:rPr>
        <w:t>Supporting Statement B</w:t>
      </w:r>
    </w:p>
    <w:p w:rsidR="005D750C" w:rsidRDefault="005D750C" w:rsidP="00F251E1">
      <w:pPr>
        <w:tabs>
          <w:tab w:val="center" w:pos="4680"/>
        </w:tabs>
        <w:jc w:val="center"/>
        <w:rPr>
          <w:b/>
          <w:sz w:val="32"/>
          <w:szCs w:val="32"/>
        </w:rPr>
      </w:pPr>
    </w:p>
    <w:p w:rsidR="00AB1ED1" w:rsidRDefault="00AB1ED1" w:rsidP="001568CA">
      <w:pPr>
        <w:tabs>
          <w:tab w:val="center" w:pos="4680"/>
        </w:tabs>
        <w:jc w:val="center"/>
        <w:rPr>
          <w:b/>
          <w:sz w:val="32"/>
          <w:szCs w:val="32"/>
        </w:rPr>
      </w:pPr>
    </w:p>
    <w:p w:rsidR="00F251E1" w:rsidRDefault="00F251E1" w:rsidP="001568CA">
      <w:pPr>
        <w:tabs>
          <w:tab w:val="center" w:pos="4680"/>
        </w:tabs>
        <w:jc w:val="center"/>
        <w:rPr>
          <w:b/>
          <w:sz w:val="32"/>
          <w:szCs w:val="32"/>
        </w:rPr>
      </w:pPr>
      <w:r>
        <w:rPr>
          <w:b/>
          <w:sz w:val="32"/>
          <w:szCs w:val="32"/>
        </w:rPr>
        <w:t>January 15, 2015</w:t>
      </w:r>
    </w:p>
    <w:p w:rsidR="00F251E1" w:rsidRPr="00A3298C" w:rsidRDefault="00F251E1" w:rsidP="001568CA">
      <w:pPr>
        <w:tabs>
          <w:tab w:val="center" w:pos="4680"/>
        </w:tabs>
        <w:jc w:val="center"/>
        <w:rPr>
          <w:b/>
          <w:bCs/>
          <w:sz w:val="32"/>
          <w:szCs w:val="32"/>
        </w:rPr>
      </w:pPr>
    </w:p>
    <w:p w:rsidR="00E36A1D" w:rsidRDefault="00E36A1D" w:rsidP="00E36A1D">
      <w:pPr>
        <w:tabs>
          <w:tab w:val="center" w:pos="4680"/>
        </w:tabs>
        <w:spacing w:before="120"/>
        <w:jc w:val="center"/>
        <w:rPr>
          <w:b/>
          <w:bCs/>
          <w:sz w:val="32"/>
          <w:szCs w:val="32"/>
        </w:rPr>
      </w:pPr>
      <w:r>
        <w:rPr>
          <w:b/>
          <w:bCs/>
          <w:sz w:val="32"/>
          <w:szCs w:val="32"/>
        </w:rPr>
        <w:t>OMB Control No</w:t>
      </w:r>
      <w:r w:rsidRPr="003C27AF">
        <w:rPr>
          <w:b/>
          <w:bCs/>
          <w:sz w:val="32"/>
          <w:szCs w:val="32"/>
        </w:rPr>
        <w:t xml:space="preserve">. </w:t>
      </w:r>
      <w:r w:rsidR="00F251E1" w:rsidRPr="003C27AF">
        <w:rPr>
          <w:b/>
          <w:bCs/>
          <w:sz w:val="32"/>
          <w:szCs w:val="32"/>
        </w:rPr>
        <w:t>0607-XXXX</w:t>
      </w:r>
    </w:p>
    <w:p w:rsidR="001568CA" w:rsidRPr="00A3298C" w:rsidRDefault="001568CA" w:rsidP="001568CA">
      <w:pPr>
        <w:pStyle w:val="Heading1"/>
        <w:ind w:left="720"/>
        <w:jc w:val="center"/>
      </w:pPr>
    </w:p>
    <w:p w:rsidR="001568CA" w:rsidRPr="00A3298C" w:rsidRDefault="001568CA" w:rsidP="00BA1757">
      <w:pPr>
        <w:pStyle w:val="Heading1"/>
        <w:ind w:left="720"/>
      </w:pPr>
    </w:p>
    <w:p w:rsidR="00844607" w:rsidRPr="00A3298C" w:rsidRDefault="00540738" w:rsidP="00540738">
      <w:pPr>
        <w:pStyle w:val="Heading1"/>
        <w:spacing w:before="120" w:after="120"/>
        <w:ind w:left="270" w:hanging="270"/>
      </w:pPr>
      <w:r>
        <w:t xml:space="preserve">B.  </w:t>
      </w:r>
      <w:r w:rsidR="00490B70">
        <w:t>Description of Statistical Methodology</w:t>
      </w:r>
    </w:p>
    <w:p w:rsidR="00177B05" w:rsidRDefault="00754D69" w:rsidP="006D15FF">
      <w:pPr>
        <w:pStyle w:val="Heading2"/>
        <w:numPr>
          <w:ilvl w:val="0"/>
          <w:numId w:val="3"/>
        </w:numPr>
        <w:spacing w:before="120" w:after="120"/>
        <w:ind w:left="360"/>
        <w:rPr>
          <w:rFonts w:ascii="Times New Roman" w:hAnsi="Times New Roman" w:cs="Times New Roman"/>
          <w:i w:val="0"/>
          <w:sz w:val="24"/>
          <w:szCs w:val="24"/>
        </w:rPr>
      </w:pPr>
      <w:r>
        <w:rPr>
          <w:rFonts w:ascii="Times New Roman" w:hAnsi="Times New Roman" w:cs="Times New Roman"/>
          <w:i w:val="0"/>
          <w:sz w:val="24"/>
          <w:szCs w:val="24"/>
        </w:rPr>
        <w:t>Statistical Design and Estimation</w:t>
      </w:r>
    </w:p>
    <w:p w:rsidR="00754D69" w:rsidRPr="00754D69" w:rsidRDefault="00754D69" w:rsidP="004778EB">
      <w:pPr>
        <w:rPr>
          <w:sz w:val="24"/>
        </w:rPr>
      </w:pPr>
      <w:r>
        <w:rPr>
          <w:sz w:val="24"/>
        </w:rPr>
        <w:t xml:space="preserve">Since the </w:t>
      </w:r>
      <w:r w:rsidR="00A3524E">
        <w:rPr>
          <w:sz w:val="24"/>
        </w:rPr>
        <w:t xml:space="preserve">beginning, the </w:t>
      </w:r>
      <w:r w:rsidRPr="00754D69">
        <w:rPr>
          <w:sz w:val="24"/>
        </w:rPr>
        <w:t xml:space="preserve">purpose of the National </w:t>
      </w:r>
      <w:r w:rsidR="00BE0AA5">
        <w:rPr>
          <w:sz w:val="24"/>
        </w:rPr>
        <w:t xml:space="preserve">Survey of Children’s Health (NSCH) </w:t>
      </w:r>
      <w:r w:rsidRPr="00754D69">
        <w:rPr>
          <w:sz w:val="24"/>
        </w:rPr>
        <w:t xml:space="preserve">has been to </w:t>
      </w:r>
      <w:r w:rsidR="00A9424D" w:rsidRPr="00A9424D">
        <w:rPr>
          <w:sz w:val="24"/>
        </w:rPr>
        <w:t>estimate national and state-level prevalence for a variety of physical, emotional, and behavioral child health indicators in combination with information on the child’s family context and neighborhood environment</w:t>
      </w:r>
      <w:r w:rsidR="004778EB">
        <w:rPr>
          <w:sz w:val="24"/>
        </w:rPr>
        <w:t xml:space="preserve">. </w:t>
      </w:r>
      <w:r w:rsidR="00540738">
        <w:rPr>
          <w:sz w:val="24"/>
        </w:rPr>
        <w:t xml:space="preserve">Conversely, </w:t>
      </w:r>
      <w:r w:rsidR="004778EB">
        <w:rPr>
          <w:sz w:val="24"/>
        </w:rPr>
        <w:t xml:space="preserve">the </w:t>
      </w:r>
      <w:r w:rsidR="00A3524E">
        <w:rPr>
          <w:sz w:val="24"/>
        </w:rPr>
        <w:t xml:space="preserve">purpose of the </w:t>
      </w:r>
      <w:r w:rsidR="004778EB">
        <w:rPr>
          <w:sz w:val="24"/>
        </w:rPr>
        <w:t>National Survey of Children with Special Healt</w:t>
      </w:r>
      <w:r w:rsidR="00A3524E">
        <w:rPr>
          <w:sz w:val="24"/>
        </w:rPr>
        <w:t xml:space="preserve">h Care Needs (NS-CSHCN) </w:t>
      </w:r>
      <w:r w:rsidR="004778EB">
        <w:rPr>
          <w:sz w:val="24"/>
        </w:rPr>
        <w:t>was to estimate the</w:t>
      </w:r>
      <w:r w:rsidR="004778EB" w:rsidRPr="004778EB">
        <w:rPr>
          <w:sz w:val="24"/>
        </w:rPr>
        <w:t xml:space="preserve"> prevalence and number </w:t>
      </w:r>
      <w:r w:rsidR="004778EB">
        <w:rPr>
          <w:sz w:val="24"/>
        </w:rPr>
        <w:t>of children with special health care needs (CSHCN) in the state population and to estimate</w:t>
      </w:r>
      <w:r w:rsidR="004778EB" w:rsidRPr="004778EB">
        <w:rPr>
          <w:sz w:val="24"/>
        </w:rPr>
        <w:t xml:space="preserve"> </w:t>
      </w:r>
      <w:r w:rsidR="004778EB">
        <w:rPr>
          <w:sz w:val="24"/>
        </w:rPr>
        <w:t xml:space="preserve">the </w:t>
      </w:r>
      <w:r w:rsidR="004778EB" w:rsidRPr="004778EB">
        <w:rPr>
          <w:sz w:val="24"/>
        </w:rPr>
        <w:t>percent of</w:t>
      </w:r>
      <w:r w:rsidR="004778EB">
        <w:rPr>
          <w:sz w:val="24"/>
        </w:rPr>
        <w:t xml:space="preserve"> </w:t>
      </w:r>
      <w:r w:rsidR="004778EB" w:rsidRPr="004778EB">
        <w:rPr>
          <w:sz w:val="24"/>
        </w:rPr>
        <w:t xml:space="preserve">households with children having one or more </w:t>
      </w:r>
      <w:r w:rsidR="004778EB">
        <w:rPr>
          <w:sz w:val="24"/>
        </w:rPr>
        <w:t xml:space="preserve">CSHCN </w:t>
      </w:r>
      <w:r w:rsidR="003613A3">
        <w:rPr>
          <w:sz w:val="24"/>
        </w:rPr>
        <w:t>age 17 or younger</w:t>
      </w:r>
      <w:r w:rsidR="00A3524E">
        <w:rPr>
          <w:sz w:val="24"/>
        </w:rPr>
        <w:t xml:space="preserve">. </w:t>
      </w:r>
      <w:r w:rsidRPr="00754D69">
        <w:rPr>
          <w:sz w:val="24"/>
        </w:rPr>
        <w:t>Recently, decreasing</w:t>
      </w:r>
      <w:r w:rsidR="00A9424D">
        <w:rPr>
          <w:sz w:val="24"/>
        </w:rPr>
        <w:t xml:space="preserve"> response rates required the Maternal and Child Health Bureau (MCHB) to</w:t>
      </w:r>
      <w:r w:rsidRPr="00754D69">
        <w:rPr>
          <w:sz w:val="24"/>
        </w:rPr>
        <w:t xml:space="preserve"> redesign the N</w:t>
      </w:r>
      <w:r w:rsidR="00A9424D">
        <w:rPr>
          <w:sz w:val="24"/>
        </w:rPr>
        <w:t>SCH and NS-CSHCN</w:t>
      </w:r>
      <w:r w:rsidRPr="00754D69">
        <w:rPr>
          <w:sz w:val="24"/>
        </w:rPr>
        <w:t xml:space="preserve">.  This redesign </w:t>
      </w:r>
      <w:r w:rsidR="00A3524E">
        <w:rPr>
          <w:sz w:val="24"/>
        </w:rPr>
        <w:t xml:space="preserve">includes combining the original NSCH and NS-CSHCN into a single </w:t>
      </w:r>
      <w:r w:rsidR="00F44A73">
        <w:rPr>
          <w:sz w:val="24"/>
        </w:rPr>
        <w:t xml:space="preserve">annual </w:t>
      </w:r>
      <w:r w:rsidR="00A3524E">
        <w:rPr>
          <w:sz w:val="24"/>
        </w:rPr>
        <w:t>s</w:t>
      </w:r>
      <w:r w:rsidR="00F44A73">
        <w:rPr>
          <w:sz w:val="24"/>
        </w:rPr>
        <w:t xml:space="preserve">urvey that will be known solely as </w:t>
      </w:r>
      <w:r w:rsidR="00A3524E">
        <w:rPr>
          <w:sz w:val="24"/>
        </w:rPr>
        <w:t>the NSCH</w:t>
      </w:r>
      <w:r w:rsidR="00E13510">
        <w:rPr>
          <w:sz w:val="24"/>
        </w:rPr>
        <w:t xml:space="preserve"> with the first year being a Pretest</w:t>
      </w:r>
      <w:r w:rsidR="00F44A73">
        <w:rPr>
          <w:sz w:val="24"/>
        </w:rPr>
        <w:t>. Another large part of the redesign</w:t>
      </w:r>
      <w:r w:rsidR="00A3524E">
        <w:rPr>
          <w:sz w:val="24"/>
        </w:rPr>
        <w:t xml:space="preserve"> </w:t>
      </w:r>
      <w:r w:rsidR="00F44A73">
        <w:rPr>
          <w:sz w:val="24"/>
        </w:rPr>
        <w:t>involves</w:t>
      </w:r>
      <w:r w:rsidRPr="00754D69">
        <w:rPr>
          <w:sz w:val="24"/>
        </w:rPr>
        <w:t xml:space="preserve"> changing the sampling frame from a list-assisted Random Digit Dial (RDD) to an Address</w:t>
      </w:r>
      <w:r w:rsidR="00F44A73">
        <w:rPr>
          <w:sz w:val="24"/>
        </w:rPr>
        <w:t xml:space="preserve">-Based Sample (ABS) frame.  Two new </w:t>
      </w:r>
      <w:r w:rsidRPr="00754D69">
        <w:rPr>
          <w:sz w:val="24"/>
        </w:rPr>
        <w:t>mode</w:t>
      </w:r>
      <w:r w:rsidR="00F44A73">
        <w:rPr>
          <w:sz w:val="24"/>
        </w:rPr>
        <w:t>s</w:t>
      </w:r>
      <w:r w:rsidRPr="00754D69">
        <w:rPr>
          <w:sz w:val="24"/>
        </w:rPr>
        <w:t xml:space="preserve"> of data collection </w:t>
      </w:r>
      <w:r w:rsidR="000F35F0">
        <w:rPr>
          <w:sz w:val="24"/>
        </w:rPr>
        <w:t>will be evaluated during the NSCH P</w:t>
      </w:r>
      <w:r w:rsidR="00F44A73">
        <w:rPr>
          <w:sz w:val="24"/>
        </w:rPr>
        <w:t xml:space="preserve">retest: </w:t>
      </w:r>
      <w:r w:rsidR="004F7A2A">
        <w:rPr>
          <w:sz w:val="24"/>
        </w:rPr>
        <w:t>Mail</w:t>
      </w:r>
      <w:r w:rsidR="00F23882">
        <w:rPr>
          <w:sz w:val="24"/>
        </w:rPr>
        <w:t xml:space="preserve"> (</w:t>
      </w:r>
      <w:r w:rsidR="00540738">
        <w:rPr>
          <w:sz w:val="24"/>
        </w:rPr>
        <w:t>self-administered</w:t>
      </w:r>
      <w:r w:rsidR="00F23882">
        <w:rPr>
          <w:sz w:val="24"/>
        </w:rPr>
        <w:t>)</w:t>
      </w:r>
      <w:r w:rsidR="00540738">
        <w:rPr>
          <w:sz w:val="24"/>
        </w:rPr>
        <w:t xml:space="preserve"> and W</w:t>
      </w:r>
      <w:r w:rsidR="00F23882">
        <w:rPr>
          <w:sz w:val="24"/>
        </w:rPr>
        <w:t>eb (</w:t>
      </w:r>
      <w:r w:rsidR="000F35F0">
        <w:rPr>
          <w:sz w:val="24"/>
        </w:rPr>
        <w:t>self-administered</w:t>
      </w:r>
      <w:r w:rsidR="00F23882">
        <w:rPr>
          <w:sz w:val="24"/>
        </w:rPr>
        <w:t>)</w:t>
      </w:r>
      <w:r w:rsidR="00F44A73">
        <w:rPr>
          <w:sz w:val="24"/>
        </w:rPr>
        <w:t xml:space="preserve"> which is different from the</w:t>
      </w:r>
      <w:r w:rsidRPr="00754D69">
        <w:rPr>
          <w:sz w:val="24"/>
        </w:rPr>
        <w:t xml:space="preserve"> telephone, interviewer-administered</w:t>
      </w:r>
      <w:r w:rsidR="00F44A73">
        <w:rPr>
          <w:sz w:val="24"/>
        </w:rPr>
        <w:t xml:space="preserve"> mode that was originally used.</w:t>
      </w:r>
      <w:r w:rsidRPr="00754D69">
        <w:rPr>
          <w:sz w:val="24"/>
        </w:rPr>
        <w:t xml:space="preserve"> </w:t>
      </w:r>
    </w:p>
    <w:p w:rsidR="00754D69" w:rsidRPr="00754D69" w:rsidRDefault="00754D69" w:rsidP="00754D69">
      <w:pPr>
        <w:rPr>
          <w:sz w:val="24"/>
        </w:rPr>
      </w:pPr>
    </w:p>
    <w:p w:rsidR="003613A3" w:rsidRDefault="00754D69" w:rsidP="003613A3">
      <w:pPr>
        <w:rPr>
          <w:sz w:val="24"/>
        </w:rPr>
      </w:pPr>
      <w:r w:rsidRPr="00754D69">
        <w:rPr>
          <w:sz w:val="24"/>
        </w:rPr>
        <w:t>The N</w:t>
      </w:r>
      <w:r w:rsidR="00015FF7">
        <w:rPr>
          <w:sz w:val="24"/>
        </w:rPr>
        <w:t>SCH Pretest will use</w:t>
      </w:r>
      <w:r w:rsidRPr="00754D69">
        <w:rPr>
          <w:sz w:val="24"/>
        </w:rPr>
        <w:t xml:space="preserve"> an address-based sample </w:t>
      </w:r>
      <w:r w:rsidR="003314C2">
        <w:rPr>
          <w:sz w:val="24"/>
        </w:rPr>
        <w:t xml:space="preserve">derived from non-Title 13 sources and </w:t>
      </w:r>
      <w:r w:rsidRPr="00754D69">
        <w:rPr>
          <w:sz w:val="24"/>
        </w:rPr>
        <w:t>covering the 50 states and the District of Columbia</w:t>
      </w:r>
      <w:r w:rsidR="003314C2">
        <w:rPr>
          <w:sz w:val="24"/>
        </w:rPr>
        <w:t>.</w:t>
      </w:r>
      <w:r w:rsidRPr="00754D69">
        <w:rPr>
          <w:sz w:val="24"/>
        </w:rPr>
        <w:t xml:space="preserve"> </w:t>
      </w:r>
      <w:r w:rsidR="003314C2">
        <w:rPr>
          <w:sz w:val="24"/>
        </w:rPr>
        <w:t xml:space="preserve"> The pretest </w:t>
      </w:r>
      <w:r w:rsidRPr="00754D69">
        <w:rPr>
          <w:sz w:val="24"/>
        </w:rPr>
        <w:t xml:space="preserve">will be conducted from </w:t>
      </w:r>
      <w:r w:rsidR="00015FF7">
        <w:rPr>
          <w:sz w:val="24"/>
        </w:rPr>
        <w:t>June</w:t>
      </w:r>
      <w:r w:rsidRPr="00754D69">
        <w:rPr>
          <w:sz w:val="24"/>
        </w:rPr>
        <w:t xml:space="preserve"> </w:t>
      </w:r>
      <w:r w:rsidR="00015FF7">
        <w:rPr>
          <w:sz w:val="24"/>
        </w:rPr>
        <w:t xml:space="preserve">2015 </w:t>
      </w:r>
      <w:r w:rsidRPr="00754D69">
        <w:rPr>
          <w:sz w:val="24"/>
        </w:rPr>
        <w:t xml:space="preserve">through </w:t>
      </w:r>
      <w:r w:rsidR="00540738" w:rsidRPr="00540738">
        <w:rPr>
          <w:sz w:val="24"/>
        </w:rPr>
        <w:t>December 2015</w:t>
      </w:r>
      <w:r w:rsidR="00BF0C09">
        <w:rPr>
          <w:sz w:val="24"/>
        </w:rPr>
        <w:t>. Households will</w:t>
      </w:r>
      <w:r w:rsidRPr="00754D69">
        <w:rPr>
          <w:sz w:val="24"/>
        </w:rPr>
        <w:t xml:space="preserve"> be randomly sampled as described in section B.1.1 and a screening questionnaire will be sent to each sampled household. </w:t>
      </w:r>
      <w:r w:rsidR="00BF0C09">
        <w:rPr>
          <w:sz w:val="24"/>
        </w:rPr>
        <w:t xml:space="preserve">Information on the presence of children within the household, </w:t>
      </w:r>
      <w:r w:rsidR="00544275">
        <w:rPr>
          <w:sz w:val="24"/>
        </w:rPr>
        <w:t xml:space="preserve">child </w:t>
      </w:r>
      <w:r w:rsidR="00BF0C09">
        <w:rPr>
          <w:sz w:val="24"/>
        </w:rPr>
        <w:t>d</w:t>
      </w:r>
      <w:r w:rsidRPr="00754D69">
        <w:rPr>
          <w:sz w:val="24"/>
        </w:rPr>
        <w:t>emographic information</w:t>
      </w:r>
      <w:r w:rsidR="00544275">
        <w:rPr>
          <w:sz w:val="24"/>
        </w:rPr>
        <w:t>, as well as basic questions about each child’s health</w:t>
      </w:r>
      <w:r w:rsidRPr="00754D69">
        <w:rPr>
          <w:sz w:val="24"/>
        </w:rPr>
        <w:t xml:space="preserve"> provided on the screener will be used to determine whether </w:t>
      </w:r>
      <w:r w:rsidR="00544275">
        <w:rPr>
          <w:sz w:val="24"/>
        </w:rPr>
        <w:t>the household is</w:t>
      </w:r>
      <w:r w:rsidRPr="00754D69">
        <w:rPr>
          <w:sz w:val="24"/>
        </w:rPr>
        <w:t xml:space="preserve"> eligible for</w:t>
      </w:r>
      <w:r w:rsidR="00544275">
        <w:rPr>
          <w:sz w:val="24"/>
        </w:rPr>
        <w:t xml:space="preserve"> on</w:t>
      </w:r>
      <w:r w:rsidR="004C5583">
        <w:rPr>
          <w:sz w:val="24"/>
        </w:rPr>
        <w:t xml:space="preserve">e of the three age-based surveys: 0 to 5 </w:t>
      </w:r>
      <w:r w:rsidR="00F23882">
        <w:rPr>
          <w:sz w:val="24"/>
        </w:rPr>
        <w:t>y</w:t>
      </w:r>
      <w:r w:rsidR="004C5583">
        <w:rPr>
          <w:sz w:val="24"/>
        </w:rPr>
        <w:t xml:space="preserve">ear </w:t>
      </w:r>
      <w:r w:rsidR="00F23882">
        <w:rPr>
          <w:sz w:val="24"/>
        </w:rPr>
        <w:t>o</w:t>
      </w:r>
      <w:r w:rsidR="004C5583">
        <w:rPr>
          <w:sz w:val="24"/>
        </w:rPr>
        <w:t xml:space="preserve">ld </w:t>
      </w:r>
      <w:r w:rsidR="00F23882">
        <w:rPr>
          <w:sz w:val="24"/>
        </w:rPr>
        <w:t>c</w:t>
      </w:r>
      <w:r w:rsidR="004C5583">
        <w:rPr>
          <w:sz w:val="24"/>
        </w:rPr>
        <w:t xml:space="preserve">hildren, 6 to 11 </w:t>
      </w:r>
      <w:r w:rsidR="00F23882">
        <w:rPr>
          <w:sz w:val="24"/>
        </w:rPr>
        <w:t>y</w:t>
      </w:r>
      <w:r w:rsidR="004C5583">
        <w:rPr>
          <w:sz w:val="24"/>
        </w:rPr>
        <w:t xml:space="preserve">ear </w:t>
      </w:r>
      <w:r w:rsidR="00F23882">
        <w:rPr>
          <w:sz w:val="24"/>
        </w:rPr>
        <w:t>o</w:t>
      </w:r>
      <w:r w:rsidR="004C5583">
        <w:rPr>
          <w:sz w:val="24"/>
        </w:rPr>
        <w:t xml:space="preserve">ld </w:t>
      </w:r>
      <w:r w:rsidR="00F23882">
        <w:rPr>
          <w:sz w:val="24"/>
        </w:rPr>
        <w:t>c</w:t>
      </w:r>
      <w:r w:rsidR="004C5583">
        <w:rPr>
          <w:sz w:val="24"/>
        </w:rPr>
        <w:t xml:space="preserve">hildren, or 12 to 17 </w:t>
      </w:r>
      <w:r w:rsidR="00F23882">
        <w:rPr>
          <w:sz w:val="24"/>
        </w:rPr>
        <w:t>y</w:t>
      </w:r>
      <w:r w:rsidR="004C5583">
        <w:rPr>
          <w:sz w:val="24"/>
        </w:rPr>
        <w:t xml:space="preserve">ear </w:t>
      </w:r>
      <w:r w:rsidR="00F23882">
        <w:rPr>
          <w:sz w:val="24"/>
        </w:rPr>
        <w:t>o</w:t>
      </w:r>
      <w:r w:rsidR="004C5583">
        <w:rPr>
          <w:sz w:val="24"/>
        </w:rPr>
        <w:t xml:space="preserve">ld </w:t>
      </w:r>
      <w:r w:rsidR="00F23882">
        <w:rPr>
          <w:sz w:val="24"/>
        </w:rPr>
        <w:t>c</w:t>
      </w:r>
      <w:r w:rsidR="004C5583">
        <w:rPr>
          <w:sz w:val="24"/>
        </w:rPr>
        <w:t>hildren</w:t>
      </w:r>
      <w:r w:rsidR="00544275">
        <w:rPr>
          <w:sz w:val="24"/>
        </w:rPr>
        <w:t xml:space="preserve">. This </w:t>
      </w:r>
      <w:r w:rsidR="004C5583">
        <w:rPr>
          <w:sz w:val="24"/>
        </w:rPr>
        <w:t xml:space="preserve">screener </w:t>
      </w:r>
      <w:r w:rsidR="00544275">
        <w:rPr>
          <w:sz w:val="24"/>
        </w:rPr>
        <w:t xml:space="preserve">information is also used for the subsampling selection of a specific child </w:t>
      </w:r>
      <w:r w:rsidR="004C5583">
        <w:rPr>
          <w:sz w:val="24"/>
        </w:rPr>
        <w:t xml:space="preserve">within the household </w:t>
      </w:r>
      <w:r w:rsidR="00544275">
        <w:rPr>
          <w:sz w:val="24"/>
        </w:rPr>
        <w:t>based on an oversampling of CSHCN at 35%</w:t>
      </w:r>
      <w:r w:rsidRPr="00754D69">
        <w:rPr>
          <w:sz w:val="24"/>
        </w:rPr>
        <w:t>. In order to limit respondent burden, regardless of the number of eligible children, no more than one child per household</w:t>
      </w:r>
      <w:r w:rsidR="004C5583">
        <w:rPr>
          <w:sz w:val="24"/>
        </w:rPr>
        <w:t xml:space="preserve"> will be sampled for the</w:t>
      </w:r>
      <w:r w:rsidRPr="00754D69">
        <w:rPr>
          <w:sz w:val="24"/>
        </w:rPr>
        <w:t xml:space="preserve"> </w:t>
      </w:r>
      <w:r w:rsidR="004C5583">
        <w:rPr>
          <w:sz w:val="24"/>
        </w:rPr>
        <w:t xml:space="preserve">age-based topical </w:t>
      </w:r>
      <w:r w:rsidR="001643E0">
        <w:rPr>
          <w:sz w:val="24"/>
        </w:rPr>
        <w:lastRenderedPageBreak/>
        <w:t>surveys, which means no more than one topical survey,</w:t>
      </w:r>
      <w:r w:rsidRPr="00754D69">
        <w:rPr>
          <w:sz w:val="24"/>
        </w:rPr>
        <w:t xml:space="preserve"> will be administered in a</w:t>
      </w:r>
      <w:r w:rsidR="004C5583">
        <w:rPr>
          <w:sz w:val="24"/>
        </w:rPr>
        <w:t>ny given</w:t>
      </w:r>
      <w:r w:rsidRPr="00754D69">
        <w:rPr>
          <w:sz w:val="24"/>
        </w:rPr>
        <w:t xml:space="preserve"> household.</w:t>
      </w:r>
      <w:r w:rsidR="003613A3">
        <w:rPr>
          <w:sz w:val="24"/>
        </w:rPr>
        <w:t xml:space="preserve"> </w:t>
      </w:r>
      <w:r w:rsidR="003613A3" w:rsidRPr="00754D69">
        <w:rPr>
          <w:sz w:val="24"/>
        </w:rPr>
        <w:t xml:space="preserve">The target population for the </w:t>
      </w:r>
      <w:r w:rsidR="003613A3">
        <w:rPr>
          <w:sz w:val="24"/>
        </w:rPr>
        <w:t>NSCH</w:t>
      </w:r>
      <w:r w:rsidR="003613A3" w:rsidRPr="00754D69">
        <w:rPr>
          <w:sz w:val="24"/>
        </w:rPr>
        <w:t xml:space="preserve"> survey consists of children age </w:t>
      </w:r>
      <w:r w:rsidR="003613A3">
        <w:rPr>
          <w:sz w:val="24"/>
        </w:rPr>
        <w:t>17 or younger.</w:t>
      </w:r>
    </w:p>
    <w:p w:rsidR="00754D69" w:rsidRPr="00754D69" w:rsidRDefault="00754D69" w:rsidP="00754D69">
      <w:pPr>
        <w:rPr>
          <w:sz w:val="24"/>
        </w:rPr>
      </w:pPr>
    </w:p>
    <w:p w:rsidR="003613A3" w:rsidRDefault="00387AA8" w:rsidP="003613A3">
      <w:pPr>
        <w:pStyle w:val="Heading2"/>
        <w:numPr>
          <w:ilvl w:val="1"/>
          <w:numId w:val="3"/>
        </w:numPr>
        <w:spacing w:before="120" w:after="120"/>
        <w:rPr>
          <w:rFonts w:ascii="Times New Roman" w:hAnsi="Times New Roman" w:cs="Times New Roman"/>
          <w:i w:val="0"/>
          <w:sz w:val="24"/>
          <w:szCs w:val="24"/>
        </w:rPr>
      </w:pPr>
      <w:r>
        <w:rPr>
          <w:rFonts w:ascii="Times New Roman" w:hAnsi="Times New Roman" w:cs="Times New Roman"/>
          <w:i w:val="0"/>
          <w:sz w:val="24"/>
          <w:szCs w:val="24"/>
        </w:rPr>
        <w:t>Sampling Households</w:t>
      </w:r>
    </w:p>
    <w:p w:rsidR="00874317" w:rsidRPr="00874317" w:rsidRDefault="00E13510" w:rsidP="00874317">
      <w:pPr>
        <w:rPr>
          <w:sz w:val="24"/>
        </w:rPr>
      </w:pPr>
      <w:r>
        <w:rPr>
          <w:sz w:val="24"/>
        </w:rPr>
        <w:t xml:space="preserve">For the NSCH Pretest, a </w:t>
      </w:r>
      <w:r w:rsidR="00F15844" w:rsidRPr="00F15844">
        <w:rPr>
          <w:sz w:val="24"/>
        </w:rPr>
        <w:t>sample</w:t>
      </w:r>
      <w:r w:rsidR="00874317">
        <w:rPr>
          <w:sz w:val="24"/>
        </w:rPr>
        <w:t xml:space="preserve"> frame</w:t>
      </w:r>
      <w:r w:rsidR="00F15844" w:rsidRPr="00F15844">
        <w:rPr>
          <w:sz w:val="24"/>
        </w:rPr>
        <w:t xml:space="preserve"> of 1</w:t>
      </w:r>
      <w:r>
        <w:rPr>
          <w:sz w:val="24"/>
        </w:rPr>
        <w:t>6</w:t>
      </w:r>
      <w:r w:rsidR="00F15844" w:rsidRPr="00F15844">
        <w:rPr>
          <w:sz w:val="24"/>
        </w:rPr>
        <w:t xml:space="preserve">,000 </w:t>
      </w:r>
      <w:r w:rsidR="00F23882">
        <w:rPr>
          <w:sz w:val="24"/>
        </w:rPr>
        <w:t>household</w:t>
      </w:r>
      <w:r w:rsidR="00874317">
        <w:rPr>
          <w:sz w:val="24"/>
        </w:rPr>
        <w:t xml:space="preserve"> </w:t>
      </w:r>
      <w:r w:rsidR="00F15844" w:rsidRPr="00F15844">
        <w:rPr>
          <w:sz w:val="24"/>
        </w:rPr>
        <w:t xml:space="preserve">addresses will be used. </w:t>
      </w:r>
      <w:r w:rsidR="00F23882">
        <w:rPr>
          <w:sz w:val="24"/>
        </w:rPr>
        <w:t>T</w:t>
      </w:r>
      <w:r w:rsidR="00874317" w:rsidRPr="00874317">
        <w:rPr>
          <w:sz w:val="24"/>
        </w:rPr>
        <w:t>he sample file</w:t>
      </w:r>
      <w:r w:rsidR="00F23882">
        <w:rPr>
          <w:sz w:val="24"/>
        </w:rPr>
        <w:t xml:space="preserve"> was </w:t>
      </w:r>
      <w:r w:rsidR="003314C2">
        <w:rPr>
          <w:sz w:val="24"/>
        </w:rPr>
        <w:t>provided</w:t>
      </w:r>
      <w:r w:rsidR="00F23882">
        <w:rPr>
          <w:sz w:val="24"/>
        </w:rPr>
        <w:t xml:space="preserve"> by </w:t>
      </w:r>
      <w:r w:rsidR="00874317" w:rsidRPr="00874317">
        <w:rPr>
          <w:sz w:val="24"/>
        </w:rPr>
        <w:t xml:space="preserve">the </w:t>
      </w:r>
      <w:r w:rsidR="00356934">
        <w:rPr>
          <w:sz w:val="24"/>
        </w:rPr>
        <w:t>Census Bureau’s</w:t>
      </w:r>
      <w:r w:rsidR="00874317" w:rsidRPr="00874317">
        <w:rPr>
          <w:sz w:val="24"/>
        </w:rPr>
        <w:t xml:space="preserve"> Center for Administrative Records Rese</w:t>
      </w:r>
      <w:r w:rsidR="00874317">
        <w:rPr>
          <w:sz w:val="24"/>
        </w:rPr>
        <w:t xml:space="preserve">arch and Applications (CARRA). </w:t>
      </w:r>
      <w:r w:rsidR="00874317" w:rsidRPr="00874317">
        <w:rPr>
          <w:sz w:val="24"/>
        </w:rPr>
        <w:t>As background, CARRA is an interdisciplinary group in the Research and Methodology Directorate and is charged with the strategic re-use of administrative data from federal, state, and commercial providers. Information is combined from multiple sources to create new data products that would be impossible to produce using single data sets.</w:t>
      </w:r>
    </w:p>
    <w:p w:rsidR="00874317" w:rsidRPr="00874317" w:rsidRDefault="00874317" w:rsidP="00874317">
      <w:pPr>
        <w:rPr>
          <w:sz w:val="24"/>
        </w:rPr>
      </w:pPr>
    </w:p>
    <w:p w:rsidR="00874317" w:rsidRDefault="00874317" w:rsidP="00874317">
      <w:pPr>
        <w:rPr>
          <w:sz w:val="24"/>
        </w:rPr>
      </w:pPr>
      <w:r w:rsidRPr="00874317">
        <w:rPr>
          <w:sz w:val="24"/>
        </w:rPr>
        <w:t>Through their record linkage and statistical matching, Census Bureau operations are enhanced, demographic and socioeconomic research capabilities are extended, data quality is improved, data collection and processing costs are reduced, and respondent burden is lowered.</w:t>
      </w:r>
    </w:p>
    <w:p w:rsidR="00387AA8" w:rsidRDefault="00387AA8" w:rsidP="00874317">
      <w:pPr>
        <w:rPr>
          <w:sz w:val="24"/>
        </w:rPr>
      </w:pPr>
    </w:p>
    <w:p w:rsidR="00387AA8" w:rsidRPr="00387AA8" w:rsidRDefault="00387AA8" w:rsidP="00387AA8">
      <w:pPr>
        <w:rPr>
          <w:sz w:val="24"/>
        </w:rPr>
      </w:pPr>
      <w:r w:rsidRPr="00387AA8">
        <w:rPr>
          <w:sz w:val="24"/>
        </w:rPr>
        <w:t>The following CARRA information i</w:t>
      </w:r>
      <w:r w:rsidR="00356934">
        <w:rPr>
          <w:sz w:val="24"/>
        </w:rPr>
        <w:t>s pertinent to the NSCH Pretest</w:t>
      </w:r>
      <w:r w:rsidRPr="00387AA8">
        <w:rPr>
          <w:sz w:val="24"/>
        </w:rPr>
        <w:t>:</w:t>
      </w:r>
    </w:p>
    <w:p w:rsidR="00387AA8" w:rsidRPr="00387AA8" w:rsidRDefault="00387AA8" w:rsidP="00387AA8">
      <w:pPr>
        <w:rPr>
          <w:sz w:val="24"/>
        </w:rPr>
      </w:pPr>
    </w:p>
    <w:p w:rsidR="00387AA8" w:rsidRDefault="00387AA8" w:rsidP="00387AA8">
      <w:pPr>
        <w:pStyle w:val="ListParagraph"/>
        <w:numPr>
          <w:ilvl w:val="0"/>
          <w:numId w:val="10"/>
        </w:numPr>
        <w:rPr>
          <w:sz w:val="24"/>
        </w:rPr>
      </w:pPr>
      <w:r w:rsidRPr="00387AA8">
        <w:rPr>
          <w:sz w:val="24"/>
        </w:rPr>
        <w:t>Depending on the universe, CARRA can provide phone numbers for approximately 84% of households</w:t>
      </w:r>
      <w:r w:rsidR="00F23882">
        <w:rPr>
          <w:sz w:val="24"/>
        </w:rPr>
        <w:t xml:space="preserve"> in the U.S.</w:t>
      </w:r>
      <w:r w:rsidRPr="00387AA8">
        <w:rPr>
          <w:sz w:val="24"/>
        </w:rPr>
        <w:t>; they can be identified as landline or cell, and can be ranked according to quality when there</w:t>
      </w:r>
      <w:r>
        <w:rPr>
          <w:sz w:val="24"/>
        </w:rPr>
        <w:t xml:space="preserve"> are multiple numbers per </w:t>
      </w:r>
      <w:r w:rsidR="000F32C5">
        <w:rPr>
          <w:sz w:val="24"/>
        </w:rPr>
        <w:t>address.</w:t>
      </w:r>
    </w:p>
    <w:p w:rsidR="00387AA8" w:rsidRDefault="00387AA8" w:rsidP="00387AA8">
      <w:pPr>
        <w:pStyle w:val="ListParagraph"/>
        <w:rPr>
          <w:sz w:val="24"/>
        </w:rPr>
      </w:pPr>
    </w:p>
    <w:p w:rsidR="00387AA8" w:rsidRDefault="00387AA8" w:rsidP="00387AA8">
      <w:pPr>
        <w:pStyle w:val="ListParagraph"/>
        <w:numPr>
          <w:ilvl w:val="0"/>
          <w:numId w:val="10"/>
        </w:numPr>
        <w:rPr>
          <w:sz w:val="24"/>
        </w:rPr>
      </w:pPr>
      <w:r w:rsidRPr="00387AA8">
        <w:rPr>
          <w:sz w:val="24"/>
        </w:rPr>
        <w:t>Two data sources were used for CARRA’s creation of the NSCH Pretest sample:</w:t>
      </w:r>
    </w:p>
    <w:p w:rsidR="00387AA8" w:rsidRPr="00387AA8" w:rsidRDefault="00387AA8" w:rsidP="00387AA8">
      <w:pPr>
        <w:pStyle w:val="ListParagraph"/>
        <w:rPr>
          <w:sz w:val="24"/>
        </w:rPr>
      </w:pPr>
    </w:p>
    <w:p w:rsidR="00387AA8" w:rsidRDefault="00387AA8" w:rsidP="00387AA8">
      <w:pPr>
        <w:pStyle w:val="ListParagraph"/>
        <w:numPr>
          <w:ilvl w:val="1"/>
          <w:numId w:val="10"/>
        </w:numPr>
        <w:rPr>
          <w:sz w:val="24"/>
        </w:rPr>
      </w:pPr>
      <w:r w:rsidRPr="00387AA8">
        <w:rPr>
          <w:sz w:val="24"/>
        </w:rPr>
        <w:t>Data Source 1</w:t>
      </w:r>
    </w:p>
    <w:p w:rsidR="00387AA8" w:rsidRPr="00372656" w:rsidRDefault="00387AA8" w:rsidP="00DF0780">
      <w:pPr>
        <w:pStyle w:val="ListParagraph"/>
        <w:numPr>
          <w:ilvl w:val="2"/>
          <w:numId w:val="10"/>
        </w:numPr>
        <w:rPr>
          <w:sz w:val="24"/>
        </w:rPr>
      </w:pPr>
      <w:r w:rsidRPr="00372656">
        <w:rPr>
          <w:sz w:val="24"/>
        </w:rPr>
        <w:t xml:space="preserve">88.59 percent </w:t>
      </w:r>
      <w:r w:rsidR="00372656" w:rsidRPr="00372656">
        <w:rPr>
          <w:sz w:val="24"/>
        </w:rPr>
        <w:t>coverage of all residential units in the United States.</w:t>
      </w:r>
    </w:p>
    <w:p w:rsidR="00387AA8" w:rsidRDefault="00387AA8" w:rsidP="00387AA8">
      <w:pPr>
        <w:pStyle w:val="ListParagraph"/>
        <w:numPr>
          <w:ilvl w:val="2"/>
          <w:numId w:val="10"/>
        </w:numPr>
        <w:rPr>
          <w:sz w:val="24"/>
        </w:rPr>
      </w:pPr>
      <w:r w:rsidRPr="00387AA8">
        <w:rPr>
          <w:sz w:val="24"/>
        </w:rPr>
        <w:t>A variable exists which indicates presence and number of children in a household (22.62 percent of households indicated having at least one child).</w:t>
      </w:r>
    </w:p>
    <w:p w:rsidR="004815D5" w:rsidRDefault="00387AA8" w:rsidP="00387AA8">
      <w:pPr>
        <w:pStyle w:val="ListParagraph"/>
        <w:numPr>
          <w:ilvl w:val="2"/>
          <w:numId w:val="10"/>
        </w:numPr>
        <w:rPr>
          <w:sz w:val="24"/>
        </w:rPr>
      </w:pPr>
      <w:r w:rsidRPr="00387AA8">
        <w:rPr>
          <w:sz w:val="24"/>
        </w:rPr>
        <w:t>Variables exist for ages of the children, 0-5, 6-10, 11-15, 16-17; for the NSCH Pretest, the last two categories were collapsed to ages 11-17.</w:t>
      </w:r>
    </w:p>
    <w:p w:rsidR="004815D5" w:rsidRDefault="004815D5" w:rsidP="004815D5">
      <w:pPr>
        <w:pStyle w:val="ListParagraph"/>
        <w:ind w:left="2160"/>
        <w:rPr>
          <w:sz w:val="24"/>
        </w:rPr>
      </w:pPr>
    </w:p>
    <w:p w:rsidR="004815D5" w:rsidRDefault="00387AA8" w:rsidP="00387AA8">
      <w:pPr>
        <w:pStyle w:val="ListParagraph"/>
        <w:numPr>
          <w:ilvl w:val="1"/>
          <w:numId w:val="10"/>
        </w:numPr>
        <w:rPr>
          <w:sz w:val="24"/>
        </w:rPr>
      </w:pPr>
      <w:r w:rsidRPr="004815D5">
        <w:rPr>
          <w:sz w:val="24"/>
        </w:rPr>
        <w:t>Data Source 2</w:t>
      </w:r>
    </w:p>
    <w:p w:rsidR="004815D5" w:rsidRDefault="00387AA8" w:rsidP="00387AA8">
      <w:pPr>
        <w:pStyle w:val="ListParagraph"/>
        <w:numPr>
          <w:ilvl w:val="2"/>
          <w:numId w:val="10"/>
        </w:numPr>
        <w:rPr>
          <w:sz w:val="24"/>
        </w:rPr>
      </w:pPr>
      <w:r w:rsidRPr="004815D5">
        <w:rPr>
          <w:sz w:val="24"/>
        </w:rPr>
        <w:t xml:space="preserve">93.7 percent </w:t>
      </w:r>
      <w:r w:rsidR="00372656">
        <w:rPr>
          <w:sz w:val="24"/>
        </w:rPr>
        <w:t>coverage of all residential units in the United States</w:t>
      </w:r>
      <w:r w:rsidRPr="004815D5">
        <w:rPr>
          <w:sz w:val="24"/>
        </w:rPr>
        <w:t>.</w:t>
      </w:r>
    </w:p>
    <w:p w:rsidR="00387AA8" w:rsidRPr="004815D5" w:rsidRDefault="00387AA8" w:rsidP="00387AA8">
      <w:pPr>
        <w:pStyle w:val="ListParagraph"/>
        <w:numPr>
          <w:ilvl w:val="2"/>
          <w:numId w:val="10"/>
        </w:numPr>
        <w:rPr>
          <w:sz w:val="24"/>
        </w:rPr>
      </w:pPr>
      <w:r w:rsidRPr="004815D5">
        <w:rPr>
          <w:sz w:val="24"/>
        </w:rPr>
        <w:t>A variable exists which indicates presence of children.</w:t>
      </w:r>
    </w:p>
    <w:p w:rsidR="00387AA8" w:rsidRPr="00387AA8" w:rsidRDefault="00387AA8" w:rsidP="00387AA8">
      <w:pPr>
        <w:rPr>
          <w:sz w:val="24"/>
        </w:rPr>
      </w:pPr>
    </w:p>
    <w:p w:rsidR="00387AA8" w:rsidRDefault="004815D5" w:rsidP="00387AA8">
      <w:pPr>
        <w:rPr>
          <w:sz w:val="24"/>
        </w:rPr>
      </w:pPr>
      <w:r>
        <w:rPr>
          <w:sz w:val="24"/>
        </w:rPr>
        <w:t xml:space="preserve">It </w:t>
      </w:r>
      <w:r w:rsidR="00387AA8" w:rsidRPr="00387AA8">
        <w:rPr>
          <w:sz w:val="24"/>
        </w:rPr>
        <w:t xml:space="preserve">was </w:t>
      </w:r>
      <w:r>
        <w:rPr>
          <w:sz w:val="24"/>
        </w:rPr>
        <w:t xml:space="preserve">also </w:t>
      </w:r>
      <w:r w:rsidR="00387AA8" w:rsidRPr="00387AA8">
        <w:rPr>
          <w:sz w:val="24"/>
        </w:rPr>
        <w:t>a requirement that at least one phone number had to be present on each address record</w:t>
      </w:r>
      <w:r>
        <w:rPr>
          <w:sz w:val="24"/>
        </w:rPr>
        <w:t>.</w:t>
      </w:r>
    </w:p>
    <w:p w:rsidR="004815D5" w:rsidRDefault="004815D5" w:rsidP="00387AA8">
      <w:pPr>
        <w:rPr>
          <w:sz w:val="24"/>
        </w:rPr>
      </w:pPr>
    </w:p>
    <w:p w:rsidR="004815D5" w:rsidRDefault="005955A6" w:rsidP="00387AA8">
      <w:pPr>
        <w:rPr>
          <w:sz w:val="24"/>
        </w:rPr>
      </w:pPr>
      <w:r>
        <w:rPr>
          <w:sz w:val="24"/>
        </w:rPr>
        <w:t>CARRA provided this</w:t>
      </w:r>
      <w:r w:rsidR="004815D5" w:rsidRPr="004815D5">
        <w:rPr>
          <w:sz w:val="24"/>
        </w:rPr>
        <w:t xml:space="preserve"> sample frame of 16,000 households, allocated across the 50 states and the District of Columbia, and stratified by state and the age group of children present in the household.  The strata were mutually exclusive, prioritized by the age group of children present in the household (a</w:t>
      </w:r>
      <w:r>
        <w:rPr>
          <w:sz w:val="24"/>
        </w:rPr>
        <w:t xml:space="preserve">ge group 0-5 first). See </w:t>
      </w:r>
      <w:r w:rsidRPr="008C4E06">
        <w:rPr>
          <w:b/>
          <w:sz w:val="24"/>
        </w:rPr>
        <w:t>Table B.1.1.A</w:t>
      </w:r>
      <w:r w:rsidR="004815D5" w:rsidRPr="004815D5">
        <w:rPr>
          <w:sz w:val="24"/>
        </w:rPr>
        <w:t>. The sample sizes were allocated based on the number of records per state for each age group. For example, if Arizona has 2 percent of the records in the sample universe for children in the age group 0-5 (St</w:t>
      </w:r>
      <w:r w:rsidR="00003FFC">
        <w:rPr>
          <w:sz w:val="24"/>
        </w:rPr>
        <w:t>r</w:t>
      </w:r>
      <w:r w:rsidR="004815D5" w:rsidRPr="004815D5">
        <w:rPr>
          <w:sz w:val="24"/>
        </w:rPr>
        <w:t xml:space="preserve">atum S1), Arizona has 2 </w:t>
      </w:r>
      <w:r w:rsidR="004815D5" w:rsidRPr="004815D5">
        <w:rPr>
          <w:sz w:val="24"/>
        </w:rPr>
        <w:lastRenderedPageBreak/>
        <w:t>percent of the 0-5 age group sample.</w:t>
      </w:r>
    </w:p>
    <w:p w:rsidR="005955A6" w:rsidRDefault="005955A6" w:rsidP="00387AA8">
      <w:pPr>
        <w:rPr>
          <w:sz w:val="24"/>
        </w:rPr>
      </w:pPr>
    </w:p>
    <w:p w:rsidR="005955A6" w:rsidRPr="009E14A1" w:rsidRDefault="005955A6" w:rsidP="005955A6">
      <w:pPr>
        <w:rPr>
          <w:rFonts w:eastAsiaTheme="minorHAnsi"/>
          <w:b/>
          <w:sz w:val="22"/>
          <w:szCs w:val="22"/>
        </w:rPr>
      </w:pPr>
      <w:r>
        <w:rPr>
          <w:rFonts w:eastAsiaTheme="minorHAnsi"/>
          <w:b/>
          <w:sz w:val="22"/>
          <w:szCs w:val="22"/>
        </w:rPr>
        <w:t>Table B.1.1.A</w:t>
      </w:r>
      <w:r w:rsidRPr="009E14A1">
        <w:rPr>
          <w:rFonts w:eastAsiaTheme="minorHAnsi"/>
          <w:b/>
          <w:sz w:val="22"/>
          <w:szCs w:val="22"/>
        </w:rPr>
        <w:t>:  CARRA’s Addressed-Based Sample for the NSCH Pretest</w:t>
      </w:r>
    </w:p>
    <w:tbl>
      <w:tblPr>
        <w:tblStyle w:val="TableGrid"/>
        <w:tblW w:w="0" w:type="auto"/>
        <w:tblInd w:w="5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90"/>
        <w:gridCol w:w="1530"/>
        <w:gridCol w:w="4230"/>
        <w:gridCol w:w="1710"/>
      </w:tblGrid>
      <w:tr w:rsidR="005955A6" w:rsidRPr="009E14A1" w:rsidTr="005955A6">
        <w:trPr>
          <w:trHeight w:val="537"/>
        </w:trPr>
        <w:tc>
          <w:tcPr>
            <w:tcW w:w="990" w:type="dxa"/>
            <w:shd w:val="clear" w:color="auto" w:fill="D9D9D9" w:themeFill="background1" w:themeFillShade="D9"/>
            <w:vAlign w:val="center"/>
          </w:tcPr>
          <w:p w:rsidR="005955A6" w:rsidRPr="009E14A1" w:rsidRDefault="005955A6" w:rsidP="005955A6">
            <w:pPr>
              <w:jc w:val="center"/>
              <w:rPr>
                <w:sz w:val="22"/>
                <w:szCs w:val="22"/>
              </w:rPr>
            </w:pPr>
            <w:r w:rsidRPr="009E14A1">
              <w:rPr>
                <w:sz w:val="22"/>
                <w:szCs w:val="22"/>
              </w:rPr>
              <w:t>Stratum</w:t>
            </w:r>
          </w:p>
        </w:tc>
        <w:tc>
          <w:tcPr>
            <w:tcW w:w="1530" w:type="dxa"/>
            <w:shd w:val="clear" w:color="auto" w:fill="D9D9D9" w:themeFill="background1" w:themeFillShade="D9"/>
            <w:vAlign w:val="center"/>
          </w:tcPr>
          <w:p w:rsidR="005955A6" w:rsidRPr="009E14A1" w:rsidRDefault="005955A6" w:rsidP="005955A6">
            <w:pPr>
              <w:jc w:val="center"/>
              <w:rPr>
                <w:sz w:val="22"/>
                <w:szCs w:val="22"/>
              </w:rPr>
            </w:pPr>
            <w:r w:rsidRPr="009E14A1">
              <w:rPr>
                <w:sz w:val="22"/>
                <w:szCs w:val="22"/>
              </w:rPr>
              <w:t>Age Group of Children</w:t>
            </w:r>
          </w:p>
        </w:tc>
        <w:tc>
          <w:tcPr>
            <w:tcW w:w="4230" w:type="dxa"/>
            <w:shd w:val="clear" w:color="auto" w:fill="D9D9D9" w:themeFill="background1" w:themeFillShade="D9"/>
            <w:vAlign w:val="center"/>
          </w:tcPr>
          <w:p w:rsidR="005955A6" w:rsidRPr="009E14A1" w:rsidRDefault="005955A6" w:rsidP="005955A6">
            <w:pPr>
              <w:jc w:val="center"/>
              <w:rPr>
                <w:sz w:val="22"/>
                <w:szCs w:val="22"/>
              </w:rPr>
            </w:pPr>
            <w:r w:rsidRPr="009E14A1">
              <w:rPr>
                <w:sz w:val="22"/>
                <w:szCs w:val="22"/>
              </w:rPr>
              <w:t>Explanation</w:t>
            </w:r>
          </w:p>
        </w:tc>
        <w:tc>
          <w:tcPr>
            <w:tcW w:w="1710" w:type="dxa"/>
            <w:shd w:val="clear" w:color="auto" w:fill="D9D9D9" w:themeFill="background1" w:themeFillShade="D9"/>
            <w:vAlign w:val="center"/>
          </w:tcPr>
          <w:p w:rsidR="005955A6" w:rsidRPr="009E14A1" w:rsidRDefault="005955A6" w:rsidP="005955A6">
            <w:pPr>
              <w:jc w:val="center"/>
              <w:rPr>
                <w:sz w:val="22"/>
                <w:szCs w:val="22"/>
              </w:rPr>
            </w:pPr>
            <w:r w:rsidRPr="009E14A1">
              <w:rPr>
                <w:sz w:val="22"/>
                <w:szCs w:val="22"/>
              </w:rPr>
              <w:t>Stratum Size</w:t>
            </w:r>
          </w:p>
        </w:tc>
      </w:tr>
      <w:tr w:rsidR="005955A6" w:rsidRPr="009E14A1" w:rsidTr="005955A6">
        <w:trPr>
          <w:trHeight w:val="402"/>
        </w:trPr>
        <w:tc>
          <w:tcPr>
            <w:tcW w:w="990" w:type="dxa"/>
            <w:shd w:val="clear" w:color="auto" w:fill="D9D9D9" w:themeFill="background1" w:themeFillShade="D9"/>
            <w:vAlign w:val="center"/>
          </w:tcPr>
          <w:p w:rsidR="005955A6" w:rsidRPr="009E14A1" w:rsidRDefault="005955A6" w:rsidP="005955A6">
            <w:pPr>
              <w:jc w:val="center"/>
              <w:rPr>
                <w:sz w:val="22"/>
                <w:szCs w:val="22"/>
              </w:rPr>
            </w:pPr>
            <w:r w:rsidRPr="009E14A1">
              <w:rPr>
                <w:sz w:val="22"/>
                <w:szCs w:val="22"/>
              </w:rPr>
              <w:t>S1</w:t>
            </w:r>
          </w:p>
        </w:tc>
        <w:tc>
          <w:tcPr>
            <w:tcW w:w="1530" w:type="dxa"/>
            <w:vAlign w:val="center"/>
          </w:tcPr>
          <w:p w:rsidR="005955A6" w:rsidRPr="009E14A1" w:rsidRDefault="005955A6" w:rsidP="005955A6">
            <w:pPr>
              <w:jc w:val="center"/>
              <w:rPr>
                <w:sz w:val="22"/>
                <w:szCs w:val="22"/>
              </w:rPr>
            </w:pPr>
            <w:r w:rsidRPr="009E14A1">
              <w:rPr>
                <w:sz w:val="22"/>
                <w:szCs w:val="22"/>
              </w:rPr>
              <w:t>0-5</w:t>
            </w:r>
          </w:p>
        </w:tc>
        <w:tc>
          <w:tcPr>
            <w:tcW w:w="4230" w:type="dxa"/>
            <w:vAlign w:val="center"/>
          </w:tcPr>
          <w:p w:rsidR="005955A6" w:rsidRPr="009E14A1" w:rsidRDefault="005955A6" w:rsidP="005955A6">
            <w:pPr>
              <w:jc w:val="center"/>
              <w:rPr>
                <w:sz w:val="22"/>
                <w:szCs w:val="22"/>
              </w:rPr>
            </w:pPr>
          </w:p>
        </w:tc>
        <w:tc>
          <w:tcPr>
            <w:tcW w:w="1710" w:type="dxa"/>
            <w:vAlign w:val="center"/>
          </w:tcPr>
          <w:p w:rsidR="005955A6" w:rsidRPr="009E14A1" w:rsidRDefault="005955A6" w:rsidP="005955A6">
            <w:pPr>
              <w:jc w:val="center"/>
              <w:rPr>
                <w:sz w:val="22"/>
                <w:szCs w:val="22"/>
              </w:rPr>
            </w:pPr>
            <w:r w:rsidRPr="009E14A1">
              <w:rPr>
                <w:sz w:val="22"/>
                <w:szCs w:val="22"/>
              </w:rPr>
              <w:t>4,000</w:t>
            </w:r>
          </w:p>
        </w:tc>
      </w:tr>
      <w:tr w:rsidR="005955A6" w:rsidRPr="009E14A1" w:rsidTr="005955A6">
        <w:tc>
          <w:tcPr>
            <w:tcW w:w="990" w:type="dxa"/>
            <w:shd w:val="clear" w:color="auto" w:fill="D9D9D9" w:themeFill="background1" w:themeFillShade="D9"/>
            <w:vAlign w:val="center"/>
          </w:tcPr>
          <w:p w:rsidR="005955A6" w:rsidRPr="009E14A1" w:rsidRDefault="005955A6" w:rsidP="005955A6">
            <w:pPr>
              <w:jc w:val="center"/>
              <w:rPr>
                <w:sz w:val="22"/>
                <w:szCs w:val="22"/>
              </w:rPr>
            </w:pPr>
            <w:r w:rsidRPr="009E14A1">
              <w:rPr>
                <w:sz w:val="22"/>
                <w:szCs w:val="22"/>
              </w:rPr>
              <w:t>S2</w:t>
            </w:r>
          </w:p>
        </w:tc>
        <w:tc>
          <w:tcPr>
            <w:tcW w:w="1530" w:type="dxa"/>
            <w:vAlign w:val="center"/>
          </w:tcPr>
          <w:p w:rsidR="005955A6" w:rsidRPr="009E14A1" w:rsidRDefault="005955A6" w:rsidP="005955A6">
            <w:pPr>
              <w:jc w:val="center"/>
              <w:rPr>
                <w:sz w:val="22"/>
                <w:szCs w:val="22"/>
              </w:rPr>
            </w:pPr>
            <w:r w:rsidRPr="009E14A1">
              <w:rPr>
                <w:sz w:val="22"/>
                <w:szCs w:val="22"/>
              </w:rPr>
              <w:t>6-10</w:t>
            </w:r>
          </w:p>
        </w:tc>
        <w:tc>
          <w:tcPr>
            <w:tcW w:w="4230" w:type="dxa"/>
            <w:vAlign w:val="center"/>
          </w:tcPr>
          <w:p w:rsidR="005955A6" w:rsidRPr="009E14A1" w:rsidRDefault="005955A6" w:rsidP="005955A6">
            <w:pPr>
              <w:rPr>
                <w:sz w:val="22"/>
                <w:szCs w:val="22"/>
              </w:rPr>
            </w:pPr>
            <w:r w:rsidRPr="009E14A1">
              <w:rPr>
                <w:sz w:val="22"/>
                <w:szCs w:val="22"/>
              </w:rPr>
              <w:t>…but excluding addresses in S1</w:t>
            </w:r>
          </w:p>
        </w:tc>
        <w:tc>
          <w:tcPr>
            <w:tcW w:w="1710" w:type="dxa"/>
            <w:vAlign w:val="center"/>
          </w:tcPr>
          <w:p w:rsidR="005955A6" w:rsidRPr="009E14A1" w:rsidRDefault="005955A6" w:rsidP="005955A6">
            <w:pPr>
              <w:jc w:val="center"/>
              <w:rPr>
                <w:sz w:val="22"/>
                <w:szCs w:val="22"/>
              </w:rPr>
            </w:pPr>
            <w:r w:rsidRPr="009E14A1">
              <w:rPr>
                <w:sz w:val="22"/>
                <w:szCs w:val="22"/>
              </w:rPr>
              <w:t>4,000</w:t>
            </w:r>
          </w:p>
        </w:tc>
      </w:tr>
      <w:tr w:rsidR="005955A6" w:rsidRPr="009E14A1" w:rsidTr="005955A6">
        <w:tc>
          <w:tcPr>
            <w:tcW w:w="990" w:type="dxa"/>
            <w:shd w:val="clear" w:color="auto" w:fill="D9D9D9" w:themeFill="background1" w:themeFillShade="D9"/>
            <w:vAlign w:val="center"/>
          </w:tcPr>
          <w:p w:rsidR="005955A6" w:rsidRPr="009E14A1" w:rsidRDefault="005955A6" w:rsidP="005955A6">
            <w:pPr>
              <w:jc w:val="center"/>
              <w:rPr>
                <w:sz w:val="22"/>
                <w:szCs w:val="22"/>
              </w:rPr>
            </w:pPr>
            <w:r w:rsidRPr="009E14A1">
              <w:rPr>
                <w:sz w:val="22"/>
                <w:szCs w:val="22"/>
              </w:rPr>
              <w:t>S3</w:t>
            </w:r>
          </w:p>
        </w:tc>
        <w:tc>
          <w:tcPr>
            <w:tcW w:w="1530" w:type="dxa"/>
            <w:vAlign w:val="center"/>
          </w:tcPr>
          <w:p w:rsidR="005955A6" w:rsidRPr="009E14A1" w:rsidRDefault="005955A6" w:rsidP="005955A6">
            <w:pPr>
              <w:jc w:val="center"/>
              <w:rPr>
                <w:sz w:val="22"/>
                <w:szCs w:val="22"/>
              </w:rPr>
            </w:pPr>
            <w:r w:rsidRPr="009E14A1">
              <w:rPr>
                <w:sz w:val="22"/>
                <w:szCs w:val="22"/>
              </w:rPr>
              <w:t>11-17</w:t>
            </w:r>
          </w:p>
        </w:tc>
        <w:tc>
          <w:tcPr>
            <w:tcW w:w="4230" w:type="dxa"/>
            <w:vAlign w:val="center"/>
          </w:tcPr>
          <w:p w:rsidR="005955A6" w:rsidRPr="009E14A1" w:rsidRDefault="005955A6" w:rsidP="005955A6">
            <w:pPr>
              <w:rPr>
                <w:sz w:val="22"/>
                <w:szCs w:val="22"/>
              </w:rPr>
            </w:pPr>
            <w:r w:rsidRPr="009E14A1">
              <w:rPr>
                <w:sz w:val="22"/>
                <w:szCs w:val="22"/>
              </w:rPr>
              <w:t>…but excluding addresses in S1 and S2</w:t>
            </w:r>
          </w:p>
        </w:tc>
        <w:tc>
          <w:tcPr>
            <w:tcW w:w="1710" w:type="dxa"/>
            <w:vAlign w:val="center"/>
          </w:tcPr>
          <w:p w:rsidR="005955A6" w:rsidRPr="009E14A1" w:rsidRDefault="005955A6" w:rsidP="005955A6">
            <w:pPr>
              <w:jc w:val="center"/>
              <w:rPr>
                <w:sz w:val="22"/>
                <w:szCs w:val="22"/>
              </w:rPr>
            </w:pPr>
            <w:r w:rsidRPr="009E14A1">
              <w:rPr>
                <w:sz w:val="22"/>
                <w:szCs w:val="22"/>
              </w:rPr>
              <w:t>4,000</w:t>
            </w:r>
          </w:p>
        </w:tc>
      </w:tr>
      <w:tr w:rsidR="005955A6" w:rsidRPr="009E14A1" w:rsidTr="005955A6">
        <w:trPr>
          <w:trHeight w:val="475"/>
        </w:trPr>
        <w:tc>
          <w:tcPr>
            <w:tcW w:w="990" w:type="dxa"/>
            <w:shd w:val="clear" w:color="auto" w:fill="D9D9D9" w:themeFill="background1" w:themeFillShade="D9"/>
            <w:vAlign w:val="center"/>
          </w:tcPr>
          <w:p w:rsidR="005955A6" w:rsidRPr="009E14A1" w:rsidRDefault="005955A6" w:rsidP="005955A6">
            <w:pPr>
              <w:jc w:val="center"/>
              <w:rPr>
                <w:sz w:val="22"/>
                <w:szCs w:val="22"/>
              </w:rPr>
            </w:pPr>
            <w:r w:rsidRPr="009E14A1">
              <w:rPr>
                <w:sz w:val="22"/>
                <w:szCs w:val="22"/>
              </w:rPr>
              <w:t>S4</w:t>
            </w:r>
          </w:p>
        </w:tc>
        <w:tc>
          <w:tcPr>
            <w:tcW w:w="1530" w:type="dxa"/>
            <w:vAlign w:val="center"/>
          </w:tcPr>
          <w:p w:rsidR="005955A6" w:rsidRPr="009E14A1" w:rsidRDefault="005955A6" w:rsidP="005955A6">
            <w:pPr>
              <w:jc w:val="center"/>
              <w:rPr>
                <w:sz w:val="22"/>
                <w:szCs w:val="22"/>
              </w:rPr>
            </w:pPr>
            <w:r w:rsidRPr="009E14A1">
              <w:rPr>
                <w:sz w:val="22"/>
                <w:szCs w:val="22"/>
              </w:rPr>
              <w:t>Other</w:t>
            </w:r>
          </w:p>
        </w:tc>
        <w:tc>
          <w:tcPr>
            <w:tcW w:w="4230" w:type="dxa"/>
            <w:vAlign w:val="center"/>
          </w:tcPr>
          <w:p w:rsidR="005955A6" w:rsidRDefault="005955A6" w:rsidP="005955A6">
            <w:pPr>
              <w:rPr>
                <w:sz w:val="22"/>
                <w:szCs w:val="22"/>
              </w:rPr>
            </w:pPr>
            <w:r w:rsidRPr="009E14A1">
              <w:rPr>
                <w:sz w:val="22"/>
                <w:szCs w:val="22"/>
              </w:rPr>
              <w:t>…all remaining addresses;</w:t>
            </w:r>
            <w:r>
              <w:rPr>
                <w:sz w:val="22"/>
                <w:szCs w:val="22"/>
              </w:rPr>
              <w:t xml:space="preserve"> do not</w:t>
            </w:r>
            <w:r w:rsidRPr="009E14A1">
              <w:rPr>
                <w:sz w:val="22"/>
                <w:szCs w:val="22"/>
              </w:rPr>
              <w:t xml:space="preserve"> identify as</w:t>
            </w:r>
          </w:p>
          <w:p w:rsidR="005955A6" w:rsidRPr="009E14A1" w:rsidRDefault="005955A6" w:rsidP="005955A6">
            <w:pPr>
              <w:rPr>
                <w:sz w:val="22"/>
                <w:szCs w:val="22"/>
              </w:rPr>
            </w:pPr>
            <w:r>
              <w:rPr>
                <w:sz w:val="22"/>
                <w:szCs w:val="22"/>
              </w:rPr>
              <w:t xml:space="preserve"> </w:t>
            </w:r>
            <w:r w:rsidRPr="009E14A1">
              <w:rPr>
                <w:sz w:val="22"/>
                <w:szCs w:val="22"/>
              </w:rPr>
              <w:t xml:space="preserve"> </w:t>
            </w:r>
            <w:r>
              <w:rPr>
                <w:sz w:val="22"/>
                <w:szCs w:val="22"/>
              </w:rPr>
              <w:t xml:space="preserve">  </w:t>
            </w:r>
            <w:r w:rsidRPr="009E14A1">
              <w:rPr>
                <w:sz w:val="22"/>
                <w:szCs w:val="22"/>
              </w:rPr>
              <w:t>having children</w:t>
            </w:r>
          </w:p>
        </w:tc>
        <w:tc>
          <w:tcPr>
            <w:tcW w:w="1710" w:type="dxa"/>
            <w:vAlign w:val="center"/>
          </w:tcPr>
          <w:p w:rsidR="005955A6" w:rsidRPr="009E14A1" w:rsidRDefault="005955A6" w:rsidP="005955A6">
            <w:pPr>
              <w:jc w:val="center"/>
              <w:rPr>
                <w:sz w:val="22"/>
                <w:szCs w:val="22"/>
              </w:rPr>
            </w:pPr>
            <w:r w:rsidRPr="009E14A1">
              <w:rPr>
                <w:sz w:val="22"/>
                <w:szCs w:val="22"/>
              </w:rPr>
              <w:t>4,000</w:t>
            </w:r>
          </w:p>
        </w:tc>
      </w:tr>
    </w:tbl>
    <w:p w:rsidR="005955A6" w:rsidRDefault="005955A6" w:rsidP="00387AA8">
      <w:pPr>
        <w:rPr>
          <w:sz w:val="24"/>
        </w:rPr>
      </w:pPr>
    </w:p>
    <w:p w:rsidR="000076A2" w:rsidRDefault="000076A2" w:rsidP="000076A2">
      <w:pPr>
        <w:rPr>
          <w:sz w:val="24"/>
        </w:rPr>
      </w:pPr>
      <w:r w:rsidRPr="000076A2">
        <w:rPr>
          <w:sz w:val="24"/>
        </w:rPr>
        <w:t xml:space="preserve">The following </w:t>
      </w:r>
      <w:r>
        <w:rPr>
          <w:b/>
          <w:sz w:val="24"/>
        </w:rPr>
        <w:t>Table B.1.1.B</w:t>
      </w:r>
      <w:r w:rsidRPr="000076A2">
        <w:rPr>
          <w:sz w:val="24"/>
        </w:rPr>
        <w:t xml:space="preserve"> </w:t>
      </w:r>
      <w:r>
        <w:rPr>
          <w:sz w:val="24"/>
        </w:rPr>
        <w:t xml:space="preserve">is a summary of </w:t>
      </w:r>
      <w:r w:rsidRPr="000076A2">
        <w:rPr>
          <w:sz w:val="24"/>
        </w:rPr>
        <w:t>the comparisons that will be performed on the mode and incentive treatment g</w:t>
      </w:r>
      <w:r>
        <w:rPr>
          <w:sz w:val="24"/>
        </w:rPr>
        <w:t>roups</w:t>
      </w:r>
      <w:r w:rsidR="00F34318">
        <w:rPr>
          <w:sz w:val="24"/>
        </w:rPr>
        <w:t xml:space="preserve"> based on the screener response rates</w:t>
      </w:r>
      <w:r>
        <w:rPr>
          <w:sz w:val="24"/>
        </w:rPr>
        <w:t xml:space="preserve">. The Fisher Exact Test is </w:t>
      </w:r>
      <w:r w:rsidRPr="000076A2">
        <w:rPr>
          <w:sz w:val="24"/>
        </w:rPr>
        <w:t>used to derive power.</w:t>
      </w:r>
    </w:p>
    <w:p w:rsidR="000076A2" w:rsidRDefault="000076A2" w:rsidP="000076A2">
      <w:pPr>
        <w:rPr>
          <w:rFonts w:eastAsiaTheme="minorHAnsi"/>
          <w:b/>
          <w:sz w:val="22"/>
          <w:szCs w:val="22"/>
        </w:rPr>
      </w:pPr>
    </w:p>
    <w:p w:rsidR="000076A2" w:rsidRDefault="000076A2" w:rsidP="000076A2">
      <w:pPr>
        <w:rPr>
          <w:sz w:val="24"/>
        </w:rPr>
      </w:pPr>
      <w:r>
        <w:rPr>
          <w:rFonts w:eastAsiaTheme="minorHAnsi"/>
          <w:b/>
          <w:sz w:val="22"/>
          <w:szCs w:val="22"/>
        </w:rPr>
        <w:t>Table B.1.1.B: Mode and Incentive Treatment Group Comparison</w:t>
      </w:r>
    </w:p>
    <w:tbl>
      <w:tblPr>
        <w:tblStyle w:val="TableGrid"/>
        <w:tblW w:w="0" w:type="auto"/>
        <w:tblLook w:val="04A0" w:firstRow="1" w:lastRow="0" w:firstColumn="1" w:lastColumn="0" w:noHBand="0" w:noVBand="1"/>
      </w:tblPr>
      <w:tblGrid>
        <w:gridCol w:w="1038"/>
        <w:gridCol w:w="870"/>
        <w:gridCol w:w="1170"/>
        <w:gridCol w:w="1080"/>
        <w:gridCol w:w="1170"/>
        <w:gridCol w:w="2160"/>
        <w:gridCol w:w="2088"/>
      </w:tblGrid>
      <w:tr w:rsidR="00CD7864" w:rsidTr="00CD7864">
        <w:tc>
          <w:tcPr>
            <w:tcW w:w="1038" w:type="dxa"/>
            <w:shd w:val="clear" w:color="auto" w:fill="D9D9D9" w:themeFill="background1" w:themeFillShade="D9"/>
            <w:vAlign w:val="center"/>
          </w:tcPr>
          <w:p w:rsidR="00CD7864" w:rsidRPr="008A4547" w:rsidRDefault="00CD7864" w:rsidP="00CD7864">
            <w:pPr>
              <w:jc w:val="center"/>
              <w:rPr>
                <w:szCs w:val="20"/>
              </w:rPr>
            </w:pPr>
            <w:r w:rsidRPr="008A4547">
              <w:rPr>
                <w:szCs w:val="20"/>
              </w:rPr>
              <w:t>Treatment</w:t>
            </w:r>
          </w:p>
          <w:p w:rsidR="00CD7864" w:rsidRPr="008A4547" w:rsidRDefault="00CD7864" w:rsidP="00CD7864">
            <w:pPr>
              <w:jc w:val="center"/>
              <w:rPr>
                <w:szCs w:val="20"/>
              </w:rPr>
            </w:pPr>
            <w:r w:rsidRPr="008A4547">
              <w:rPr>
                <w:szCs w:val="20"/>
              </w:rPr>
              <w:t>Group</w:t>
            </w:r>
          </w:p>
        </w:tc>
        <w:tc>
          <w:tcPr>
            <w:tcW w:w="870" w:type="dxa"/>
            <w:shd w:val="clear" w:color="auto" w:fill="D9D9D9" w:themeFill="background1" w:themeFillShade="D9"/>
            <w:vAlign w:val="center"/>
          </w:tcPr>
          <w:p w:rsidR="00CD7864" w:rsidRPr="008A4547" w:rsidRDefault="00CD7864" w:rsidP="00CD7864">
            <w:pPr>
              <w:jc w:val="center"/>
              <w:rPr>
                <w:szCs w:val="20"/>
              </w:rPr>
            </w:pPr>
            <w:r>
              <w:rPr>
                <w:szCs w:val="20"/>
              </w:rPr>
              <w:t>Initial</w:t>
            </w:r>
            <w:r w:rsidRPr="008A4547">
              <w:rPr>
                <w:szCs w:val="20"/>
              </w:rPr>
              <w:t xml:space="preserve"> Cases</w:t>
            </w:r>
          </w:p>
        </w:tc>
        <w:tc>
          <w:tcPr>
            <w:tcW w:w="1170" w:type="dxa"/>
            <w:shd w:val="clear" w:color="auto" w:fill="D9D9D9" w:themeFill="background1" w:themeFillShade="D9"/>
            <w:vAlign w:val="center"/>
          </w:tcPr>
          <w:p w:rsidR="00CD7864" w:rsidRPr="008A4547" w:rsidRDefault="00CD7864" w:rsidP="00CD7864">
            <w:pPr>
              <w:jc w:val="center"/>
              <w:rPr>
                <w:szCs w:val="20"/>
              </w:rPr>
            </w:pPr>
            <w:r w:rsidRPr="008A4547">
              <w:rPr>
                <w:szCs w:val="20"/>
              </w:rPr>
              <w:t>Mode</w:t>
            </w:r>
          </w:p>
        </w:tc>
        <w:tc>
          <w:tcPr>
            <w:tcW w:w="1080" w:type="dxa"/>
            <w:shd w:val="clear" w:color="auto" w:fill="D9D9D9" w:themeFill="background1" w:themeFillShade="D9"/>
            <w:vAlign w:val="center"/>
          </w:tcPr>
          <w:p w:rsidR="00CD7864" w:rsidRPr="008A4547" w:rsidRDefault="00CD7864" w:rsidP="00CD7864">
            <w:pPr>
              <w:jc w:val="center"/>
              <w:rPr>
                <w:szCs w:val="20"/>
              </w:rPr>
            </w:pPr>
            <w:r w:rsidRPr="008A4547">
              <w:rPr>
                <w:szCs w:val="20"/>
              </w:rPr>
              <w:t>Screener</w:t>
            </w:r>
          </w:p>
          <w:p w:rsidR="00CD7864" w:rsidRPr="008A4547" w:rsidRDefault="00CD7864" w:rsidP="00CD7864">
            <w:pPr>
              <w:jc w:val="center"/>
              <w:rPr>
                <w:szCs w:val="20"/>
              </w:rPr>
            </w:pPr>
            <w:r w:rsidRPr="008A4547">
              <w:rPr>
                <w:szCs w:val="20"/>
              </w:rPr>
              <w:t>Incentive</w:t>
            </w:r>
          </w:p>
        </w:tc>
        <w:tc>
          <w:tcPr>
            <w:tcW w:w="1170" w:type="dxa"/>
            <w:shd w:val="clear" w:color="auto" w:fill="D9D9D9" w:themeFill="background1" w:themeFillShade="D9"/>
            <w:vAlign w:val="center"/>
          </w:tcPr>
          <w:p w:rsidR="00CD7864" w:rsidRPr="008A4547" w:rsidRDefault="00CD7864" w:rsidP="00CD7864">
            <w:pPr>
              <w:jc w:val="center"/>
              <w:rPr>
                <w:szCs w:val="20"/>
              </w:rPr>
            </w:pPr>
            <w:r w:rsidRPr="008A4547">
              <w:rPr>
                <w:szCs w:val="20"/>
              </w:rPr>
              <w:t>Topical Incentive</w:t>
            </w:r>
          </w:p>
        </w:tc>
        <w:tc>
          <w:tcPr>
            <w:tcW w:w="2160" w:type="dxa"/>
            <w:shd w:val="clear" w:color="auto" w:fill="D9D9D9" w:themeFill="background1" w:themeFillShade="D9"/>
            <w:vAlign w:val="center"/>
          </w:tcPr>
          <w:p w:rsidR="00CD7864" w:rsidRPr="008A4547" w:rsidRDefault="00CD7864" w:rsidP="00CD7864">
            <w:pPr>
              <w:jc w:val="center"/>
              <w:rPr>
                <w:szCs w:val="20"/>
              </w:rPr>
            </w:pPr>
            <w:r w:rsidRPr="008A4547">
              <w:rPr>
                <w:szCs w:val="20"/>
              </w:rPr>
              <w:t>Incentive</w:t>
            </w:r>
          </w:p>
          <w:p w:rsidR="00CD7864" w:rsidRPr="008A4547" w:rsidRDefault="00CD7864" w:rsidP="00CD7864">
            <w:pPr>
              <w:jc w:val="center"/>
              <w:rPr>
                <w:szCs w:val="20"/>
              </w:rPr>
            </w:pPr>
            <w:r w:rsidRPr="008A4547">
              <w:rPr>
                <w:szCs w:val="20"/>
              </w:rPr>
              <w:t>Comparison</w:t>
            </w:r>
          </w:p>
        </w:tc>
        <w:tc>
          <w:tcPr>
            <w:tcW w:w="2088" w:type="dxa"/>
            <w:shd w:val="clear" w:color="auto" w:fill="D9D9D9" w:themeFill="background1" w:themeFillShade="D9"/>
            <w:vAlign w:val="center"/>
          </w:tcPr>
          <w:p w:rsidR="00CD7864" w:rsidRPr="008A4547" w:rsidRDefault="00CD7864" w:rsidP="00CD7864">
            <w:pPr>
              <w:jc w:val="center"/>
              <w:rPr>
                <w:szCs w:val="20"/>
              </w:rPr>
            </w:pPr>
            <w:r w:rsidRPr="008A4547">
              <w:rPr>
                <w:szCs w:val="20"/>
              </w:rPr>
              <w:t>Mode</w:t>
            </w:r>
          </w:p>
          <w:p w:rsidR="00CD7864" w:rsidRPr="008A4547" w:rsidRDefault="00CD7864" w:rsidP="00CD7864">
            <w:pPr>
              <w:jc w:val="center"/>
              <w:rPr>
                <w:szCs w:val="20"/>
              </w:rPr>
            </w:pPr>
            <w:r w:rsidRPr="008A4547">
              <w:rPr>
                <w:szCs w:val="20"/>
              </w:rPr>
              <w:t>Comparison</w:t>
            </w:r>
          </w:p>
        </w:tc>
      </w:tr>
      <w:tr w:rsidR="00CD7864" w:rsidTr="00CD7864">
        <w:tc>
          <w:tcPr>
            <w:tcW w:w="1038" w:type="dxa"/>
            <w:shd w:val="clear" w:color="auto" w:fill="D9D9D9" w:themeFill="background1" w:themeFillShade="D9"/>
            <w:vAlign w:val="center"/>
          </w:tcPr>
          <w:p w:rsidR="00CD7864" w:rsidRPr="008A4547" w:rsidRDefault="00CD7864" w:rsidP="00CD7864">
            <w:pPr>
              <w:jc w:val="center"/>
              <w:rPr>
                <w:szCs w:val="20"/>
              </w:rPr>
            </w:pPr>
            <w:r w:rsidRPr="008A4547">
              <w:rPr>
                <w:szCs w:val="20"/>
              </w:rPr>
              <w:t>1</w:t>
            </w:r>
          </w:p>
        </w:tc>
        <w:tc>
          <w:tcPr>
            <w:tcW w:w="870" w:type="dxa"/>
            <w:vAlign w:val="center"/>
          </w:tcPr>
          <w:p w:rsidR="00CD7864" w:rsidRPr="00284423" w:rsidRDefault="00CD7864" w:rsidP="00CD7864">
            <w:pPr>
              <w:jc w:val="center"/>
              <w:rPr>
                <w:szCs w:val="20"/>
              </w:rPr>
            </w:pPr>
            <w:r w:rsidRPr="00284423">
              <w:rPr>
                <w:szCs w:val="20"/>
              </w:rPr>
              <w:t>7,120</w:t>
            </w:r>
          </w:p>
        </w:tc>
        <w:tc>
          <w:tcPr>
            <w:tcW w:w="1170" w:type="dxa"/>
            <w:vAlign w:val="center"/>
          </w:tcPr>
          <w:p w:rsidR="00CD7864" w:rsidRPr="008A4547" w:rsidRDefault="00CD7864" w:rsidP="00CD7864">
            <w:pPr>
              <w:jc w:val="center"/>
              <w:rPr>
                <w:szCs w:val="20"/>
              </w:rPr>
            </w:pPr>
            <w:r w:rsidRPr="008A4547">
              <w:rPr>
                <w:szCs w:val="20"/>
              </w:rPr>
              <w:t>Mail</w:t>
            </w:r>
          </w:p>
        </w:tc>
        <w:tc>
          <w:tcPr>
            <w:tcW w:w="1080" w:type="dxa"/>
            <w:vAlign w:val="center"/>
          </w:tcPr>
          <w:p w:rsidR="00CD7864" w:rsidRPr="008A4547" w:rsidRDefault="00CD7864" w:rsidP="00CD7864">
            <w:pPr>
              <w:jc w:val="center"/>
              <w:rPr>
                <w:szCs w:val="20"/>
              </w:rPr>
            </w:pPr>
            <w:r w:rsidRPr="008A4547">
              <w:rPr>
                <w:szCs w:val="20"/>
              </w:rPr>
              <w:t>$5</w:t>
            </w:r>
          </w:p>
        </w:tc>
        <w:tc>
          <w:tcPr>
            <w:tcW w:w="1170" w:type="dxa"/>
            <w:vAlign w:val="center"/>
          </w:tcPr>
          <w:p w:rsidR="00CD7864" w:rsidRPr="008A4547" w:rsidRDefault="00CD7864" w:rsidP="00CD7864">
            <w:pPr>
              <w:jc w:val="center"/>
              <w:rPr>
                <w:szCs w:val="20"/>
              </w:rPr>
            </w:pPr>
            <w:r w:rsidRPr="008A4547">
              <w:rPr>
                <w:szCs w:val="20"/>
              </w:rPr>
              <w:t>$5</w:t>
            </w:r>
          </w:p>
        </w:tc>
        <w:tc>
          <w:tcPr>
            <w:tcW w:w="2160" w:type="dxa"/>
            <w:vAlign w:val="center"/>
          </w:tcPr>
          <w:p w:rsidR="00CD7864" w:rsidRPr="008A4547" w:rsidRDefault="00CD7864" w:rsidP="00CD7864">
            <w:pPr>
              <w:jc w:val="center"/>
              <w:rPr>
                <w:szCs w:val="20"/>
              </w:rPr>
            </w:pPr>
            <w:r w:rsidRPr="008A4547">
              <w:rPr>
                <w:szCs w:val="20"/>
              </w:rPr>
              <w:t>n/a</w:t>
            </w:r>
          </w:p>
        </w:tc>
        <w:tc>
          <w:tcPr>
            <w:tcW w:w="2088" w:type="dxa"/>
            <w:vAlign w:val="center"/>
          </w:tcPr>
          <w:p w:rsidR="00CD7864" w:rsidRPr="008A4547" w:rsidRDefault="00CD7864" w:rsidP="00CD7864">
            <w:pPr>
              <w:jc w:val="center"/>
              <w:rPr>
                <w:szCs w:val="20"/>
              </w:rPr>
            </w:pPr>
            <w:r>
              <w:rPr>
                <w:szCs w:val="20"/>
              </w:rPr>
              <w:t>1 vs. 2</w:t>
            </w:r>
          </w:p>
          <w:p w:rsidR="00CD7864" w:rsidRDefault="00CD7864" w:rsidP="00CD7864">
            <w:pPr>
              <w:jc w:val="center"/>
              <w:rPr>
                <w:szCs w:val="20"/>
              </w:rPr>
            </w:pPr>
            <w:r>
              <w:rPr>
                <w:szCs w:val="20"/>
              </w:rPr>
              <w:t>p</w:t>
            </w:r>
            <w:r w:rsidRPr="008A4547">
              <w:rPr>
                <w:szCs w:val="20"/>
              </w:rPr>
              <w:t>=0.05, pow</w:t>
            </w:r>
            <w:r>
              <w:rPr>
                <w:szCs w:val="20"/>
              </w:rPr>
              <w:t>er≈1.00</w:t>
            </w:r>
          </w:p>
          <w:p w:rsidR="00CD7864" w:rsidRDefault="00CD7864" w:rsidP="00CD7864">
            <w:pPr>
              <w:jc w:val="center"/>
              <w:rPr>
                <w:szCs w:val="20"/>
              </w:rPr>
            </w:pPr>
            <w:r>
              <w:rPr>
                <w:szCs w:val="20"/>
              </w:rPr>
              <w:t>p</w:t>
            </w:r>
            <w:r w:rsidRPr="008A4547">
              <w:rPr>
                <w:szCs w:val="20"/>
              </w:rPr>
              <w:t>=</w:t>
            </w:r>
            <w:r>
              <w:rPr>
                <w:szCs w:val="20"/>
              </w:rPr>
              <w:t>0.10, power≈1.00</w:t>
            </w:r>
          </w:p>
          <w:p w:rsidR="00CD7864" w:rsidRPr="008A4547" w:rsidRDefault="00CD7864" w:rsidP="00CD7864">
            <w:pPr>
              <w:jc w:val="center"/>
              <w:rPr>
                <w:szCs w:val="20"/>
              </w:rPr>
            </w:pPr>
            <w:r>
              <w:rPr>
                <w:szCs w:val="20"/>
              </w:rPr>
              <w:t>p</w:t>
            </w:r>
            <w:r w:rsidRPr="008A4547">
              <w:rPr>
                <w:szCs w:val="20"/>
              </w:rPr>
              <w:t>=</w:t>
            </w:r>
            <w:r>
              <w:rPr>
                <w:szCs w:val="20"/>
              </w:rPr>
              <w:t>0.20, power≈1.00</w:t>
            </w:r>
          </w:p>
        </w:tc>
      </w:tr>
      <w:tr w:rsidR="00CD7864" w:rsidTr="00CD7864">
        <w:tc>
          <w:tcPr>
            <w:tcW w:w="1038" w:type="dxa"/>
            <w:shd w:val="clear" w:color="auto" w:fill="D9D9D9" w:themeFill="background1" w:themeFillShade="D9"/>
            <w:vAlign w:val="center"/>
          </w:tcPr>
          <w:p w:rsidR="00CD7864" w:rsidRPr="008A4547" w:rsidRDefault="00CD7864" w:rsidP="00CD7864">
            <w:pPr>
              <w:jc w:val="center"/>
              <w:rPr>
                <w:szCs w:val="20"/>
              </w:rPr>
            </w:pPr>
            <w:r w:rsidRPr="008A4547">
              <w:rPr>
                <w:szCs w:val="20"/>
              </w:rPr>
              <w:t>2</w:t>
            </w:r>
          </w:p>
        </w:tc>
        <w:tc>
          <w:tcPr>
            <w:tcW w:w="870" w:type="dxa"/>
            <w:vAlign w:val="center"/>
          </w:tcPr>
          <w:p w:rsidR="00CD7864" w:rsidRPr="00284423" w:rsidRDefault="00CD7864" w:rsidP="00CD7864">
            <w:pPr>
              <w:jc w:val="center"/>
              <w:rPr>
                <w:szCs w:val="20"/>
              </w:rPr>
            </w:pPr>
            <w:r>
              <w:rPr>
                <w:szCs w:val="20"/>
              </w:rPr>
              <w:t>3,560</w:t>
            </w:r>
          </w:p>
        </w:tc>
        <w:tc>
          <w:tcPr>
            <w:tcW w:w="1170" w:type="dxa"/>
            <w:vAlign w:val="center"/>
          </w:tcPr>
          <w:p w:rsidR="00CD7864" w:rsidRPr="008A4547" w:rsidRDefault="00CD7864" w:rsidP="00CD7864">
            <w:pPr>
              <w:jc w:val="center"/>
              <w:rPr>
                <w:szCs w:val="20"/>
              </w:rPr>
            </w:pPr>
            <w:r w:rsidRPr="008A4547">
              <w:rPr>
                <w:szCs w:val="20"/>
              </w:rPr>
              <w:t>Web</w:t>
            </w:r>
          </w:p>
          <w:p w:rsidR="00CD7864" w:rsidRPr="008A4547" w:rsidRDefault="00CD7864" w:rsidP="00CD7864">
            <w:pPr>
              <w:jc w:val="center"/>
              <w:rPr>
                <w:szCs w:val="20"/>
              </w:rPr>
            </w:pPr>
            <w:r w:rsidRPr="008A4547">
              <w:rPr>
                <w:szCs w:val="20"/>
              </w:rPr>
              <w:t>Push+Mail</w:t>
            </w:r>
          </w:p>
        </w:tc>
        <w:tc>
          <w:tcPr>
            <w:tcW w:w="1080" w:type="dxa"/>
            <w:vAlign w:val="center"/>
          </w:tcPr>
          <w:p w:rsidR="00CD7864" w:rsidRPr="008A4547" w:rsidRDefault="00CD7864" w:rsidP="00CD7864">
            <w:pPr>
              <w:jc w:val="center"/>
              <w:rPr>
                <w:szCs w:val="20"/>
              </w:rPr>
            </w:pPr>
            <w:r w:rsidRPr="008A4547">
              <w:rPr>
                <w:szCs w:val="20"/>
              </w:rPr>
              <w:t>$5</w:t>
            </w:r>
          </w:p>
        </w:tc>
        <w:tc>
          <w:tcPr>
            <w:tcW w:w="1170" w:type="dxa"/>
            <w:vAlign w:val="center"/>
          </w:tcPr>
          <w:p w:rsidR="00CD7864" w:rsidRPr="008A4547" w:rsidRDefault="00CD7864" w:rsidP="00CD7864">
            <w:pPr>
              <w:jc w:val="center"/>
              <w:rPr>
                <w:szCs w:val="20"/>
              </w:rPr>
            </w:pPr>
            <w:r w:rsidRPr="008A4547">
              <w:rPr>
                <w:szCs w:val="20"/>
              </w:rPr>
              <w:t>n/a</w:t>
            </w:r>
          </w:p>
        </w:tc>
        <w:tc>
          <w:tcPr>
            <w:tcW w:w="2160" w:type="dxa"/>
            <w:vMerge w:val="restart"/>
            <w:vAlign w:val="center"/>
          </w:tcPr>
          <w:p w:rsidR="00CD7864" w:rsidRPr="008A4547" w:rsidRDefault="00CD7864" w:rsidP="00CD7864">
            <w:pPr>
              <w:jc w:val="center"/>
              <w:rPr>
                <w:szCs w:val="20"/>
              </w:rPr>
            </w:pPr>
            <w:r w:rsidRPr="008A4547">
              <w:rPr>
                <w:szCs w:val="20"/>
              </w:rPr>
              <w:t>2 vs. 3</w:t>
            </w:r>
          </w:p>
          <w:p w:rsidR="00CD7864" w:rsidRDefault="00CD7864" w:rsidP="00CD7864">
            <w:pPr>
              <w:jc w:val="center"/>
              <w:rPr>
                <w:szCs w:val="20"/>
              </w:rPr>
            </w:pPr>
            <w:r>
              <w:rPr>
                <w:szCs w:val="20"/>
              </w:rPr>
              <w:t>p=0.05, power=0.94</w:t>
            </w:r>
          </w:p>
          <w:p w:rsidR="00CD7864" w:rsidRDefault="00CD7864" w:rsidP="00CD7864">
            <w:pPr>
              <w:jc w:val="center"/>
              <w:rPr>
                <w:szCs w:val="20"/>
              </w:rPr>
            </w:pPr>
            <w:r>
              <w:rPr>
                <w:szCs w:val="20"/>
              </w:rPr>
              <w:t>p</w:t>
            </w:r>
            <w:r w:rsidRPr="008A4547">
              <w:rPr>
                <w:szCs w:val="20"/>
              </w:rPr>
              <w:t>=</w:t>
            </w:r>
            <w:r>
              <w:rPr>
                <w:szCs w:val="20"/>
              </w:rPr>
              <w:t>0.10, power=0.97</w:t>
            </w:r>
          </w:p>
          <w:p w:rsidR="00CD7864" w:rsidRPr="008A4547" w:rsidRDefault="00CD7864" w:rsidP="00CD7864">
            <w:pPr>
              <w:jc w:val="center"/>
              <w:rPr>
                <w:szCs w:val="20"/>
              </w:rPr>
            </w:pPr>
            <w:r>
              <w:rPr>
                <w:szCs w:val="20"/>
              </w:rPr>
              <w:t>p</w:t>
            </w:r>
            <w:r w:rsidRPr="008A4547">
              <w:rPr>
                <w:szCs w:val="20"/>
              </w:rPr>
              <w:t>=</w:t>
            </w:r>
            <w:r>
              <w:rPr>
                <w:szCs w:val="20"/>
              </w:rPr>
              <w:t>0.20, power=0.99</w:t>
            </w:r>
          </w:p>
        </w:tc>
        <w:tc>
          <w:tcPr>
            <w:tcW w:w="2088" w:type="dxa"/>
            <w:vMerge w:val="restart"/>
            <w:vAlign w:val="center"/>
          </w:tcPr>
          <w:p w:rsidR="00CD7864" w:rsidRPr="008A4547" w:rsidRDefault="00CD7864" w:rsidP="00CD7864">
            <w:pPr>
              <w:jc w:val="center"/>
              <w:rPr>
                <w:szCs w:val="20"/>
              </w:rPr>
            </w:pPr>
            <w:r>
              <w:rPr>
                <w:szCs w:val="20"/>
              </w:rPr>
              <w:t>n/a</w:t>
            </w:r>
          </w:p>
        </w:tc>
      </w:tr>
      <w:tr w:rsidR="00CD7864" w:rsidTr="00CD7864">
        <w:tc>
          <w:tcPr>
            <w:tcW w:w="1038" w:type="dxa"/>
            <w:shd w:val="clear" w:color="auto" w:fill="D9D9D9" w:themeFill="background1" w:themeFillShade="D9"/>
            <w:vAlign w:val="center"/>
          </w:tcPr>
          <w:p w:rsidR="00CD7864" w:rsidRPr="004F6C00" w:rsidRDefault="00CD7864" w:rsidP="00CD7864">
            <w:pPr>
              <w:jc w:val="center"/>
              <w:rPr>
                <w:szCs w:val="20"/>
              </w:rPr>
            </w:pPr>
            <w:r w:rsidRPr="004F6C00">
              <w:rPr>
                <w:szCs w:val="20"/>
              </w:rPr>
              <w:t>3</w:t>
            </w:r>
          </w:p>
        </w:tc>
        <w:tc>
          <w:tcPr>
            <w:tcW w:w="870" w:type="dxa"/>
            <w:vAlign w:val="center"/>
          </w:tcPr>
          <w:p w:rsidR="00CD7864" w:rsidRPr="00284423" w:rsidRDefault="00CD7864" w:rsidP="00CD7864">
            <w:pPr>
              <w:jc w:val="center"/>
              <w:rPr>
                <w:szCs w:val="20"/>
              </w:rPr>
            </w:pPr>
            <w:r>
              <w:rPr>
                <w:szCs w:val="20"/>
              </w:rPr>
              <w:t>3,560</w:t>
            </w:r>
          </w:p>
        </w:tc>
        <w:tc>
          <w:tcPr>
            <w:tcW w:w="1170" w:type="dxa"/>
            <w:vAlign w:val="center"/>
          </w:tcPr>
          <w:p w:rsidR="00CD7864" w:rsidRPr="004F6C00" w:rsidRDefault="00CD7864" w:rsidP="00CD7864">
            <w:pPr>
              <w:jc w:val="center"/>
              <w:rPr>
                <w:szCs w:val="20"/>
              </w:rPr>
            </w:pPr>
            <w:r w:rsidRPr="004F6C00">
              <w:rPr>
                <w:szCs w:val="20"/>
              </w:rPr>
              <w:t>Web</w:t>
            </w:r>
          </w:p>
          <w:p w:rsidR="00CD7864" w:rsidRPr="004F6C00" w:rsidRDefault="00CD7864" w:rsidP="00CD7864">
            <w:pPr>
              <w:jc w:val="center"/>
              <w:rPr>
                <w:szCs w:val="20"/>
              </w:rPr>
            </w:pPr>
            <w:r w:rsidRPr="004F6C00">
              <w:rPr>
                <w:szCs w:val="20"/>
              </w:rPr>
              <w:t>Push+Mail</w:t>
            </w:r>
          </w:p>
        </w:tc>
        <w:tc>
          <w:tcPr>
            <w:tcW w:w="1080" w:type="dxa"/>
            <w:vAlign w:val="center"/>
          </w:tcPr>
          <w:p w:rsidR="00CD7864" w:rsidRPr="004F6C00" w:rsidRDefault="00CD7864" w:rsidP="00CD7864">
            <w:pPr>
              <w:jc w:val="center"/>
              <w:rPr>
                <w:szCs w:val="20"/>
              </w:rPr>
            </w:pPr>
            <w:r w:rsidRPr="004F6C00">
              <w:rPr>
                <w:szCs w:val="20"/>
              </w:rPr>
              <w:t>$10</w:t>
            </w:r>
          </w:p>
        </w:tc>
        <w:tc>
          <w:tcPr>
            <w:tcW w:w="1170" w:type="dxa"/>
            <w:vAlign w:val="center"/>
          </w:tcPr>
          <w:p w:rsidR="00CD7864" w:rsidRPr="004F6C00" w:rsidRDefault="00CD7864" w:rsidP="00CD7864">
            <w:pPr>
              <w:jc w:val="center"/>
              <w:rPr>
                <w:szCs w:val="20"/>
              </w:rPr>
            </w:pPr>
            <w:r w:rsidRPr="004F6C00">
              <w:rPr>
                <w:szCs w:val="20"/>
              </w:rPr>
              <w:t>n/a</w:t>
            </w:r>
          </w:p>
        </w:tc>
        <w:tc>
          <w:tcPr>
            <w:tcW w:w="2160" w:type="dxa"/>
            <w:vMerge/>
            <w:vAlign w:val="center"/>
          </w:tcPr>
          <w:p w:rsidR="00CD7864" w:rsidRDefault="00CD7864" w:rsidP="00CD7864">
            <w:pPr>
              <w:jc w:val="center"/>
            </w:pPr>
          </w:p>
        </w:tc>
        <w:tc>
          <w:tcPr>
            <w:tcW w:w="2088" w:type="dxa"/>
            <w:vMerge/>
            <w:vAlign w:val="center"/>
          </w:tcPr>
          <w:p w:rsidR="00CD7864" w:rsidRDefault="00CD7864" w:rsidP="00CD7864">
            <w:pPr>
              <w:jc w:val="center"/>
            </w:pPr>
          </w:p>
        </w:tc>
      </w:tr>
    </w:tbl>
    <w:p w:rsidR="00F15844" w:rsidRPr="00F15844" w:rsidRDefault="00F15844" w:rsidP="00F15844">
      <w:pPr>
        <w:rPr>
          <w:sz w:val="24"/>
        </w:rPr>
      </w:pPr>
    </w:p>
    <w:p w:rsidR="00387AA8" w:rsidRDefault="00356934" w:rsidP="00222414">
      <w:pPr>
        <w:pStyle w:val="Heading2"/>
        <w:numPr>
          <w:ilvl w:val="1"/>
          <w:numId w:val="3"/>
        </w:numPr>
        <w:spacing w:before="120" w:after="120"/>
        <w:rPr>
          <w:rFonts w:ascii="Times New Roman" w:hAnsi="Times New Roman" w:cs="Times New Roman"/>
          <w:i w:val="0"/>
          <w:sz w:val="24"/>
          <w:szCs w:val="24"/>
        </w:rPr>
      </w:pPr>
      <w:r>
        <w:rPr>
          <w:rFonts w:ascii="Times New Roman" w:hAnsi="Times New Roman" w:cs="Times New Roman"/>
          <w:i w:val="0"/>
          <w:sz w:val="24"/>
          <w:szCs w:val="24"/>
        </w:rPr>
        <w:t>Within-</w:t>
      </w:r>
      <w:r w:rsidR="005955A6">
        <w:rPr>
          <w:rFonts w:ascii="Times New Roman" w:hAnsi="Times New Roman" w:cs="Times New Roman"/>
          <w:i w:val="0"/>
          <w:sz w:val="24"/>
          <w:szCs w:val="24"/>
        </w:rPr>
        <w:t>Household Sampling</w:t>
      </w:r>
    </w:p>
    <w:p w:rsidR="005955A6" w:rsidRDefault="005955A6" w:rsidP="005955A6">
      <w:pPr>
        <w:rPr>
          <w:sz w:val="24"/>
        </w:rPr>
      </w:pPr>
      <w:r w:rsidRPr="005955A6">
        <w:rPr>
          <w:sz w:val="24"/>
        </w:rPr>
        <w:t>Eligible children within households that have a completed s</w:t>
      </w:r>
      <w:r w:rsidR="00356934">
        <w:rPr>
          <w:sz w:val="24"/>
        </w:rPr>
        <w:t xml:space="preserve">creener will be sampled for one of the three age-based </w:t>
      </w:r>
      <w:r w:rsidRPr="005955A6">
        <w:rPr>
          <w:sz w:val="24"/>
        </w:rPr>
        <w:t>topical surveys</w:t>
      </w:r>
      <w:r w:rsidR="00003FFC">
        <w:rPr>
          <w:sz w:val="24"/>
        </w:rPr>
        <w:t xml:space="preserve">: 0 to 5 year old children, 6 to 11 year old children, or 12 to </w:t>
      </w:r>
      <w:r w:rsidR="00356934">
        <w:rPr>
          <w:sz w:val="24"/>
        </w:rPr>
        <w:t>17 year old children</w:t>
      </w:r>
      <w:r w:rsidRPr="005955A6">
        <w:rPr>
          <w:sz w:val="24"/>
        </w:rPr>
        <w:t>. O</w:t>
      </w:r>
      <w:r w:rsidR="00356934">
        <w:rPr>
          <w:sz w:val="24"/>
        </w:rPr>
        <w:t xml:space="preserve">nly one child per household will be selected for a topical questionnaire in an effort to </w:t>
      </w:r>
      <w:r w:rsidR="0018694D">
        <w:rPr>
          <w:sz w:val="24"/>
        </w:rPr>
        <w:t>minimize</w:t>
      </w:r>
      <w:r w:rsidRPr="005955A6">
        <w:rPr>
          <w:sz w:val="24"/>
        </w:rPr>
        <w:t xml:space="preserve"> respondent burden. </w:t>
      </w:r>
    </w:p>
    <w:p w:rsidR="0018694D" w:rsidRPr="005955A6" w:rsidRDefault="0018694D" w:rsidP="005955A6">
      <w:pPr>
        <w:rPr>
          <w:sz w:val="24"/>
        </w:rPr>
      </w:pPr>
    </w:p>
    <w:p w:rsidR="006E1D60" w:rsidRDefault="0018694D" w:rsidP="005955A6">
      <w:pPr>
        <w:rPr>
          <w:sz w:val="24"/>
        </w:rPr>
      </w:pPr>
      <w:r>
        <w:rPr>
          <w:sz w:val="24"/>
        </w:rPr>
        <w:t xml:space="preserve">In order to </w:t>
      </w:r>
      <w:r w:rsidR="006E1D60">
        <w:rPr>
          <w:sz w:val="24"/>
        </w:rPr>
        <w:t>select the</w:t>
      </w:r>
      <w:r w:rsidR="000374C9">
        <w:rPr>
          <w:sz w:val="24"/>
        </w:rPr>
        <w:t xml:space="preserve"> sample child from a </w:t>
      </w:r>
      <w:r>
        <w:rPr>
          <w:sz w:val="24"/>
        </w:rPr>
        <w:t xml:space="preserve">household, </w:t>
      </w:r>
      <w:r w:rsidR="006E1D60">
        <w:rPr>
          <w:sz w:val="24"/>
        </w:rPr>
        <w:t>it must first be determined whether each eligible child is a Child with Special Health Care Needs (CSHCN) or a Child without S</w:t>
      </w:r>
      <w:r w:rsidR="00B43781">
        <w:rPr>
          <w:sz w:val="24"/>
        </w:rPr>
        <w:t>pecial Health Care Needs (Non-C</w:t>
      </w:r>
      <w:r w:rsidR="006E1D60">
        <w:rPr>
          <w:sz w:val="24"/>
        </w:rPr>
        <w:t>S</w:t>
      </w:r>
      <w:r w:rsidR="00B43781">
        <w:rPr>
          <w:sz w:val="24"/>
        </w:rPr>
        <w:t>H</w:t>
      </w:r>
      <w:r w:rsidR="006E1D60">
        <w:rPr>
          <w:sz w:val="24"/>
        </w:rPr>
        <w:t xml:space="preserve">CN). This is determined by how specific </w:t>
      </w:r>
      <w:r w:rsidR="00F6774E">
        <w:rPr>
          <w:sz w:val="24"/>
        </w:rPr>
        <w:t xml:space="preserve">health </w:t>
      </w:r>
      <w:r w:rsidR="006E1D60">
        <w:rPr>
          <w:sz w:val="24"/>
        </w:rPr>
        <w:t xml:space="preserve">questions </w:t>
      </w:r>
      <w:r w:rsidR="0017106F">
        <w:rPr>
          <w:sz w:val="24"/>
        </w:rPr>
        <w:t>a</w:t>
      </w:r>
      <w:r w:rsidR="006E1D60">
        <w:rPr>
          <w:sz w:val="24"/>
        </w:rPr>
        <w:t>re answered on the screener questionnaire for each child.</w:t>
      </w:r>
      <w:r w:rsidR="0017106F">
        <w:rPr>
          <w:sz w:val="24"/>
        </w:rPr>
        <w:t xml:space="preserve"> After this determination</w:t>
      </w:r>
      <w:r w:rsidR="00DC3162">
        <w:rPr>
          <w:sz w:val="24"/>
        </w:rPr>
        <w:t xml:space="preserve"> is made, each household will fa</w:t>
      </w:r>
      <w:r w:rsidR="0017106F">
        <w:rPr>
          <w:sz w:val="24"/>
        </w:rPr>
        <w:t xml:space="preserve">ll within a specific Household Type (HHTYP). See </w:t>
      </w:r>
      <w:r w:rsidR="008C4E06" w:rsidRPr="008C4E06">
        <w:rPr>
          <w:b/>
          <w:sz w:val="24"/>
        </w:rPr>
        <w:t xml:space="preserve">Table </w:t>
      </w:r>
      <w:r w:rsidR="0017106F" w:rsidRPr="008C4E06">
        <w:rPr>
          <w:b/>
          <w:sz w:val="24"/>
        </w:rPr>
        <w:t>B.1.2.A</w:t>
      </w:r>
      <w:r w:rsidR="0017106F">
        <w:rPr>
          <w:sz w:val="24"/>
        </w:rPr>
        <w:t xml:space="preserve"> for the strategies used for selecting the NSCH Pretest Sample Child.</w:t>
      </w:r>
    </w:p>
    <w:p w:rsidR="0017106F" w:rsidRDefault="0017106F">
      <w:pPr>
        <w:widowControl/>
        <w:autoSpaceDE/>
        <w:autoSpaceDN/>
        <w:adjustRightInd/>
        <w:rPr>
          <w:sz w:val="24"/>
        </w:rPr>
      </w:pPr>
      <w:r>
        <w:rPr>
          <w:sz w:val="24"/>
        </w:rPr>
        <w:br w:type="page"/>
      </w:r>
    </w:p>
    <w:p w:rsidR="0017106F" w:rsidRPr="0017106F" w:rsidRDefault="0017106F" w:rsidP="0017106F">
      <w:pPr>
        <w:rPr>
          <w:rFonts w:eastAsiaTheme="minorHAnsi"/>
          <w:b/>
          <w:sz w:val="22"/>
          <w:szCs w:val="22"/>
        </w:rPr>
      </w:pPr>
      <w:r>
        <w:rPr>
          <w:rFonts w:eastAsiaTheme="minorHAnsi"/>
          <w:b/>
          <w:sz w:val="22"/>
          <w:szCs w:val="22"/>
        </w:rPr>
        <w:lastRenderedPageBreak/>
        <w:t>Table B.1.2.A</w:t>
      </w:r>
      <w:r w:rsidRPr="009E14A1">
        <w:rPr>
          <w:rFonts w:eastAsiaTheme="minorHAnsi"/>
          <w:b/>
          <w:sz w:val="22"/>
          <w:szCs w:val="22"/>
        </w:rPr>
        <w:t xml:space="preserve">:  </w:t>
      </w:r>
      <w:r w:rsidRPr="0017106F">
        <w:rPr>
          <w:rFonts w:eastAsiaTheme="minorHAnsi"/>
          <w:b/>
          <w:sz w:val="22"/>
          <w:szCs w:val="22"/>
        </w:rPr>
        <w:t>Strategies for Selecting the NSCH Pretest Sample Child</w:t>
      </w:r>
    </w:p>
    <w:tbl>
      <w:tblPr>
        <w:tblW w:w="11250" w:type="dxa"/>
        <w:tblInd w:w="-88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080"/>
        <w:gridCol w:w="1170"/>
        <w:gridCol w:w="2070"/>
        <w:gridCol w:w="1890"/>
        <w:gridCol w:w="270"/>
        <w:gridCol w:w="180"/>
        <w:gridCol w:w="1170"/>
        <w:gridCol w:w="3420"/>
      </w:tblGrid>
      <w:tr w:rsidR="0017106F" w:rsidRPr="00F6774E" w:rsidTr="00F6774E">
        <w:tc>
          <w:tcPr>
            <w:tcW w:w="1080" w:type="dxa"/>
            <w:tcBorders>
              <w:top w:val="single" w:sz="12" w:space="0" w:color="auto"/>
              <w:bottom w:val="single" w:sz="12" w:space="0" w:color="auto"/>
              <w:right w:val="single" w:sz="12" w:space="0" w:color="auto"/>
            </w:tcBorders>
            <w:vAlign w:val="center"/>
          </w:tcPr>
          <w:p w:rsidR="0017106F" w:rsidRPr="00F6774E" w:rsidRDefault="00F6774E" w:rsidP="0017106F">
            <w:pPr>
              <w:jc w:val="center"/>
              <w:rPr>
                <w:color w:val="000000" w:themeColor="text1"/>
                <w:sz w:val="18"/>
                <w:szCs w:val="18"/>
              </w:rPr>
            </w:pPr>
            <w:r w:rsidRPr="00F6774E">
              <w:rPr>
                <w:color w:val="000000" w:themeColor="text1"/>
                <w:sz w:val="18"/>
                <w:szCs w:val="18"/>
              </w:rPr>
              <w:t>House</w:t>
            </w:r>
            <w:r w:rsidR="0017106F" w:rsidRPr="00F6774E">
              <w:rPr>
                <w:color w:val="000000" w:themeColor="text1"/>
                <w:sz w:val="18"/>
                <w:szCs w:val="18"/>
              </w:rPr>
              <w:t>hold Type</w:t>
            </w:r>
          </w:p>
          <w:p w:rsidR="00F6774E" w:rsidRPr="00F6774E" w:rsidRDefault="00F6774E" w:rsidP="0017106F">
            <w:pPr>
              <w:jc w:val="center"/>
              <w:rPr>
                <w:color w:val="000000" w:themeColor="text1"/>
                <w:sz w:val="18"/>
                <w:szCs w:val="18"/>
              </w:rPr>
            </w:pPr>
            <w:r w:rsidRPr="00F6774E">
              <w:rPr>
                <w:color w:val="000000" w:themeColor="text1"/>
                <w:sz w:val="18"/>
                <w:szCs w:val="18"/>
              </w:rPr>
              <w:t>(HHTYP)</w:t>
            </w:r>
          </w:p>
          <w:p w:rsidR="0017106F" w:rsidRPr="00F6774E" w:rsidRDefault="0017106F" w:rsidP="0017106F">
            <w:pPr>
              <w:jc w:val="center"/>
              <w:rPr>
                <w:color w:val="000000" w:themeColor="text1"/>
                <w:sz w:val="18"/>
                <w:szCs w:val="18"/>
              </w:rPr>
            </w:pPr>
          </w:p>
        </w:tc>
        <w:tc>
          <w:tcPr>
            <w:tcW w:w="1170" w:type="dxa"/>
            <w:tcBorders>
              <w:top w:val="single" w:sz="12" w:space="0" w:color="auto"/>
              <w:left w:val="single" w:sz="12" w:space="0" w:color="auto"/>
              <w:bottom w:val="single" w:sz="12" w:space="0" w:color="auto"/>
            </w:tcBorders>
            <w:shd w:val="clear" w:color="auto" w:fill="auto"/>
            <w:vAlign w:val="center"/>
            <w:hideMark/>
          </w:tcPr>
          <w:p w:rsidR="0017106F" w:rsidRPr="00F6774E" w:rsidRDefault="0017106F" w:rsidP="0017106F">
            <w:pPr>
              <w:jc w:val="center"/>
              <w:rPr>
                <w:color w:val="000000" w:themeColor="text1"/>
                <w:sz w:val="18"/>
                <w:szCs w:val="18"/>
              </w:rPr>
            </w:pPr>
            <w:r w:rsidRPr="00F6774E">
              <w:rPr>
                <w:color w:val="000000" w:themeColor="text1"/>
                <w:sz w:val="18"/>
                <w:szCs w:val="18"/>
              </w:rPr>
              <w:t>Number of Eligible Children in Household</w:t>
            </w:r>
          </w:p>
        </w:tc>
        <w:tc>
          <w:tcPr>
            <w:tcW w:w="2070" w:type="dxa"/>
            <w:tcBorders>
              <w:top w:val="single" w:sz="12" w:space="0" w:color="auto"/>
              <w:bottom w:val="single" w:sz="12" w:space="0" w:color="auto"/>
            </w:tcBorders>
            <w:shd w:val="clear" w:color="auto" w:fill="auto"/>
            <w:vAlign w:val="center"/>
            <w:hideMark/>
          </w:tcPr>
          <w:p w:rsidR="0017106F" w:rsidRPr="00F6774E" w:rsidRDefault="0017106F" w:rsidP="0017106F">
            <w:pPr>
              <w:jc w:val="center"/>
              <w:rPr>
                <w:color w:val="000000" w:themeColor="text1"/>
                <w:sz w:val="18"/>
                <w:szCs w:val="18"/>
              </w:rPr>
            </w:pPr>
            <w:r w:rsidRPr="00F6774E">
              <w:rPr>
                <w:color w:val="000000" w:themeColor="text1"/>
                <w:sz w:val="18"/>
                <w:szCs w:val="18"/>
              </w:rPr>
              <w:t xml:space="preserve">Number of  Eligible </w:t>
            </w:r>
          </w:p>
          <w:p w:rsidR="0017106F" w:rsidRPr="00F6774E" w:rsidRDefault="0017106F" w:rsidP="0017106F">
            <w:pPr>
              <w:jc w:val="center"/>
              <w:rPr>
                <w:color w:val="000000" w:themeColor="text1"/>
                <w:sz w:val="18"/>
                <w:szCs w:val="18"/>
              </w:rPr>
            </w:pPr>
            <w:r w:rsidRPr="00F6774E">
              <w:rPr>
                <w:color w:val="000000" w:themeColor="text1"/>
                <w:sz w:val="18"/>
                <w:szCs w:val="18"/>
              </w:rPr>
              <w:t>Non-CSHCN,</w:t>
            </w:r>
            <w:r w:rsidR="00B43781">
              <w:rPr>
                <w:color w:val="000000" w:themeColor="text1"/>
                <w:sz w:val="18"/>
                <w:szCs w:val="18"/>
              </w:rPr>
              <w:t xml:space="preserve"> </w:t>
            </w:r>
            <w:r w:rsidRPr="00F6774E">
              <w:rPr>
                <w:color w:val="000000" w:themeColor="text1"/>
                <w:sz w:val="18"/>
                <w:szCs w:val="18"/>
              </w:rPr>
              <w:t>CSHCN</w:t>
            </w:r>
          </w:p>
        </w:tc>
        <w:tc>
          <w:tcPr>
            <w:tcW w:w="1890" w:type="dxa"/>
            <w:tcBorders>
              <w:top w:val="single" w:sz="12" w:space="0" w:color="auto"/>
              <w:bottom w:val="single" w:sz="12" w:space="0" w:color="auto"/>
              <w:right w:val="nil"/>
            </w:tcBorders>
            <w:shd w:val="clear" w:color="auto" w:fill="auto"/>
            <w:vAlign w:val="center"/>
            <w:hideMark/>
          </w:tcPr>
          <w:p w:rsidR="0017106F" w:rsidRPr="00F6774E" w:rsidRDefault="0017106F" w:rsidP="0017106F">
            <w:pPr>
              <w:jc w:val="center"/>
              <w:rPr>
                <w:color w:val="000000" w:themeColor="text1"/>
                <w:sz w:val="18"/>
                <w:szCs w:val="18"/>
              </w:rPr>
            </w:pPr>
            <w:r w:rsidRPr="00F6774E">
              <w:rPr>
                <w:color w:val="000000" w:themeColor="text1"/>
                <w:sz w:val="18"/>
                <w:szCs w:val="18"/>
              </w:rPr>
              <w:t>% Probability of Selection for</w:t>
            </w:r>
          </w:p>
          <w:p w:rsidR="0017106F" w:rsidRPr="00F6774E" w:rsidRDefault="0017106F" w:rsidP="0017106F">
            <w:pPr>
              <w:jc w:val="center"/>
              <w:rPr>
                <w:color w:val="000000" w:themeColor="text1"/>
                <w:sz w:val="18"/>
                <w:szCs w:val="18"/>
              </w:rPr>
            </w:pPr>
            <w:r w:rsidRPr="00F6774E">
              <w:rPr>
                <w:color w:val="000000" w:themeColor="text1"/>
                <w:sz w:val="18"/>
                <w:szCs w:val="18"/>
              </w:rPr>
              <w:t xml:space="preserve"> Non-CSHCN</w:t>
            </w:r>
          </w:p>
        </w:tc>
        <w:tc>
          <w:tcPr>
            <w:tcW w:w="270" w:type="dxa"/>
            <w:tcBorders>
              <w:top w:val="single" w:sz="12" w:space="0" w:color="auto"/>
              <w:left w:val="nil"/>
              <w:bottom w:val="single" w:sz="12" w:space="0" w:color="auto"/>
              <w:right w:val="nil"/>
            </w:tcBorders>
          </w:tcPr>
          <w:p w:rsidR="0017106F" w:rsidRPr="00F6774E" w:rsidRDefault="0017106F" w:rsidP="0017106F">
            <w:pPr>
              <w:jc w:val="center"/>
              <w:rPr>
                <w:color w:val="000000" w:themeColor="text1"/>
                <w:sz w:val="18"/>
                <w:szCs w:val="18"/>
              </w:rPr>
            </w:pPr>
          </w:p>
        </w:tc>
        <w:tc>
          <w:tcPr>
            <w:tcW w:w="1350" w:type="dxa"/>
            <w:gridSpan w:val="2"/>
            <w:tcBorders>
              <w:top w:val="single" w:sz="12" w:space="0" w:color="auto"/>
              <w:left w:val="nil"/>
              <w:bottom w:val="single" w:sz="12" w:space="0" w:color="auto"/>
            </w:tcBorders>
            <w:shd w:val="clear" w:color="auto" w:fill="auto"/>
            <w:vAlign w:val="center"/>
            <w:hideMark/>
          </w:tcPr>
          <w:p w:rsidR="0017106F" w:rsidRPr="00F6774E" w:rsidRDefault="0017106F" w:rsidP="0017106F">
            <w:pPr>
              <w:jc w:val="center"/>
              <w:rPr>
                <w:color w:val="000000" w:themeColor="text1"/>
                <w:sz w:val="18"/>
                <w:szCs w:val="18"/>
              </w:rPr>
            </w:pPr>
            <w:r w:rsidRPr="00F6774E">
              <w:rPr>
                <w:color w:val="000000" w:themeColor="text1"/>
                <w:sz w:val="18"/>
                <w:szCs w:val="18"/>
              </w:rPr>
              <w:t>% Probability of Selection for CSHCN</w:t>
            </w:r>
          </w:p>
        </w:tc>
        <w:tc>
          <w:tcPr>
            <w:tcW w:w="3420" w:type="dxa"/>
            <w:tcBorders>
              <w:top w:val="single" w:sz="12" w:space="0" w:color="auto"/>
              <w:bottom w:val="single" w:sz="12" w:space="0" w:color="auto"/>
            </w:tcBorders>
            <w:shd w:val="clear" w:color="auto" w:fill="auto"/>
            <w:vAlign w:val="center"/>
            <w:hideMark/>
          </w:tcPr>
          <w:p w:rsidR="0017106F" w:rsidRPr="00F6774E" w:rsidRDefault="0017106F" w:rsidP="0017106F">
            <w:pPr>
              <w:ind w:right="-108"/>
              <w:jc w:val="center"/>
              <w:rPr>
                <w:color w:val="000000" w:themeColor="text1"/>
                <w:sz w:val="18"/>
                <w:szCs w:val="18"/>
              </w:rPr>
            </w:pPr>
            <w:r w:rsidRPr="00F6774E">
              <w:rPr>
                <w:color w:val="000000" w:themeColor="text1"/>
                <w:sz w:val="18"/>
                <w:szCs w:val="18"/>
              </w:rPr>
              <w:t>Notes</w:t>
            </w:r>
          </w:p>
        </w:tc>
      </w:tr>
      <w:tr w:rsidR="0017106F" w:rsidRPr="00F6774E" w:rsidTr="00F6774E">
        <w:trPr>
          <w:trHeight w:val="233"/>
        </w:trPr>
        <w:tc>
          <w:tcPr>
            <w:tcW w:w="1080" w:type="dxa"/>
            <w:tcBorders>
              <w:top w:val="single" w:sz="12" w:space="0" w:color="auto"/>
              <w:right w:val="single" w:sz="12" w:space="0" w:color="auto"/>
            </w:tcBorders>
            <w:vAlign w:val="center"/>
          </w:tcPr>
          <w:p w:rsidR="0017106F" w:rsidRPr="00F6774E" w:rsidRDefault="0017106F" w:rsidP="0017106F">
            <w:pPr>
              <w:jc w:val="center"/>
              <w:rPr>
                <w:color w:val="000000" w:themeColor="text1"/>
                <w:sz w:val="18"/>
                <w:szCs w:val="18"/>
              </w:rPr>
            </w:pPr>
            <w:r w:rsidRPr="00F6774E">
              <w:rPr>
                <w:color w:val="000000" w:themeColor="text1"/>
                <w:sz w:val="18"/>
                <w:szCs w:val="18"/>
              </w:rPr>
              <w:t>1</w:t>
            </w:r>
          </w:p>
        </w:tc>
        <w:tc>
          <w:tcPr>
            <w:tcW w:w="1170" w:type="dxa"/>
            <w:tcBorders>
              <w:top w:val="single" w:sz="12" w:space="0" w:color="auto"/>
              <w:left w:val="single" w:sz="12" w:space="0" w:color="auto"/>
            </w:tcBorders>
            <w:shd w:val="clear" w:color="auto" w:fill="auto"/>
            <w:vAlign w:val="center"/>
            <w:hideMark/>
          </w:tcPr>
          <w:p w:rsidR="0017106F" w:rsidRPr="00F6774E" w:rsidRDefault="0017106F" w:rsidP="0017106F">
            <w:pPr>
              <w:jc w:val="center"/>
              <w:rPr>
                <w:color w:val="000000" w:themeColor="text1"/>
                <w:sz w:val="18"/>
                <w:szCs w:val="18"/>
              </w:rPr>
            </w:pPr>
            <w:r w:rsidRPr="00F6774E">
              <w:rPr>
                <w:color w:val="000000" w:themeColor="text1"/>
                <w:sz w:val="18"/>
                <w:szCs w:val="18"/>
              </w:rPr>
              <w:t>0 or ‘blank’</w:t>
            </w:r>
          </w:p>
        </w:tc>
        <w:tc>
          <w:tcPr>
            <w:tcW w:w="2070" w:type="dxa"/>
            <w:tcBorders>
              <w:top w:val="single" w:sz="12" w:space="0" w:color="auto"/>
            </w:tcBorders>
            <w:shd w:val="clear" w:color="auto" w:fill="auto"/>
            <w:vAlign w:val="center"/>
            <w:hideMark/>
          </w:tcPr>
          <w:p w:rsidR="0017106F" w:rsidRPr="00F6774E" w:rsidRDefault="0017106F" w:rsidP="0017106F">
            <w:pPr>
              <w:jc w:val="center"/>
              <w:rPr>
                <w:color w:val="000000" w:themeColor="text1"/>
                <w:sz w:val="18"/>
                <w:szCs w:val="18"/>
              </w:rPr>
            </w:pPr>
            <w:r w:rsidRPr="00F6774E">
              <w:rPr>
                <w:color w:val="000000" w:themeColor="text1"/>
                <w:sz w:val="18"/>
                <w:szCs w:val="18"/>
              </w:rPr>
              <w:t>0,0</w:t>
            </w:r>
          </w:p>
        </w:tc>
        <w:tc>
          <w:tcPr>
            <w:tcW w:w="3510" w:type="dxa"/>
            <w:gridSpan w:val="4"/>
            <w:tcBorders>
              <w:top w:val="single" w:sz="12" w:space="0" w:color="auto"/>
            </w:tcBorders>
            <w:shd w:val="clear" w:color="auto" w:fill="auto"/>
            <w:vAlign w:val="center"/>
            <w:hideMark/>
          </w:tcPr>
          <w:p w:rsidR="0017106F" w:rsidRPr="00F6774E" w:rsidRDefault="0017106F" w:rsidP="0017106F">
            <w:pPr>
              <w:jc w:val="center"/>
              <w:rPr>
                <w:sz w:val="18"/>
                <w:szCs w:val="18"/>
              </w:rPr>
            </w:pPr>
            <w:r w:rsidRPr="00F6774E">
              <w:rPr>
                <w:color w:val="000000" w:themeColor="text1"/>
                <w:sz w:val="18"/>
                <w:szCs w:val="18"/>
              </w:rPr>
              <w:t>0</w:t>
            </w:r>
          </w:p>
        </w:tc>
        <w:tc>
          <w:tcPr>
            <w:tcW w:w="3420" w:type="dxa"/>
            <w:tcBorders>
              <w:top w:val="single" w:sz="12" w:space="0" w:color="auto"/>
            </w:tcBorders>
            <w:shd w:val="clear" w:color="auto" w:fill="auto"/>
            <w:vAlign w:val="center"/>
            <w:hideMark/>
          </w:tcPr>
          <w:p w:rsidR="0017106F" w:rsidRPr="00F6774E" w:rsidRDefault="0017106F" w:rsidP="0017106F">
            <w:pPr>
              <w:rPr>
                <w:sz w:val="18"/>
                <w:szCs w:val="18"/>
              </w:rPr>
            </w:pPr>
            <w:r w:rsidRPr="00F6774E">
              <w:rPr>
                <w:color w:val="000000" w:themeColor="text1"/>
                <w:sz w:val="18"/>
                <w:szCs w:val="18"/>
              </w:rPr>
              <w:t>No eligible children in household</w:t>
            </w:r>
          </w:p>
        </w:tc>
      </w:tr>
      <w:tr w:rsidR="0017106F" w:rsidRPr="00F6774E" w:rsidTr="00F6774E">
        <w:tc>
          <w:tcPr>
            <w:tcW w:w="1080" w:type="dxa"/>
            <w:tcBorders>
              <w:right w:val="single" w:sz="12" w:space="0" w:color="auto"/>
            </w:tcBorders>
            <w:vAlign w:val="center"/>
          </w:tcPr>
          <w:p w:rsidR="0017106F" w:rsidRPr="00F6774E" w:rsidRDefault="0017106F" w:rsidP="0017106F">
            <w:pPr>
              <w:jc w:val="center"/>
              <w:rPr>
                <w:color w:val="000000" w:themeColor="text1"/>
                <w:sz w:val="18"/>
                <w:szCs w:val="18"/>
              </w:rPr>
            </w:pPr>
            <w:r w:rsidRPr="00F6774E">
              <w:rPr>
                <w:color w:val="000000" w:themeColor="text1"/>
                <w:sz w:val="18"/>
                <w:szCs w:val="18"/>
              </w:rPr>
              <w:t>2</w:t>
            </w:r>
          </w:p>
        </w:tc>
        <w:tc>
          <w:tcPr>
            <w:tcW w:w="1170" w:type="dxa"/>
            <w:tcBorders>
              <w:left w:val="single" w:sz="12" w:space="0" w:color="auto"/>
            </w:tcBorders>
            <w:shd w:val="clear" w:color="auto" w:fill="auto"/>
            <w:vAlign w:val="center"/>
            <w:hideMark/>
          </w:tcPr>
          <w:p w:rsidR="0017106F" w:rsidRPr="00F6774E" w:rsidRDefault="0017106F" w:rsidP="0017106F">
            <w:pPr>
              <w:jc w:val="center"/>
              <w:rPr>
                <w:color w:val="000000" w:themeColor="text1"/>
                <w:sz w:val="18"/>
                <w:szCs w:val="18"/>
              </w:rPr>
            </w:pPr>
            <w:r w:rsidRPr="00F6774E">
              <w:rPr>
                <w:color w:val="000000" w:themeColor="text1"/>
                <w:sz w:val="18"/>
                <w:szCs w:val="18"/>
              </w:rPr>
              <w:t>1</w:t>
            </w:r>
          </w:p>
        </w:tc>
        <w:tc>
          <w:tcPr>
            <w:tcW w:w="2070" w:type="dxa"/>
            <w:shd w:val="clear" w:color="auto" w:fill="auto"/>
            <w:vAlign w:val="center"/>
            <w:hideMark/>
          </w:tcPr>
          <w:p w:rsidR="0017106F" w:rsidRPr="00F6774E" w:rsidRDefault="0017106F" w:rsidP="0017106F">
            <w:pPr>
              <w:jc w:val="center"/>
              <w:rPr>
                <w:color w:val="000000" w:themeColor="text1"/>
                <w:sz w:val="18"/>
                <w:szCs w:val="18"/>
              </w:rPr>
            </w:pPr>
            <w:r w:rsidRPr="00F6774E">
              <w:rPr>
                <w:color w:val="000000" w:themeColor="text1"/>
                <w:sz w:val="18"/>
                <w:szCs w:val="18"/>
              </w:rPr>
              <w:t>1,0  or  0,1</w:t>
            </w:r>
          </w:p>
        </w:tc>
        <w:tc>
          <w:tcPr>
            <w:tcW w:w="3510" w:type="dxa"/>
            <w:gridSpan w:val="4"/>
            <w:shd w:val="clear" w:color="auto" w:fill="auto"/>
            <w:vAlign w:val="center"/>
            <w:hideMark/>
          </w:tcPr>
          <w:p w:rsidR="0017106F" w:rsidRPr="00F6774E" w:rsidRDefault="0017106F" w:rsidP="0017106F">
            <w:pPr>
              <w:jc w:val="center"/>
              <w:rPr>
                <w:sz w:val="18"/>
                <w:szCs w:val="18"/>
              </w:rPr>
            </w:pPr>
            <w:r w:rsidRPr="00F6774E">
              <w:rPr>
                <w:color w:val="000000" w:themeColor="text1"/>
                <w:sz w:val="18"/>
                <w:szCs w:val="18"/>
              </w:rPr>
              <w:t>100%</w:t>
            </w:r>
          </w:p>
        </w:tc>
        <w:tc>
          <w:tcPr>
            <w:tcW w:w="3420" w:type="dxa"/>
            <w:shd w:val="clear" w:color="auto" w:fill="auto"/>
            <w:vAlign w:val="center"/>
            <w:hideMark/>
          </w:tcPr>
          <w:p w:rsidR="0017106F" w:rsidRPr="00F6774E" w:rsidRDefault="0017106F" w:rsidP="0017106F">
            <w:pPr>
              <w:rPr>
                <w:color w:val="000000" w:themeColor="text1"/>
                <w:sz w:val="18"/>
                <w:szCs w:val="18"/>
              </w:rPr>
            </w:pPr>
            <w:r w:rsidRPr="00F6774E">
              <w:rPr>
                <w:color w:val="000000" w:themeColor="text1"/>
                <w:sz w:val="18"/>
                <w:szCs w:val="18"/>
              </w:rPr>
              <w:t>Single child is always selected</w:t>
            </w:r>
          </w:p>
        </w:tc>
      </w:tr>
      <w:tr w:rsidR="0017106F" w:rsidRPr="00F6774E" w:rsidTr="00F6774E">
        <w:tc>
          <w:tcPr>
            <w:tcW w:w="1080" w:type="dxa"/>
            <w:tcBorders>
              <w:right w:val="single" w:sz="12" w:space="0" w:color="auto"/>
            </w:tcBorders>
            <w:vAlign w:val="center"/>
          </w:tcPr>
          <w:p w:rsidR="0017106F" w:rsidRPr="00F6774E" w:rsidRDefault="0017106F" w:rsidP="0017106F">
            <w:pPr>
              <w:jc w:val="center"/>
              <w:rPr>
                <w:color w:val="000000" w:themeColor="text1"/>
                <w:sz w:val="18"/>
                <w:szCs w:val="18"/>
              </w:rPr>
            </w:pPr>
            <w:r w:rsidRPr="00F6774E">
              <w:rPr>
                <w:color w:val="000000" w:themeColor="text1"/>
                <w:sz w:val="18"/>
                <w:szCs w:val="18"/>
              </w:rPr>
              <w:t>3</w:t>
            </w:r>
          </w:p>
        </w:tc>
        <w:tc>
          <w:tcPr>
            <w:tcW w:w="1170" w:type="dxa"/>
            <w:tcBorders>
              <w:left w:val="single" w:sz="12" w:space="0" w:color="auto"/>
            </w:tcBorders>
            <w:shd w:val="clear" w:color="auto" w:fill="auto"/>
            <w:vAlign w:val="center"/>
            <w:hideMark/>
          </w:tcPr>
          <w:p w:rsidR="0017106F" w:rsidRPr="00F6774E" w:rsidRDefault="0017106F" w:rsidP="0017106F">
            <w:pPr>
              <w:jc w:val="center"/>
              <w:rPr>
                <w:color w:val="000000" w:themeColor="text1"/>
                <w:sz w:val="18"/>
                <w:szCs w:val="18"/>
              </w:rPr>
            </w:pPr>
            <w:r w:rsidRPr="00F6774E">
              <w:rPr>
                <w:color w:val="000000" w:themeColor="text1"/>
                <w:sz w:val="18"/>
                <w:szCs w:val="18"/>
              </w:rPr>
              <w:t>2</w:t>
            </w:r>
          </w:p>
        </w:tc>
        <w:tc>
          <w:tcPr>
            <w:tcW w:w="2070" w:type="dxa"/>
            <w:shd w:val="clear" w:color="auto" w:fill="auto"/>
            <w:vAlign w:val="center"/>
            <w:hideMark/>
          </w:tcPr>
          <w:p w:rsidR="0017106F" w:rsidRPr="00F6774E" w:rsidRDefault="0017106F" w:rsidP="0017106F">
            <w:pPr>
              <w:jc w:val="center"/>
              <w:rPr>
                <w:color w:val="000000" w:themeColor="text1"/>
                <w:sz w:val="18"/>
                <w:szCs w:val="18"/>
              </w:rPr>
            </w:pPr>
            <w:r w:rsidRPr="00F6774E">
              <w:rPr>
                <w:color w:val="000000" w:themeColor="text1"/>
                <w:sz w:val="18"/>
                <w:szCs w:val="18"/>
              </w:rPr>
              <w:t>2,0  or  0,2</w:t>
            </w:r>
          </w:p>
        </w:tc>
        <w:tc>
          <w:tcPr>
            <w:tcW w:w="3510" w:type="dxa"/>
            <w:gridSpan w:val="4"/>
            <w:shd w:val="clear" w:color="auto" w:fill="auto"/>
            <w:vAlign w:val="center"/>
            <w:hideMark/>
          </w:tcPr>
          <w:p w:rsidR="0017106F" w:rsidRPr="00F6774E" w:rsidRDefault="0017106F" w:rsidP="0017106F">
            <w:pPr>
              <w:jc w:val="center"/>
              <w:rPr>
                <w:color w:val="000000" w:themeColor="text1"/>
                <w:sz w:val="18"/>
                <w:szCs w:val="18"/>
              </w:rPr>
            </w:pPr>
            <w:r w:rsidRPr="00F6774E">
              <w:rPr>
                <w:color w:val="000000" w:themeColor="text1"/>
                <w:sz w:val="18"/>
                <w:szCs w:val="18"/>
              </w:rPr>
              <w:t>Each child has an equal 50% probability of selection</w:t>
            </w:r>
          </w:p>
        </w:tc>
        <w:tc>
          <w:tcPr>
            <w:tcW w:w="3420" w:type="dxa"/>
            <w:shd w:val="clear" w:color="auto" w:fill="auto"/>
            <w:vAlign w:val="center"/>
            <w:hideMark/>
          </w:tcPr>
          <w:p w:rsidR="00B43781" w:rsidRDefault="0017106F" w:rsidP="0017106F">
            <w:pPr>
              <w:ind w:right="-108"/>
              <w:rPr>
                <w:color w:val="000000" w:themeColor="text1"/>
                <w:sz w:val="18"/>
                <w:szCs w:val="18"/>
              </w:rPr>
            </w:pPr>
            <w:r w:rsidRPr="00F6774E">
              <w:rPr>
                <w:color w:val="000000" w:themeColor="text1"/>
                <w:sz w:val="18"/>
                <w:szCs w:val="18"/>
              </w:rPr>
              <w:t xml:space="preserve">Simple random selection of 1 of the 2 </w:t>
            </w:r>
          </w:p>
          <w:p w:rsidR="0017106F" w:rsidRPr="00F6774E" w:rsidRDefault="0017106F" w:rsidP="0017106F">
            <w:pPr>
              <w:ind w:right="-108"/>
              <w:rPr>
                <w:color w:val="000000" w:themeColor="text1"/>
                <w:sz w:val="18"/>
                <w:szCs w:val="18"/>
              </w:rPr>
            </w:pPr>
            <w:r w:rsidRPr="00F6774E">
              <w:rPr>
                <w:color w:val="000000" w:themeColor="text1"/>
                <w:sz w:val="18"/>
                <w:szCs w:val="18"/>
              </w:rPr>
              <w:t>Non-CSHCN or 1 of the 2 CSHCN</w:t>
            </w:r>
          </w:p>
        </w:tc>
      </w:tr>
      <w:tr w:rsidR="0017106F" w:rsidRPr="00F6774E" w:rsidTr="00F6774E">
        <w:tc>
          <w:tcPr>
            <w:tcW w:w="1080" w:type="dxa"/>
            <w:tcBorders>
              <w:right w:val="single" w:sz="12" w:space="0" w:color="auto"/>
            </w:tcBorders>
            <w:vAlign w:val="center"/>
          </w:tcPr>
          <w:p w:rsidR="0017106F" w:rsidRPr="00F6774E" w:rsidRDefault="0017106F" w:rsidP="0017106F">
            <w:pPr>
              <w:jc w:val="center"/>
              <w:rPr>
                <w:color w:val="000000" w:themeColor="text1"/>
                <w:sz w:val="18"/>
                <w:szCs w:val="18"/>
              </w:rPr>
            </w:pPr>
            <w:r w:rsidRPr="00F6774E">
              <w:rPr>
                <w:color w:val="000000" w:themeColor="text1"/>
                <w:sz w:val="18"/>
                <w:szCs w:val="18"/>
              </w:rPr>
              <w:t>4</w:t>
            </w:r>
          </w:p>
        </w:tc>
        <w:tc>
          <w:tcPr>
            <w:tcW w:w="1170" w:type="dxa"/>
            <w:tcBorders>
              <w:left w:val="single" w:sz="12" w:space="0" w:color="auto"/>
            </w:tcBorders>
            <w:shd w:val="clear" w:color="auto" w:fill="auto"/>
            <w:vAlign w:val="center"/>
            <w:hideMark/>
          </w:tcPr>
          <w:p w:rsidR="0017106F" w:rsidRPr="00F6774E" w:rsidRDefault="0017106F" w:rsidP="0017106F">
            <w:pPr>
              <w:jc w:val="center"/>
              <w:rPr>
                <w:color w:val="000000" w:themeColor="text1"/>
                <w:sz w:val="18"/>
                <w:szCs w:val="18"/>
              </w:rPr>
            </w:pPr>
            <w:r w:rsidRPr="00F6774E">
              <w:rPr>
                <w:color w:val="000000" w:themeColor="text1"/>
                <w:sz w:val="18"/>
                <w:szCs w:val="18"/>
              </w:rPr>
              <w:t>2</w:t>
            </w:r>
          </w:p>
        </w:tc>
        <w:tc>
          <w:tcPr>
            <w:tcW w:w="2070" w:type="dxa"/>
            <w:shd w:val="clear" w:color="auto" w:fill="auto"/>
            <w:vAlign w:val="center"/>
            <w:hideMark/>
          </w:tcPr>
          <w:p w:rsidR="0017106F" w:rsidRPr="00F6774E" w:rsidRDefault="0017106F" w:rsidP="0017106F">
            <w:pPr>
              <w:jc w:val="center"/>
              <w:rPr>
                <w:color w:val="000000" w:themeColor="text1"/>
                <w:sz w:val="18"/>
                <w:szCs w:val="18"/>
              </w:rPr>
            </w:pPr>
            <w:r w:rsidRPr="00F6774E">
              <w:rPr>
                <w:color w:val="000000" w:themeColor="text1"/>
                <w:sz w:val="18"/>
                <w:szCs w:val="18"/>
              </w:rPr>
              <w:t>1,1</w:t>
            </w:r>
          </w:p>
        </w:tc>
        <w:tc>
          <w:tcPr>
            <w:tcW w:w="1890" w:type="dxa"/>
            <w:tcBorders>
              <w:right w:val="nil"/>
            </w:tcBorders>
            <w:shd w:val="clear" w:color="auto" w:fill="auto"/>
            <w:vAlign w:val="center"/>
            <w:hideMark/>
          </w:tcPr>
          <w:p w:rsidR="0017106F" w:rsidRPr="00F6774E" w:rsidRDefault="00363B12" w:rsidP="0017106F">
            <w:pPr>
              <w:jc w:val="center"/>
              <w:rPr>
                <w:sz w:val="18"/>
                <w:szCs w:val="18"/>
              </w:rPr>
            </w:pPr>
            <w:r>
              <w:rPr>
                <w:color w:val="000000" w:themeColor="text1"/>
                <w:sz w:val="18"/>
                <w:szCs w:val="18"/>
              </w:rPr>
              <w:t>10</w:t>
            </w:r>
            <w:r w:rsidR="0017106F" w:rsidRPr="00F6774E">
              <w:rPr>
                <w:color w:val="000000" w:themeColor="text1"/>
                <w:sz w:val="18"/>
                <w:szCs w:val="18"/>
              </w:rPr>
              <w:t>%</w:t>
            </w:r>
          </w:p>
        </w:tc>
        <w:tc>
          <w:tcPr>
            <w:tcW w:w="450" w:type="dxa"/>
            <w:gridSpan w:val="2"/>
            <w:tcBorders>
              <w:top w:val="single" w:sz="8" w:space="0" w:color="auto"/>
              <w:left w:val="nil"/>
              <w:bottom w:val="single" w:sz="8" w:space="0" w:color="auto"/>
              <w:right w:val="nil"/>
            </w:tcBorders>
          </w:tcPr>
          <w:p w:rsidR="0017106F" w:rsidRPr="00F6774E" w:rsidRDefault="0017106F" w:rsidP="0017106F">
            <w:pPr>
              <w:jc w:val="center"/>
              <w:rPr>
                <w:color w:val="000000" w:themeColor="text1"/>
                <w:sz w:val="18"/>
                <w:szCs w:val="18"/>
              </w:rPr>
            </w:pPr>
          </w:p>
        </w:tc>
        <w:tc>
          <w:tcPr>
            <w:tcW w:w="1170" w:type="dxa"/>
            <w:tcBorders>
              <w:left w:val="nil"/>
            </w:tcBorders>
            <w:shd w:val="clear" w:color="auto" w:fill="auto"/>
            <w:vAlign w:val="center"/>
            <w:hideMark/>
          </w:tcPr>
          <w:p w:rsidR="0017106F" w:rsidRPr="00F6774E" w:rsidRDefault="00363B12" w:rsidP="0017106F">
            <w:pPr>
              <w:jc w:val="center"/>
              <w:rPr>
                <w:sz w:val="18"/>
                <w:szCs w:val="18"/>
              </w:rPr>
            </w:pPr>
            <w:r>
              <w:rPr>
                <w:color w:val="000000" w:themeColor="text1"/>
                <w:sz w:val="18"/>
                <w:szCs w:val="18"/>
              </w:rPr>
              <w:t>90</w:t>
            </w:r>
            <w:r w:rsidR="0017106F" w:rsidRPr="00F6774E">
              <w:rPr>
                <w:color w:val="000000" w:themeColor="text1"/>
                <w:sz w:val="18"/>
                <w:szCs w:val="18"/>
              </w:rPr>
              <w:t>%</w:t>
            </w:r>
          </w:p>
        </w:tc>
        <w:tc>
          <w:tcPr>
            <w:tcW w:w="3420" w:type="dxa"/>
            <w:shd w:val="clear" w:color="auto" w:fill="auto"/>
            <w:vAlign w:val="center"/>
            <w:hideMark/>
          </w:tcPr>
          <w:p w:rsidR="0017106F" w:rsidRPr="00F6774E" w:rsidRDefault="00363B12" w:rsidP="0017106F">
            <w:pPr>
              <w:rPr>
                <w:color w:val="000000" w:themeColor="text1"/>
                <w:sz w:val="18"/>
                <w:szCs w:val="18"/>
              </w:rPr>
            </w:pPr>
            <w:r>
              <w:rPr>
                <w:color w:val="000000" w:themeColor="text1"/>
                <w:sz w:val="18"/>
                <w:szCs w:val="18"/>
              </w:rPr>
              <w:t>Includes 80</w:t>
            </w:r>
            <w:r w:rsidR="0017106F" w:rsidRPr="00F6774E">
              <w:rPr>
                <w:color w:val="000000" w:themeColor="text1"/>
                <w:sz w:val="18"/>
                <w:szCs w:val="18"/>
              </w:rPr>
              <w:t>% oversampling of CSHCN</w:t>
            </w:r>
          </w:p>
        </w:tc>
      </w:tr>
      <w:tr w:rsidR="0017106F" w:rsidRPr="00F6774E" w:rsidTr="00F6774E">
        <w:tc>
          <w:tcPr>
            <w:tcW w:w="1080" w:type="dxa"/>
            <w:tcBorders>
              <w:right w:val="single" w:sz="12" w:space="0" w:color="auto"/>
            </w:tcBorders>
            <w:vAlign w:val="center"/>
          </w:tcPr>
          <w:p w:rsidR="0017106F" w:rsidRPr="00F6774E" w:rsidRDefault="0017106F" w:rsidP="0017106F">
            <w:pPr>
              <w:jc w:val="center"/>
              <w:rPr>
                <w:color w:val="000000" w:themeColor="text1"/>
                <w:sz w:val="18"/>
                <w:szCs w:val="18"/>
              </w:rPr>
            </w:pPr>
            <w:r w:rsidRPr="00F6774E">
              <w:rPr>
                <w:color w:val="000000" w:themeColor="text1"/>
                <w:sz w:val="18"/>
                <w:szCs w:val="18"/>
              </w:rPr>
              <w:t>5</w:t>
            </w:r>
          </w:p>
        </w:tc>
        <w:tc>
          <w:tcPr>
            <w:tcW w:w="1170" w:type="dxa"/>
            <w:tcBorders>
              <w:left w:val="single" w:sz="12" w:space="0" w:color="auto"/>
            </w:tcBorders>
            <w:shd w:val="clear" w:color="auto" w:fill="auto"/>
            <w:vAlign w:val="center"/>
            <w:hideMark/>
          </w:tcPr>
          <w:p w:rsidR="0017106F" w:rsidRPr="00F6774E" w:rsidRDefault="0017106F" w:rsidP="0017106F">
            <w:pPr>
              <w:jc w:val="center"/>
              <w:rPr>
                <w:color w:val="000000" w:themeColor="text1"/>
                <w:sz w:val="18"/>
                <w:szCs w:val="18"/>
              </w:rPr>
            </w:pPr>
            <w:r w:rsidRPr="00F6774E">
              <w:rPr>
                <w:color w:val="000000" w:themeColor="text1"/>
                <w:sz w:val="18"/>
                <w:szCs w:val="18"/>
              </w:rPr>
              <w:t>3</w:t>
            </w:r>
          </w:p>
        </w:tc>
        <w:tc>
          <w:tcPr>
            <w:tcW w:w="2070" w:type="dxa"/>
            <w:shd w:val="clear" w:color="auto" w:fill="auto"/>
            <w:vAlign w:val="center"/>
            <w:hideMark/>
          </w:tcPr>
          <w:p w:rsidR="0017106F" w:rsidRPr="00F6774E" w:rsidRDefault="0017106F" w:rsidP="0017106F">
            <w:pPr>
              <w:jc w:val="center"/>
              <w:rPr>
                <w:color w:val="000000" w:themeColor="text1"/>
                <w:sz w:val="18"/>
                <w:szCs w:val="18"/>
              </w:rPr>
            </w:pPr>
            <w:r w:rsidRPr="00F6774E">
              <w:rPr>
                <w:color w:val="000000" w:themeColor="text1"/>
                <w:sz w:val="18"/>
                <w:szCs w:val="18"/>
              </w:rPr>
              <w:t>3,0  or  0,3</w:t>
            </w:r>
          </w:p>
        </w:tc>
        <w:tc>
          <w:tcPr>
            <w:tcW w:w="3510" w:type="dxa"/>
            <w:gridSpan w:val="4"/>
            <w:shd w:val="clear" w:color="auto" w:fill="auto"/>
            <w:vAlign w:val="center"/>
            <w:hideMark/>
          </w:tcPr>
          <w:p w:rsidR="0017106F" w:rsidRPr="00F6774E" w:rsidRDefault="0017106F" w:rsidP="0017106F">
            <w:pPr>
              <w:jc w:val="center"/>
              <w:rPr>
                <w:sz w:val="18"/>
                <w:szCs w:val="18"/>
              </w:rPr>
            </w:pPr>
            <w:r w:rsidRPr="00F6774E">
              <w:rPr>
                <w:color w:val="000000" w:themeColor="text1"/>
                <w:sz w:val="18"/>
                <w:szCs w:val="18"/>
              </w:rPr>
              <w:t>Each child has an equal 33.3% probability of selection</w:t>
            </w:r>
          </w:p>
        </w:tc>
        <w:tc>
          <w:tcPr>
            <w:tcW w:w="3420" w:type="dxa"/>
            <w:shd w:val="clear" w:color="auto" w:fill="auto"/>
            <w:vAlign w:val="center"/>
            <w:hideMark/>
          </w:tcPr>
          <w:p w:rsidR="00B43781" w:rsidRDefault="0017106F" w:rsidP="0017106F">
            <w:pPr>
              <w:rPr>
                <w:color w:val="000000" w:themeColor="text1"/>
                <w:sz w:val="18"/>
                <w:szCs w:val="18"/>
              </w:rPr>
            </w:pPr>
            <w:r w:rsidRPr="00F6774E">
              <w:rPr>
                <w:color w:val="000000" w:themeColor="text1"/>
                <w:sz w:val="18"/>
                <w:szCs w:val="18"/>
              </w:rPr>
              <w:t xml:space="preserve">Simple random selection of 1 of  3 </w:t>
            </w:r>
          </w:p>
          <w:p w:rsidR="0017106F" w:rsidRPr="00F6774E" w:rsidRDefault="0017106F" w:rsidP="0017106F">
            <w:pPr>
              <w:rPr>
                <w:color w:val="000000" w:themeColor="text1"/>
                <w:sz w:val="18"/>
                <w:szCs w:val="18"/>
              </w:rPr>
            </w:pPr>
            <w:r w:rsidRPr="00F6774E">
              <w:rPr>
                <w:color w:val="000000" w:themeColor="text1"/>
                <w:sz w:val="18"/>
                <w:szCs w:val="18"/>
              </w:rPr>
              <w:t>Non-CSHCN or 1 of  3 CSHCN</w:t>
            </w:r>
          </w:p>
        </w:tc>
      </w:tr>
      <w:tr w:rsidR="0017106F" w:rsidRPr="00F6774E" w:rsidTr="00F6774E">
        <w:tc>
          <w:tcPr>
            <w:tcW w:w="1080" w:type="dxa"/>
            <w:tcBorders>
              <w:right w:val="single" w:sz="12" w:space="0" w:color="auto"/>
            </w:tcBorders>
            <w:vAlign w:val="center"/>
          </w:tcPr>
          <w:p w:rsidR="0017106F" w:rsidRPr="00F6774E" w:rsidRDefault="0017106F" w:rsidP="0017106F">
            <w:pPr>
              <w:jc w:val="center"/>
              <w:rPr>
                <w:color w:val="000000" w:themeColor="text1"/>
                <w:sz w:val="18"/>
                <w:szCs w:val="18"/>
              </w:rPr>
            </w:pPr>
            <w:r w:rsidRPr="00F6774E">
              <w:rPr>
                <w:color w:val="000000" w:themeColor="text1"/>
                <w:sz w:val="18"/>
                <w:szCs w:val="18"/>
              </w:rPr>
              <w:t>6</w:t>
            </w:r>
          </w:p>
        </w:tc>
        <w:tc>
          <w:tcPr>
            <w:tcW w:w="1170" w:type="dxa"/>
            <w:tcBorders>
              <w:left w:val="single" w:sz="12" w:space="0" w:color="auto"/>
            </w:tcBorders>
            <w:shd w:val="clear" w:color="auto" w:fill="auto"/>
            <w:vAlign w:val="center"/>
            <w:hideMark/>
          </w:tcPr>
          <w:p w:rsidR="0017106F" w:rsidRPr="00F6774E" w:rsidRDefault="0017106F" w:rsidP="0017106F">
            <w:pPr>
              <w:jc w:val="center"/>
              <w:rPr>
                <w:color w:val="000000" w:themeColor="text1"/>
                <w:sz w:val="18"/>
                <w:szCs w:val="18"/>
              </w:rPr>
            </w:pPr>
            <w:r w:rsidRPr="00F6774E">
              <w:rPr>
                <w:color w:val="000000" w:themeColor="text1"/>
                <w:sz w:val="18"/>
                <w:szCs w:val="18"/>
              </w:rPr>
              <w:t>3</w:t>
            </w:r>
          </w:p>
        </w:tc>
        <w:tc>
          <w:tcPr>
            <w:tcW w:w="2070" w:type="dxa"/>
            <w:shd w:val="clear" w:color="auto" w:fill="auto"/>
            <w:vAlign w:val="center"/>
            <w:hideMark/>
          </w:tcPr>
          <w:p w:rsidR="0017106F" w:rsidRPr="00F6774E" w:rsidRDefault="0017106F" w:rsidP="0017106F">
            <w:pPr>
              <w:jc w:val="center"/>
              <w:rPr>
                <w:color w:val="000000" w:themeColor="text1"/>
                <w:sz w:val="18"/>
                <w:szCs w:val="18"/>
              </w:rPr>
            </w:pPr>
            <w:r w:rsidRPr="00F6774E">
              <w:rPr>
                <w:color w:val="000000" w:themeColor="text1"/>
                <w:sz w:val="18"/>
                <w:szCs w:val="18"/>
              </w:rPr>
              <w:t>2,1</w:t>
            </w:r>
          </w:p>
        </w:tc>
        <w:tc>
          <w:tcPr>
            <w:tcW w:w="1890" w:type="dxa"/>
            <w:tcBorders>
              <w:right w:val="nil"/>
            </w:tcBorders>
            <w:shd w:val="clear" w:color="auto" w:fill="auto"/>
            <w:vAlign w:val="center"/>
            <w:hideMark/>
          </w:tcPr>
          <w:p w:rsidR="0017106F" w:rsidRPr="00F6774E" w:rsidRDefault="00363B12" w:rsidP="0017106F">
            <w:pPr>
              <w:jc w:val="center"/>
              <w:rPr>
                <w:sz w:val="18"/>
                <w:szCs w:val="18"/>
              </w:rPr>
            </w:pPr>
            <w:r>
              <w:rPr>
                <w:color w:val="000000" w:themeColor="text1"/>
                <w:sz w:val="18"/>
                <w:szCs w:val="18"/>
              </w:rPr>
              <w:t>40</w:t>
            </w:r>
            <w:r w:rsidR="0017106F" w:rsidRPr="00F6774E">
              <w:rPr>
                <w:color w:val="000000" w:themeColor="text1"/>
                <w:sz w:val="18"/>
                <w:szCs w:val="18"/>
              </w:rPr>
              <w:t>%</w:t>
            </w:r>
          </w:p>
        </w:tc>
        <w:tc>
          <w:tcPr>
            <w:tcW w:w="450" w:type="dxa"/>
            <w:gridSpan w:val="2"/>
            <w:tcBorders>
              <w:top w:val="single" w:sz="8" w:space="0" w:color="auto"/>
              <w:left w:val="nil"/>
              <w:bottom w:val="single" w:sz="8" w:space="0" w:color="auto"/>
              <w:right w:val="nil"/>
            </w:tcBorders>
          </w:tcPr>
          <w:p w:rsidR="0017106F" w:rsidRPr="00F6774E" w:rsidRDefault="0017106F" w:rsidP="0017106F">
            <w:pPr>
              <w:jc w:val="center"/>
              <w:rPr>
                <w:sz w:val="18"/>
                <w:szCs w:val="18"/>
              </w:rPr>
            </w:pPr>
          </w:p>
        </w:tc>
        <w:tc>
          <w:tcPr>
            <w:tcW w:w="1170" w:type="dxa"/>
            <w:tcBorders>
              <w:left w:val="nil"/>
            </w:tcBorders>
            <w:shd w:val="clear" w:color="auto" w:fill="auto"/>
            <w:vAlign w:val="center"/>
            <w:hideMark/>
          </w:tcPr>
          <w:p w:rsidR="0017106F" w:rsidRPr="00F6774E" w:rsidRDefault="00363B12" w:rsidP="0017106F">
            <w:pPr>
              <w:jc w:val="center"/>
              <w:rPr>
                <w:sz w:val="18"/>
                <w:szCs w:val="18"/>
              </w:rPr>
            </w:pPr>
            <w:r>
              <w:rPr>
                <w:sz w:val="18"/>
                <w:szCs w:val="18"/>
              </w:rPr>
              <w:t>6</w:t>
            </w:r>
            <w:r w:rsidR="0017106F" w:rsidRPr="00F6774E">
              <w:rPr>
                <w:sz w:val="18"/>
                <w:szCs w:val="18"/>
              </w:rPr>
              <w:t>0%</w:t>
            </w:r>
          </w:p>
        </w:tc>
        <w:tc>
          <w:tcPr>
            <w:tcW w:w="3420" w:type="dxa"/>
            <w:shd w:val="clear" w:color="auto" w:fill="auto"/>
            <w:vAlign w:val="center"/>
            <w:hideMark/>
          </w:tcPr>
          <w:p w:rsidR="0017106F" w:rsidRPr="00F6774E" w:rsidRDefault="00363B12" w:rsidP="0017106F">
            <w:pPr>
              <w:rPr>
                <w:sz w:val="18"/>
                <w:szCs w:val="18"/>
              </w:rPr>
            </w:pPr>
            <w:r>
              <w:rPr>
                <w:color w:val="000000" w:themeColor="text1"/>
                <w:sz w:val="18"/>
                <w:szCs w:val="18"/>
              </w:rPr>
              <w:t>Includes 80</w:t>
            </w:r>
            <w:r w:rsidR="0017106F" w:rsidRPr="00F6774E">
              <w:rPr>
                <w:color w:val="000000" w:themeColor="text1"/>
                <w:sz w:val="18"/>
                <w:szCs w:val="18"/>
              </w:rPr>
              <w:t>% oversampling of CSHCN</w:t>
            </w:r>
          </w:p>
        </w:tc>
      </w:tr>
      <w:tr w:rsidR="0017106F" w:rsidRPr="00F6774E" w:rsidTr="00F6774E">
        <w:tc>
          <w:tcPr>
            <w:tcW w:w="1080" w:type="dxa"/>
            <w:tcBorders>
              <w:right w:val="single" w:sz="12" w:space="0" w:color="auto"/>
            </w:tcBorders>
            <w:vAlign w:val="center"/>
          </w:tcPr>
          <w:p w:rsidR="0017106F" w:rsidRPr="00F6774E" w:rsidRDefault="0017106F" w:rsidP="0017106F">
            <w:pPr>
              <w:jc w:val="center"/>
              <w:rPr>
                <w:color w:val="000000" w:themeColor="text1"/>
                <w:sz w:val="18"/>
                <w:szCs w:val="18"/>
              </w:rPr>
            </w:pPr>
            <w:r w:rsidRPr="00F6774E">
              <w:rPr>
                <w:color w:val="000000" w:themeColor="text1"/>
                <w:sz w:val="18"/>
                <w:szCs w:val="18"/>
              </w:rPr>
              <w:t>7</w:t>
            </w:r>
          </w:p>
        </w:tc>
        <w:tc>
          <w:tcPr>
            <w:tcW w:w="1170" w:type="dxa"/>
            <w:tcBorders>
              <w:left w:val="single" w:sz="12" w:space="0" w:color="auto"/>
            </w:tcBorders>
            <w:shd w:val="clear" w:color="auto" w:fill="auto"/>
            <w:vAlign w:val="center"/>
            <w:hideMark/>
          </w:tcPr>
          <w:p w:rsidR="0017106F" w:rsidRPr="00F6774E" w:rsidRDefault="0017106F" w:rsidP="0017106F">
            <w:pPr>
              <w:jc w:val="center"/>
              <w:rPr>
                <w:color w:val="000000" w:themeColor="text1"/>
                <w:sz w:val="18"/>
                <w:szCs w:val="18"/>
              </w:rPr>
            </w:pPr>
            <w:r w:rsidRPr="00F6774E">
              <w:rPr>
                <w:color w:val="000000" w:themeColor="text1"/>
                <w:sz w:val="18"/>
                <w:szCs w:val="18"/>
              </w:rPr>
              <w:t>3</w:t>
            </w:r>
          </w:p>
        </w:tc>
        <w:tc>
          <w:tcPr>
            <w:tcW w:w="2070" w:type="dxa"/>
            <w:shd w:val="clear" w:color="auto" w:fill="auto"/>
            <w:vAlign w:val="center"/>
            <w:hideMark/>
          </w:tcPr>
          <w:p w:rsidR="0017106F" w:rsidRPr="00F6774E" w:rsidRDefault="0017106F" w:rsidP="0017106F">
            <w:pPr>
              <w:jc w:val="center"/>
              <w:rPr>
                <w:color w:val="000000" w:themeColor="text1"/>
                <w:sz w:val="18"/>
                <w:szCs w:val="18"/>
              </w:rPr>
            </w:pPr>
            <w:r w:rsidRPr="00F6774E">
              <w:rPr>
                <w:color w:val="000000" w:themeColor="text1"/>
                <w:sz w:val="18"/>
                <w:szCs w:val="18"/>
              </w:rPr>
              <w:t>1,2</w:t>
            </w:r>
          </w:p>
        </w:tc>
        <w:tc>
          <w:tcPr>
            <w:tcW w:w="1890" w:type="dxa"/>
            <w:tcBorders>
              <w:right w:val="nil"/>
            </w:tcBorders>
            <w:shd w:val="clear" w:color="auto" w:fill="auto"/>
            <w:vAlign w:val="center"/>
            <w:hideMark/>
          </w:tcPr>
          <w:p w:rsidR="0017106F" w:rsidRPr="00F6774E" w:rsidRDefault="00363B12" w:rsidP="0017106F">
            <w:pPr>
              <w:jc w:val="center"/>
              <w:rPr>
                <w:sz w:val="18"/>
                <w:szCs w:val="18"/>
              </w:rPr>
            </w:pPr>
            <w:r>
              <w:rPr>
                <w:color w:val="000000" w:themeColor="text1"/>
                <w:sz w:val="18"/>
                <w:szCs w:val="18"/>
              </w:rPr>
              <w:t>0</w:t>
            </w:r>
            <w:r w:rsidR="0017106F" w:rsidRPr="00F6774E">
              <w:rPr>
                <w:color w:val="000000" w:themeColor="text1"/>
                <w:sz w:val="18"/>
                <w:szCs w:val="18"/>
              </w:rPr>
              <w:t>%</w:t>
            </w:r>
          </w:p>
        </w:tc>
        <w:tc>
          <w:tcPr>
            <w:tcW w:w="450" w:type="dxa"/>
            <w:gridSpan w:val="2"/>
            <w:tcBorders>
              <w:top w:val="single" w:sz="8" w:space="0" w:color="auto"/>
              <w:left w:val="nil"/>
              <w:bottom w:val="single" w:sz="8" w:space="0" w:color="auto"/>
              <w:right w:val="nil"/>
            </w:tcBorders>
          </w:tcPr>
          <w:p w:rsidR="0017106F" w:rsidRPr="00F6774E" w:rsidRDefault="0017106F" w:rsidP="0017106F">
            <w:pPr>
              <w:jc w:val="center"/>
              <w:rPr>
                <w:sz w:val="18"/>
                <w:szCs w:val="18"/>
              </w:rPr>
            </w:pPr>
          </w:p>
        </w:tc>
        <w:tc>
          <w:tcPr>
            <w:tcW w:w="1170" w:type="dxa"/>
            <w:tcBorders>
              <w:left w:val="nil"/>
            </w:tcBorders>
            <w:shd w:val="clear" w:color="auto" w:fill="auto"/>
            <w:vAlign w:val="center"/>
            <w:hideMark/>
          </w:tcPr>
          <w:p w:rsidR="0017106F" w:rsidRPr="00F6774E" w:rsidRDefault="00363B12" w:rsidP="0017106F">
            <w:pPr>
              <w:jc w:val="center"/>
              <w:rPr>
                <w:sz w:val="18"/>
                <w:szCs w:val="18"/>
              </w:rPr>
            </w:pPr>
            <w:r>
              <w:rPr>
                <w:sz w:val="18"/>
                <w:szCs w:val="18"/>
              </w:rPr>
              <w:t>100</w:t>
            </w:r>
            <w:r w:rsidR="0017106F" w:rsidRPr="00F6774E">
              <w:rPr>
                <w:sz w:val="18"/>
                <w:szCs w:val="18"/>
              </w:rPr>
              <w:t>%</w:t>
            </w:r>
          </w:p>
        </w:tc>
        <w:tc>
          <w:tcPr>
            <w:tcW w:w="3420" w:type="dxa"/>
            <w:shd w:val="clear" w:color="auto" w:fill="auto"/>
            <w:vAlign w:val="center"/>
            <w:hideMark/>
          </w:tcPr>
          <w:p w:rsidR="0017106F" w:rsidRPr="00F6774E" w:rsidRDefault="00363B12" w:rsidP="0017106F">
            <w:pPr>
              <w:rPr>
                <w:sz w:val="18"/>
                <w:szCs w:val="18"/>
              </w:rPr>
            </w:pPr>
            <w:r>
              <w:rPr>
                <w:color w:val="000000" w:themeColor="text1"/>
                <w:sz w:val="18"/>
                <w:szCs w:val="18"/>
              </w:rPr>
              <w:t>Includes 80</w:t>
            </w:r>
            <w:r w:rsidR="0017106F" w:rsidRPr="00F6774E">
              <w:rPr>
                <w:color w:val="000000" w:themeColor="text1"/>
                <w:sz w:val="18"/>
                <w:szCs w:val="18"/>
              </w:rPr>
              <w:t>% oversampling of CSHCN</w:t>
            </w:r>
          </w:p>
        </w:tc>
      </w:tr>
      <w:tr w:rsidR="0017106F" w:rsidRPr="00F6774E" w:rsidTr="00F6774E">
        <w:tc>
          <w:tcPr>
            <w:tcW w:w="1080" w:type="dxa"/>
            <w:tcBorders>
              <w:right w:val="single" w:sz="12" w:space="0" w:color="auto"/>
            </w:tcBorders>
            <w:vAlign w:val="center"/>
          </w:tcPr>
          <w:p w:rsidR="0017106F" w:rsidRPr="00F6774E" w:rsidRDefault="0017106F" w:rsidP="0017106F">
            <w:pPr>
              <w:jc w:val="center"/>
              <w:rPr>
                <w:color w:val="000000" w:themeColor="text1"/>
                <w:sz w:val="18"/>
                <w:szCs w:val="18"/>
              </w:rPr>
            </w:pPr>
            <w:r w:rsidRPr="00F6774E">
              <w:rPr>
                <w:color w:val="000000" w:themeColor="text1"/>
                <w:sz w:val="18"/>
                <w:szCs w:val="18"/>
              </w:rPr>
              <w:t>8</w:t>
            </w:r>
          </w:p>
        </w:tc>
        <w:tc>
          <w:tcPr>
            <w:tcW w:w="1170" w:type="dxa"/>
            <w:tcBorders>
              <w:left w:val="single" w:sz="12" w:space="0" w:color="auto"/>
            </w:tcBorders>
            <w:shd w:val="clear" w:color="auto" w:fill="auto"/>
            <w:vAlign w:val="center"/>
            <w:hideMark/>
          </w:tcPr>
          <w:p w:rsidR="0017106F" w:rsidRPr="00F6774E" w:rsidRDefault="00A86192" w:rsidP="0017106F">
            <w:pPr>
              <w:jc w:val="center"/>
              <w:rPr>
                <w:color w:val="000000" w:themeColor="text1"/>
                <w:sz w:val="18"/>
                <w:szCs w:val="18"/>
              </w:rPr>
            </w:pPr>
            <w:r>
              <w:rPr>
                <w:color w:val="000000" w:themeColor="text1"/>
                <w:sz w:val="18"/>
                <w:szCs w:val="18"/>
              </w:rPr>
              <w:t>4</w:t>
            </w:r>
          </w:p>
        </w:tc>
        <w:tc>
          <w:tcPr>
            <w:tcW w:w="2070" w:type="dxa"/>
            <w:shd w:val="clear" w:color="auto" w:fill="auto"/>
            <w:vAlign w:val="center"/>
            <w:hideMark/>
          </w:tcPr>
          <w:p w:rsidR="0017106F" w:rsidRPr="00F6774E" w:rsidRDefault="0017106F" w:rsidP="0017106F">
            <w:pPr>
              <w:jc w:val="center"/>
              <w:rPr>
                <w:color w:val="000000" w:themeColor="text1"/>
                <w:sz w:val="18"/>
                <w:szCs w:val="18"/>
              </w:rPr>
            </w:pPr>
            <w:r w:rsidRPr="00F6774E">
              <w:rPr>
                <w:color w:val="000000" w:themeColor="text1"/>
                <w:sz w:val="18"/>
                <w:szCs w:val="18"/>
              </w:rPr>
              <w:t>Any combination</w:t>
            </w:r>
          </w:p>
        </w:tc>
        <w:tc>
          <w:tcPr>
            <w:tcW w:w="3510" w:type="dxa"/>
            <w:gridSpan w:val="4"/>
            <w:shd w:val="clear" w:color="auto" w:fill="auto"/>
            <w:vAlign w:val="center"/>
            <w:hideMark/>
          </w:tcPr>
          <w:p w:rsidR="0017106F" w:rsidRPr="00F6774E" w:rsidRDefault="00363B12" w:rsidP="0017106F">
            <w:pPr>
              <w:jc w:val="center"/>
              <w:rPr>
                <w:sz w:val="18"/>
                <w:szCs w:val="18"/>
              </w:rPr>
            </w:pPr>
            <w:r w:rsidRPr="00703B4F">
              <w:rPr>
                <w:sz w:val="18"/>
              </w:rPr>
              <w:t>Before the sort, each of the first 4 children has an equal 25% probability of selection</w:t>
            </w:r>
          </w:p>
        </w:tc>
        <w:tc>
          <w:tcPr>
            <w:tcW w:w="3420" w:type="dxa"/>
            <w:shd w:val="clear" w:color="auto" w:fill="auto"/>
            <w:vAlign w:val="center"/>
          </w:tcPr>
          <w:p w:rsidR="0017106F" w:rsidRPr="00F6774E" w:rsidRDefault="00363B12" w:rsidP="00A86192">
            <w:pPr>
              <w:rPr>
                <w:sz w:val="18"/>
                <w:szCs w:val="18"/>
              </w:rPr>
            </w:pPr>
            <w:r w:rsidRPr="00703B4F">
              <w:rPr>
                <w:color w:val="000000" w:themeColor="text1"/>
                <w:sz w:val="18"/>
                <w:szCs w:val="18"/>
              </w:rPr>
              <w:t>Simple random selection of 1 of  the first 4 (sorted) children, regardless of Non-CSHCN or CSHCN.</w:t>
            </w:r>
          </w:p>
        </w:tc>
      </w:tr>
    </w:tbl>
    <w:p w:rsidR="0017106F" w:rsidRDefault="0017106F" w:rsidP="005955A6">
      <w:pPr>
        <w:rPr>
          <w:sz w:val="24"/>
        </w:rPr>
      </w:pPr>
    </w:p>
    <w:p w:rsidR="005955A6" w:rsidRDefault="005955A6" w:rsidP="005955A6">
      <w:pPr>
        <w:rPr>
          <w:sz w:val="24"/>
        </w:rPr>
      </w:pPr>
      <w:r w:rsidRPr="005955A6">
        <w:rPr>
          <w:sz w:val="24"/>
        </w:rPr>
        <w:t>Each household wil</w:t>
      </w:r>
      <w:r w:rsidR="00DC3162">
        <w:rPr>
          <w:sz w:val="24"/>
        </w:rPr>
        <w:t>l be pre-</w:t>
      </w:r>
      <w:r w:rsidR="00F6774E">
        <w:rPr>
          <w:sz w:val="24"/>
        </w:rPr>
        <w:t>assigned</w:t>
      </w:r>
      <w:r w:rsidR="00DC3162">
        <w:rPr>
          <w:sz w:val="24"/>
        </w:rPr>
        <w:t xml:space="preserve"> a value for each of the eight Household Types that corresponds with the oversampling criteria in the Probability of Selection column in the table above. This value denotes the order of the child</w:t>
      </w:r>
      <w:r w:rsidR="00235444">
        <w:rPr>
          <w:sz w:val="24"/>
        </w:rPr>
        <w:t xml:space="preserve"> (0, 1, 2, 3, or 4)</w:t>
      </w:r>
      <w:r w:rsidR="00DC3162">
        <w:rPr>
          <w:sz w:val="24"/>
        </w:rPr>
        <w:t xml:space="preserve"> that should be selected after the proper sorting of eligible children</w:t>
      </w:r>
      <w:r w:rsidR="00F6774E">
        <w:rPr>
          <w:sz w:val="24"/>
        </w:rPr>
        <w:t xml:space="preserve"> has occurred. For HH</w:t>
      </w:r>
      <w:r w:rsidR="004935C3">
        <w:rPr>
          <w:sz w:val="24"/>
        </w:rPr>
        <w:t>TYP 1 and HHTYP 2, no sorting occurs because there are either no eligible children or one eligible child who will always be selec</w:t>
      </w:r>
      <w:r w:rsidR="00A86192">
        <w:rPr>
          <w:sz w:val="24"/>
        </w:rPr>
        <w:t>ted. For HHTYP 3 through HHTYP 8</w:t>
      </w:r>
      <w:r w:rsidR="004935C3">
        <w:rPr>
          <w:sz w:val="24"/>
        </w:rPr>
        <w:t>, children will be sorted by their special needs status (</w:t>
      </w:r>
      <w:r w:rsidR="004935C3" w:rsidRPr="004935C3">
        <w:rPr>
          <w:sz w:val="24"/>
        </w:rPr>
        <w:t>CSHCN children first followed by</w:t>
      </w:r>
      <w:r w:rsidR="00B43781">
        <w:rPr>
          <w:sz w:val="24"/>
        </w:rPr>
        <w:t xml:space="preserve"> Non-C</w:t>
      </w:r>
      <w:r w:rsidR="004935C3">
        <w:rPr>
          <w:sz w:val="24"/>
        </w:rPr>
        <w:t>S</w:t>
      </w:r>
      <w:r w:rsidR="00B43781">
        <w:rPr>
          <w:sz w:val="24"/>
        </w:rPr>
        <w:t>HCN</w:t>
      </w:r>
      <w:r w:rsidR="004935C3">
        <w:rPr>
          <w:sz w:val="24"/>
        </w:rPr>
        <w:t>) and then sorted by age (youngest to oldest).</w:t>
      </w:r>
      <w:r w:rsidR="00A86192">
        <w:rPr>
          <w:sz w:val="24"/>
        </w:rPr>
        <w:t xml:space="preserve"> Finally, HHTYP 8 children will be sorted by their special needs status (</w:t>
      </w:r>
      <w:r w:rsidR="00A86192" w:rsidRPr="004935C3">
        <w:rPr>
          <w:sz w:val="24"/>
        </w:rPr>
        <w:t>CSHCN children first followed by</w:t>
      </w:r>
      <w:r w:rsidR="00B43781">
        <w:rPr>
          <w:sz w:val="24"/>
        </w:rPr>
        <w:t xml:space="preserve"> </w:t>
      </w:r>
      <w:r w:rsidR="001643E0">
        <w:rPr>
          <w:sz w:val="24"/>
        </w:rPr>
        <w:t>Non-CSHCN), then sorted by name,</w:t>
      </w:r>
      <w:r w:rsidR="00A86192">
        <w:rPr>
          <w:sz w:val="24"/>
        </w:rPr>
        <w:t xml:space="preserve"> and then sorted by age (youngest to oldest).</w:t>
      </w:r>
    </w:p>
    <w:p w:rsidR="00235444" w:rsidRPr="00235444" w:rsidRDefault="00235444" w:rsidP="005955A6">
      <w:pPr>
        <w:rPr>
          <w:sz w:val="24"/>
        </w:rPr>
      </w:pPr>
    </w:p>
    <w:p w:rsidR="00222414" w:rsidRDefault="00003FFC" w:rsidP="00222414">
      <w:pPr>
        <w:pStyle w:val="Heading2"/>
        <w:numPr>
          <w:ilvl w:val="1"/>
          <w:numId w:val="3"/>
        </w:numPr>
        <w:spacing w:before="120" w:after="120"/>
        <w:rPr>
          <w:rFonts w:ascii="Times New Roman" w:hAnsi="Times New Roman" w:cs="Times New Roman"/>
          <w:i w:val="0"/>
          <w:sz w:val="24"/>
          <w:szCs w:val="24"/>
        </w:rPr>
      </w:pPr>
      <w:r>
        <w:rPr>
          <w:rFonts w:ascii="Times New Roman" w:hAnsi="Times New Roman" w:cs="Times New Roman"/>
          <w:i w:val="0"/>
          <w:sz w:val="24"/>
          <w:szCs w:val="24"/>
        </w:rPr>
        <w:t>Expected Y</w:t>
      </w:r>
      <w:r w:rsidR="00235444">
        <w:rPr>
          <w:rFonts w:ascii="Times New Roman" w:hAnsi="Times New Roman" w:cs="Times New Roman"/>
          <w:i w:val="0"/>
          <w:sz w:val="24"/>
          <w:szCs w:val="24"/>
        </w:rPr>
        <w:t>i</w:t>
      </w:r>
      <w:r>
        <w:rPr>
          <w:rFonts w:ascii="Times New Roman" w:hAnsi="Times New Roman" w:cs="Times New Roman"/>
          <w:i w:val="0"/>
          <w:sz w:val="24"/>
          <w:szCs w:val="24"/>
        </w:rPr>
        <w:t>e</w:t>
      </w:r>
      <w:r w:rsidR="00235444">
        <w:rPr>
          <w:rFonts w:ascii="Times New Roman" w:hAnsi="Times New Roman" w:cs="Times New Roman"/>
          <w:i w:val="0"/>
          <w:sz w:val="24"/>
          <w:szCs w:val="24"/>
        </w:rPr>
        <w:t>ld</w:t>
      </w:r>
    </w:p>
    <w:p w:rsidR="00B262EF" w:rsidRDefault="009731C4" w:rsidP="008719D4">
      <w:pPr>
        <w:rPr>
          <w:sz w:val="24"/>
        </w:rPr>
      </w:pPr>
      <w:r w:rsidRPr="00A3298C">
        <w:rPr>
          <w:sz w:val="24"/>
        </w:rPr>
        <w:t xml:space="preserve">The respondent universe for </w:t>
      </w:r>
      <w:r w:rsidR="00205B1C">
        <w:rPr>
          <w:sz w:val="24"/>
        </w:rPr>
        <w:t>the NSCH Pretest</w:t>
      </w:r>
      <w:r w:rsidRPr="00A3298C">
        <w:rPr>
          <w:sz w:val="24"/>
        </w:rPr>
        <w:t xml:space="preserve"> is adults age 18 or older who live in the U.S. and who are parents or guardia</w:t>
      </w:r>
      <w:r w:rsidR="00DB6AE1">
        <w:rPr>
          <w:sz w:val="24"/>
        </w:rPr>
        <w:t xml:space="preserve">ns of at least one child who is age </w:t>
      </w:r>
      <w:r w:rsidRPr="00A3298C">
        <w:rPr>
          <w:sz w:val="24"/>
        </w:rPr>
        <w:t xml:space="preserve">17 </w:t>
      </w:r>
      <w:r w:rsidR="00DB6AE1">
        <w:rPr>
          <w:sz w:val="24"/>
        </w:rPr>
        <w:t>or younger</w:t>
      </w:r>
      <w:r w:rsidRPr="00A3298C">
        <w:rPr>
          <w:sz w:val="24"/>
        </w:rPr>
        <w:t xml:space="preserve"> living in the same h</w:t>
      </w:r>
      <w:r w:rsidR="00DB6AE1">
        <w:rPr>
          <w:sz w:val="24"/>
        </w:rPr>
        <w:t xml:space="preserve">ousehold. </w:t>
      </w:r>
      <w:r w:rsidR="00751BE0">
        <w:rPr>
          <w:sz w:val="24"/>
        </w:rPr>
        <w:t>Those h</w:t>
      </w:r>
      <w:r w:rsidR="00DB6AE1">
        <w:rPr>
          <w:sz w:val="24"/>
        </w:rPr>
        <w:t xml:space="preserve">ouseholds that do not have any infants or children are </w:t>
      </w:r>
      <w:r w:rsidR="00751BE0">
        <w:rPr>
          <w:sz w:val="24"/>
        </w:rPr>
        <w:t>asked</w:t>
      </w:r>
      <w:r w:rsidR="00DB6AE1">
        <w:rPr>
          <w:sz w:val="24"/>
        </w:rPr>
        <w:t xml:space="preserve"> </w:t>
      </w:r>
      <w:r w:rsidR="00751BE0">
        <w:rPr>
          <w:sz w:val="24"/>
        </w:rPr>
        <w:t>to mark “No” to the first question on the screener which asks, “</w:t>
      </w:r>
      <w:r w:rsidR="00751BE0" w:rsidRPr="00751BE0">
        <w:rPr>
          <w:sz w:val="24"/>
        </w:rPr>
        <w:t>Are there any youth or children age 17 or younger who usually live or stay at this address?</w:t>
      </w:r>
      <w:r w:rsidR="00E9243D">
        <w:rPr>
          <w:sz w:val="24"/>
        </w:rPr>
        <w:t>” and would then screen-out of the remaining survey questions.</w:t>
      </w:r>
    </w:p>
    <w:p w:rsidR="008719D4" w:rsidRPr="0046635E" w:rsidRDefault="008719D4" w:rsidP="008719D4">
      <w:pPr>
        <w:rPr>
          <w:sz w:val="24"/>
        </w:rPr>
      </w:pPr>
    </w:p>
    <w:p w:rsidR="008719D4" w:rsidRDefault="00F87C51" w:rsidP="008719D4">
      <w:pPr>
        <w:rPr>
          <w:sz w:val="24"/>
        </w:rPr>
      </w:pPr>
      <w:r w:rsidRPr="0046635E">
        <w:rPr>
          <w:sz w:val="24"/>
        </w:rPr>
        <w:t xml:space="preserve">The </w:t>
      </w:r>
      <w:r w:rsidR="00E9243D">
        <w:rPr>
          <w:sz w:val="24"/>
        </w:rPr>
        <w:t>initial</w:t>
      </w:r>
      <w:r w:rsidRPr="0046635E">
        <w:rPr>
          <w:sz w:val="24"/>
        </w:rPr>
        <w:t xml:space="preserve"> sample </w:t>
      </w:r>
      <w:r w:rsidR="00E9243D">
        <w:rPr>
          <w:sz w:val="24"/>
        </w:rPr>
        <w:t xml:space="preserve">size </w:t>
      </w:r>
      <w:r w:rsidRPr="0046635E">
        <w:rPr>
          <w:sz w:val="24"/>
        </w:rPr>
        <w:t>for the</w:t>
      </w:r>
      <w:r w:rsidR="00E9243D" w:rsidRPr="00E9243D">
        <w:rPr>
          <w:sz w:val="24"/>
        </w:rPr>
        <w:t xml:space="preserve"> </w:t>
      </w:r>
      <w:r w:rsidR="00E9243D">
        <w:rPr>
          <w:sz w:val="24"/>
        </w:rPr>
        <w:t xml:space="preserve">NSCH Pretest </w:t>
      </w:r>
      <w:r w:rsidRPr="0046635E">
        <w:rPr>
          <w:sz w:val="24"/>
        </w:rPr>
        <w:t xml:space="preserve">is </w:t>
      </w:r>
      <w:r w:rsidR="00E9243D">
        <w:rPr>
          <w:sz w:val="24"/>
        </w:rPr>
        <w:t>16,000</w:t>
      </w:r>
      <w:r w:rsidRPr="0046635E">
        <w:rPr>
          <w:sz w:val="24"/>
        </w:rPr>
        <w:t xml:space="preserve"> unique households</w:t>
      </w:r>
      <w:r w:rsidR="00453875">
        <w:rPr>
          <w:sz w:val="24"/>
        </w:rPr>
        <w:t xml:space="preserve"> nationwide. These households are then split among </w:t>
      </w:r>
      <w:r w:rsidR="002A5813">
        <w:rPr>
          <w:sz w:val="24"/>
        </w:rPr>
        <w:t>three</w:t>
      </w:r>
      <w:r w:rsidR="006622C5">
        <w:rPr>
          <w:sz w:val="24"/>
        </w:rPr>
        <w:t xml:space="preserve"> different treatment </w:t>
      </w:r>
      <w:r w:rsidR="001643E0">
        <w:rPr>
          <w:sz w:val="24"/>
        </w:rPr>
        <w:t>groups, which differ in mode (Mail Only or Web Push + Mail),</w:t>
      </w:r>
      <w:r w:rsidR="006622C5">
        <w:rPr>
          <w:sz w:val="24"/>
        </w:rPr>
        <w:t xml:space="preserve"> a</w:t>
      </w:r>
      <w:r w:rsidR="00CC4404">
        <w:rPr>
          <w:sz w:val="24"/>
        </w:rPr>
        <w:t>nd</w:t>
      </w:r>
      <w:r w:rsidR="002A5813">
        <w:rPr>
          <w:sz w:val="24"/>
        </w:rPr>
        <w:t>/or</w:t>
      </w:r>
      <w:r w:rsidR="00CC4404">
        <w:rPr>
          <w:sz w:val="24"/>
        </w:rPr>
        <w:t xml:space="preserve"> incentive amount (</w:t>
      </w:r>
      <w:r w:rsidR="008719D4">
        <w:rPr>
          <w:sz w:val="24"/>
        </w:rPr>
        <w:t>$5 or $10).</w:t>
      </w:r>
    </w:p>
    <w:p w:rsidR="008719D4" w:rsidRDefault="008719D4" w:rsidP="008719D4">
      <w:pPr>
        <w:rPr>
          <w:sz w:val="24"/>
        </w:rPr>
      </w:pPr>
    </w:p>
    <w:p w:rsidR="008719D4" w:rsidRDefault="008719D4" w:rsidP="008719D4">
      <w:pPr>
        <w:rPr>
          <w:sz w:val="24"/>
        </w:rPr>
      </w:pPr>
      <w:r w:rsidRPr="008719D4">
        <w:rPr>
          <w:sz w:val="24"/>
        </w:rPr>
        <w:t xml:space="preserve">Assumed response rates for the screener, the percent eligible for the topical, and the response rates for the topical are critical to the calculation of the various expected sample sizes for the </w:t>
      </w:r>
      <w:r>
        <w:rPr>
          <w:sz w:val="24"/>
        </w:rPr>
        <w:t>NSCH P</w:t>
      </w:r>
      <w:r w:rsidRPr="008719D4">
        <w:rPr>
          <w:sz w:val="24"/>
        </w:rPr>
        <w:t>retest</w:t>
      </w:r>
      <w:r>
        <w:rPr>
          <w:rStyle w:val="FootnoteReference"/>
          <w:sz w:val="24"/>
        </w:rPr>
        <w:footnoteReference w:id="1"/>
      </w:r>
      <w:r w:rsidRPr="008719D4">
        <w:rPr>
          <w:sz w:val="24"/>
        </w:rPr>
        <w:t>.  These per</w:t>
      </w:r>
      <w:r>
        <w:rPr>
          <w:sz w:val="24"/>
        </w:rPr>
        <w:t xml:space="preserve">centages are included in </w:t>
      </w:r>
      <w:r w:rsidRPr="008C4E06">
        <w:rPr>
          <w:b/>
          <w:sz w:val="24"/>
        </w:rPr>
        <w:t>Table B.1.3.A</w:t>
      </w:r>
      <w:r w:rsidR="002A5813">
        <w:rPr>
          <w:sz w:val="24"/>
        </w:rPr>
        <w:t>, resulting in the three</w:t>
      </w:r>
      <w:r w:rsidRPr="008719D4">
        <w:rPr>
          <w:sz w:val="24"/>
        </w:rPr>
        <w:t xml:space="preserve"> analysis treatment groups in the last column.</w:t>
      </w:r>
    </w:p>
    <w:p w:rsidR="008719D4" w:rsidRDefault="008719D4" w:rsidP="008719D4">
      <w:pPr>
        <w:rPr>
          <w:sz w:val="24"/>
        </w:rPr>
      </w:pPr>
    </w:p>
    <w:p w:rsidR="008719D4" w:rsidRDefault="008719D4" w:rsidP="008719D4">
      <w:pPr>
        <w:rPr>
          <w:sz w:val="24"/>
        </w:rPr>
      </w:pPr>
      <w:r w:rsidRPr="008719D4">
        <w:rPr>
          <w:sz w:val="24"/>
        </w:rPr>
        <w:lastRenderedPageBreak/>
        <w:t>The random assignment of mode and incentive for each household will be made according to the percentages and assigned randomly across each of the strata provided by the CARRA dataset. These assignments will be entered for each record on the 16,000</w:t>
      </w:r>
      <w:r w:rsidR="00B87B61">
        <w:rPr>
          <w:sz w:val="24"/>
        </w:rPr>
        <w:t xml:space="preserve"> sample input file, before </w:t>
      </w:r>
      <w:r w:rsidR="001643E0">
        <w:rPr>
          <w:sz w:val="24"/>
        </w:rPr>
        <w:t xml:space="preserve">any </w:t>
      </w:r>
      <w:r w:rsidR="001643E0" w:rsidRPr="008719D4">
        <w:rPr>
          <w:sz w:val="24"/>
        </w:rPr>
        <w:t>data</w:t>
      </w:r>
      <w:r w:rsidRPr="008719D4">
        <w:rPr>
          <w:sz w:val="24"/>
        </w:rPr>
        <w:t xml:space="preserve"> is collected.</w:t>
      </w:r>
    </w:p>
    <w:p w:rsidR="00A37135" w:rsidRDefault="00A37135" w:rsidP="008719D4">
      <w:pPr>
        <w:rPr>
          <w:sz w:val="24"/>
        </w:rPr>
      </w:pPr>
    </w:p>
    <w:p w:rsidR="008719D4" w:rsidRDefault="008719D4" w:rsidP="008719D4">
      <w:pPr>
        <w:rPr>
          <w:rFonts w:eastAsiaTheme="minorHAnsi"/>
          <w:b/>
          <w:sz w:val="22"/>
          <w:szCs w:val="22"/>
        </w:rPr>
      </w:pPr>
      <w:r>
        <w:rPr>
          <w:rFonts w:eastAsiaTheme="minorHAnsi"/>
          <w:b/>
          <w:sz w:val="22"/>
          <w:szCs w:val="22"/>
        </w:rPr>
        <w:t>Table B.1.3.A</w:t>
      </w:r>
      <w:r w:rsidRPr="009E14A1">
        <w:rPr>
          <w:rFonts w:eastAsiaTheme="minorHAnsi"/>
          <w:b/>
          <w:sz w:val="22"/>
          <w:szCs w:val="22"/>
        </w:rPr>
        <w:t xml:space="preserve">:  </w:t>
      </w:r>
      <w:r w:rsidRPr="008719D4">
        <w:rPr>
          <w:rFonts w:eastAsiaTheme="minorHAnsi"/>
          <w:b/>
          <w:sz w:val="22"/>
          <w:szCs w:val="22"/>
        </w:rPr>
        <w:t>Expected Sample Sizes of NSCH Pretest Treatment Groups</w:t>
      </w:r>
    </w:p>
    <w:tbl>
      <w:tblPr>
        <w:tblStyle w:val="TableGrid"/>
        <w:tblW w:w="10980" w:type="dxa"/>
        <w:tblInd w:w="-7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Look w:val="04A0" w:firstRow="1" w:lastRow="0" w:firstColumn="1" w:lastColumn="0" w:noHBand="0" w:noVBand="1"/>
      </w:tblPr>
      <w:tblGrid>
        <w:gridCol w:w="1080"/>
        <w:gridCol w:w="810"/>
        <w:gridCol w:w="1080"/>
        <w:gridCol w:w="1170"/>
        <w:gridCol w:w="1530"/>
        <w:gridCol w:w="900"/>
        <w:gridCol w:w="900"/>
        <w:gridCol w:w="1620"/>
        <w:gridCol w:w="810"/>
        <w:gridCol w:w="1080"/>
      </w:tblGrid>
      <w:tr w:rsidR="004B137A" w:rsidTr="00F767FA">
        <w:trPr>
          <w:trHeight w:val="1203"/>
        </w:trPr>
        <w:tc>
          <w:tcPr>
            <w:tcW w:w="1080" w:type="dxa"/>
            <w:shd w:val="clear" w:color="auto" w:fill="D9D9D9" w:themeFill="background1" w:themeFillShade="D9"/>
          </w:tcPr>
          <w:p w:rsidR="004B137A" w:rsidRPr="00C817B9" w:rsidRDefault="004B137A" w:rsidP="00F767FA">
            <w:pPr>
              <w:keepNext/>
              <w:keepLines/>
              <w:jc w:val="center"/>
              <w:outlineLvl w:val="2"/>
              <w:rPr>
                <w:rFonts w:eastAsiaTheme="majorEastAsia"/>
                <w:bCs/>
                <w:sz w:val="18"/>
                <w:szCs w:val="18"/>
              </w:rPr>
            </w:pPr>
            <w:r w:rsidRPr="00C817B9">
              <w:rPr>
                <w:rFonts w:eastAsiaTheme="majorEastAsia"/>
                <w:bCs/>
                <w:sz w:val="18"/>
                <w:szCs w:val="18"/>
              </w:rPr>
              <w:t>Initial Sample</w:t>
            </w:r>
          </w:p>
        </w:tc>
        <w:tc>
          <w:tcPr>
            <w:tcW w:w="810" w:type="dxa"/>
            <w:shd w:val="clear" w:color="auto" w:fill="D9D9D9" w:themeFill="background1" w:themeFillShade="D9"/>
          </w:tcPr>
          <w:p w:rsidR="004B137A" w:rsidRPr="00C817B9" w:rsidRDefault="004B137A" w:rsidP="00F767FA">
            <w:pPr>
              <w:keepNext/>
              <w:keepLines/>
              <w:jc w:val="center"/>
              <w:outlineLvl w:val="2"/>
              <w:rPr>
                <w:rFonts w:eastAsiaTheme="majorEastAsia"/>
                <w:bCs/>
                <w:sz w:val="18"/>
                <w:szCs w:val="18"/>
              </w:rPr>
            </w:pPr>
            <w:r w:rsidRPr="00C817B9">
              <w:rPr>
                <w:rFonts w:eastAsiaTheme="majorEastAsia"/>
                <w:bCs/>
                <w:sz w:val="18"/>
                <w:szCs w:val="18"/>
              </w:rPr>
              <w:t>Valid Sample (89%)</w:t>
            </w:r>
            <w:r>
              <w:rPr>
                <w:rStyle w:val="FootnoteReference"/>
                <w:rFonts w:eastAsiaTheme="majorEastAsia"/>
                <w:bCs/>
                <w:sz w:val="18"/>
                <w:szCs w:val="18"/>
              </w:rPr>
              <w:footnoteReference w:id="2"/>
            </w:r>
          </w:p>
        </w:tc>
        <w:tc>
          <w:tcPr>
            <w:tcW w:w="1080" w:type="dxa"/>
            <w:shd w:val="clear" w:color="auto" w:fill="D9D9D9" w:themeFill="background1" w:themeFillShade="D9"/>
          </w:tcPr>
          <w:p w:rsidR="004B137A" w:rsidRPr="00C817B9" w:rsidRDefault="004B137A" w:rsidP="00F767FA">
            <w:pPr>
              <w:keepNext/>
              <w:keepLines/>
              <w:jc w:val="center"/>
              <w:outlineLvl w:val="2"/>
              <w:rPr>
                <w:rFonts w:eastAsiaTheme="majorEastAsia"/>
                <w:bCs/>
                <w:sz w:val="18"/>
                <w:szCs w:val="18"/>
              </w:rPr>
            </w:pPr>
            <w:r w:rsidRPr="00C817B9">
              <w:rPr>
                <w:rFonts w:eastAsiaTheme="majorEastAsia"/>
                <w:bCs/>
                <w:sz w:val="18"/>
                <w:szCs w:val="18"/>
              </w:rPr>
              <w:t>Census Assigned Screener Mode</w:t>
            </w:r>
          </w:p>
        </w:tc>
        <w:tc>
          <w:tcPr>
            <w:tcW w:w="1170" w:type="dxa"/>
            <w:shd w:val="clear" w:color="auto" w:fill="D9D9D9" w:themeFill="background1" w:themeFillShade="D9"/>
          </w:tcPr>
          <w:p w:rsidR="004B137A" w:rsidRPr="00C817B9" w:rsidRDefault="004B137A" w:rsidP="00F767FA">
            <w:pPr>
              <w:keepNext/>
              <w:keepLines/>
              <w:jc w:val="center"/>
              <w:outlineLvl w:val="2"/>
              <w:rPr>
                <w:rFonts w:eastAsiaTheme="majorEastAsia"/>
                <w:bCs/>
                <w:sz w:val="18"/>
                <w:szCs w:val="18"/>
              </w:rPr>
            </w:pPr>
            <w:r w:rsidRPr="00C817B9">
              <w:rPr>
                <w:rFonts w:eastAsiaTheme="majorEastAsia"/>
                <w:bCs/>
                <w:sz w:val="18"/>
                <w:szCs w:val="18"/>
              </w:rPr>
              <w:t>Respondent Choice of Screener Mode</w:t>
            </w:r>
          </w:p>
        </w:tc>
        <w:tc>
          <w:tcPr>
            <w:tcW w:w="1530" w:type="dxa"/>
            <w:shd w:val="clear" w:color="auto" w:fill="D9D9D9" w:themeFill="background1" w:themeFillShade="D9"/>
          </w:tcPr>
          <w:p w:rsidR="004B137A" w:rsidRPr="00C817B9" w:rsidRDefault="004B137A" w:rsidP="00F767FA">
            <w:pPr>
              <w:keepNext/>
              <w:keepLines/>
              <w:jc w:val="center"/>
              <w:outlineLvl w:val="2"/>
              <w:rPr>
                <w:rFonts w:eastAsiaTheme="majorEastAsia"/>
                <w:bCs/>
                <w:sz w:val="18"/>
                <w:szCs w:val="18"/>
              </w:rPr>
            </w:pPr>
            <w:r>
              <w:rPr>
                <w:rFonts w:eastAsiaTheme="majorEastAsia"/>
                <w:bCs/>
                <w:sz w:val="18"/>
                <w:szCs w:val="18"/>
              </w:rPr>
              <w:t xml:space="preserve">Screener Incentive </w:t>
            </w:r>
            <w:r>
              <w:rPr>
                <w:rFonts w:eastAsiaTheme="majorEastAsia"/>
                <w:b/>
                <w:bCs/>
                <w:i/>
                <w:sz w:val="18"/>
                <w:szCs w:val="18"/>
              </w:rPr>
              <w:t xml:space="preserve">Response Rate </w:t>
            </w:r>
            <w:r w:rsidRPr="0077482F">
              <w:rPr>
                <w:rFonts w:eastAsiaTheme="majorEastAsia"/>
                <w:b/>
                <w:bCs/>
                <w:i/>
                <w:sz w:val="18"/>
                <w:szCs w:val="18"/>
              </w:rPr>
              <w:t>%</w:t>
            </w:r>
          </w:p>
        </w:tc>
        <w:tc>
          <w:tcPr>
            <w:tcW w:w="900" w:type="dxa"/>
            <w:shd w:val="clear" w:color="auto" w:fill="D9D9D9" w:themeFill="background1" w:themeFillShade="D9"/>
          </w:tcPr>
          <w:p w:rsidR="004B137A" w:rsidRDefault="004B137A" w:rsidP="00F767FA">
            <w:pPr>
              <w:keepNext/>
              <w:keepLines/>
              <w:jc w:val="center"/>
              <w:outlineLvl w:val="2"/>
              <w:rPr>
                <w:rFonts w:eastAsiaTheme="majorEastAsia"/>
                <w:bCs/>
                <w:sz w:val="18"/>
                <w:szCs w:val="18"/>
              </w:rPr>
            </w:pPr>
            <w:r w:rsidRPr="00C817B9">
              <w:rPr>
                <w:rFonts w:eastAsiaTheme="majorEastAsia"/>
                <w:bCs/>
                <w:sz w:val="18"/>
                <w:szCs w:val="18"/>
              </w:rPr>
              <w:t>Sample  after Screener</w:t>
            </w:r>
          </w:p>
          <w:p w:rsidR="004B137A" w:rsidRPr="00C817B9" w:rsidRDefault="004B137A" w:rsidP="00F767FA">
            <w:pPr>
              <w:keepNext/>
              <w:keepLines/>
              <w:jc w:val="center"/>
              <w:outlineLvl w:val="2"/>
              <w:rPr>
                <w:rFonts w:eastAsiaTheme="majorEastAsia"/>
                <w:bCs/>
                <w:sz w:val="18"/>
                <w:szCs w:val="18"/>
              </w:rPr>
            </w:pPr>
          </w:p>
        </w:tc>
        <w:tc>
          <w:tcPr>
            <w:tcW w:w="900" w:type="dxa"/>
            <w:shd w:val="clear" w:color="auto" w:fill="D9D9D9" w:themeFill="background1" w:themeFillShade="D9"/>
          </w:tcPr>
          <w:p w:rsidR="004B137A" w:rsidRPr="00C817B9" w:rsidRDefault="004B137A" w:rsidP="00F767FA">
            <w:pPr>
              <w:keepNext/>
              <w:keepLines/>
              <w:jc w:val="center"/>
              <w:outlineLvl w:val="2"/>
              <w:rPr>
                <w:rFonts w:eastAsiaTheme="majorEastAsia"/>
                <w:bCs/>
                <w:sz w:val="18"/>
                <w:szCs w:val="18"/>
              </w:rPr>
            </w:pPr>
            <w:r w:rsidRPr="00C817B9">
              <w:rPr>
                <w:rFonts w:eastAsiaTheme="majorEastAsia"/>
                <w:bCs/>
                <w:sz w:val="18"/>
                <w:szCs w:val="18"/>
              </w:rPr>
              <w:t>Sample Eligible for Topical (40%)</w:t>
            </w:r>
            <w:r>
              <w:rPr>
                <w:rStyle w:val="FootnoteReference"/>
                <w:rFonts w:eastAsiaTheme="majorEastAsia"/>
                <w:bCs/>
                <w:sz w:val="18"/>
                <w:szCs w:val="18"/>
              </w:rPr>
              <w:footnoteReference w:id="3"/>
            </w:r>
          </w:p>
        </w:tc>
        <w:tc>
          <w:tcPr>
            <w:tcW w:w="1620" w:type="dxa"/>
            <w:shd w:val="clear" w:color="auto" w:fill="D9D9D9" w:themeFill="background1" w:themeFillShade="D9"/>
          </w:tcPr>
          <w:p w:rsidR="004B137A" w:rsidRDefault="004B137A" w:rsidP="00F767FA">
            <w:pPr>
              <w:keepNext/>
              <w:keepLines/>
              <w:jc w:val="center"/>
              <w:outlineLvl w:val="2"/>
              <w:rPr>
                <w:rFonts w:eastAsiaTheme="majorEastAsia"/>
                <w:bCs/>
                <w:sz w:val="18"/>
                <w:szCs w:val="18"/>
              </w:rPr>
            </w:pPr>
            <w:r>
              <w:rPr>
                <w:rFonts w:eastAsiaTheme="majorEastAsia"/>
                <w:bCs/>
                <w:sz w:val="18"/>
                <w:szCs w:val="18"/>
              </w:rPr>
              <w:t>% Topical Incentive</w:t>
            </w:r>
            <w:r>
              <w:rPr>
                <w:rStyle w:val="FootnoteReference"/>
                <w:rFonts w:eastAsiaTheme="majorEastAsia"/>
                <w:bCs/>
                <w:sz w:val="18"/>
                <w:szCs w:val="18"/>
              </w:rPr>
              <w:footnoteReference w:id="4"/>
            </w:r>
            <w:r>
              <w:rPr>
                <w:rFonts w:eastAsiaTheme="majorEastAsia"/>
                <w:bCs/>
                <w:sz w:val="18"/>
                <w:szCs w:val="18"/>
              </w:rPr>
              <w:t>: sample</w:t>
            </w:r>
          </w:p>
          <w:p w:rsidR="004B137A" w:rsidRPr="00C817B9" w:rsidRDefault="004B137A" w:rsidP="00F767FA">
            <w:pPr>
              <w:keepNext/>
              <w:keepLines/>
              <w:jc w:val="center"/>
              <w:outlineLvl w:val="2"/>
              <w:rPr>
                <w:rFonts w:eastAsiaTheme="majorEastAsia"/>
                <w:bCs/>
                <w:sz w:val="18"/>
                <w:szCs w:val="18"/>
              </w:rPr>
            </w:pPr>
            <w:r w:rsidRPr="0077482F">
              <w:rPr>
                <w:rFonts w:eastAsiaTheme="majorEastAsia"/>
                <w:b/>
                <w:bCs/>
                <w:i/>
                <w:sz w:val="18"/>
                <w:szCs w:val="18"/>
              </w:rPr>
              <w:t xml:space="preserve">Response Rate </w:t>
            </w:r>
            <w:r w:rsidRPr="00906E76">
              <w:rPr>
                <w:rFonts w:eastAsiaTheme="majorEastAsia"/>
                <w:b/>
                <w:bCs/>
                <w:i/>
                <w:sz w:val="18"/>
                <w:szCs w:val="18"/>
              </w:rPr>
              <w:t>%</w:t>
            </w:r>
          </w:p>
        </w:tc>
        <w:tc>
          <w:tcPr>
            <w:tcW w:w="810" w:type="dxa"/>
            <w:shd w:val="clear" w:color="auto" w:fill="D9D9D9" w:themeFill="background1" w:themeFillShade="D9"/>
          </w:tcPr>
          <w:p w:rsidR="004B137A" w:rsidRPr="00C817B9" w:rsidRDefault="004B137A" w:rsidP="00F767FA">
            <w:pPr>
              <w:keepNext/>
              <w:keepLines/>
              <w:jc w:val="center"/>
              <w:outlineLvl w:val="2"/>
              <w:rPr>
                <w:rFonts w:eastAsiaTheme="majorEastAsia"/>
                <w:bCs/>
                <w:sz w:val="18"/>
                <w:szCs w:val="18"/>
              </w:rPr>
            </w:pPr>
            <w:r>
              <w:rPr>
                <w:rFonts w:eastAsiaTheme="majorEastAsia"/>
                <w:bCs/>
                <w:sz w:val="18"/>
                <w:szCs w:val="18"/>
              </w:rPr>
              <w:t>Sample after Topical</w:t>
            </w:r>
          </w:p>
        </w:tc>
        <w:tc>
          <w:tcPr>
            <w:tcW w:w="1080" w:type="dxa"/>
            <w:shd w:val="clear" w:color="auto" w:fill="D9D9D9" w:themeFill="background1" w:themeFillShade="D9"/>
          </w:tcPr>
          <w:p w:rsidR="004B137A" w:rsidRPr="00C817B9" w:rsidRDefault="004B137A" w:rsidP="00F767FA">
            <w:pPr>
              <w:keepNext/>
              <w:keepLines/>
              <w:jc w:val="center"/>
              <w:outlineLvl w:val="2"/>
              <w:rPr>
                <w:rFonts w:eastAsiaTheme="majorEastAsia"/>
                <w:bCs/>
                <w:sz w:val="18"/>
                <w:szCs w:val="18"/>
              </w:rPr>
            </w:pPr>
            <w:r>
              <w:rPr>
                <w:rFonts w:eastAsiaTheme="majorEastAsia"/>
                <w:bCs/>
                <w:sz w:val="18"/>
                <w:szCs w:val="18"/>
              </w:rPr>
              <w:t>Treatme</w:t>
            </w:r>
            <w:r w:rsidRPr="00C817B9">
              <w:rPr>
                <w:rFonts w:eastAsiaTheme="majorEastAsia"/>
                <w:bCs/>
                <w:sz w:val="18"/>
                <w:szCs w:val="18"/>
              </w:rPr>
              <w:t>nt Group</w:t>
            </w:r>
          </w:p>
        </w:tc>
      </w:tr>
      <w:tr w:rsidR="004B137A" w:rsidTr="00F767FA">
        <w:trPr>
          <w:trHeight w:val="790"/>
        </w:trPr>
        <w:tc>
          <w:tcPr>
            <w:tcW w:w="1080" w:type="dxa"/>
            <w:vMerge w:val="restart"/>
            <w:shd w:val="clear" w:color="auto" w:fill="FFFFFF" w:themeFill="background1"/>
            <w:vAlign w:val="center"/>
          </w:tcPr>
          <w:p w:rsidR="004B137A" w:rsidRDefault="004B137A" w:rsidP="00F767FA">
            <w:pPr>
              <w:keepNext/>
              <w:keepLines/>
              <w:shd w:val="clear" w:color="auto" w:fill="FFFFFF" w:themeFill="background1"/>
              <w:outlineLvl w:val="2"/>
              <w:rPr>
                <w:rFonts w:eastAsiaTheme="majorEastAsia"/>
                <w:b/>
                <w:bCs/>
                <w:sz w:val="22"/>
                <w:szCs w:val="22"/>
              </w:rPr>
            </w:pPr>
            <w:r>
              <w:rPr>
                <w:rFonts w:eastAsiaTheme="majorEastAsia"/>
                <w:b/>
                <w:bCs/>
                <w:sz w:val="22"/>
                <w:szCs w:val="22"/>
              </w:rPr>
              <w:t xml:space="preserve">   </w:t>
            </w:r>
            <w:r w:rsidRPr="00806F7D">
              <w:rPr>
                <w:rFonts w:eastAsiaTheme="majorEastAsia"/>
                <w:b/>
                <w:bCs/>
                <w:sz w:val="22"/>
                <w:szCs w:val="22"/>
              </w:rPr>
              <w:t>16,000</w:t>
            </w:r>
          </w:p>
          <w:p w:rsidR="004B137A" w:rsidRPr="00806F7D" w:rsidRDefault="004B137A" w:rsidP="00F767FA">
            <w:pPr>
              <w:keepNext/>
              <w:keepLines/>
              <w:shd w:val="clear" w:color="auto" w:fill="FFFFFF" w:themeFill="background1"/>
              <w:jc w:val="center"/>
              <w:outlineLvl w:val="2"/>
              <w:rPr>
                <w:rFonts w:eastAsiaTheme="majorEastAsia"/>
                <w:b/>
                <w:bCs/>
                <w:sz w:val="22"/>
                <w:szCs w:val="22"/>
              </w:rPr>
            </w:pPr>
          </w:p>
          <w:p w:rsidR="004B137A" w:rsidRDefault="004B137A" w:rsidP="00F767FA">
            <w:pPr>
              <w:keepNext/>
              <w:keepLines/>
              <w:shd w:val="clear" w:color="auto" w:fill="FFFFFF" w:themeFill="background1"/>
              <w:spacing w:after="200"/>
              <w:jc w:val="center"/>
              <w:outlineLvl w:val="2"/>
              <w:rPr>
                <w:rFonts w:eastAsiaTheme="majorEastAsia"/>
                <w:bCs/>
                <w:sz w:val="18"/>
                <w:szCs w:val="18"/>
              </w:rPr>
            </w:pPr>
            <w:r>
              <w:rPr>
                <w:rFonts w:eastAsiaTheme="majorEastAsia"/>
                <w:bCs/>
                <w:sz w:val="18"/>
                <w:szCs w:val="18"/>
              </w:rPr>
              <w:t>S1: 4,000</w:t>
            </w:r>
          </w:p>
          <w:p w:rsidR="004B137A" w:rsidRDefault="004B137A" w:rsidP="00F767FA">
            <w:pPr>
              <w:keepNext/>
              <w:keepLines/>
              <w:shd w:val="clear" w:color="auto" w:fill="FFFFFF" w:themeFill="background1"/>
              <w:spacing w:after="200"/>
              <w:jc w:val="center"/>
              <w:outlineLvl w:val="2"/>
              <w:rPr>
                <w:rFonts w:eastAsiaTheme="majorEastAsia"/>
                <w:bCs/>
                <w:sz w:val="18"/>
                <w:szCs w:val="18"/>
              </w:rPr>
            </w:pPr>
            <w:r>
              <w:rPr>
                <w:rFonts w:eastAsiaTheme="majorEastAsia"/>
                <w:bCs/>
                <w:sz w:val="18"/>
                <w:szCs w:val="18"/>
              </w:rPr>
              <w:t>S2: 4,000</w:t>
            </w:r>
          </w:p>
          <w:p w:rsidR="004B137A" w:rsidRDefault="004B137A" w:rsidP="00F767FA">
            <w:pPr>
              <w:keepNext/>
              <w:keepLines/>
              <w:shd w:val="clear" w:color="auto" w:fill="FFFFFF" w:themeFill="background1"/>
              <w:spacing w:after="200"/>
              <w:jc w:val="center"/>
              <w:outlineLvl w:val="2"/>
              <w:rPr>
                <w:rFonts w:eastAsiaTheme="majorEastAsia"/>
                <w:bCs/>
                <w:sz w:val="18"/>
                <w:szCs w:val="18"/>
              </w:rPr>
            </w:pPr>
            <w:r>
              <w:rPr>
                <w:rFonts w:eastAsiaTheme="majorEastAsia"/>
                <w:bCs/>
                <w:sz w:val="18"/>
                <w:szCs w:val="18"/>
              </w:rPr>
              <w:t>S3: 4,000</w:t>
            </w:r>
          </w:p>
          <w:p w:rsidR="004B137A" w:rsidRPr="00A327CF" w:rsidRDefault="004B137A" w:rsidP="00F767FA">
            <w:pPr>
              <w:keepNext/>
              <w:keepLines/>
              <w:shd w:val="clear" w:color="auto" w:fill="FFFFFF" w:themeFill="background1"/>
              <w:spacing w:after="200"/>
              <w:jc w:val="center"/>
              <w:outlineLvl w:val="2"/>
              <w:rPr>
                <w:rFonts w:eastAsiaTheme="majorEastAsia"/>
                <w:bCs/>
                <w:sz w:val="18"/>
                <w:szCs w:val="18"/>
              </w:rPr>
            </w:pPr>
            <w:r>
              <w:rPr>
                <w:rFonts w:eastAsiaTheme="majorEastAsia"/>
                <w:bCs/>
                <w:sz w:val="18"/>
                <w:szCs w:val="18"/>
              </w:rPr>
              <w:t xml:space="preserve">S4: </w:t>
            </w:r>
            <w:r w:rsidRPr="00A327CF">
              <w:rPr>
                <w:rFonts w:eastAsiaTheme="majorEastAsia"/>
                <w:bCs/>
                <w:sz w:val="18"/>
                <w:szCs w:val="18"/>
              </w:rPr>
              <w:t>4,000</w:t>
            </w:r>
          </w:p>
        </w:tc>
        <w:tc>
          <w:tcPr>
            <w:tcW w:w="810" w:type="dxa"/>
            <w:vMerge w:val="restart"/>
            <w:shd w:val="clear" w:color="auto" w:fill="FFFFFF" w:themeFill="background1"/>
            <w:vAlign w:val="center"/>
          </w:tcPr>
          <w:p w:rsidR="004B137A" w:rsidRPr="00C817B9" w:rsidRDefault="004B137A" w:rsidP="00F767FA">
            <w:pPr>
              <w:keepNext/>
              <w:keepLines/>
              <w:spacing w:after="200"/>
              <w:jc w:val="center"/>
              <w:outlineLvl w:val="2"/>
              <w:rPr>
                <w:rFonts w:eastAsiaTheme="majorEastAsia"/>
                <w:bCs/>
                <w:sz w:val="18"/>
                <w:szCs w:val="18"/>
              </w:rPr>
            </w:pPr>
            <w:r w:rsidRPr="00C817B9">
              <w:rPr>
                <w:rFonts w:eastAsiaTheme="majorEastAsia"/>
                <w:bCs/>
                <w:sz w:val="18"/>
                <w:szCs w:val="18"/>
              </w:rPr>
              <w:t>14,240</w:t>
            </w:r>
          </w:p>
        </w:tc>
        <w:tc>
          <w:tcPr>
            <w:tcW w:w="2250" w:type="dxa"/>
            <w:gridSpan w:val="2"/>
            <w:shd w:val="clear" w:color="auto" w:fill="FFFFFF" w:themeFill="background1"/>
            <w:vAlign w:val="center"/>
          </w:tcPr>
          <w:p w:rsidR="004B137A" w:rsidRPr="00C817B9" w:rsidRDefault="004B137A" w:rsidP="00F767FA">
            <w:pPr>
              <w:keepNext/>
              <w:keepLines/>
              <w:jc w:val="center"/>
              <w:outlineLvl w:val="2"/>
              <w:rPr>
                <w:rFonts w:eastAsiaTheme="majorEastAsia"/>
                <w:bCs/>
                <w:sz w:val="18"/>
                <w:szCs w:val="18"/>
              </w:rPr>
            </w:pPr>
            <w:r w:rsidRPr="00C817B9">
              <w:rPr>
                <w:rFonts w:eastAsiaTheme="majorEastAsia"/>
                <w:bCs/>
                <w:sz w:val="18"/>
                <w:szCs w:val="18"/>
              </w:rPr>
              <w:t>50% Mail: 7,120</w:t>
            </w:r>
          </w:p>
        </w:tc>
        <w:tc>
          <w:tcPr>
            <w:tcW w:w="1530" w:type="dxa"/>
            <w:shd w:val="clear" w:color="auto" w:fill="FFFFFF" w:themeFill="background1"/>
            <w:vAlign w:val="center"/>
          </w:tcPr>
          <w:p w:rsidR="004B137A" w:rsidRDefault="004B137A" w:rsidP="00F767FA">
            <w:pPr>
              <w:keepNext/>
              <w:keepLines/>
              <w:jc w:val="center"/>
              <w:outlineLvl w:val="2"/>
              <w:rPr>
                <w:rFonts w:eastAsiaTheme="majorEastAsia"/>
                <w:bCs/>
                <w:sz w:val="18"/>
                <w:szCs w:val="18"/>
              </w:rPr>
            </w:pPr>
            <w:r>
              <w:rPr>
                <w:rFonts w:eastAsiaTheme="majorEastAsia"/>
                <w:bCs/>
                <w:sz w:val="18"/>
                <w:szCs w:val="18"/>
              </w:rPr>
              <w:t>100% $5: 7,120</w:t>
            </w:r>
          </w:p>
          <w:p w:rsidR="004B137A" w:rsidRPr="00C817B9" w:rsidRDefault="004B137A" w:rsidP="00F767FA">
            <w:pPr>
              <w:keepNext/>
              <w:keepLines/>
              <w:jc w:val="center"/>
              <w:outlineLvl w:val="2"/>
              <w:rPr>
                <w:rFonts w:eastAsiaTheme="majorEastAsia"/>
                <w:bCs/>
                <w:sz w:val="18"/>
                <w:szCs w:val="18"/>
              </w:rPr>
            </w:pPr>
            <w:r w:rsidRPr="0077482F">
              <w:rPr>
                <w:rFonts w:eastAsiaTheme="majorEastAsia"/>
                <w:b/>
                <w:bCs/>
                <w:i/>
                <w:sz w:val="18"/>
                <w:szCs w:val="18"/>
              </w:rPr>
              <w:t>70%</w:t>
            </w:r>
          </w:p>
        </w:tc>
        <w:tc>
          <w:tcPr>
            <w:tcW w:w="900" w:type="dxa"/>
            <w:shd w:val="clear" w:color="auto" w:fill="FFFFFF" w:themeFill="background1"/>
            <w:vAlign w:val="center"/>
          </w:tcPr>
          <w:p w:rsidR="004B137A" w:rsidRPr="00C817B9" w:rsidRDefault="004B137A" w:rsidP="00F767FA">
            <w:pPr>
              <w:keepNext/>
              <w:keepLines/>
              <w:jc w:val="center"/>
              <w:outlineLvl w:val="2"/>
              <w:rPr>
                <w:rFonts w:eastAsiaTheme="majorEastAsia"/>
                <w:bCs/>
                <w:sz w:val="18"/>
                <w:szCs w:val="18"/>
              </w:rPr>
            </w:pPr>
            <w:r w:rsidRPr="00C817B9">
              <w:rPr>
                <w:rFonts w:eastAsiaTheme="majorEastAsia"/>
                <w:bCs/>
                <w:sz w:val="18"/>
                <w:szCs w:val="18"/>
              </w:rPr>
              <w:t>4,984</w:t>
            </w:r>
          </w:p>
        </w:tc>
        <w:tc>
          <w:tcPr>
            <w:tcW w:w="900" w:type="dxa"/>
            <w:shd w:val="clear" w:color="auto" w:fill="FFFFFF" w:themeFill="background1"/>
            <w:vAlign w:val="center"/>
          </w:tcPr>
          <w:p w:rsidR="004B137A" w:rsidRPr="00C817B9" w:rsidRDefault="004B137A" w:rsidP="00F767FA">
            <w:pPr>
              <w:keepNext/>
              <w:keepLines/>
              <w:jc w:val="center"/>
              <w:outlineLvl w:val="2"/>
              <w:rPr>
                <w:rFonts w:eastAsiaTheme="majorEastAsia"/>
                <w:bCs/>
                <w:sz w:val="18"/>
                <w:szCs w:val="18"/>
              </w:rPr>
            </w:pPr>
            <w:r w:rsidRPr="00C817B9">
              <w:rPr>
                <w:rFonts w:eastAsiaTheme="majorEastAsia"/>
                <w:bCs/>
                <w:sz w:val="18"/>
                <w:szCs w:val="18"/>
              </w:rPr>
              <w:t>1,994</w:t>
            </w:r>
          </w:p>
        </w:tc>
        <w:tc>
          <w:tcPr>
            <w:tcW w:w="1620" w:type="dxa"/>
            <w:shd w:val="clear" w:color="auto" w:fill="FFFFFF" w:themeFill="background1"/>
            <w:vAlign w:val="center"/>
          </w:tcPr>
          <w:p w:rsidR="004B137A" w:rsidRDefault="004B137A" w:rsidP="00F767FA">
            <w:pPr>
              <w:keepNext/>
              <w:keepLines/>
              <w:jc w:val="center"/>
              <w:outlineLvl w:val="2"/>
              <w:rPr>
                <w:rFonts w:eastAsiaTheme="majorEastAsia"/>
                <w:bCs/>
                <w:sz w:val="18"/>
                <w:szCs w:val="18"/>
              </w:rPr>
            </w:pPr>
            <w:r>
              <w:rPr>
                <w:rFonts w:eastAsiaTheme="majorEastAsia"/>
                <w:bCs/>
                <w:sz w:val="18"/>
                <w:szCs w:val="18"/>
              </w:rPr>
              <w:t>100%</w:t>
            </w:r>
          </w:p>
          <w:p w:rsidR="004B137A" w:rsidRDefault="004B137A" w:rsidP="00F767FA">
            <w:pPr>
              <w:keepNext/>
              <w:keepLines/>
              <w:jc w:val="center"/>
              <w:outlineLvl w:val="2"/>
              <w:rPr>
                <w:rFonts w:eastAsiaTheme="majorEastAsia"/>
                <w:bCs/>
                <w:sz w:val="18"/>
                <w:szCs w:val="18"/>
              </w:rPr>
            </w:pPr>
            <w:r>
              <w:rPr>
                <w:rFonts w:eastAsiaTheme="majorEastAsia"/>
                <w:bCs/>
                <w:sz w:val="18"/>
                <w:szCs w:val="18"/>
              </w:rPr>
              <w:t>$5: 1,994</w:t>
            </w:r>
          </w:p>
          <w:p w:rsidR="004B137A" w:rsidRPr="00F838D5" w:rsidRDefault="004B137A" w:rsidP="00F767FA">
            <w:pPr>
              <w:keepNext/>
              <w:keepLines/>
              <w:jc w:val="center"/>
              <w:outlineLvl w:val="2"/>
              <w:rPr>
                <w:rFonts w:eastAsiaTheme="majorEastAsia"/>
                <w:b/>
                <w:bCs/>
                <w:i/>
                <w:sz w:val="18"/>
                <w:szCs w:val="18"/>
              </w:rPr>
            </w:pPr>
            <w:r w:rsidRPr="00F838D5">
              <w:rPr>
                <w:rFonts w:eastAsiaTheme="majorEastAsia"/>
                <w:b/>
                <w:bCs/>
                <w:i/>
                <w:sz w:val="18"/>
                <w:szCs w:val="18"/>
              </w:rPr>
              <w:t>70%</w:t>
            </w:r>
          </w:p>
        </w:tc>
        <w:tc>
          <w:tcPr>
            <w:tcW w:w="810" w:type="dxa"/>
            <w:shd w:val="clear" w:color="auto" w:fill="FFFFFF" w:themeFill="background1"/>
            <w:vAlign w:val="center"/>
          </w:tcPr>
          <w:p w:rsidR="004B137A" w:rsidRPr="00C817B9" w:rsidRDefault="004B137A" w:rsidP="00F767FA">
            <w:pPr>
              <w:keepNext/>
              <w:keepLines/>
              <w:jc w:val="center"/>
              <w:outlineLvl w:val="2"/>
              <w:rPr>
                <w:rFonts w:eastAsiaTheme="majorEastAsia"/>
                <w:bCs/>
                <w:sz w:val="18"/>
                <w:szCs w:val="18"/>
              </w:rPr>
            </w:pPr>
            <w:r>
              <w:rPr>
                <w:rFonts w:eastAsiaTheme="majorEastAsia"/>
                <w:bCs/>
                <w:sz w:val="18"/>
                <w:szCs w:val="18"/>
              </w:rPr>
              <w:t>1,396</w:t>
            </w:r>
          </w:p>
        </w:tc>
        <w:tc>
          <w:tcPr>
            <w:tcW w:w="1080" w:type="dxa"/>
            <w:shd w:val="clear" w:color="auto" w:fill="FFFFFF" w:themeFill="background1"/>
            <w:vAlign w:val="center"/>
          </w:tcPr>
          <w:p w:rsidR="004B137A" w:rsidRPr="00C817B9" w:rsidRDefault="004B137A" w:rsidP="00F767FA">
            <w:pPr>
              <w:keepNext/>
              <w:keepLines/>
              <w:outlineLvl w:val="2"/>
              <w:rPr>
                <w:rFonts w:eastAsiaTheme="majorEastAsia"/>
                <w:bCs/>
                <w:sz w:val="18"/>
                <w:szCs w:val="18"/>
              </w:rPr>
            </w:pPr>
            <w:r>
              <w:rPr>
                <w:rFonts w:eastAsiaTheme="majorEastAsia"/>
                <w:bCs/>
                <w:sz w:val="18"/>
                <w:szCs w:val="18"/>
              </w:rPr>
              <w:t xml:space="preserve">        1</w:t>
            </w:r>
          </w:p>
        </w:tc>
      </w:tr>
      <w:tr w:rsidR="004B137A" w:rsidTr="00F767FA">
        <w:trPr>
          <w:trHeight w:val="520"/>
        </w:trPr>
        <w:tc>
          <w:tcPr>
            <w:tcW w:w="1080" w:type="dxa"/>
            <w:vMerge/>
            <w:shd w:val="clear" w:color="auto" w:fill="FFFFFF" w:themeFill="background1"/>
            <w:vAlign w:val="center"/>
          </w:tcPr>
          <w:p w:rsidR="004B137A" w:rsidRPr="00C817B9" w:rsidRDefault="004B137A" w:rsidP="00F767FA">
            <w:pPr>
              <w:keepNext/>
              <w:keepLines/>
              <w:spacing w:after="200"/>
              <w:jc w:val="center"/>
              <w:outlineLvl w:val="2"/>
              <w:rPr>
                <w:rFonts w:eastAsiaTheme="majorEastAsia"/>
                <w:bCs/>
                <w:sz w:val="18"/>
                <w:szCs w:val="18"/>
              </w:rPr>
            </w:pPr>
          </w:p>
        </w:tc>
        <w:tc>
          <w:tcPr>
            <w:tcW w:w="810" w:type="dxa"/>
            <w:vMerge/>
            <w:shd w:val="clear" w:color="auto" w:fill="FFFFFF" w:themeFill="background1"/>
          </w:tcPr>
          <w:p w:rsidR="004B137A" w:rsidRPr="00C817B9" w:rsidRDefault="004B137A" w:rsidP="00F767FA">
            <w:pPr>
              <w:keepNext/>
              <w:keepLines/>
              <w:spacing w:after="200"/>
              <w:outlineLvl w:val="2"/>
              <w:rPr>
                <w:rFonts w:eastAsiaTheme="majorEastAsia"/>
                <w:bCs/>
                <w:sz w:val="18"/>
                <w:szCs w:val="18"/>
              </w:rPr>
            </w:pPr>
          </w:p>
        </w:tc>
        <w:tc>
          <w:tcPr>
            <w:tcW w:w="1080" w:type="dxa"/>
            <w:vMerge w:val="restart"/>
            <w:shd w:val="clear" w:color="auto" w:fill="FFFFFF" w:themeFill="background1"/>
            <w:vAlign w:val="center"/>
          </w:tcPr>
          <w:p w:rsidR="004B137A" w:rsidRDefault="004B137A" w:rsidP="00F767FA">
            <w:pPr>
              <w:keepNext/>
              <w:keepLines/>
              <w:jc w:val="center"/>
              <w:outlineLvl w:val="2"/>
              <w:rPr>
                <w:rFonts w:eastAsiaTheme="majorEastAsia"/>
                <w:bCs/>
                <w:sz w:val="18"/>
                <w:szCs w:val="18"/>
              </w:rPr>
            </w:pPr>
            <w:r>
              <w:rPr>
                <w:rFonts w:eastAsiaTheme="majorEastAsia"/>
                <w:bCs/>
                <w:sz w:val="18"/>
                <w:szCs w:val="18"/>
              </w:rPr>
              <w:t>50% Web Push+Mail:</w:t>
            </w:r>
          </w:p>
          <w:p w:rsidR="004B137A" w:rsidRPr="00C817B9" w:rsidRDefault="004B137A" w:rsidP="00F767FA">
            <w:pPr>
              <w:keepNext/>
              <w:keepLines/>
              <w:spacing w:after="200"/>
              <w:jc w:val="center"/>
              <w:outlineLvl w:val="2"/>
              <w:rPr>
                <w:rFonts w:eastAsiaTheme="majorEastAsia"/>
                <w:bCs/>
                <w:sz w:val="18"/>
                <w:szCs w:val="18"/>
              </w:rPr>
            </w:pPr>
            <w:r w:rsidRPr="00C817B9">
              <w:rPr>
                <w:rFonts w:eastAsiaTheme="majorEastAsia"/>
                <w:bCs/>
                <w:sz w:val="18"/>
                <w:szCs w:val="18"/>
              </w:rPr>
              <w:t>7,120</w:t>
            </w:r>
          </w:p>
        </w:tc>
        <w:tc>
          <w:tcPr>
            <w:tcW w:w="1170" w:type="dxa"/>
            <w:vMerge w:val="restart"/>
            <w:shd w:val="clear" w:color="auto" w:fill="FFFFFF" w:themeFill="background1"/>
            <w:vAlign w:val="center"/>
          </w:tcPr>
          <w:p w:rsidR="004B137A" w:rsidRPr="00C817B9" w:rsidRDefault="004B137A" w:rsidP="00F767FA">
            <w:pPr>
              <w:keepNext/>
              <w:keepLines/>
              <w:jc w:val="center"/>
              <w:outlineLvl w:val="2"/>
              <w:rPr>
                <w:rFonts w:eastAsiaTheme="majorEastAsia"/>
                <w:bCs/>
                <w:sz w:val="18"/>
                <w:szCs w:val="18"/>
              </w:rPr>
            </w:pPr>
            <w:r>
              <w:rPr>
                <w:rFonts w:eastAsiaTheme="majorEastAsia"/>
                <w:bCs/>
                <w:sz w:val="18"/>
                <w:szCs w:val="18"/>
              </w:rPr>
              <w:t>55</w:t>
            </w:r>
            <w:r w:rsidRPr="00C817B9">
              <w:rPr>
                <w:rFonts w:eastAsiaTheme="majorEastAsia"/>
                <w:bCs/>
                <w:sz w:val="18"/>
                <w:szCs w:val="18"/>
              </w:rPr>
              <w:t xml:space="preserve">% Web:                                                                                                                                                                                                                                                                                                                                                                                                                                                                                                                                                                                                                                                                                                                                                                                                                                                                                                                                                                                                                                                                                   </w:t>
            </w:r>
            <w:r>
              <w:rPr>
                <w:rFonts w:eastAsiaTheme="majorEastAsia"/>
                <w:bCs/>
                <w:sz w:val="18"/>
                <w:szCs w:val="18"/>
              </w:rPr>
              <w:t>3,916</w:t>
            </w:r>
          </w:p>
        </w:tc>
        <w:tc>
          <w:tcPr>
            <w:tcW w:w="1530" w:type="dxa"/>
            <w:shd w:val="clear" w:color="auto" w:fill="FFFFFF" w:themeFill="background1"/>
            <w:vAlign w:val="center"/>
          </w:tcPr>
          <w:p w:rsidR="004B137A" w:rsidRDefault="004B137A" w:rsidP="00F767FA">
            <w:pPr>
              <w:keepNext/>
              <w:keepLines/>
              <w:jc w:val="center"/>
              <w:outlineLvl w:val="2"/>
              <w:rPr>
                <w:rFonts w:eastAsiaTheme="majorEastAsia"/>
                <w:bCs/>
                <w:sz w:val="18"/>
                <w:szCs w:val="18"/>
              </w:rPr>
            </w:pPr>
            <w:r>
              <w:rPr>
                <w:rFonts w:eastAsiaTheme="majorEastAsia"/>
                <w:bCs/>
                <w:sz w:val="18"/>
                <w:szCs w:val="18"/>
              </w:rPr>
              <w:t xml:space="preserve">50% </w:t>
            </w:r>
            <w:r w:rsidRPr="00C817B9">
              <w:rPr>
                <w:rFonts w:eastAsiaTheme="majorEastAsia"/>
                <w:bCs/>
                <w:sz w:val="18"/>
                <w:szCs w:val="18"/>
              </w:rPr>
              <w:t>$5</w:t>
            </w:r>
            <w:r>
              <w:rPr>
                <w:rFonts w:eastAsiaTheme="majorEastAsia"/>
                <w:bCs/>
                <w:sz w:val="18"/>
                <w:szCs w:val="18"/>
              </w:rPr>
              <w:t>: 1,958</w:t>
            </w:r>
          </w:p>
          <w:p w:rsidR="004B137A" w:rsidRPr="00C817B9" w:rsidRDefault="004B137A" w:rsidP="00F767FA">
            <w:pPr>
              <w:keepNext/>
              <w:keepLines/>
              <w:jc w:val="center"/>
              <w:outlineLvl w:val="2"/>
              <w:rPr>
                <w:rFonts w:eastAsiaTheme="majorEastAsia"/>
                <w:bCs/>
                <w:sz w:val="18"/>
                <w:szCs w:val="18"/>
              </w:rPr>
            </w:pPr>
            <w:r>
              <w:rPr>
                <w:rFonts w:eastAsiaTheme="majorEastAsia"/>
                <w:b/>
                <w:bCs/>
                <w:i/>
                <w:sz w:val="18"/>
                <w:szCs w:val="18"/>
              </w:rPr>
              <w:t>66</w:t>
            </w:r>
            <w:r w:rsidRPr="0077482F">
              <w:rPr>
                <w:rFonts w:eastAsiaTheme="majorEastAsia"/>
                <w:b/>
                <w:bCs/>
                <w:i/>
                <w:sz w:val="18"/>
                <w:szCs w:val="18"/>
              </w:rPr>
              <w:t>%</w:t>
            </w:r>
          </w:p>
        </w:tc>
        <w:tc>
          <w:tcPr>
            <w:tcW w:w="900" w:type="dxa"/>
            <w:shd w:val="clear" w:color="auto" w:fill="FFFFFF" w:themeFill="background1"/>
            <w:vAlign w:val="center"/>
          </w:tcPr>
          <w:p w:rsidR="004B137A" w:rsidRPr="00C817B9" w:rsidRDefault="004B137A" w:rsidP="00F767FA">
            <w:pPr>
              <w:keepNext/>
              <w:keepLines/>
              <w:jc w:val="center"/>
              <w:outlineLvl w:val="2"/>
              <w:rPr>
                <w:rFonts w:eastAsiaTheme="majorEastAsia"/>
                <w:bCs/>
                <w:sz w:val="18"/>
                <w:szCs w:val="18"/>
              </w:rPr>
            </w:pPr>
            <w:r>
              <w:rPr>
                <w:rFonts w:eastAsiaTheme="majorEastAsia"/>
                <w:bCs/>
                <w:sz w:val="18"/>
                <w:szCs w:val="18"/>
              </w:rPr>
              <w:t>1,292</w:t>
            </w:r>
          </w:p>
        </w:tc>
        <w:tc>
          <w:tcPr>
            <w:tcW w:w="900" w:type="dxa"/>
            <w:shd w:val="clear" w:color="auto" w:fill="FFFFFF" w:themeFill="background1"/>
            <w:vAlign w:val="center"/>
          </w:tcPr>
          <w:p w:rsidR="004B137A" w:rsidRPr="00C817B9" w:rsidRDefault="004B137A" w:rsidP="00F767FA">
            <w:pPr>
              <w:keepNext/>
              <w:keepLines/>
              <w:jc w:val="center"/>
              <w:outlineLvl w:val="2"/>
              <w:rPr>
                <w:rFonts w:eastAsiaTheme="majorEastAsia"/>
                <w:bCs/>
                <w:sz w:val="18"/>
                <w:szCs w:val="18"/>
              </w:rPr>
            </w:pPr>
            <w:r>
              <w:rPr>
                <w:rFonts w:eastAsiaTheme="majorEastAsia"/>
                <w:bCs/>
                <w:sz w:val="18"/>
                <w:szCs w:val="18"/>
              </w:rPr>
              <w:t>517</w:t>
            </w:r>
          </w:p>
        </w:tc>
        <w:tc>
          <w:tcPr>
            <w:tcW w:w="1620" w:type="dxa"/>
            <w:shd w:val="clear" w:color="auto" w:fill="FFFFFF" w:themeFill="background1"/>
            <w:vAlign w:val="center"/>
          </w:tcPr>
          <w:p w:rsidR="004B137A" w:rsidRDefault="004B137A" w:rsidP="00F767FA">
            <w:pPr>
              <w:keepNext/>
              <w:keepLines/>
              <w:jc w:val="center"/>
              <w:outlineLvl w:val="2"/>
              <w:rPr>
                <w:rFonts w:eastAsiaTheme="majorEastAsia"/>
                <w:bCs/>
                <w:sz w:val="18"/>
                <w:szCs w:val="18"/>
              </w:rPr>
            </w:pPr>
            <w:r>
              <w:rPr>
                <w:rFonts w:eastAsiaTheme="majorEastAsia"/>
                <w:bCs/>
                <w:sz w:val="18"/>
                <w:szCs w:val="18"/>
              </w:rPr>
              <w:t xml:space="preserve">100% </w:t>
            </w:r>
          </w:p>
          <w:p w:rsidR="004B137A" w:rsidRDefault="004B137A" w:rsidP="00F767FA">
            <w:pPr>
              <w:keepNext/>
              <w:keepLines/>
              <w:jc w:val="center"/>
              <w:outlineLvl w:val="2"/>
              <w:rPr>
                <w:rFonts w:eastAsiaTheme="majorEastAsia"/>
                <w:bCs/>
                <w:sz w:val="18"/>
                <w:szCs w:val="18"/>
              </w:rPr>
            </w:pPr>
            <w:r>
              <w:rPr>
                <w:rFonts w:eastAsiaTheme="majorEastAsia"/>
                <w:bCs/>
                <w:sz w:val="18"/>
                <w:szCs w:val="18"/>
              </w:rPr>
              <w:t>$0: 517</w:t>
            </w:r>
          </w:p>
          <w:p w:rsidR="004B137A" w:rsidRPr="00C817B9" w:rsidRDefault="004B137A" w:rsidP="00F767FA">
            <w:pPr>
              <w:keepNext/>
              <w:keepLines/>
              <w:jc w:val="center"/>
              <w:outlineLvl w:val="2"/>
              <w:rPr>
                <w:rFonts w:eastAsiaTheme="majorEastAsia"/>
                <w:bCs/>
                <w:sz w:val="18"/>
                <w:szCs w:val="18"/>
              </w:rPr>
            </w:pPr>
            <w:r w:rsidRPr="0077482F">
              <w:rPr>
                <w:rFonts w:eastAsiaTheme="majorEastAsia"/>
                <w:b/>
                <w:bCs/>
                <w:i/>
                <w:sz w:val="18"/>
                <w:szCs w:val="18"/>
              </w:rPr>
              <w:t>95%</w:t>
            </w:r>
          </w:p>
        </w:tc>
        <w:tc>
          <w:tcPr>
            <w:tcW w:w="810" w:type="dxa"/>
            <w:shd w:val="clear" w:color="auto" w:fill="FFFFFF" w:themeFill="background1"/>
            <w:vAlign w:val="center"/>
          </w:tcPr>
          <w:p w:rsidR="004B137A" w:rsidRPr="00C817B9" w:rsidRDefault="004B137A" w:rsidP="00F767FA">
            <w:pPr>
              <w:keepNext/>
              <w:keepLines/>
              <w:jc w:val="center"/>
              <w:outlineLvl w:val="2"/>
              <w:rPr>
                <w:rFonts w:eastAsiaTheme="majorEastAsia"/>
                <w:bCs/>
                <w:sz w:val="18"/>
                <w:szCs w:val="18"/>
              </w:rPr>
            </w:pPr>
            <w:r>
              <w:rPr>
                <w:rFonts w:eastAsiaTheme="majorEastAsia"/>
                <w:bCs/>
                <w:sz w:val="18"/>
                <w:szCs w:val="18"/>
              </w:rPr>
              <w:t>491</w:t>
            </w:r>
          </w:p>
        </w:tc>
        <w:tc>
          <w:tcPr>
            <w:tcW w:w="1080" w:type="dxa"/>
            <w:shd w:val="clear" w:color="auto" w:fill="FFFFFF" w:themeFill="background1"/>
            <w:vAlign w:val="center"/>
          </w:tcPr>
          <w:p w:rsidR="004B137A" w:rsidRPr="00C817B9" w:rsidRDefault="004B137A" w:rsidP="00F767FA">
            <w:pPr>
              <w:keepNext/>
              <w:keepLines/>
              <w:ind w:right="-558"/>
              <w:outlineLvl w:val="2"/>
              <w:rPr>
                <w:rFonts w:eastAsiaTheme="majorEastAsia"/>
                <w:bCs/>
                <w:sz w:val="18"/>
                <w:szCs w:val="18"/>
              </w:rPr>
            </w:pPr>
            <w:r>
              <w:rPr>
                <w:rFonts w:eastAsiaTheme="majorEastAsia"/>
                <w:bCs/>
                <w:sz w:val="18"/>
                <w:szCs w:val="18"/>
              </w:rPr>
              <w:t xml:space="preserve">        2</w:t>
            </w:r>
          </w:p>
        </w:tc>
      </w:tr>
      <w:tr w:rsidR="004B137A" w:rsidTr="00F767FA">
        <w:trPr>
          <w:trHeight w:val="520"/>
        </w:trPr>
        <w:tc>
          <w:tcPr>
            <w:tcW w:w="1080" w:type="dxa"/>
            <w:vMerge/>
            <w:shd w:val="clear" w:color="auto" w:fill="FFFFFF" w:themeFill="background1"/>
            <w:vAlign w:val="center"/>
          </w:tcPr>
          <w:p w:rsidR="004B137A" w:rsidRPr="00C817B9" w:rsidRDefault="004B137A" w:rsidP="00F767FA">
            <w:pPr>
              <w:keepNext/>
              <w:keepLines/>
              <w:spacing w:after="200"/>
              <w:jc w:val="center"/>
              <w:outlineLvl w:val="2"/>
              <w:rPr>
                <w:rFonts w:eastAsiaTheme="majorEastAsia"/>
                <w:bCs/>
                <w:sz w:val="18"/>
                <w:szCs w:val="18"/>
              </w:rPr>
            </w:pPr>
          </w:p>
        </w:tc>
        <w:tc>
          <w:tcPr>
            <w:tcW w:w="810" w:type="dxa"/>
            <w:vMerge/>
            <w:shd w:val="clear" w:color="auto" w:fill="FFFFFF" w:themeFill="background1"/>
          </w:tcPr>
          <w:p w:rsidR="004B137A" w:rsidRPr="00C817B9" w:rsidRDefault="004B137A" w:rsidP="00F767FA">
            <w:pPr>
              <w:keepNext/>
              <w:keepLines/>
              <w:spacing w:after="200"/>
              <w:outlineLvl w:val="2"/>
              <w:rPr>
                <w:rFonts w:eastAsiaTheme="majorEastAsia"/>
                <w:bCs/>
                <w:sz w:val="18"/>
                <w:szCs w:val="18"/>
              </w:rPr>
            </w:pPr>
          </w:p>
        </w:tc>
        <w:tc>
          <w:tcPr>
            <w:tcW w:w="1080" w:type="dxa"/>
            <w:vMerge/>
            <w:shd w:val="clear" w:color="auto" w:fill="FFFFFF" w:themeFill="background1"/>
            <w:vAlign w:val="center"/>
          </w:tcPr>
          <w:p w:rsidR="004B137A" w:rsidRDefault="004B137A" w:rsidP="00F767FA">
            <w:pPr>
              <w:keepNext/>
              <w:keepLines/>
              <w:spacing w:after="200"/>
              <w:jc w:val="center"/>
              <w:outlineLvl w:val="2"/>
              <w:rPr>
                <w:rFonts w:eastAsiaTheme="majorEastAsia"/>
                <w:bCs/>
                <w:sz w:val="18"/>
                <w:szCs w:val="18"/>
              </w:rPr>
            </w:pPr>
          </w:p>
        </w:tc>
        <w:tc>
          <w:tcPr>
            <w:tcW w:w="1170" w:type="dxa"/>
            <w:vMerge/>
            <w:shd w:val="clear" w:color="auto" w:fill="FFFFFF" w:themeFill="background1"/>
            <w:vAlign w:val="center"/>
          </w:tcPr>
          <w:p w:rsidR="004B137A" w:rsidRPr="00C817B9" w:rsidRDefault="004B137A" w:rsidP="00F767FA">
            <w:pPr>
              <w:keepNext/>
              <w:keepLines/>
              <w:spacing w:after="200"/>
              <w:jc w:val="center"/>
              <w:outlineLvl w:val="2"/>
              <w:rPr>
                <w:rFonts w:eastAsiaTheme="majorEastAsia"/>
                <w:bCs/>
                <w:sz w:val="18"/>
                <w:szCs w:val="18"/>
              </w:rPr>
            </w:pPr>
          </w:p>
        </w:tc>
        <w:tc>
          <w:tcPr>
            <w:tcW w:w="1530" w:type="dxa"/>
            <w:shd w:val="clear" w:color="auto" w:fill="FFFFFF" w:themeFill="background1"/>
            <w:vAlign w:val="center"/>
          </w:tcPr>
          <w:p w:rsidR="004B137A" w:rsidRDefault="004B137A" w:rsidP="00F767FA">
            <w:pPr>
              <w:keepNext/>
              <w:keepLines/>
              <w:outlineLvl w:val="2"/>
              <w:rPr>
                <w:sz w:val="18"/>
                <w:szCs w:val="18"/>
              </w:rPr>
            </w:pPr>
            <w:r>
              <w:rPr>
                <w:sz w:val="18"/>
                <w:szCs w:val="18"/>
              </w:rPr>
              <w:t>50% $10: 1,958</w:t>
            </w:r>
          </w:p>
          <w:p w:rsidR="004B137A" w:rsidRPr="0037229A" w:rsidRDefault="004B137A" w:rsidP="00F767FA">
            <w:pPr>
              <w:keepNext/>
              <w:keepLines/>
              <w:jc w:val="center"/>
              <w:outlineLvl w:val="2"/>
              <w:rPr>
                <w:rFonts w:eastAsiaTheme="majorEastAsia"/>
                <w:bCs/>
                <w:sz w:val="18"/>
                <w:szCs w:val="18"/>
              </w:rPr>
            </w:pPr>
            <w:r>
              <w:rPr>
                <w:b/>
                <w:i/>
                <w:sz w:val="18"/>
                <w:szCs w:val="18"/>
              </w:rPr>
              <w:t>70</w:t>
            </w:r>
            <w:r w:rsidRPr="0077482F">
              <w:rPr>
                <w:b/>
                <w:i/>
                <w:sz w:val="18"/>
                <w:szCs w:val="18"/>
              </w:rPr>
              <w:t>%</w:t>
            </w:r>
          </w:p>
        </w:tc>
        <w:tc>
          <w:tcPr>
            <w:tcW w:w="900" w:type="dxa"/>
            <w:shd w:val="clear" w:color="auto" w:fill="FFFFFF" w:themeFill="background1"/>
            <w:vAlign w:val="center"/>
          </w:tcPr>
          <w:p w:rsidR="004B137A" w:rsidRPr="0037229A" w:rsidRDefault="004B137A" w:rsidP="00F767FA">
            <w:pPr>
              <w:keepNext/>
              <w:keepLines/>
              <w:jc w:val="center"/>
              <w:outlineLvl w:val="2"/>
              <w:rPr>
                <w:rFonts w:eastAsiaTheme="majorEastAsia"/>
                <w:bCs/>
                <w:sz w:val="18"/>
                <w:szCs w:val="18"/>
              </w:rPr>
            </w:pPr>
            <w:r>
              <w:rPr>
                <w:sz w:val="18"/>
                <w:szCs w:val="18"/>
              </w:rPr>
              <w:t>1,371</w:t>
            </w:r>
          </w:p>
        </w:tc>
        <w:tc>
          <w:tcPr>
            <w:tcW w:w="900" w:type="dxa"/>
            <w:shd w:val="clear" w:color="auto" w:fill="FFFFFF" w:themeFill="background1"/>
            <w:vAlign w:val="center"/>
          </w:tcPr>
          <w:p w:rsidR="004B137A" w:rsidRPr="0037229A" w:rsidRDefault="004B137A" w:rsidP="00F767FA">
            <w:pPr>
              <w:keepNext/>
              <w:keepLines/>
              <w:jc w:val="center"/>
              <w:outlineLvl w:val="2"/>
              <w:rPr>
                <w:rFonts w:eastAsiaTheme="majorEastAsia"/>
                <w:bCs/>
                <w:sz w:val="18"/>
                <w:szCs w:val="18"/>
              </w:rPr>
            </w:pPr>
            <w:r>
              <w:rPr>
                <w:sz w:val="18"/>
                <w:szCs w:val="18"/>
              </w:rPr>
              <w:t>548</w:t>
            </w:r>
          </w:p>
        </w:tc>
        <w:tc>
          <w:tcPr>
            <w:tcW w:w="1620" w:type="dxa"/>
            <w:shd w:val="clear" w:color="auto" w:fill="FFFFFF" w:themeFill="background1"/>
            <w:vAlign w:val="center"/>
          </w:tcPr>
          <w:p w:rsidR="004B137A" w:rsidRDefault="004B137A" w:rsidP="00F767FA">
            <w:pPr>
              <w:keepNext/>
              <w:keepLines/>
              <w:jc w:val="center"/>
              <w:outlineLvl w:val="2"/>
              <w:rPr>
                <w:sz w:val="18"/>
                <w:szCs w:val="18"/>
              </w:rPr>
            </w:pPr>
            <w:r>
              <w:rPr>
                <w:sz w:val="18"/>
                <w:szCs w:val="18"/>
              </w:rPr>
              <w:t>100%</w:t>
            </w:r>
          </w:p>
          <w:p w:rsidR="004B137A" w:rsidRDefault="004B137A" w:rsidP="00F767FA">
            <w:pPr>
              <w:keepNext/>
              <w:keepLines/>
              <w:jc w:val="center"/>
              <w:outlineLvl w:val="2"/>
              <w:rPr>
                <w:sz w:val="18"/>
                <w:szCs w:val="18"/>
              </w:rPr>
            </w:pPr>
            <w:r>
              <w:rPr>
                <w:sz w:val="18"/>
                <w:szCs w:val="18"/>
              </w:rPr>
              <w:t xml:space="preserve"> $0: 548</w:t>
            </w:r>
          </w:p>
          <w:p w:rsidR="004B137A" w:rsidRPr="0037229A" w:rsidRDefault="004B137A" w:rsidP="00F767FA">
            <w:pPr>
              <w:keepNext/>
              <w:keepLines/>
              <w:jc w:val="center"/>
              <w:outlineLvl w:val="2"/>
              <w:rPr>
                <w:rFonts w:eastAsiaTheme="majorEastAsia"/>
                <w:bCs/>
                <w:sz w:val="18"/>
                <w:szCs w:val="18"/>
              </w:rPr>
            </w:pPr>
            <w:r w:rsidRPr="0077482F">
              <w:rPr>
                <w:b/>
                <w:i/>
                <w:sz w:val="18"/>
                <w:szCs w:val="18"/>
              </w:rPr>
              <w:t>95%</w:t>
            </w:r>
          </w:p>
        </w:tc>
        <w:tc>
          <w:tcPr>
            <w:tcW w:w="810" w:type="dxa"/>
            <w:shd w:val="clear" w:color="auto" w:fill="FFFFFF" w:themeFill="background1"/>
            <w:vAlign w:val="center"/>
          </w:tcPr>
          <w:p w:rsidR="004B137A" w:rsidRPr="0037229A" w:rsidRDefault="004B137A" w:rsidP="00F767FA">
            <w:pPr>
              <w:keepNext/>
              <w:keepLines/>
              <w:jc w:val="center"/>
              <w:outlineLvl w:val="2"/>
              <w:rPr>
                <w:rFonts w:eastAsiaTheme="majorEastAsia"/>
                <w:bCs/>
                <w:sz w:val="18"/>
                <w:szCs w:val="18"/>
              </w:rPr>
            </w:pPr>
            <w:r>
              <w:rPr>
                <w:sz w:val="18"/>
                <w:szCs w:val="18"/>
              </w:rPr>
              <w:t>521</w:t>
            </w:r>
          </w:p>
        </w:tc>
        <w:tc>
          <w:tcPr>
            <w:tcW w:w="1080" w:type="dxa"/>
            <w:shd w:val="clear" w:color="auto" w:fill="FFFFFF" w:themeFill="background1"/>
            <w:vAlign w:val="center"/>
          </w:tcPr>
          <w:p w:rsidR="004B137A" w:rsidRPr="0037229A" w:rsidRDefault="004B137A" w:rsidP="00F767FA">
            <w:pPr>
              <w:keepNext/>
              <w:keepLines/>
              <w:ind w:right="-558"/>
              <w:outlineLvl w:val="2"/>
              <w:rPr>
                <w:rFonts w:eastAsiaTheme="majorEastAsia"/>
                <w:bCs/>
                <w:sz w:val="18"/>
                <w:szCs w:val="18"/>
              </w:rPr>
            </w:pPr>
            <w:r>
              <w:rPr>
                <w:sz w:val="18"/>
                <w:szCs w:val="18"/>
              </w:rPr>
              <w:t xml:space="preserve">        3</w:t>
            </w:r>
          </w:p>
        </w:tc>
      </w:tr>
      <w:tr w:rsidR="004B137A" w:rsidTr="00F767FA">
        <w:trPr>
          <w:trHeight w:val="520"/>
        </w:trPr>
        <w:tc>
          <w:tcPr>
            <w:tcW w:w="1080" w:type="dxa"/>
            <w:vMerge/>
            <w:shd w:val="clear" w:color="auto" w:fill="FFFFFF" w:themeFill="background1"/>
            <w:vAlign w:val="center"/>
          </w:tcPr>
          <w:p w:rsidR="004B137A" w:rsidRPr="00C817B9" w:rsidRDefault="004B137A" w:rsidP="00F767FA">
            <w:pPr>
              <w:keepNext/>
              <w:keepLines/>
              <w:jc w:val="center"/>
              <w:outlineLvl w:val="2"/>
              <w:rPr>
                <w:rFonts w:eastAsiaTheme="majorEastAsia"/>
                <w:bCs/>
                <w:sz w:val="18"/>
                <w:szCs w:val="18"/>
              </w:rPr>
            </w:pPr>
          </w:p>
        </w:tc>
        <w:tc>
          <w:tcPr>
            <w:tcW w:w="810" w:type="dxa"/>
            <w:vMerge/>
            <w:shd w:val="clear" w:color="auto" w:fill="FFFFFF" w:themeFill="background1"/>
          </w:tcPr>
          <w:p w:rsidR="004B137A" w:rsidRPr="00C817B9" w:rsidRDefault="004B137A" w:rsidP="00F767FA">
            <w:pPr>
              <w:keepNext/>
              <w:keepLines/>
              <w:outlineLvl w:val="2"/>
              <w:rPr>
                <w:rFonts w:eastAsiaTheme="majorEastAsia"/>
                <w:bCs/>
                <w:sz w:val="18"/>
                <w:szCs w:val="18"/>
              </w:rPr>
            </w:pPr>
          </w:p>
        </w:tc>
        <w:tc>
          <w:tcPr>
            <w:tcW w:w="1080" w:type="dxa"/>
            <w:vMerge/>
            <w:shd w:val="clear" w:color="auto" w:fill="FFFFFF" w:themeFill="background1"/>
          </w:tcPr>
          <w:p w:rsidR="004B137A" w:rsidRPr="00C817B9" w:rsidRDefault="004B137A" w:rsidP="00F767FA">
            <w:pPr>
              <w:keepNext/>
              <w:keepLines/>
              <w:outlineLvl w:val="2"/>
              <w:rPr>
                <w:rFonts w:eastAsiaTheme="majorEastAsia"/>
                <w:bCs/>
                <w:sz w:val="18"/>
                <w:szCs w:val="18"/>
              </w:rPr>
            </w:pPr>
          </w:p>
        </w:tc>
        <w:tc>
          <w:tcPr>
            <w:tcW w:w="1170" w:type="dxa"/>
            <w:vMerge w:val="restart"/>
            <w:shd w:val="clear" w:color="auto" w:fill="FFFFFF" w:themeFill="background1"/>
            <w:vAlign w:val="center"/>
          </w:tcPr>
          <w:p w:rsidR="004B137A" w:rsidRPr="00C817B9" w:rsidRDefault="004B137A" w:rsidP="00F767FA">
            <w:pPr>
              <w:keepNext/>
              <w:keepLines/>
              <w:jc w:val="center"/>
              <w:outlineLvl w:val="2"/>
              <w:rPr>
                <w:rFonts w:eastAsiaTheme="majorEastAsia"/>
                <w:bCs/>
                <w:sz w:val="18"/>
                <w:szCs w:val="18"/>
              </w:rPr>
            </w:pPr>
            <w:r>
              <w:rPr>
                <w:rFonts w:eastAsiaTheme="majorEastAsia"/>
                <w:bCs/>
                <w:sz w:val="18"/>
                <w:szCs w:val="18"/>
              </w:rPr>
              <w:t>45% Mail: 3,204</w:t>
            </w:r>
          </w:p>
        </w:tc>
        <w:tc>
          <w:tcPr>
            <w:tcW w:w="1530" w:type="dxa"/>
            <w:shd w:val="clear" w:color="auto" w:fill="FFFFFF" w:themeFill="background1"/>
            <w:vAlign w:val="center"/>
          </w:tcPr>
          <w:p w:rsidR="004B137A" w:rsidRDefault="004B137A" w:rsidP="00F767FA">
            <w:pPr>
              <w:keepNext/>
              <w:keepLines/>
              <w:jc w:val="center"/>
              <w:outlineLvl w:val="2"/>
              <w:rPr>
                <w:sz w:val="18"/>
                <w:szCs w:val="18"/>
              </w:rPr>
            </w:pPr>
            <w:r>
              <w:rPr>
                <w:sz w:val="18"/>
                <w:szCs w:val="18"/>
              </w:rPr>
              <w:t>50% $5: 1,602</w:t>
            </w:r>
          </w:p>
          <w:p w:rsidR="004B137A" w:rsidRPr="0037229A" w:rsidRDefault="004B137A" w:rsidP="00F767FA">
            <w:pPr>
              <w:keepNext/>
              <w:keepLines/>
              <w:jc w:val="center"/>
              <w:outlineLvl w:val="2"/>
              <w:rPr>
                <w:rFonts w:eastAsiaTheme="majorEastAsia"/>
                <w:bCs/>
                <w:sz w:val="18"/>
                <w:szCs w:val="18"/>
              </w:rPr>
            </w:pPr>
            <w:r>
              <w:rPr>
                <w:b/>
                <w:i/>
                <w:sz w:val="18"/>
                <w:szCs w:val="18"/>
              </w:rPr>
              <w:t>56</w:t>
            </w:r>
            <w:r w:rsidRPr="0077482F">
              <w:rPr>
                <w:b/>
                <w:i/>
                <w:sz w:val="18"/>
                <w:szCs w:val="18"/>
              </w:rPr>
              <w:t>%</w:t>
            </w:r>
          </w:p>
        </w:tc>
        <w:tc>
          <w:tcPr>
            <w:tcW w:w="900" w:type="dxa"/>
            <w:shd w:val="clear" w:color="auto" w:fill="FFFFFF" w:themeFill="background1"/>
            <w:vAlign w:val="center"/>
          </w:tcPr>
          <w:p w:rsidR="004B137A" w:rsidRPr="0037229A" w:rsidRDefault="004B137A" w:rsidP="00F767FA">
            <w:pPr>
              <w:keepNext/>
              <w:keepLines/>
              <w:jc w:val="center"/>
              <w:outlineLvl w:val="2"/>
              <w:rPr>
                <w:rFonts w:eastAsiaTheme="majorEastAsia"/>
                <w:bCs/>
                <w:sz w:val="18"/>
                <w:szCs w:val="18"/>
              </w:rPr>
            </w:pPr>
            <w:r>
              <w:rPr>
                <w:sz w:val="18"/>
                <w:szCs w:val="18"/>
              </w:rPr>
              <w:t>897</w:t>
            </w:r>
          </w:p>
        </w:tc>
        <w:tc>
          <w:tcPr>
            <w:tcW w:w="900" w:type="dxa"/>
            <w:shd w:val="clear" w:color="auto" w:fill="FFFFFF" w:themeFill="background1"/>
            <w:vAlign w:val="center"/>
          </w:tcPr>
          <w:p w:rsidR="004B137A" w:rsidRPr="0037229A" w:rsidRDefault="004B137A" w:rsidP="00F767FA">
            <w:pPr>
              <w:keepNext/>
              <w:keepLines/>
              <w:jc w:val="center"/>
              <w:outlineLvl w:val="2"/>
              <w:rPr>
                <w:rFonts w:eastAsiaTheme="majorEastAsia"/>
                <w:bCs/>
                <w:sz w:val="18"/>
                <w:szCs w:val="18"/>
              </w:rPr>
            </w:pPr>
            <w:r>
              <w:rPr>
                <w:sz w:val="18"/>
                <w:szCs w:val="18"/>
              </w:rPr>
              <w:t>359</w:t>
            </w:r>
          </w:p>
        </w:tc>
        <w:tc>
          <w:tcPr>
            <w:tcW w:w="1620" w:type="dxa"/>
            <w:shd w:val="clear" w:color="auto" w:fill="FFFFFF" w:themeFill="background1"/>
            <w:vAlign w:val="center"/>
          </w:tcPr>
          <w:p w:rsidR="004B137A" w:rsidRDefault="004B137A" w:rsidP="00F767FA">
            <w:pPr>
              <w:keepNext/>
              <w:keepLines/>
              <w:jc w:val="center"/>
              <w:outlineLvl w:val="2"/>
              <w:rPr>
                <w:sz w:val="18"/>
                <w:szCs w:val="18"/>
              </w:rPr>
            </w:pPr>
            <w:r>
              <w:rPr>
                <w:sz w:val="18"/>
                <w:szCs w:val="18"/>
              </w:rPr>
              <w:t>100%</w:t>
            </w:r>
          </w:p>
          <w:p w:rsidR="004B137A" w:rsidRDefault="004B137A" w:rsidP="00F767FA">
            <w:pPr>
              <w:keepNext/>
              <w:keepLines/>
              <w:jc w:val="center"/>
              <w:outlineLvl w:val="2"/>
              <w:rPr>
                <w:sz w:val="18"/>
                <w:szCs w:val="18"/>
              </w:rPr>
            </w:pPr>
            <w:r>
              <w:rPr>
                <w:sz w:val="18"/>
                <w:szCs w:val="18"/>
              </w:rPr>
              <w:t xml:space="preserve"> </w:t>
            </w:r>
            <w:r w:rsidRPr="0037229A">
              <w:rPr>
                <w:sz w:val="18"/>
                <w:szCs w:val="18"/>
              </w:rPr>
              <w:t>$0:</w:t>
            </w:r>
            <w:r>
              <w:rPr>
                <w:sz w:val="18"/>
                <w:szCs w:val="18"/>
              </w:rPr>
              <w:t xml:space="preserve"> 359</w:t>
            </w:r>
          </w:p>
          <w:p w:rsidR="004B137A" w:rsidRPr="0037229A" w:rsidRDefault="004B137A" w:rsidP="00F767FA">
            <w:pPr>
              <w:keepNext/>
              <w:keepLines/>
              <w:jc w:val="center"/>
              <w:outlineLvl w:val="2"/>
              <w:rPr>
                <w:rFonts w:eastAsiaTheme="majorEastAsia"/>
                <w:bCs/>
                <w:sz w:val="18"/>
                <w:szCs w:val="18"/>
              </w:rPr>
            </w:pPr>
            <w:r>
              <w:rPr>
                <w:b/>
                <w:i/>
                <w:sz w:val="18"/>
                <w:szCs w:val="18"/>
              </w:rPr>
              <w:t>65</w:t>
            </w:r>
            <w:r w:rsidRPr="0077482F">
              <w:rPr>
                <w:b/>
                <w:i/>
                <w:sz w:val="18"/>
                <w:szCs w:val="18"/>
              </w:rPr>
              <w:t>%</w:t>
            </w:r>
          </w:p>
        </w:tc>
        <w:tc>
          <w:tcPr>
            <w:tcW w:w="810" w:type="dxa"/>
            <w:shd w:val="clear" w:color="auto" w:fill="FFFFFF" w:themeFill="background1"/>
            <w:vAlign w:val="center"/>
          </w:tcPr>
          <w:p w:rsidR="004B137A" w:rsidRPr="0037229A" w:rsidRDefault="004B137A" w:rsidP="00F767FA">
            <w:pPr>
              <w:keepNext/>
              <w:keepLines/>
              <w:jc w:val="center"/>
              <w:outlineLvl w:val="2"/>
              <w:rPr>
                <w:rFonts w:eastAsiaTheme="majorEastAsia"/>
                <w:bCs/>
                <w:sz w:val="18"/>
                <w:szCs w:val="18"/>
              </w:rPr>
            </w:pPr>
            <w:r>
              <w:rPr>
                <w:sz w:val="18"/>
                <w:szCs w:val="18"/>
              </w:rPr>
              <w:t>233</w:t>
            </w:r>
          </w:p>
        </w:tc>
        <w:tc>
          <w:tcPr>
            <w:tcW w:w="1080" w:type="dxa"/>
            <w:shd w:val="clear" w:color="auto" w:fill="FFFFFF" w:themeFill="background1"/>
            <w:vAlign w:val="center"/>
          </w:tcPr>
          <w:p w:rsidR="004B137A" w:rsidRPr="0037229A" w:rsidRDefault="004B137A" w:rsidP="00F767FA">
            <w:pPr>
              <w:keepNext/>
              <w:keepLines/>
              <w:outlineLvl w:val="2"/>
              <w:rPr>
                <w:rFonts w:eastAsiaTheme="majorEastAsia"/>
                <w:bCs/>
                <w:sz w:val="18"/>
                <w:szCs w:val="18"/>
              </w:rPr>
            </w:pPr>
            <w:r>
              <w:rPr>
                <w:sz w:val="18"/>
                <w:szCs w:val="18"/>
              </w:rPr>
              <w:t xml:space="preserve">        2</w:t>
            </w:r>
          </w:p>
        </w:tc>
      </w:tr>
      <w:tr w:rsidR="004B137A" w:rsidTr="00F767FA">
        <w:trPr>
          <w:trHeight w:val="520"/>
        </w:trPr>
        <w:tc>
          <w:tcPr>
            <w:tcW w:w="1080" w:type="dxa"/>
            <w:vMerge/>
            <w:shd w:val="clear" w:color="auto" w:fill="FFFFFF" w:themeFill="background1"/>
            <w:vAlign w:val="center"/>
          </w:tcPr>
          <w:p w:rsidR="004B137A" w:rsidRPr="00C817B9" w:rsidRDefault="004B137A" w:rsidP="00F767FA">
            <w:pPr>
              <w:keepNext/>
              <w:keepLines/>
              <w:jc w:val="center"/>
              <w:outlineLvl w:val="2"/>
              <w:rPr>
                <w:rFonts w:eastAsiaTheme="majorEastAsia"/>
                <w:bCs/>
                <w:sz w:val="18"/>
                <w:szCs w:val="18"/>
              </w:rPr>
            </w:pPr>
          </w:p>
        </w:tc>
        <w:tc>
          <w:tcPr>
            <w:tcW w:w="810" w:type="dxa"/>
            <w:vMerge/>
            <w:shd w:val="clear" w:color="auto" w:fill="FFFFFF" w:themeFill="background1"/>
          </w:tcPr>
          <w:p w:rsidR="004B137A" w:rsidRPr="00C817B9" w:rsidRDefault="004B137A" w:rsidP="00F767FA">
            <w:pPr>
              <w:keepNext/>
              <w:keepLines/>
              <w:outlineLvl w:val="2"/>
              <w:rPr>
                <w:rFonts w:eastAsiaTheme="majorEastAsia"/>
                <w:bCs/>
                <w:sz w:val="18"/>
                <w:szCs w:val="18"/>
              </w:rPr>
            </w:pPr>
          </w:p>
        </w:tc>
        <w:tc>
          <w:tcPr>
            <w:tcW w:w="1080" w:type="dxa"/>
            <w:vMerge/>
            <w:shd w:val="clear" w:color="auto" w:fill="FFFFFF" w:themeFill="background1"/>
          </w:tcPr>
          <w:p w:rsidR="004B137A" w:rsidRPr="00C817B9" w:rsidRDefault="004B137A" w:rsidP="00F767FA">
            <w:pPr>
              <w:keepNext/>
              <w:keepLines/>
              <w:outlineLvl w:val="2"/>
              <w:rPr>
                <w:rFonts w:eastAsiaTheme="majorEastAsia"/>
                <w:bCs/>
                <w:sz w:val="18"/>
                <w:szCs w:val="18"/>
              </w:rPr>
            </w:pPr>
          </w:p>
        </w:tc>
        <w:tc>
          <w:tcPr>
            <w:tcW w:w="1170" w:type="dxa"/>
            <w:vMerge/>
            <w:shd w:val="clear" w:color="auto" w:fill="FFFFFF" w:themeFill="background1"/>
            <w:vAlign w:val="center"/>
          </w:tcPr>
          <w:p w:rsidR="004B137A" w:rsidRPr="00C817B9" w:rsidRDefault="004B137A" w:rsidP="00F767FA">
            <w:pPr>
              <w:keepNext/>
              <w:keepLines/>
              <w:jc w:val="center"/>
              <w:outlineLvl w:val="2"/>
              <w:rPr>
                <w:rFonts w:eastAsiaTheme="majorEastAsia"/>
                <w:bCs/>
                <w:sz w:val="18"/>
                <w:szCs w:val="18"/>
              </w:rPr>
            </w:pPr>
          </w:p>
        </w:tc>
        <w:tc>
          <w:tcPr>
            <w:tcW w:w="1530" w:type="dxa"/>
            <w:shd w:val="clear" w:color="auto" w:fill="FFFFFF" w:themeFill="background1"/>
            <w:vAlign w:val="center"/>
          </w:tcPr>
          <w:p w:rsidR="004B137A" w:rsidRDefault="004B137A" w:rsidP="00F767FA">
            <w:pPr>
              <w:keepNext/>
              <w:keepLines/>
              <w:jc w:val="center"/>
              <w:outlineLvl w:val="2"/>
              <w:rPr>
                <w:rFonts w:eastAsiaTheme="majorEastAsia"/>
                <w:bCs/>
                <w:sz w:val="18"/>
                <w:szCs w:val="18"/>
              </w:rPr>
            </w:pPr>
            <w:r>
              <w:rPr>
                <w:rFonts w:eastAsiaTheme="majorEastAsia"/>
                <w:bCs/>
                <w:sz w:val="18"/>
                <w:szCs w:val="18"/>
              </w:rPr>
              <w:t>50% $10: 1,602</w:t>
            </w:r>
          </w:p>
          <w:p w:rsidR="004B137A" w:rsidRPr="00C817B9" w:rsidRDefault="004B137A" w:rsidP="00F767FA">
            <w:pPr>
              <w:keepNext/>
              <w:keepLines/>
              <w:jc w:val="center"/>
              <w:outlineLvl w:val="2"/>
              <w:rPr>
                <w:rFonts w:eastAsiaTheme="majorEastAsia"/>
                <w:bCs/>
                <w:sz w:val="18"/>
                <w:szCs w:val="18"/>
              </w:rPr>
            </w:pPr>
            <w:r>
              <w:rPr>
                <w:rFonts w:eastAsiaTheme="majorEastAsia"/>
                <w:b/>
                <w:bCs/>
                <w:i/>
                <w:sz w:val="18"/>
                <w:szCs w:val="18"/>
              </w:rPr>
              <w:t>60</w:t>
            </w:r>
            <w:r w:rsidRPr="0077482F">
              <w:rPr>
                <w:rFonts w:eastAsiaTheme="majorEastAsia"/>
                <w:b/>
                <w:bCs/>
                <w:i/>
                <w:sz w:val="18"/>
                <w:szCs w:val="18"/>
              </w:rPr>
              <w:t>%</w:t>
            </w:r>
          </w:p>
        </w:tc>
        <w:tc>
          <w:tcPr>
            <w:tcW w:w="900" w:type="dxa"/>
            <w:shd w:val="clear" w:color="auto" w:fill="FFFFFF" w:themeFill="background1"/>
            <w:vAlign w:val="center"/>
          </w:tcPr>
          <w:p w:rsidR="004B137A" w:rsidRPr="00C817B9" w:rsidRDefault="004B137A" w:rsidP="00F767FA">
            <w:pPr>
              <w:keepNext/>
              <w:keepLines/>
              <w:jc w:val="center"/>
              <w:outlineLvl w:val="2"/>
              <w:rPr>
                <w:rFonts w:eastAsiaTheme="majorEastAsia"/>
                <w:bCs/>
                <w:sz w:val="18"/>
                <w:szCs w:val="18"/>
              </w:rPr>
            </w:pPr>
            <w:r>
              <w:rPr>
                <w:rFonts w:eastAsiaTheme="majorEastAsia"/>
                <w:bCs/>
                <w:sz w:val="18"/>
                <w:szCs w:val="18"/>
              </w:rPr>
              <w:t>961</w:t>
            </w:r>
          </w:p>
        </w:tc>
        <w:tc>
          <w:tcPr>
            <w:tcW w:w="900" w:type="dxa"/>
            <w:shd w:val="clear" w:color="auto" w:fill="FFFFFF" w:themeFill="background1"/>
            <w:vAlign w:val="center"/>
          </w:tcPr>
          <w:p w:rsidR="004B137A" w:rsidRPr="00C817B9" w:rsidRDefault="004B137A" w:rsidP="00F767FA">
            <w:pPr>
              <w:keepNext/>
              <w:keepLines/>
              <w:jc w:val="center"/>
              <w:outlineLvl w:val="2"/>
              <w:rPr>
                <w:rFonts w:eastAsiaTheme="majorEastAsia"/>
                <w:bCs/>
                <w:sz w:val="18"/>
                <w:szCs w:val="18"/>
              </w:rPr>
            </w:pPr>
            <w:r>
              <w:rPr>
                <w:rFonts w:eastAsiaTheme="majorEastAsia"/>
                <w:bCs/>
                <w:sz w:val="18"/>
                <w:szCs w:val="18"/>
              </w:rPr>
              <w:t>384</w:t>
            </w:r>
          </w:p>
        </w:tc>
        <w:tc>
          <w:tcPr>
            <w:tcW w:w="1620" w:type="dxa"/>
            <w:shd w:val="clear" w:color="auto" w:fill="FFFFFF" w:themeFill="background1"/>
            <w:vAlign w:val="center"/>
          </w:tcPr>
          <w:p w:rsidR="004B137A" w:rsidRDefault="004B137A" w:rsidP="00F767FA">
            <w:pPr>
              <w:keepNext/>
              <w:keepLines/>
              <w:jc w:val="center"/>
              <w:outlineLvl w:val="2"/>
              <w:rPr>
                <w:rFonts w:eastAsiaTheme="majorEastAsia"/>
                <w:bCs/>
                <w:sz w:val="18"/>
                <w:szCs w:val="18"/>
              </w:rPr>
            </w:pPr>
            <w:r>
              <w:rPr>
                <w:rFonts w:eastAsiaTheme="majorEastAsia"/>
                <w:bCs/>
                <w:sz w:val="18"/>
                <w:szCs w:val="18"/>
              </w:rPr>
              <w:t>100%</w:t>
            </w:r>
          </w:p>
          <w:p w:rsidR="004B137A" w:rsidRDefault="004B137A" w:rsidP="00F767FA">
            <w:pPr>
              <w:keepNext/>
              <w:keepLines/>
              <w:jc w:val="center"/>
              <w:outlineLvl w:val="2"/>
              <w:rPr>
                <w:rFonts w:eastAsiaTheme="majorEastAsia"/>
                <w:bCs/>
                <w:sz w:val="18"/>
                <w:szCs w:val="18"/>
              </w:rPr>
            </w:pPr>
            <w:r>
              <w:rPr>
                <w:rFonts w:eastAsiaTheme="majorEastAsia"/>
                <w:bCs/>
                <w:sz w:val="18"/>
                <w:szCs w:val="18"/>
              </w:rPr>
              <w:t xml:space="preserve"> $0: 384</w:t>
            </w:r>
          </w:p>
          <w:p w:rsidR="004B137A" w:rsidRPr="00C817B9" w:rsidRDefault="004B137A" w:rsidP="00F767FA">
            <w:pPr>
              <w:keepNext/>
              <w:keepLines/>
              <w:jc w:val="center"/>
              <w:outlineLvl w:val="2"/>
              <w:rPr>
                <w:rFonts w:eastAsiaTheme="majorEastAsia"/>
                <w:bCs/>
                <w:sz w:val="18"/>
                <w:szCs w:val="18"/>
              </w:rPr>
            </w:pPr>
            <w:r>
              <w:rPr>
                <w:rFonts w:eastAsiaTheme="majorEastAsia"/>
                <w:b/>
                <w:bCs/>
                <w:i/>
                <w:sz w:val="18"/>
                <w:szCs w:val="18"/>
              </w:rPr>
              <w:t>65</w:t>
            </w:r>
            <w:r>
              <w:rPr>
                <w:rFonts w:eastAsiaTheme="majorEastAsia"/>
                <w:bCs/>
                <w:sz w:val="18"/>
                <w:szCs w:val="18"/>
              </w:rPr>
              <w:t>%</w:t>
            </w:r>
          </w:p>
        </w:tc>
        <w:tc>
          <w:tcPr>
            <w:tcW w:w="810" w:type="dxa"/>
            <w:shd w:val="clear" w:color="auto" w:fill="FFFFFF" w:themeFill="background1"/>
            <w:vAlign w:val="center"/>
          </w:tcPr>
          <w:p w:rsidR="004B137A" w:rsidRPr="00C817B9" w:rsidRDefault="004B137A" w:rsidP="00F767FA">
            <w:pPr>
              <w:keepNext/>
              <w:keepLines/>
              <w:jc w:val="center"/>
              <w:outlineLvl w:val="2"/>
              <w:rPr>
                <w:rFonts w:eastAsiaTheme="majorEastAsia"/>
                <w:bCs/>
                <w:sz w:val="18"/>
                <w:szCs w:val="18"/>
              </w:rPr>
            </w:pPr>
            <w:r>
              <w:rPr>
                <w:rFonts w:eastAsiaTheme="majorEastAsia"/>
                <w:bCs/>
                <w:sz w:val="18"/>
                <w:szCs w:val="18"/>
              </w:rPr>
              <w:t>250</w:t>
            </w:r>
          </w:p>
        </w:tc>
        <w:tc>
          <w:tcPr>
            <w:tcW w:w="1080" w:type="dxa"/>
            <w:shd w:val="clear" w:color="auto" w:fill="FFFFFF" w:themeFill="background1"/>
            <w:vAlign w:val="center"/>
          </w:tcPr>
          <w:p w:rsidR="004B137A" w:rsidRPr="00C817B9" w:rsidRDefault="004B137A" w:rsidP="00F767FA">
            <w:pPr>
              <w:keepNext/>
              <w:keepLines/>
              <w:outlineLvl w:val="2"/>
              <w:rPr>
                <w:rFonts w:eastAsiaTheme="majorEastAsia"/>
                <w:bCs/>
                <w:sz w:val="18"/>
                <w:szCs w:val="18"/>
              </w:rPr>
            </w:pPr>
            <w:r>
              <w:rPr>
                <w:rFonts w:eastAsiaTheme="majorEastAsia"/>
                <w:bCs/>
                <w:sz w:val="18"/>
                <w:szCs w:val="18"/>
              </w:rPr>
              <w:t xml:space="preserve">        3</w:t>
            </w:r>
          </w:p>
        </w:tc>
      </w:tr>
      <w:tr w:rsidR="004B137A" w:rsidTr="00F767FA">
        <w:trPr>
          <w:trHeight w:val="420"/>
        </w:trPr>
        <w:tc>
          <w:tcPr>
            <w:tcW w:w="5670" w:type="dxa"/>
            <w:gridSpan w:val="5"/>
            <w:shd w:val="clear" w:color="auto" w:fill="FFFFFF" w:themeFill="background1"/>
            <w:vAlign w:val="center"/>
          </w:tcPr>
          <w:p w:rsidR="004B137A" w:rsidRPr="00C817B9" w:rsidRDefault="004B137A" w:rsidP="00F767FA">
            <w:pPr>
              <w:keepNext/>
              <w:keepLines/>
              <w:jc w:val="center"/>
              <w:outlineLvl w:val="2"/>
              <w:rPr>
                <w:rFonts w:eastAsiaTheme="majorEastAsia"/>
                <w:bCs/>
                <w:sz w:val="18"/>
                <w:szCs w:val="18"/>
              </w:rPr>
            </w:pPr>
            <w:r>
              <w:rPr>
                <w:rFonts w:eastAsiaTheme="majorEastAsia"/>
                <w:bCs/>
                <w:sz w:val="18"/>
                <w:szCs w:val="18"/>
              </w:rPr>
              <w:t>Totals</w:t>
            </w:r>
          </w:p>
        </w:tc>
        <w:tc>
          <w:tcPr>
            <w:tcW w:w="900" w:type="dxa"/>
            <w:shd w:val="clear" w:color="auto" w:fill="FFFFFF" w:themeFill="background1"/>
            <w:vAlign w:val="center"/>
          </w:tcPr>
          <w:p w:rsidR="004B137A" w:rsidRPr="00C817B9" w:rsidRDefault="004B137A" w:rsidP="00F767FA">
            <w:pPr>
              <w:keepNext/>
              <w:keepLines/>
              <w:jc w:val="center"/>
              <w:outlineLvl w:val="2"/>
              <w:rPr>
                <w:rFonts w:eastAsiaTheme="majorEastAsia"/>
                <w:bCs/>
                <w:sz w:val="18"/>
                <w:szCs w:val="18"/>
              </w:rPr>
            </w:pPr>
            <w:r>
              <w:rPr>
                <w:rFonts w:eastAsiaTheme="majorEastAsia"/>
                <w:bCs/>
                <w:sz w:val="18"/>
                <w:szCs w:val="18"/>
              </w:rPr>
              <w:t>9,505</w:t>
            </w:r>
          </w:p>
        </w:tc>
        <w:tc>
          <w:tcPr>
            <w:tcW w:w="900" w:type="dxa"/>
            <w:shd w:val="clear" w:color="auto" w:fill="FFFFFF" w:themeFill="background1"/>
            <w:vAlign w:val="center"/>
          </w:tcPr>
          <w:p w:rsidR="004B137A" w:rsidRPr="00C817B9" w:rsidRDefault="004B137A" w:rsidP="00F767FA">
            <w:pPr>
              <w:keepNext/>
              <w:keepLines/>
              <w:jc w:val="center"/>
              <w:outlineLvl w:val="2"/>
              <w:rPr>
                <w:rFonts w:eastAsiaTheme="majorEastAsia"/>
                <w:bCs/>
                <w:sz w:val="18"/>
                <w:szCs w:val="18"/>
              </w:rPr>
            </w:pPr>
            <w:r>
              <w:rPr>
                <w:rFonts w:eastAsiaTheme="majorEastAsia"/>
                <w:bCs/>
                <w:sz w:val="18"/>
                <w:szCs w:val="18"/>
              </w:rPr>
              <w:t>3,802</w:t>
            </w:r>
          </w:p>
        </w:tc>
        <w:tc>
          <w:tcPr>
            <w:tcW w:w="1620" w:type="dxa"/>
            <w:shd w:val="clear" w:color="auto" w:fill="FFFFFF" w:themeFill="background1"/>
            <w:vAlign w:val="center"/>
          </w:tcPr>
          <w:p w:rsidR="004B137A" w:rsidRPr="00C817B9" w:rsidRDefault="004B137A" w:rsidP="00F767FA">
            <w:pPr>
              <w:keepNext/>
              <w:keepLines/>
              <w:jc w:val="center"/>
              <w:outlineLvl w:val="2"/>
              <w:rPr>
                <w:rFonts w:eastAsiaTheme="majorEastAsia"/>
                <w:bCs/>
                <w:sz w:val="18"/>
                <w:szCs w:val="18"/>
              </w:rPr>
            </w:pPr>
          </w:p>
        </w:tc>
        <w:tc>
          <w:tcPr>
            <w:tcW w:w="810" w:type="dxa"/>
            <w:shd w:val="clear" w:color="auto" w:fill="FFFFFF" w:themeFill="background1"/>
            <w:vAlign w:val="center"/>
          </w:tcPr>
          <w:p w:rsidR="004B137A" w:rsidRPr="00C817B9" w:rsidRDefault="004B137A" w:rsidP="00F767FA">
            <w:pPr>
              <w:keepNext/>
              <w:keepLines/>
              <w:jc w:val="center"/>
              <w:outlineLvl w:val="2"/>
              <w:rPr>
                <w:rFonts w:eastAsiaTheme="majorEastAsia"/>
                <w:bCs/>
                <w:sz w:val="18"/>
                <w:szCs w:val="18"/>
              </w:rPr>
            </w:pPr>
            <w:r>
              <w:rPr>
                <w:rFonts w:eastAsiaTheme="majorEastAsia"/>
                <w:bCs/>
                <w:sz w:val="18"/>
                <w:szCs w:val="18"/>
              </w:rPr>
              <w:t>2,891</w:t>
            </w:r>
          </w:p>
        </w:tc>
        <w:tc>
          <w:tcPr>
            <w:tcW w:w="1080" w:type="dxa"/>
            <w:shd w:val="clear" w:color="auto" w:fill="FFFFFF" w:themeFill="background1"/>
          </w:tcPr>
          <w:p w:rsidR="004B137A" w:rsidRPr="00C817B9" w:rsidRDefault="004B137A" w:rsidP="00F767FA">
            <w:pPr>
              <w:keepNext/>
              <w:keepLines/>
              <w:outlineLvl w:val="2"/>
              <w:rPr>
                <w:rFonts w:eastAsiaTheme="majorEastAsia"/>
                <w:bCs/>
                <w:sz w:val="18"/>
                <w:szCs w:val="18"/>
              </w:rPr>
            </w:pPr>
          </w:p>
        </w:tc>
      </w:tr>
    </w:tbl>
    <w:p w:rsidR="00A37135" w:rsidRDefault="00A37135" w:rsidP="00A37135">
      <w:pPr>
        <w:pStyle w:val="Heading2"/>
        <w:spacing w:before="120" w:after="120"/>
        <w:ind w:left="720"/>
        <w:rPr>
          <w:rFonts w:ascii="Times New Roman" w:hAnsi="Times New Roman" w:cs="Times New Roman"/>
          <w:i w:val="0"/>
          <w:sz w:val="24"/>
          <w:szCs w:val="24"/>
        </w:rPr>
      </w:pPr>
    </w:p>
    <w:p w:rsidR="00E8230F" w:rsidRDefault="00E8230F" w:rsidP="0068536B">
      <w:pPr>
        <w:pStyle w:val="Heading2"/>
        <w:numPr>
          <w:ilvl w:val="1"/>
          <w:numId w:val="3"/>
        </w:numPr>
        <w:spacing w:before="120" w:after="120"/>
        <w:rPr>
          <w:rFonts w:ascii="Times New Roman" w:hAnsi="Times New Roman" w:cs="Times New Roman"/>
          <w:i w:val="0"/>
          <w:sz w:val="24"/>
          <w:szCs w:val="24"/>
        </w:rPr>
      </w:pPr>
      <w:r>
        <w:rPr>
          <w:rFonts w:ascii="Times New Roman" w:hAnsi="Times New Roman" w:cs="Times New Roman"/>
          <w:i w:val="0"/>
          <w:sz w:val="24"/>
          <w:szCs w:val="24"/>
        </w:rPr>
        <w:t>Estimation Procedures</w:t>
      </w:r>
    </w:p>
    <w:p w:rsidR="00E8230F" w:rsidRDefault="00E8230F" w:rsidP="00E8230F">
      <w:pPr>
        <w:rPr>
          <w:sz w:val="24"/>
        </w:rPr>
      </w:pPr>
      <w:r w:rsidRPr="00E8230F">
        <w:rPr>
          <w:sz w:val="24"/>
        </w:rPr>
        <w:t xml:space="preserve">There will be written specifications for weighting the data that will have been collected in the NSCH-FS Pretest for people in households selected from the frame obtained through the Census Bureau's own Center for Administrative Records Research and Applications (CARRA) database. Instructions for computing adjustments (e.g., </w:t>
      </w:r>
      <w:r w:rsidR="001643E0" w:rsidRPr="00E8230F">
        <w:rPr>
          <w:sz w:val="24"/>
        </w:rPr>
        <w:t>under coverage</w:t>
      </w:r>
      <w:r w:rsidRPr="00E8230F">
        <w:rPr>
          <w:sz w:val="24"/>
        </w:rPr>
        <w:t xml:space="preserve"> and nonresponse) and several final household and person-level weights will be provided.</w:t>
      </w:r>
    </w:p>
    <w:p w:rsidR="00E8230F" w:rsidRPr="00E8230F" w:rsidRDefault="00E8230F" w:rsidP="00E8230F">
      <w:pPr>
        <w:rPr>
          <w:sz w:val="24"/>
        </w:rPr>
      </w:pPr>
    </w:p>
    <w:p w:rsidR="00E8230F" w:rsidRDefault="00E8230F" w:rsidP="0068536B">
      <w:pPr>
        <w:pStyle w:val="Heading2"/>
        <w:numPr>
          <w:ilvl w:val="1"/>
          <w:numId w:val="3"/>
        </w:numPr>
        <w:spacing w:before="120" w:after="120"/>
        <w:rPr>
          <w:rFonts w:ascii="Times New Roman" w:hAnsi="Times New Roman" w:cs="Times New Roman"/>
          <w:i w:val="0"/>
          <w:sz w:val="24"/>
          <w:szCs w:val="24"/>
        </w:rPr>
      </w:pPr>
      <w:r>
        <w:rPr>
          <w:rFonts w:ascii="Times New Roman" w:hAnsi="Times New Roman" w:cs="Times New Roman"/>
          <w:i w:val="0"/>
          <w:sz w:val="24"/>
          <w:szCs w:val="24"/>
        </w:rPr>
        <w:t>Nonresponse Bias Analysis</w:t>
      </w:r>
    </w:p>
    <w:p w:rsidR="006C6B1F" w:rsidRDefault="006C6B1F" w:rsidP="00E8230F">
      <w:pPr>
        <w:rPr>
          <w:sz w:val="24"/>
        </w:rPr>
      </w:pPr>
      <w:r w:rsidRPr="006C6B1F">
        <w:rPr>
          <w:sz w:val="24"/>
        </w:rPr>
        <w:t>Standard 1.3 of the OMB Standards and Guidelines for Statistical Surveys (2006) states that “Agencies must design the survey to achieve the highest practical rates of response,</w:t>
      </w:r>
      <w:r>
        <w:rPr>
          <w:sz w:val="24"/>
        </w:rPr>
        <w:t xml:space="preserve"> </w:t>
      </w:r>
      <w:r w:rsidRPr="006C6B1F">
        <w:rPr>
          <w:sz w:val="24"/>
        </w:rPr>
        <w:t xml:space="preserve">commensurate with the importance of survey uses, respondent burden, and data collection costs, </w:t>
      </w:r>
      <w:r>
        <w:rPr>
          <w:sz w:val="24"/>
        </w:rPr>
        <w:lastRenderedPageBreak/>
        <w:t xml:space="preserve">to </w:t>
      </w:r>
      <w:r w:rsidRPr="006C6B1F">
        <w:rPr>
          <w:sz w:val="24"/>
        </w:rPr>
        <w:t>ensure that survey results are representative of the target population so that they can be used with</w:t>
      </w:r>
      <w:r>
        <w:rPr>
          <w:sz w:val="24"/>
        </w:rPr>
        <w:t xml:space="preserve"> </w:t>
      </w:r>
      <w:r w:rsidRPr="006C6B1F">
        <w:rPr>
          <w:sz w:val="24"/>
        </w:rPr>
        <w:t>confidence to inform decisions.” Implicit in this standard is the assumption that the frame variables</w:t>
      </w:r>
      <w:r w:rsidRPr="006C6B1F">
        <w:t xml:space="preserve"> </w:t>
      </w:r>
      <w:r w:rsidRPr="006C6B1F">
        <w:rPr>
          <w:sz w:val="24"/>
        </w:rPr>
        <w:t>used at the design stage are sufficiently predictive of the collection variables for this to be feasible.</w:t>
      </w:r>
      <w:r w:rsidRPr="006C6B1F">
        <w:t xml:space="preserve"> </w:t>
      </w:r>
      <w:r w:rsidRPr="006C6B1F">
        <w:rPr>
          <w:sz w:val="24"/>
        </w:rPr>
        <w:t>Under this assumption, standard nonresponse bias analyses techniques can and will be applied to frame</w:t>
      </w:r>
      <w:r>
        <w:rPr>
          <w:sz w:val="24"/>
        </w:rPr>
        <w:t xml:space="preserve"> data </w:t>
      </w:r>
      <w:r w:rsidRPr="006C6B1F">
        <w:rPr>
          <w:sz w:val="24"/>
        </w:rPr>
        <w:t>variables to study potential areas of nonresponse bias (both item and unit) in the survey estimates.</w:t>
      </w:r>
    </w:p>
    <w:p w:rsidR="006C6B1F" w:rsidRDefault="006C6B1F" w:rsidP="00E8230F">
      <w:pPr>
        <w:rPr>
          <w:sz w:val="24"/>
        </w:rPr>
      </w:pPr>
    </w:p>
    <w:p w:rsidR="00456797" w:rsidRPr="00847585" w:rsidRDefault="00A82015" w:rsidP="00A82015">
      <w:pPr>
        <w:pStyle w:val="Heading2"/>
        <w:numPr>
          <w:ilvl w:val="0"/>
          <w:numId w:val="3"/>
        </w:numPr>
        <w:spacing w:before="120" w:after="120"/>
        <w:ind w:left="360"/>
        <w:rPr>
          <w:rFonts w:ascii="Times New Roman" w:hAnsi="Times New Roman" w:cs="Times New Roman"/>
          <w:i w:val="0"/>
          <w:sz w:val="24"/>
          <w:szCs w:val="24"/>
        </w:rPr>
      </w:pPr>
      <w:r>
        <w:rPr>
          <w:rFonts w:ascii="Times New Roman" w:hAnsi="Times New Roman" w:cs="Times New Roman"/>
          <w:i w:val="0"/>
          <w:sz w:val="24"/>
          <w:szCs w:val="24"/>
        </w:rPr>
        <w:t>Survey</w:t>
      </w:r>
      <w:r w:rsidR="00165140" w:rsidRPr="00847585">
        <w:rPr>
          <w:rFonts w:ascii="Times New Roman" w:hAnsi="Times New Roman" w:cs="Times New Roman"/>
          <w:i w:val="0"/>
          <w:sz w:val="24"/>
          <w:szCs w:val="24"/>
        </w:rPr>
        <w:t xml:space="preserve"> Collection Procedures</w:t>
      </w:r>
    </w:p>
    <w:p w:rsidR="005511C4" w:rsidRDefault="00575FCD" w:rsidP="00272F8F">
      <w:pPr>
        <w:rPr>
          <w:sz w:val="24"/>
        </w:rPr>
      </w:pPr>
      <w:r w:rsidRPr="00C13FF7">
        <w:rPr>
          <w:sz w:val="24"/>
        </w:rPr>
        <w:t xml:space="preserve">This section describes the data collection procedures </w:t>
      </w:r>
      <w:r>
        <w:rPr>
          <w:sz w:val="24"/>
        </w:rPr>
        <w:t>that will be used</w:t>
      </w:r>
      <w:r w:rsidRPr="00C13FF7">
        <w:rPr>
          <w:sz w:val="24"/>
        </w:rPr>
        <w:t xml:space="preserve"> in the </w:t>
      </w:r>
      <w:r>
        <w:rPr>
          <w:sz w:val="24"/>
        </w:rPr>
        <w:t>NSCH Pretest</w:t>
      </w:r>
      <w:r w:rsidRPr="00C13FF7">
        <w:rPr>
          <w:sz w:val="24"/>
        </w:rPr>
        <w:t xml:space="preserve">. </w:t>
      </w:r>
      <w:r w:rsidR="00C00F9A" w:rsidRPr="00847585">
        <w:rPr>
          <w:sz w:val="24"/>
        </w:rPr>
        <w:t>Data</w:t>
      </w:r>
      <w:r w:rsidR="00332526" w:rsidRPr="00847585">
        <w:rPr>
          <w:sz w:val="24"/>
        </w:rPr>
        <w:t xml:space="preserve"> will be collected from respondents via a </w:t>
      </w:r>
      <w:r w:rsidR="004F7A2A">
        <w:rPr>
          <w:sz w:val="24"/>
        </w:rPr>
        <w:t>Mail</w:t>
      </w:r>
      <w:r w:rsidR="00C00F9A" w:rsidRPr="00847585">
        <w:rPr>
          <w:sz w:val="24"/>
        </w:rPr>
        <w:t xml:space="preserve"> or </w:t>
      </w:r>
      <w:r w:rsidR="0068536B">
        <w:rPr>
          <w:sz w:val="24"/>
        </w:rPr>
        <w:t>W</w:t>
      </w:r>
      <w:r w:rsidR="00C00F9A" w:rsidRPr="00847585">
        <w:rPr>
          <w:sz w:val="24"/>
        </w:rPr>
        <w:t xml:space="preserve">eb </w:t>
      </w:r>
      <w:r w:rsidR="005A5667">
        <w:rPr>
          <w:sz w:val="24"/>
        </w:rPr>
        <w:t xml:space="preserve">survey. </w:t>
      </w:r>
      <w:r w:rsidR="00C00F9A" w:rsidRPr="00847585">
        <w:rPr>
          <w:sz w:val="24"/>
        </w:rPr>
        <w:t>C</w:t>
      </w:r>
      <w:r w:rsidR="003675E7" w:rsidRPr="00847585">
        <w:rPr>
          <w:sz w:val="24"/>
        </w:rPr>
        <w:t xml:space="preserve">ontact will be made </w:t>
      </w:r>
      <w:r w:rsidR="00C00F9A" w:rsidRPr="00847585">
        <w:rPr>
          <w:sz w:val="24"/>
        </w:rPr>
        <w:t xml:space="preserve">to the 16,000 households </w:t>
      </w:r>
      <w:r w:rsidR="003675E7" w:rsidRPr="00847585">
        <w:rPr>
          <w:sz w:val="24"/>
        </w:rPr>
        <w:t>by one of th</w:t>
      </w:r>
      <w:r w:rsidR="00847585" w:rsidRPr="00847585">
        <w:rPr>
          <w:sz w:val="24"/>
        </w:rPr>
        <w:t xml:space="preserve">ose two modes (8,000 </w:t>
      </w:r>
      <w:r w:rsidR="003675E7" w:rsidRPr="00847585">
        <w:rPr>
          <w:sz w:val="24"/>
        </w:rPr>
        <w:t xml:space="preserve">by </w:t>
      </w:r>
      <w:r w:rsidR="004F7A2A">
        <w:rPr>
          <w:sz w:val="24"/>
        </w:rPr>
        <w:t>Mail</w:t>
      </w:r>
      <w:r w:rsidR="00847585" w:rsidRPr="00847585">
        <w:rPr>
          <w:sz w:val="24"/>
        </w:rPr>
        <w:t xml:space="preserve"> and 8,000 by </w:t>
      </w:r>
      <w:r w:rsidR="004F7A2A">
        <w:rPr>
          <w:sz w:val="24"/>
        </w:rPr>
        <w:t>Mail</w:t>
      </w:r>
      <w:r w:rsidR="00847585" w:rsidRPr="00847585">
        <w:rPr>
          <w:sz w:val="24"/>
        </w:rPr>
        <w:t xml:space="preserve"> with the </w:t>
      </w:r>
      <w:r w:rsidR="0068536B">
        <w:rPr>
          <w:sz w:val="24"/>
        </w:rPr>
        <w:t>W</w:t>
      </w:r>
      <w:r w:rsidR="00847585" w:rsidRPr="00847585">
        <w:rPr>
          <w:sz w:val="24"/>
        </w:rPr>
        <w:t xml:space="preserve">eb URL, username, and password included in the </w:t>
      </w:r>
      <w:r w:rsidR="0068536B">
        <w:rPr>
          <w:sz w:val="24"/>
        </w:rPr>
        <w:t xml:space="preserve">invitation </w:t>
      </w:r>
      <w:r w:rsidR="00847585" w:rsidRPr="00847585">
        <w:rPr>
          <w:sz w:val="24"/>
        </w:rPr>
        <w:t>letter).</w:t>
      </w:r>
      <w:r w:rsidR="003675E7" w:rsidRPr="00847585">
        <w:rPr>
          <w:sz w:val="24"/>
        </w:rPr>
        <w:t xml:space="preserve"> </w:t>
      </w:r>
    </w:p>
    <w:p w:rsidR="005511C4" w:rsidRDefault="005511C4" w:rsidP="00272F8F">
      <w:pPr>
        <w:rPr>
          <w:sz w:val="24"/>
        </w:rPr>
      </w:pPr>
    </w:p>
    <w:p w:rsidR="005511C4" w:rsidRDefault="00575FCD" w:rsidP="00272F8F">
      <w:pPr>
        <w:rPr>
          <w:sz w:val="24"/>
        </w:rPr>
      </w:pPr>
      <w:r>
        <w:rPr>
          <w:sz w:val="24"/>
        </w:rPr>
        <w:t>Mail respondents</w:t>
      </w:r>
      <w:r w:rsidR="00E629A7">
        <w:rPr>
          <w:sz w:val="24"/>
        </w:rPr>
        <w:t xml:space="preserve"> will receive a</w:t>
      </w:r>
      <w:r>
        <w:rPr>
          <w:sz w:val="24"/>
        </w:rPr>
        <w:t xml:space="preserve"> </w:t>
      </w:r>
      <w:r w:rsidR="00272F8F" w:rsidRPr="00C13FF7">
        <w:rPr>
          <w:sz w:val="24"/>
        </w:rPr>
        <w:t>two</w:t>
      </w:r>
      <w:r w:rsidR="00272F8F">
        <w:rPr>
          <w:sz w:val="24"/>
        </w:rPr>
        <w:t>-phase</w:t>
      </w:r>
      <w:r w:rsidR="00E629A7">
        <w:rPr>
          <w:sz w:val="24"/>
        </w:rPr>
        <w:t xml:space="preserve"> self-administered survey. </w:t>
      </w:r>
      <w:r w:rsidRPr="00C13FF7">
        <w:rPr>
          <w:sz w:val="24"/>
        </w:rPr>
        <w:t>In</w:t>
      </w:r>
      <w:r w:rsidR="00662F47">
        <w:rPr>
          <w:sz w:val="24"/>
        </w:rPr>
        <w:t xml:space="preserve"> the first phase, households will be</w:t>
      </w:r>
      <w:r w:rsidRPr="00C13FF7">
        <w:rPr>
          <w:sz w:val="24"/>
        </w:rPr>
        <w:t xml:space="preserve"> screened to determine </w:t>
      </w:r>
      <w:r w:rsidR="00E629A7" w:rsidRPr="00847585">
        <w:rPr>
          <w:sz w:val="24"/>
        </w:rPr>
        <w:t>if there are any children age 17 or younger who usuall</w:t>
      </w:r>
      <w:r w:rsidR="005A5667">
        <w:rPr>
          <w:sz w:val="24"/>
        </w:rPr>
        <w:t>y liv</w:t>
      </w:r>
      <w:r w:rsidR="005511C4">
        <w:rPr>
          <w:sz w:val="24"/>
        </w:rPr>
        <w:t>e or stay at that address. T</w:t>
      </w:r>
      <w:r w:rsidR="005A5667">
        <w:rPr>
          <w:sz w:val="24"/>
        </w:rPr>
        <w:t>hose households that meet the</w:t>
      </w:r>
      <w:r w:rsidR="00E629A7" w:rsidRPr="00847585">
        <w:rPr>
          <w:sz w:val="24"/>
        </w:rPr>
        <w:t xml:space="preserve"> eligibility criteria go on to roster the children living </w:t>
      </w:r>
      <w:r w:rsidR="005511C4">
        <w:rPr>
          <w:sz w:val="24"/>
        </w:rPr>
        <w:t>at that address</w:t>
      </w:r>
      <w:r w:rsidR="00E629A7" w:rsidRPr="00847585">
        <w:rPr>
          <w:sz w:val="24"/>
        </w:rPr>
        <w:t xml:space="preserve"> and answer  questions to determine the special needs status of each child</w:t>
      </w:r>
      <w:r w:rsidR="00E629A7">
        <w:rPr>
          <w:sz w:val="24"/>
        </w:rPr>
        <w:t xml:space="preserve"> (up to 4 children)</w:t>
      </w:r>
      <w:r w:rsidR="00E629A7" w:rsidRPr="00847585">
        <w:rPr>
          <w:sz w:val="24"/>
        </w:rPr>
        <w:t>.</w:t>
      </w:r>
      <w:r w:rsidR="00E629A7">
        <w:rPr>
          <w:sz w:val="24"/>
        </w:rPr>
        <w:t xml:space="preserve"> Detailed information will be collected for Child 1 – Child 4, while basic information (name, age, and sex) will be collected for Child 5 – Child 10. In the second phase, households that are deemed to have</w:t>
      </w:r>
      <w:r w:rsidRPr="00C13FF7">
        <w:rPr>
          <w:sz w:val="24"/>
        </w:rPr>
        <w:t xml:space="preserve"> eligible </w:t>
      </w:r>
      <w:r w:rsidR="00E629A7">
        <w:rPr>
          <w:sz w:val="24"/>
        </w:rPr>
        <w:t>children will be mailed one of</w:t>
      </w:r>
      <w:r w:rsidR="00272F8F">
        <w:rPr>
          <w:sz w:val="24"/>
        </w:rPr>
        <w:t xml:space="preserve"> the three age-</w:t>
      </w:r>
      <w:r w:rsidR="00E629A7">
        <w:rPr>
          <w:sz w:val="24"/>
        </w:rPr>
        <w:t>based topical questionnaires</w:t>
      </w:r>
      <w:r w:rsidR="005A5667">
        <w:rPr>
          <w:sz w:val="24"/>
        </w:rPr>
        <w:t xml:space="preserve"> that </w:t>
      </w:r>
      <w:r w:rsidR="002B0F0F">
        <w:rPr>
          <w:sz w:val="24"/>
        </w:rPr>
        <w:t xml:space="preserve">request more information </w:t>
      </w:r>
      <w:r w:rsidR="005A5667">
        <w:rPr>
          <w:sz w:val="24"/>
        </w:rPr>
        <w:t>about one specific child living at that address</w:t>
      </w:r>
      <w:r w:rsidR="00E629A7">
        <w:rPr>
          <w:sz w:val="24"/>
        </w:rPr>
        <w:t>.</w:t>
      </w:r>
      <w:r w:rsidR="00272F8F">
        <w:rPr>
          <w:sz w:val="24"/>
        </w:rPr>
        <w:t xml:space="preserve"> </w:t>
      </w:r>
    </w:p>
    <w:p w:rsidR="005511C4" w:rsidRDefault="005511C4" w:rsidP="00272F8F">
      <w:pPr>
        <w:rPr>
          <w:sz w:val="24"/>
        </w:rPr>
      </w:pPr>
    </w:p>
    <w:p w:rsidR="00272F8F" w:rsidRDefault="00272F8F" w:rsidP="00272F8F">
      <w:pPr>
        <w:rPr>
          <w:sz w:val="24"/>
        </w:rPr>
      </w:pPr>
      <w:r>
        <w:rPr>
          <w:sz w:val="24"/>
        </w:rPr>
        <w:t xml:space="preserve">Web respondents will receive a mailed request </w:t>
      </w:r>
      <w:r w:rsidR="005511C4">
        <w:rPr>
          <w:sz w:val="24"/>
        </w:rPr>
        <w:t xml:space="preserve">to complete a </w:t>
      </w:r>
      <w:r>
        <w:rPr>
          <w:sz w:val="24"/>
        </w:rPr>
        <w:t xml:space="preserve">single-phase self-administered survey. This means that the screener and the topical </w:t>
      </w:r>
      <w:r w:rsidR="005A5667">
        <w:rPr>
          <w:sz w:val="24"/>
        </w:rPr>
        <w:t>are</w:t>
      </w:r>
      <w:r>
        <w:rPr>
          <w:sz w:val="24"/>
        </w:rPr>
        <w:t xml:space="preserve"> combined into a single online Web </w:t>
      </w:r>
      <w:r w:rsidR="005A5667">
        <w:rPr>
          <w:sz w:val="24"/>
        </w:rPr>
        <w:t xml:space="preserve">instrument. These respondents would </w:t>
      </w:r>
      <w:r w:rsidR="00662F47">
        <w:rPr>
          <w:sz w:val="24"/>
        </w:rPr>
        <w:t>receive the</w:t>
      </w:r>
      <w:r w:rsidR="005A5667">
        <w:rPr>
          <w:sz w:val="24"/>
        </w:rPr>
        <w:t xml:space="preserve"> same </w:t>
      </w:r>
      <w:r w:rsidR="00662F47">
        <w:rPr>
          <w:sz w:val="24"/>
        </w:rPr>
        <w:t xml:space="preserve">“screening” </w:t>
      </w:r>
      <w:r w:rsidR="006D0F82">
        <w:rPr>
          <w:sz w:val="24"/>
        </w:rPr>
        <w:t>questions</w:t>
      </w:r>
      <w:r w:rsidR="005511C4">
        <w:rPr>
          <w:sz w:val="24"/>
        </w:rPr>
        <w:t xml:space="preserve"> as the Mail respondents</w:t>
      </w:r>
      <w:r w:rsidR="005A5667">
        <w:rPr>
          <w:sz w:val="24"/>
        </w:rPr>
        <w:t xml:space="preserve">, but would </w:t>
      </w:r>
      <w:r w:rsidR="005511C4">
        <w:rPr>
          <w:sz w:val="24"/>
        </w:rPr>
        <w:t xml:space="preserve">instead </w:t>
      </w:r>
      <w:r w:rsidR="005A5667">
        <w:rPr>
          <w:sz w:val="24"/>
        </w:rPr>
        <w:t>be requested to complete detailed information for as many children as they have living or staying at that address.</w:t>
      </w:r>
      <w:r w:rsidR="005511C4">
        <w:rPr>
          <w:sz w:val="24"/>
        </w:rPr>
        <w:t xml:space="preserve"> </w:t>
      </w:r>
      <w:r w:rsidR="00662F47">
        <w:rPr>
          <w:sz w:val="24"/>
        </w:rPr>
        <w:t>Web respondents</w:t>
      </w:r>
      <w:r w:rsidR="005511C4">
        <w:rPr>
          <w:sz w:val="24"/>
        </w:rPr>
        <w:t xml:space="preserve"> would still only have one child selected for an age-based topical questionnaire</w:t>
      </w:r>
      <w:r w:rsidR="005A5667">
        <w:rPr>
          <w:sz w:val="24"/>
        </w:rPr>
        <w:t xml:space="preserve"> </w:t>
      </w:r>
      <w:r w:rsidR="005511C4">
        <w:rPr>
          <w:sz w:val="24"/>
        </w:rPr>
        <w:t>and would be taken directly into it after reviewing their child roster on the child dashboard screen.</w:t>
      </w:r>
    </w:p>
    <w:p w:rsidR="002B0F0F" w:rsidRDefault="002B0F0F" w:rsidP="00272F8F">
      <w:pPr>
        <w:rPr>
          <w:sz w:val="24"/>
        </w:rPr>
      </w:pPr>
    </w:p>
    <w:p w:rsidR="002B0F0F" w:rsidRPr="00847585" w:rsidRDefault="002B0F0F" w:rsidP="002B0F0F">
      <w:pPr>
        <w:rPr>
          <w:sz w:val="24"/>
        </w:rPr>
      </w:pPr>
      <w:r>
        <w:rPr>
          <w:sz w:val="24"/>
        </w:rPr>
        <w:t xml:space="preserve">The </w:t>
      </w:r>
      <w:r w:rsidRPr="00847585">
        <w:rPr>
          <w:sz w:val="24"/>
        </w:rPr>
        <w:t xml:space="preserve">topical survey </w:t>
      </w:r>
      <w:r>
        <w:rPr>
          <w:sz w:val="24"/>
        </w:rPr>
        <w:t xml:space="preserve">(for both Mail and Web) </w:t>
      </w:r>
      <w:r w:rsidRPr="00847585">
        <w:rPr>
          <w:sz w:val="24"/>
        </w:rPr>
        <w:t>will cover the follo</w:t>
      </w:r>
      <w:r>
        <w:rPr>
          <w:sz w:val="24"/>
        </w:rPr>
        <w:t xml:space="preserve">wing content areas: </w:t>
      </w:r>
      <w:r w:rsidRPr="00847585">
        <w:rPr>
          <w:sz w:val="24"/>
        </w:rPr>
        <w:t>child’s health and functional status;</w:t>
      </w:r>
      <w:r>
        <w:rPr>
          <w:sz w:val="24"/>
        </w:rPr>
        <w:t xml:space="preserve"> the child as an infant; health care services; experience with child’s health care providers; child’s</w:t>
      </w:r>
      <w:r w:rsidRPr="00847585">
        <w:rPr>
          <w:sz w:val="24"/>
        </w:rPr>
        <w:t xml:space="preserve"> health insurance coverage</w:t>
      </w:r>
      <w:r>
        <w:rPr>
          <w:sz w:val="24"/>
        </w:rPr>
        <w:t xml:space="preserve"> and experience of </w:t>
      </w:r>
      <w:r w:rsidRPr="00847585">
        <w:rPr>
          <w:sz w:val="24"/>
        </w:rPr>
        <w:t>uninsured children in low income families;</w:t>
      </w:r>
      <w:r>
        <w:rPr>
          <w:sz w:val="24"/>
        </w:rPr>
        <w:t xml:space="preserve"> providing for the child’s health; the child’s learning, schooling, and activities; </w:t>
      </w:r>
      <w:r w:rsidRPr="00847585">
        <w:rPr>
          <w:sz w:val="24"/>
        </w:rPr>
        <w:t>family functioning; parental health; neighborhood and community characteristics</w:t>
      </w:r>
      <w:r>
        <w:rPr>
          <w:sz w:val="24"/>
        </w:rPr>
        <w:t>; and adult demographics</w:t>
      </w:r>
      <w:r w:rsidRPr="00847585">
        <w:rPr>
          <w:sz w:val="24"/>
        </w:rPr>
        <w:t xml:space="preserve">. </w:t>
      </w:r>
    </w:p>
    <w:p w:rsidR="00272F8F" w:rsidRDefault="00272F8F" w:rsidP="00272F8F">
      <w:pPr>
        <w:rPr>
          <w:sz w:val="24"/>
        </w:rPr>
      </w:pPr>
    </w:p>
    <w:p w:rsidR="00272F8F" w:rsidRDefault="00272F8F" w:rsidP="00272F8F">
      <w:pPr>
        <w:rPr>
          <w:sz w:val="24"/>
        </w:rPr>
      </w:pPr>
      <w:r w:rsidRPr="00C13FF7">
        <w:rPr>
          <w:sz w:val="24"/>
        </w:rPr>
        <w:t xml:space="preserve">The </w:t>
      </w:r>
      <w:r>
        <w:rPr>
          <w:sz w:val="24"/>
        </w:rPr>
        <w:t>NSCH Pretest</w:t>
      </w:r>
      <w:r w:rsidRPr="00C13FF7">
        <w:rPr>
          <w:sz w:val="24"/>
        </w:rPr>
        <w:t xml:space="preserve"> employs multiple contacts with households to maximize response.  These include an advance letter, up to four questionnaire mailings at each phase, as well as one reminder post</w:t>
      </w:r>
      <w:r w:rsidR="002B0F0F">
        <w:rPr>
          <w:sz w:val="24"/>
        </w:rPr>
        <w:t>card</w:t>
      </w:r>
      <w:r w:rsidRPr="00C13FF7">
        <w:rPr>
          <w:sz w:val="24"/>
        </w:rPr>
        <w:t>.</w:t>
      </w:r>
      <w:r w:rsidRPr="00272F8F">
        <w:rPr>
          <w:sz w:val="24"/>
        </w:rPr>
        <w:t xml:space="preserve"> </w:t>
      </w:r>
      <w:r w:rsidRPr="00C13FF7">
        <w:rPr>
          <w:sz w:val="24"/>
        </w:rPr>
        <w:t>The questionnaires and letters can be found in Appendix B.</w:t>
      </w:r>
    </w:p>
    <w:p w:rsidR="00575FCD" w:rsidRDefault="00575FCD" w:rsidP="003675E7">
      <w:pPr>
        <w:rPr>
          <w:sz w:val="24"/>
        </w:rPr>
      </w:pPr>
    </w:p>
    <w:p w:rsidR="00575FCD" w:rsidRDefault="00575FCD" w:rsidP="003675E7">
      <w:pPr>
        <w:rPr>
          <w:sz w:val="24"/>
        </w:rPr>
      </w:pPr>
    </w:p>
    <w:p w:rsidR="00575FCD" w:rsidRDefault="00575FCD" w:rsidP="003675E7">
      <w:pPr>
        <w:rPr>
          <w:sz w:val="24"/>
        </w:rPr>
      </w:pPr>
    </w:p>
    <w:p w:rsidR="00844607" w:rsidRPr="000D0403" w:rsidRDefault="00844607" w:rsidP="00A82015">
      <w:pPr>
        <w:pStyle w:val="Heading2"/>
        <w:numPr>
          <w:ilvl w:val="0"/>
          <w:numId w:val="15"/>
        </w:numPr>
        <w:spacing w:before="120" w:after="120"/>
        <w:ind w:left="360"/>
        <w:rPr>
          <w:rFonts w:ascii="Times New Roman" w:hAnsi="Times New Roman" w:cs="Times New Roman"/>
          <w:i w:val="0"/>
          <w:sz w:val="24"/>
          <w:szCs w:val="24"/>
        </w:rPr>
      </w:pPr>
      <w:bookmarkStart w:id="1" w:name="_Toc151782201"/>
      <w:bookmarkStart w:id="2" w:name="_Toc158526237"/>
      <w:r w:rsidRPr="000D0403">
        <w:rPr>
          <w:rFonts w:ascii="Times New Roman" w:hAnsi="Times New Roman" w:cs="Times New Roman"/>
          <w:i w:val="0"/>
          <w:sz w:val="24"/>
          <w:szCs w:val="24"/>
        </w:rPr>
        <w:lastRenderedPageBreak/>
        <w:t xml:space="preserve">Methods to Maximize </w:t>
      </w:r>
      <w:r w:rsidR="0017502A" w:rsidRPr="000D0403">
        <w:rPr>
          <w:rFonts w:ascii="Times New Roman" w:hAnsi="Times New Roman" w:cs="Times New Roman"/>
          <w:i w:val="0"/>
          <w:sz w:val="24"/>
          <w:szCs w:val="24"/>
        </w:rPr>
        <w:t xml:space="preserve">Participation </w:t>
      </w:r>
      <w:r w:rsidRPr="000D0403">
        <w:rPr>
          <w:rFonts w:ascii="Times New Roman" w:hAnsi="Times New Roman" w:cs="Times New Roman"/>
          <w:i w:val="0"/>
          <w:sz w:val="24"/>
          <w:szCs w:val="24"/>
        </w:rPr>
        <w:t>Rates</w:t>
      </w:r>
      <w:bookmarkEnd w:id="1"/>
      <w:bookmarkEnd w:id="2"/>
      <w:r w:rsidR="009A1202" w:rsidRPr="000D0403">
        <w:rPr>
          <w:rFonts w:ascii="Times New Roman" w:hAnsi="Times New Roman" w:cs="Times New Roman"/>
          <w:i w:val="0"/>
          <w:sz w:val="24"/>
          <w:szCs w:val="24"/>
        </w:rPr>
        <w:t xml:space="preserve"> </w:t>
      </w:r>
      <w:r w:rsidR="009D3E7E" w:rsidRPr="000D0403">
        <w:rPr>
          <w:rFonts w:ascii="Times New Roman" w:hAnsi="Times New Roman" w:cs="Times New Roman"/>
          <w:i w:val="0"/>
          <w:sz w:val="24"/>
          <w:szCs w:val="24"/>
        </w:rPr>
        <w:t>and Deal with Nonresponse</w:t>
      </w:r>
    </w:p>
    <w:p w:rsidR="005F11C1" w:rsidRPr="003F2B59" w:rsidRDefault="005F11C1" w:rsidP="005F11C1">
      <w:pPr>
        <w:rPr>
          <w:rFonts w:cs="Arial"/>
          <w:sz w:val="24"/>
        </w:rPr>
      </w:pPr>
      <w:r w:rsidRPr="003F2B59">
        <w:rPr>
          <w:rFonts w:cs="Arial"/>
          <w:sz w:val="24"/>
        </w:rPr>
        <w:t xml:space="preserve">In designing the various </w:t>
      </w:r>
      <w:r w:rsidR="000D0403">
        <w:rPr>
          <w:rFonts w:cs="Arial"/>
          <w:sz w:val="24"/>
        </w:rPr>
        <w:t>modes</w:t>
      </w:r>
      <w:r w:rsidRPr="003F2B59">
        <w:rPr>
          <w:rFonts w:cs="Arial"/>
          <w:sz w:val="24"/>
        </w:rPr>
        <w:t xml:space="preserve"> of the NSCH </w:t>
      </w:r>
      <w:r w:rsidR="000D0403">
        <w:rPr>
          <w:rFonts w:cs="Arial"/>
          <w:sz w:val="24"/>
        </w:rPr>
        <w:t>Pretest screener and topical questionnaires</w:t>
      </w:r>
      <w:r w:rsidRPr="003F2B59">
        <w:rPr>
          <w:rFonts w:cs="Arial"/>
          <w:sz w:val="24"/>
        </w:rPr>
        <w:t>, attention will be placed on the following design elements</w:t>
      </w:r>
      <w:r w:rsidRPr="003F2B59">
        <w:rPr>
          <w:sz w:val="24"/>
        </w:rPr>
        <w:t xml:space="preserve"> to help increase cooperation by prospective respondents.  </w:t>
      </w:r>
    </w:p>
    <w:p w:rsidR="005F11C1" w:rsidRPr="003F2B59" w:rsidRDefault="005F11C1" w:rsidP="005F11C1">
      <w:pPr>
        <w:rPr>
          <w:rFonts w:cs="Arial"/>
          <w:sz w:val="24"/>
        </w:rPr>
      </w:pPr>
    </w:p>
    <w:p w:rsidR="005F11C1" w:rsidRPr="003F2B59" w:rsidRDefault="005F11C1" w:rsidP="005F11C1">
      <w:pPr>
        <w:widowControl/>
        <w:numPr>
          <w:ilvl w:val="0"/>
          <w:numId w:val="7"/>
        </w:numPr>
        <w:autoSpaceDE/>
        <w:autoSpaceDN/>
        <w:adjustRightInd/>
        <w:contextualSpacing/>
        <w:rPr>
          <w:rFonts w:cs="Arial"/>
          <w:sz w:val="24"/>
        </w:rPr>
      </w:pPr>
      <w:r w:rsidRPr="003F2B59">
        <w:rPr>
          <w:rFonts w:cs="Arial"/>
          <w:sz w:val="24"/>
        </w:rPr>
        <w:t>In developing  and refining specific questions, the goal will be to create a logical, clear questionnaire with concrete question wording and simple grammar</w:t>
      </w:r>
    </w:p>
    <w:p w:rsidR="005F11C1" w:rsidRPr="003F2B59" w:rsidRDefault="0068536B" w:rsidP="005F11C1">
      <w:pPr>
        <w:widowControl/>
        <w:numPr>
          <w:ilvl w:val="0"/>
          <w:numId w:val="7"/>
        </w:numPr>
        <w:autoSpaceDE/>
        <w:autoSpaceDN/>
        <w:adjustRightInd/>
        <w:contextualSpacing/>
        <w:rPr>
          <w:rFonts w:cs="Arial"/>
          <w:sz w:val="24"/>
        </w:rPr>
      </w:pPr>
      <w:r>
        <w:rPr>
          <w:rFonts w:cs="Arial"/>
          <w:sz w:val="24"/>
        </w:rPr>
        <w:t>The Mail and W</w:t>
      </w:r>
      <w:r w:rsidR="005F11C1" w:rsidRPr="003F2B59">
        <w:rPr>
          <w:rFonts w:cs="Arial"/>
          <w:sz w:val="24"/>
        </w:rPr>
        <w:t>eb versions of the questionnaire will be attractive with clear and simple instructions on how to complete specific questions</w:t>
      </w:r>
    </w:p>
    <w:p w:rsidR="005F11C1" w:rsidRPr="003F2B59" w:rsidRDefault="005F11C1" w:rsidP="005F11C1">
      <w:pPr>
        <w:widowControl/>
        <w:numPr>
          <w:ilvl w:val="0"/>
          <w:numId w:val="7"/>
        </w:numPr>
        <w:autoSpaceDE/>
        <w:autoSpaceDN/>
        <w:adjustRightInd/>
        <w:contextualSpacing/>
        <w:rPr>
          <w:rFonts w:cs="Arial"/>
          <w:sz w:val="24"/>
        </w:rPr>
      </w:pPr>
      <w:r w:rsidRPr="003F2B59">
        <w:rPr>
          <w:rFonts w:cs="Arial"/>
          <w:sz w:val="24"/>
        </w:rPr>
        <w:t>Questions will be grouped according to subject areas</w:t>
      </w:r>
    </w:p>
    <w:p w:rsidR="005F11C1" w:rsidRPr="003F2B59" w:rsidRDefault="005F11C1" w:rsidP="005F11C1">
      <w:pPr>
        <w:widowControl/>
        <w:numPr>
          <w:ilvl w:val="0"/>
          <w:numId w:val="7"/>
        </w:numPr>
        <w:autoSpaceDE/>
        <w:autoSpaceDN/>
        <w:adjustRightInd/>
        <w:contextualSpacing/>
        <w:rPr>
          <w:rFonts w:cs="Arial"/>
          <w:sz w:val="24"/>
        </w:rPr>
      </w:pPr>
      <w:r w:rsidRPr="003F2B59">
        <w:rPr>
          <w:rFonts w:cs="Arial"/>
          <w:sz w:val="24"/>
        </w:rPr>
        <w:t>Questionnaire formatting will maximize readability, including appropriate question spacing, font type and size, and easy to follow skip instructions</w:t>
      </w:r>
    </w:p>
    <w:p w:rsidR="005F11C1" w:rsidRDefault="005F11C1" w:rsidP="005F11C1">
      <w:pPr>
        <w:widowControl/>
        <w:numPr>
          <w:ilvl w:val="0"/>
          <w:numId w:val="7"/>
        </w:numPr>
        <w:autoSpaceDE/>
        <w:autoSpaceDN/>
        <w:adjustRightInd/>
        <w:contextualSpacing/>
        <w:rPr>
          <w:rFonts w:cs="Arial"/>
          <w:sz w:val="24"/>
        </w:rPr>
      </w:pPr>
      <w:r w:rsidRPr="003F2B59">
        <w:rPr>
          <w:rFonts w:cs="Arial"/>
          <w:sz w:val="24"/>
        </w:rPr>
        <w:t>Questionnaire formatting considerations will also in</w:t>
      </w:r>
      <w:r w:rsidR="008C4E06">
        <w:rPr>
          <w:rFonts w:cs="Arial"/>
          <w:sz w:val="24"/>
        </w:rPr>
        <w:t>clude the use of color</w:t>
      </w:r>
      <w:r w:rsidRPr="003F2B59">
        <w:rPr>
          <w:rFonts w:cs="Arial"/>
          <w:sz w:val="24"/>
        </w:rPr>
        <w:t xml:space="preserve"> and pictures to enhance respondent comprehension</w:t>
      </w:r>
    </w:p>
    <w:p w:rsidR="00E03D4A" w:rsidRDefault="008C4E06" w:rsidP="00E03D4A">
      <w:pPr>
        <w:widowControl/>
        <w:numPr>
          <w:ilvl w:val="0"/>
          <w:numId w:val="7"/>
        </w:numPr>
        <w:autoSpaceDE/>
        <w:autoSpaceDN/>
        <w:adjustRightInd/>
        <w:contextualSpacing/>
        <w:rPr>
          <w:rFonts w:cs="Arial"/>
          <w:sz w:val="24"/>
        </w:rPr>
      </w:pPr>
      <w:r>
        <w:rPr>
          <w:rFonts w:cs="Arial"/>
          <w:sz w:val="24"/>
        </w:rPr>
        <w:t>Responden</w:t>
      </w:r>
      <w:r w:rsidR="0092317A">
        <w:rPr>
          <w:rFonts w:cs="Arial"/>
          <w:sz w:val="24"/>
        </w:rPr>
        <w:t>t contact strategies and letters have been carefully put together to grab the attention of the respondent and peek interest in the subject matter</w:t>
      </w:r>
    </w:p>
    <w:p w:rsidR="005F11C1" w:rsidRPr="00E03D4A" w:rsidRDefault="00E03D4A" w:rsidP="00E03D4A">
      <w:pPr>
        <w:widowControl/>
        <w:numPr>
          <w:ilvl w:val="0"/>
          <w:numId w:val="7"/>
        </w:numPr>
        <w:autoSpaceDE/>
        <w:autoSpaceDN/>
        <w:adjustRightInd/>
        <w:contextualSpacing/>
        <w:rPr>
          <w:sz w:val="24"/>
        </w:rPr>
      </w:pPr>
      <w:r w:rsidRPr="00E03D4A">
        <w:rPr>
          <w:color w:val="000000"/>
          <w:sz w:val="24"/>
        </w:rPr>
        <w:t>In addition to the methods above, we have designed a multi-wave incentive experiment to evaluate the efficacy of incentives as a means of increasing resp</w:t>
      </w:r>
      <w:r>
        <w:rPr>
          <w:color w:val="000000"/>
          <w:sz w:val="24"/>
        </w:rPr>
        <w:t>ondent cooperation with the NSCH Pretest</w:t>
      </w:r>
      <w:r w:rsidRPr="00E03D4A">
        <w:rPr>
          <w:color w:val="000000"/>
          <w:sz w:val="24"/>
        </w:rPr>
        <w:t>.</w:t>
      </w:r>
      <w:r>
        <w:rPr>
          <w:color w:val="000000"/>
          <w:sz w:val="24"/>
        </w:rPr>
        <w:t xml:space="preserve"> See </w:t>
      </w:r>
      <w:r w:rsidRPr="00E03D4A">
        <w:rPr>
          <w:b/>
          <w:color w:val="000000"/>
          <w:sz w:val="24"/>
        </w:rPr>
        <w:t>Section A.9</w:t>
      </w:r>
      <w:r>
        <w:rPr>
          <w:color w:val="000000"/>
          <w:sz w:val="24"/>
        </w:rPr>
        <w:t xml:space="preserve"> of the supporting statement for more information on incentives.</w:t>
      </w:r>
    </w:p>
    <w:p w:rsidR="00E03D4A" w:rsidRPr="00E03D4A" w:rsidRDefault="00E03D4A" w:rsidP="00E03D4A">
      <w:pPr>
        <w:widowControl/>
        <w:autoSpaceDE/>
        <w:autoSpaceDN/>
        <w:adjustRightInd/>
        <w:ind w:left="720"/>
        <w:contextualSpacing/>
        <w:rPr>
          <w:rFonts w:cs="Arial"/>
          <w:sz w:val="24"/>
        </w:rPr>
      </w:pPr>
    </w:p>
    <w:p w:rsidR="00FB0388" w:rsidRPr="0046635E" w:rsidRDefault="0025389A" w:rsidP="00FB0388">
      <w:pPr>
        <w:rPr>
          <w:sz w:val="24"/>
        </w:rPr>
      </w:pPr>
      <w:r>
        <w:rPr>
          <w:rFonts w:cs="Arial"/>
          <w:sz w:val="24"/>
        </w:rPr>
        <w:t>Data</w:t>
      </w:r>
      <w:r w:rsidR="00FB0388" w:rsidRPr="00AB1A58">
        <w:rPr>
          <w:rFonts w:cs="Arial"/>
          <w:sz w:val="24"/>
        </w:rPr>
        <w:t xml:space="preserve"> collection for the </w:t>
      </w:r>
      <w:r w:rsidR="0092317A">
        <w:rPr>
          <w:rFonts w:cs="Arial"/>
          <w:sz w:val="24"/>
        </w:rPr>
        <w:t>NSCH Pretest</w:t>
      </w:r>
      <w:r w:rsidR="00FB0388" w:rsidRPr="00AB1A58">
        <w:rPr>
          <w:rFonts w:cs="Arial"/>
          <w:sz w:val="24"/>
        </w:rPr>
        <w:t xml:space="preserve"> will involve a series of mailings and </w:t>
      </w:r>
      <w:r w:rsidR="0068536B">
        <w:rPr>
          <w:rFonts w:cs="Arial"/>
          <w:i/>
          <w:sz w:val="24"/>
        </w:rPr>
        <w:t>non</w:t>
      </w:r>
      <w:r w:rsidR="00FB0388" w:rsidRPr="00AB1A58">
        <w:rPr>
          <w:rFonts w:cs="Arial"/>
          <w:i/>
          <w:sz w:val="24"/>
        </w:rPr>
        <w:t>response follow-up activities</w:t>
      </w:r>
      <w:r w:rsidR="0092317A">
        <w:rPr>
          <w:rFonts w:cs="Arial"/>
          <w:sz w:val="24"/>
        </w:rPr>
        <w:t xml:space="preserve">, </w:t>
      </w:r>
      <w:r w:rsidR="00FB0388" w:rsidRPr="00AB1A58">
        <w:rPr>
          <w:rFonts w:cs="Arial"/>
          <w:sz w:val="24"/>
        </w:rPr>
        <w:t>emphasizing questionnaire completion</w:t>
      </w:r>
      <w:r w:rsidR="000410EE" w:rsidRPr="00AB1A58">
        <w:rPr>
          <w:rFonts w:cs="Arial"/>
          <w:sz w:val="24"/>
        </w:rPr>
        <w:t>.</w:t>
      </w:r>
      <w:r w:rsidR="00FB0388" w:rsidRPr="00AB1A58">
        <w:rPr>
          <w:rFonts w:cs="Arial"/>
          <w:sz w:val="24"/>
        </w:rPr>
        <w:t xml:space="preserve"> Our proposed appr</w:t>
      </w:r>
      <w:r w:rsidR="0068536B">
        <w:rPr>
          <w:rFonts w:cs="Arial"/>
          <w:sz w:val="24"/>
        </w:rPr>
        <w:t>oach to data collection and non</w:t>
      </w:r>
      <w:r w:rsidR="00FB0388" w:rsidRPr="00AB1A58">
        <w:rPr>
          <w:rFonts w:cs="Arial"/>
          <w:sz w:val="24"/>
        </w:rPr>
        <w:t xml:space="preserve">response follow-up </w:t>
      </w:r>
      <w:r w:rsidR="00FB0388" w:rsidRPr="0046635E">
        <w:rPr>
          <w:rFonts w:cs="Arial"/>
          <w:sz w:val="24"/>
        </w:rPr>
        <w:t>is based on previous project experience and recommendations made by Dillman and colleagues (2009)</w:t>
      </w:r>
      <w:r w:rsidR="004978F2" w:rsidRPr="0046635E">
        <w:rPr>
          <w:rStyle w:val="FootnoteReference"/>
          <w:rFonts w:cs="Arial"/>
          <w:sz w:val="24"/>
        </w:rPr>
        <w:footnoteReference w:id="5"/>
      </w:r>
      <w:r w:rsidR="00FB0388" w:rsidRPr="0046635E">
        <w:rPr>
          <w:rFonts w:cs="Arial"/>
          <w:sz w:val="24"/>
        </w:rPr>
        <w:t xml:space="preserve">.  </w:t>
      </w:r>
    </w:p>
    <w:p w:rsidR="00FB0388" w:rsidRPr="0046635E" w:rsidRDefault="00FB0388" w:rsidP="00FB0388">
      <w:pPr>
        <w:tabs>
          <w:tab w:val="right" w:pos="9360"/>
        </w:tabs>
        <w:rPr>
          <w:rFonts w:cs="Arial"/>
          <w:b/>
          <w:i/>
          <w:color w:val="72A492"/>
          <w:sz w:val="24"/>
        </w:rPr>
      </w:pPr>
    </w:p>
    <w:p w:rsidR="00C41552" w:rsidRPr="0046635E" w:rsidRDefault="0092317A" w:rsidP="0046635E">
      <w:pPr>
        <w:pStyle w:val="ListParagraph"/>
        <w:numPr>
          <w:ilvl w:val="0"/>
          <w:numId w:val="8"/>
        </w:numPr>
        <w:tabs>
          <w:tab w:val="right" w:pos="9360"/>
        </w:tabs>
        <w:rPr>
          <w:rFonts w:cs="Arial"/>
          <w:sz w:val="24"/>
        </w:rPr>
      </w:pPr>
      <w:r>
        <w:rPr>
          <w:rFonts w:cs="Arial"/>
          <w:i/>
          <w:sz w:val="24"/>
        </w:rPr>
        <w:t xml:space="preserve">Advance Letter and </w:t>
      </w:r>
      <w:r w:rsidR="000C6913">
        <w:rPr>
          <w:rFonts w:cs="Arial"/>
          <w:i/>
          <w:sz w:val="24"/>
        </w:rPr>
        <w:t>Invitation Letter for Paper and Web</w:t>
      </w:r>
      <w:r w:rsidR="000B74EB" w:rsidRPr="0046635E">
        <w:rPr>
          <w:rFonts w:cs="Arial"/>
          <w:i/>
          <w:sz w:val="24"/>
        </w:rPr>
        <w:t>.</w:t>
      </w:r>
      <w:r w:rsidR="000B74EB" w:rsidRPr="0046635E">
        <w:rPr>
          <w:rFonts w:cs="Arial"/>
          <w:sz w:val="24"/>
        </w:rPr>
        <w:t xml:space="preserve"> </w:t>
      </w:r>
      <w:r>
        <w:rPr>
          <w:rFonts w:cs="Arial"/>
          <w:sz w:val="24"/>
        </w:rPr>
        <w:t>For both</w:t>
      </w:r>
      <w:r w:rsidR="0041432C" w:rsidRPr="0046635E">
        <w:rPr>
          <w:rFonts w:cs="Arial"/>
          <w:sz w:val="24"/>
        </w:rPr>
        <w:t xml:space="preserve"> mode conditions, potential respondents</w:t>
      </w:r>
      <w:r>
        <w:rPr>
          <w:rFonts w:cs="Arial"/>
          <w:sz w:val="24"/>
        </w:rPr>
        <w:t xml:space="preserve"> will first receive an advance</w:t>
      </w:r>
      <w:r w:rsidR="0041432C" w:rsidRPr="0046635E">
        <w:rPr>
          <w:rFonts w:cs="Arial"/>
          <w:sz w:val="24"/>
        </w:rPr>
        <w:t xml:space="preserve"> letter </w:t>
      </w:r>
      <w:r w:rsidR="00274905" w:rsidRPr="0046635E">
        <w:rPr>
          <w:rFonts w:cs="Arial"/>
          <w:sz w:val="24"/>
        </w:rPr>
        <w:t>providing</w:t>
      </w:r>
      <w:r w:rsidR="0041432C" w:rsidRPr="0046635E">
        <w:rPr>
          <w:rFonts w:cs="Arial"/>
          <w:sz w:val="24"/>
        </w:rPr>
        <w:t xml:space="preserve"> details on the </w:t>
      </w:r>
      <w:r w:rsidR="00C41552" w:rsidRPr="0046635E">
        <w:rPr>
          <w:rFonts w:cs="Arial"/>
          <w:sz w:val="24"/>
        </w:rPr>
        <w:t>study</w:t>
      </w:r>
      <w:r w:rsidR="00B14FE7">
        <w:rPr>
          <w:rFonts w:cs="Arial"/>
          <w:sz w:val="24"/>
        </w:rPr>
        <w:t>,</w:t>
      </w:r>
      <w:r w:rsidR="00C41552" w:rsidRPr="0046635E">
        <w:rPr>
          <w:rFonts w:cs="Arial"/>
          <w:sz w:val="24"/>
        </w:rPr>
        <w:t xml:space="preserve"> </w:t>
      </w:r>
      <w:r w:rsidR="00B14FE7">
        <w:rPr>
          <w:rFonts w:cs="Arial"/>
          <w:sz w:val="24"/>
        </w:rPr>
        <w:t>a brief explanation of the importance of their cooperation, along with the notification that they will be receiving a small token of appreciation</w:t>
      </w:r>
      <w:r w:rsidR="000C6913">
        <w:rPr>
          <w:rFonts w:cs="Arial"/>
          <w:sz w:val="24"/>
        </w:rPr>
        <w:t xml:space="preserve"> for their participation</w:t>
      </w:r>
      <w:r w:rsidR="00B14FE7">
        <w:rPr>
          <w:rFonts w:cs="Arial"/>
          <w:sz w:val="24"/>
        </w:rPr>
        <w:t xml:space="preserve">. The </w:t>
      </w:r>
      <w:r w:rsidR="000C6913">
        <w:rPr>
          <w:rFonts w:cs="Arial"/>
          <w:sz w:val="24"/>
        </w:rPr>
        <w:t xml:space="preserve">invitation letter </w:t>
      </w:r>
      <w:r w:rsidR="00B14FE7">
        <w:rPr>
          <w:rFonts w:cs="Arial"/>
          <w:sz w:val="24"/>
        </w:rPr>
        <w:t>for the paper mode</w:t>
      </w:r>
      <w:r w:rsidR="000C6913">
        <w:rPr>
          <w:rFonts w:cs="Arial"/>
          <w:sz w:val="24"/>
        </w:rPr>
        <w:t xml:space="preserve"> will </w:t>
      </w:r>
      <w:r w:rsidR="00274905" w:rsidRPr="0046635E">
        <w:rPr>
          <w:rFonts w:cs="Arial"/>
          <w:sz w:val="24"/>
        </w:rPr>
        <w:t xml:space="preserve">be </w:t>
      </w:r>
      <w:r w:rsidR="000C6913">
        <w:rPr>
          <w:rFonts w:cs="Arial"/>
          <w:sz w:val="24"/>
        </w:rPr>
        <w:t>accompanied by a screener questionnaire</w:t>
      </w:r>
      <w:r w:rsidR="00274905" w:rsidRPr="0046635E">
        <w:rPr>
          <w:rFonts w:cs="Arial"/>
          <w:sz w:val="24"/>
        </w:rPr>
        <w:t xml:space="preserve"> and return </w:t>
      </w:r>
      <w:r w:rsidR="0046635E" w:rsidRPr="0046635E">
        <w:rPr>
          <w:rFonts w:cs="Arial"/>
          <w:sz w:val="24"/>
        </w:rPr>
        <w:t>envelope</w:t>
      </w:r>
      <w:r w:rsidR="0068536B">
        <w:rPr>
          <w:rFonts w:cs="Arial"/>
          <w:sz w:val="24"/>
        </w:rPr>
        <w:t>.</w:t>
      </w:r>
      <w:r w:rsidR="00274905" w:rsidRPr="0046635E">
        <w:rPr>
          <w:rFonts w:cs="Arial"/>
          <w:sz w:val="24"/>
        </w:rPr>
        <w:t xml:space="preserve"> </w:t>
      </w:r>
      <w:r w:rsidR="0068536B">
        <w:rPr>
          <w:rFonts w:cs="Arial"/>
          <w:sz w:val="24"/>
        </w:rPr>
        <w:t>F</w:t>
      </w:r>
      <w:r w:rsidR="00274905" w:rsidRPr="0046635E">
        <w:rPr>
          <w:rFonts w:cs="Arial"/>
          <w:sz w:val="24"/>
        </w:rPr>
        <w:t xml:space="preserve">or the </w:t>
      </w:r>
      <w:r w:rsidR="0068536B">
        <w:rPr>
          <w:rFonts w:cs="Arial"/>
          <w:sz w:val="24"/>
        </w:rPr>
        <w:t>W</w:t>
      </w:r>
      <w:r w:rsidR="00274905" w:rsidRPr="0046635E">
        <w:rPr>
          <w:rFonts w:cs="Arial"/>
          <w:sz w:val="24"/>
        </w:rPr>
        <w:t>eb mode, the invitation letter will include the URL a</w:t>
      </w:r>
      <w:r w:rsidR="000C6913">
        <w:rPr>
          <w:rFonts w:cs="Arial"/>
          <w:sz w:val="24"/>
        </w:rPr>
        <w:t>long with the username and password</w:t>
      </w:r>
      <w:r w:rsidR="00274905" w:rsidRPr="0046635E">
        <w:rPr>
          <w:rFonts w:cs="Arial"/>
          <w:sz w:val="24"/>
        </w:rPr>
        <w:t xml:space="preserve"> for accessing the </w:t>
      </w:r>
      <w:r w:rsidR="0068536B">
        <w:rPr>
          <w:rFonts w:cs="Arial"/>
          <w:sz w:val="24"/>
        </w:rPr>
        <w:t>W</w:t>
      </w:r>
      <w:r w:rsidR="00274905" w:rsidRPr="0046635E">
        <w:rPr>
          <w:rFonts w:cs="Arial"/>
          <w:sz w:val="24"/>
        </w:rPr>
        <w:t>eb version of the questionnaire</w:t>
      </w:r>
      <w:r w:rsidR="00A95CE7">
        <w:rPr>
          <w:rFonts w:cs="Arial"/>
          <w:sz w:val="24"/>
        </w:rPr>
        <w:t xml:space="preserve"> (which combines the screener and topical into a consolidated instrument)</w:t>
      </w:r>
      <w:r w:rsidR="00274905" w:rsidRPr="0046635E">
        <w:rPr>
          <w:rFonts w:cs="Arial"/>
          <w:sz w:val="24"/>
        </w:rPr>
        <w:t xml:space="preserve">.  Both the </w:t>
      </w:r>
      <w:r w:rsidR="004F7A2A">
        <w:rPr>
          <w:rFonts w:cs="Arial"/>
          <w:sz w:val="24"/>
        </w:rPr>
        <w:t>Mail</w:t>
      </w:r>
      <w:r w:rsidR="00274905" w:rsidRPr="0046635E">
        <w:rPr>
          <w:rFonts w:cs="Arial"/>
          <w:sz w:val="24"/>
        </w:rPr>
        <w:t xml:space="preserve"> and </w:t>
      </w:r>
      <w:r w:rsidR="004F7A2A">
        <w:rPr>
          <w:rFonts w:cs="Arial"/>
          <w:sz w:val="24"/>
        </w:rPr>
        <w:t>W</w:t>
      </w:r>
      <w:r w:rsidR="00274905" w:rsidRPr="0046635E">
        <w:rPr>
          <w:rFonts w:cs="Arial"/>
          <w:sz w:val="24"/>
        </w:rPr>
        <w:t xml:space="preserve">eb mode </w:t>
      </w:r>
      <w:r w:rsidR="000C6913">
        <w:rPr>
          <w:rFonts w:cs="Arial"/>
          <w:sz w:val="24"/>
        </w:rPr>
        <w:t>invitation letters</w:t>
      </w:r>
      <w:r w:rsidR="00274905" w:rsidRPr="0046635E">
        <w:rPr>
          <w:rFonts w:cs="Arial"/>
          <w:sz w:val="24"/>
        </w:rPr>
        <w:t xml:space="preserve"> will include a</w:t>
      </w:r>
      <w:r w:rsidR="000C6913">
        <w:rPr>
          <w:rFonts w:cs="Arial"/>
          <w:sz w:val="24"/>
        </w:rPr>
        <w:t>n incenti</w:t>
      </w:r>
      <w:r w:rsidR="00CB5512">
        <w:rPr>
          <w:rFonts w:cs="Arial"/>
          <w:sz w:val="24"/>
        </w:rPr>
        <w:t xml:space="preserve">ve: paper modes having a $5 cash incentive, while the </w:t>
      </w:r>
      <w:r w:rsidR="004F7A2A">
        <w:rPr>
          <w:rFonts w:cs="Arial"/>
          <w:sz w:val="24"/>
        </w:rPr>
        <w:t>W</w:t>
      </w:r>
      <w:r w:rsidR="00CB5512">
        <w:rPr>
          <w:rFonts w:cs="Arial"/>
          <w:sz w:val="24"/>
        </w:rPr>
        <w:t xml:space="preserve">eb is either a $5 or $10 </w:t>
      </w:r>
      <w:r w:rsidR="007A1B79">
        <w:rPr>
          <w:rFonts w:cs="Arial"/>
          <w:sz w:val="24"/>
        </w:rPr>
        <w:t xml:space="preserve">cash </w:t>
      </w:r>
      <w:r w:rsidR="00CB5512">
        <w:rPr>
          <w:rFonts w:cs="Arial"/>
          <w:sz w:val="24"/>
        </w:rPr>
        <w:t>incentive.</w:t>
      </w:r>
      <w:r w:rsidR="00274905" w:rsidRPr="0046635E">
        <w:rPr>
          <w:rFonts w:cs="Arial"/>
          <w:sz w:val="24"/>
        </w:rPr>
        <w:t xml:space="preserve"> </w:t>
      </w:r>
      <w:r w:rsidR="00CC5EC7">
        <w:rPr>
          <w:rFonts w:cs="Arial"/>
          <w:sz w:val="24"/>
        </w:rPr>
        <w:t>Both</w:t>
      </w:r>
      <w:r w:rsidR="00274905" w:rsidRPr="0046635E">
        <w:rPr>
          <w:rFonts w:cs="Arial"/>
          <w:sz w:val="24"/>
        </w:rPr>
        <w:t xml:space="preserve"> versions of the </w:t>
      </w:r>
      <w:r w:rsidR="00CC5EC7">
        <w:rPr>
          <w:rFonts w:cs="Arial"/>
          <w:sz w:val="24"/>
        </w:rPr>
        <w:t xml:space="preserve">invitation </w:t>
      </w:r>
      <w:r w:rsidR="00274905" w:rsidRPr="0046635E">
        <w:rPr>
          <w:rFonts w:cs="Arial"/>
          <w:sz w:val="24"/>
        </w:rPr>
        <w:t>letter (</w:t>
      </w:r>
      <w:r w:rsidR="004F7A2A">
        <w:rPr>
          <w:rFonts w:cs="Arial"/>
          <w:sz w:val="24"/>
        </w:rPr>
        <w:t>M</w:t>
      </w:r>
      <w:r w:rsidR="00274905" w:rsidRPr="0046635E">
        <w:rPr>
          <w:rFonts w:cs="Arial"/>
          <w:sz w:val="24"/>
        </w:rPr>
        <w:t>ail</w:t>
      </w:r>
      <w:r w:rsidR="00CC5EC7">
        <w:rPr>
          <w:rFonts w:cs="Arial"/>
          <w:sz w:val="24"/>
        </w:rPr>
        <w:t xml:space="preserve"> and </w:t>
      </w:r>
      <w:r w:rsidR="004F7A2A">
        <w:rPr>
          <w:rFonts w:cs="Arial"/>
          <w:sz w:val="24"/>
        </w:rPr>
        <w:t>W</w:t>
      </w:r>
      <w:r w:rsidR="00CC5EC7">
        <w:rPr>
          <w:rFonts w:cs="Arial"/>
          <w:sz w:val="24"/>
        </w:rPr>
        <w:t>eb</w:t>
      </w:r>
      <w:r w:rsidR="00274905" w:rsidRPr="0046635E">
        <w:rPr>
          <w:rFonts w:cs="Arial"/>
          <w:sz w:val="24"/>
        </w:rPr>
        <w:t xml:space="preserve">) will include </w:t>
      </w:r>
      <w:r w:rsidR="00C41552" w:rsidRPr="0046635E">
        <w:rPr>
          <w:rFonts w:cs="Arial"/>
          <w:sz w:val="24"/>
        </w:rPr>
        <w:t xml:space="preserve">a toll-free number </w:t>
      </w:r>
      <w:r w:rsidR="00274905" w:rsidRPr="0046635E">
        <w:rPr>
          <w:rFonts w:cs="Arial"/>
          <w:sz w:val="24"/>
        </w:rPr>
        <w:t xml:space="preserve">for </w:t>
      </w:r>
      <w:r w:rsidR="00C41552" w:rsidRPr="0046635E">
        <w:rPr>
          <w:rFonts w:cs="Arial"/>
          <w:sz w:val="24"/>
        </w:rPr>
        <w:t xml:space="preserve">the individual </w:t>
      </w:r>
      <w:r w:rsidR="00CC5EC7">
        <w:rPr>
          <w:rFonts w:cs="Arial"/>
          <w:sz w:val="24"/>
        </w:rPr>
        <w:t>to</w:t>
      </w:r>
      <w:r w:rsidR="00C41552" w:rsidRPr="0046635E">
        <w:rPr>
          <w:rFonts w:cs="Arial"/>
          <w:sz w:val="24"/>
        </w:rPr>
        <w:t xml:space="preserve"> call if there are questions or comments</w:t>
      </w:r>
      <w:r w:rsidR="00FB0388" w:rsidRPr="0046635E">
        <w:rPr>
          <w:rFonts w:cs="Arial"/>
          <w:sz w:val="24"/>
        </w:rPr>
        <w:t xml:space="preserve">.  </w:t>
      </w:r>
      <w:r w:rsidR="00F67142" w:rsidRPr="0046635E">
        <w:rPr>
          <w:rFonts w:cs="Arial"/>
          <w:sz w:val="24"/>
        </w:rPr>
        <w:t>The letters will be printed</w:t>
      </w:r>
      <w:r w:rsidR="000B74EB" w:rsidRPr="0046635E">
        <w:rPr>
          <w:rFonts w:cs="Arial"/>
          <w:sz w:val="24"/>
        </w:rPr>
        <w:t xml:space="preserve"> </w:t>
      </w:r>
      <w:r w:rsidR="00FB0388" w:rsidRPr="0046635E">
        <w:rPr>
          <w:rFonts w:cs="Arial"/>
          <w:sz w:val="24"/>
        </w:rPr>
        <w:t xml:space="preserve">on official </w:t>
      </w:r>
      <w:r w:rsidR="00CC5EC7">
        <w:rPr>
          <w:rFonts w:cs="Arial"/>
          <w:sz w:val="24"/>
        </w:rPr>
        <w:t xml:space="preserve">Census Bureau </w:t>
      </w:r>
      <w:r w:rsidR="00FB0388" w:rsidRPr="0046635E">
        <w:rPr>
          <w:rFonts w:cs="Arial"/>
          <w:sz w:val="24"/>
        </w:rPr>
        <w:t>letterhead</w:t>
      </w:r>
      <w:r w:rsidR="00CC5EC7">
        <w:rPr>
          <w:rFonts w:cs="Arial"/>
          <w:sz w:val="24"/>
        </w:rPr>
        <w:t xml:space="preserve"> </w:t>
      </w:r>
      <w:r w:rsidR="00F67142" w:rsidRPr="0046635E">
        <w:rPr>
          <w:rFonts w:cs="Arial"/>
          <w:sz w:val="24"/>
        </w:rPr>
        <w:t xml:space="preserve">and will be </w:t>
      </w:r>
      <w:r w:rsidR="00FB0388" w:rsidRPr="0046635E">
        <w:rPr>
          <w:rFonts w:cs="Arial"/>
          <w:sz w:val="24"/>
        </w:rPr>
        <w:t xml:space="preserve">signed by </w:t>
      </w:r>
      <w:r w:rsidR="00CC5EC7">
        <w:rPr>
          <w:rFonts w:cs="Arial"/>
          <w:sz w:val="24"/>
        </w:rPr>
        <w:t>the director, John H. Thompson.</w:t>
      </w:r>
      <w:r w:rsidR="00FB0388" w:rsidRPr="0046635E">
        <w:rPr>
          <w:rFonts w:cs="Arial"/>
          <w:sz w:val="24"/>
        </w:rPr>
        <w:t xml:space="preserve"> </w:t>
      </w:r>
    </w:p>
    <w:p w:rsidR="000B74EB" w:rsidRPr="0046635E" w:rsidRDefault="000B74EB">
      <w:pPr>
        <w:pStyle w:val="ListParagraph"/>
        <w:tabs>
          <w:tab w:val="right" w:pos="9360"/>
        </w:tabs>
        <w:rPr>
          <w:rFonts w:cs="Arial"/>
          <w:sz w:val="24"/>
        </w:rPr>
      </w:pPr>
    </w:p>
    <w:p w:rsidR="003C3D8D" w:rsidRPr="003C3D8D" w:rsidRDefault="003C3D8D" w:rsidP="003C3D8D">
      <w:pPr>
        <w:pStyle w:val="ListParagraph"/>
        <w:tabs>
          <w:tab w:val="right" w:pos="9360"/>
        </w:tabs>
        <w:rPr>
          <w:rFonts w:cs="Arial"/>
          <w:sz w:val="24"/>
        </w:rPr>
      </w:pPr>
    </w:p>
    <w:p w:rsidR="003C3D8D" w:rsidRPr="003C3D8D" w:rsidRDefault="003C3D8D" w:rsidP="003C3D8D">
      <w:pPr>
        <w:pStyle w:val="ListParagraph"/>
        <w:rPr>
          <w:rFonts w:cs="Arial"/>
          <w:i/>
          <w:sz w:val="24"/>
        </w:rPr>
      </w:pPr>
    </w:p>
    <w:p w:rsidR="00FB0388" w:rsidRPr="0046635E" w:rsidRDefault="00FB0388" w:rsidP="00FB0388">
      <w:pPr>
        <w:pStyle w:val="ListParagraph"/>
        <w:numPr>
          <w:ilvl w:val="0"/>
          <w:numId w:val="8"/>
        </w:numPr>
        <w:tabs>
          <w:tab w:val="right" w:pos="9360"/>
        </w:tabs>
        <w:rPr>
          <w:rFonts w:cs="Arial"/>
          <w:sz w:val="24"/>
        </w:rPr>
      </w:pPr>
      <w:r w:rsidRPr="0046635E">
        <w:rPr>
          <w:rFonts w:cs="Arial"/>
          <w:i/>
          <w:sz w:val="24"/>
        </w:rPr>
        <w:t xml:space="preserve">Reminder postcard. </w:t>
      </w:r>
      <w:r w:rsidR="00F67142" w:rsidRPr="0046635E">
        <w:rPr>
          <w:rFonts w:cs="Arial"/>
          <w:sz w:val="24"/>
        </w:rPr>
        <w:t>Subsequent to</w:t>
      </w:r>
      <w:r w:rsidRPr="0046635E">
        <w:rPr>
          <w:rFonts w:cs="Arial"/>
          <w:sz w:val="24"/>
        </w:rPr>
        <w:t xml:space="preserve"> the invitation letter</w:t>
      </w:r>
      <w:r w:rsidR="00F67142" w:rsidRPr="0046635E">
        <w:rPr>
          <w:rFonts w:cs="Arial"/>
          <w:sz w:val="24"/>
        </w:rPr>
        <w:t xml:space="preserve"> mailing</w:t>
      </w:r>
      <w:r w:rsidRPr="0046635E">
        <w:rPr>
          <w:rFonts w:cs="Arial"/>
          <w:sz w:val="24"/>
        </w:rPr>
        <w:t xml:space="preserve">, </w:t>
      </w:r>
      <w:r w:rsidR="004F7A2A">
        <w:rPr>
          <w:rFonts w:cs="Arial"/>
          <w:sz w:val="24"/>
        </w:rPr>
        <w:t xml:space="preserve">the </w:t>
      </w:r>
      <w:r w:rsidR="00CC5EC7">
        <w:rPr>
          <w:rFonts w:cs="Arial"/>
          <w:sz w:val="24"/>
        </w:rPr>
        <w:t>Census</w:t>
      </w:r>
      <w:r w:rsidR="004F7A2A">
        <w:rPr>
          <w:rFonts w:cs="Arial"/>
          <w:sz w:val="24"/>
        </w:rPr>
        <w:t xml:space="preserve"> Bureau</w:t>
      </w:r>
      <w:r w:rsidRPr="0046635E">
        <w:rPr>
          <w:rFonts w:cs="Arial"/>
          <w:sz w:val="24"/>
        </w:rPr>
        <w:t xml:space="preserve"> will send a reminder postcard to all non-responding individuals</w:t>
      </w:r>
      <w:r w:rsidR="00F67142" w:rsidRPr="0046635E">
        <w:rPr>
          <w:rFonts w:cs="Arial"/>
          <w:sz w:val="24"/>
        </w:rPr>
        <w:t xml:space="preserve"> assigned to the </w:t>
      </w:r>
      <w:r w:rsidR="004F7A2A">
        <w:rPr>
          <w:rFonts w:cs="Arial"/>
          <w:sz w:val="24"/>
        </w:rPr>
        <w:t>Mail</w:t>
      </w:r>
      <w:r w:rsidR="00F67142" w:rsidRPr="0046635E">
        <w:rPr>
          <w:rFonts w:cs="Arial"/>
          <w:sz w:val="24"/>
        </w:rPr>
        <w:t xml:space="preserve"> and </w:t>
      </w:r>
      <w:r w:rsidR="004F7A2A">
        <w:rPr>
          <w:rFonts w:cs="Arial"/>
          <w:sz w:val="24"/>
        </w:rPr>
        <w:t>W</w:t>
      </w:r>
      <w:r w:rsidR="00F67142" w:rsidRPr="0046635E">
        <w:rPr>
          <w:rFonts w:cs="Arial"/>
          <w:sz w:val="24"/>
        </w:rPr>
        <w:t>eb modes</w:t>
      </w:r>
      <w:r w:rsidRPr="0046635E">
        <w:rPr>
          <w:rFonts w:cs="Arial"/>
          <w:sz w:val="24"/>
        </w:rPr>
        <w:t>. The postcard is sen</w:t>
      </w:r>
      <w:r w:rsidR="000B74EB" w:rsidRPr="0046635E">
        <w:rPr>
          <w:rFonts w:cs="Arial"/>
          <w:sz w:val="24"/>
        </w:rPr>
        <w:t>t</w:t>
      </w:r>
      <w:r w:rsidRPr="0046635E">
        <w:rPr>
          <w:rFonts w:cs="Arial"/>
          <w:sz w:val="24"/>
        </w:rPr>
        <w:t xml:space="preserve"> </w:t>
      </w:r>
      <w:r w:rsidR="007406FD">
        <w:rPr>
          <w:rFonts w:cs="Arial"/>
          <w:sz w:val="24"/>
        </w:rPr>
        <w:t>within a</w:t>
      </w:r>
      <w:r w:rsidR="00CC5EC7">
        <w:rPr>
          <w:rFonts w:cs="Arial"/>
          <w:sz w:val="24"/>
        </w:rPr>
        <w:t xml:space="preserve"> week after the ini</w:t>
      </w:r>
      <w:r w:rsidRPr="0046635E">
        <w:rPr>
          <w:rFonts w:cs="Arial"/>
          <w:sz w:val="24"/>
        </w:rPr>
        <w:t xml:space="preserve">tial invitation </w:t>
      </w:r>
      <w:r w:rsidR="00366418">
        <w:rPr>
          <w:rFonts w:cs="Arial"/>
          <w:sz w:val="24"/>
        </w:rPr>
        <w:t xml:space="preserve">and </w:t>
      </w:r>
      <w:r w:rsidRPr="0046635E">
        <w:rPr>
          <w:rFonts w:cs="Arial"/>
          <w:sz w:val="24"/>
        </w:rPr>
        <w:t xml:space="preserve">encourages </w:t>
      </w:r>
      <w:r w:rsidR="00366418">
        <w:rPr>
          <w:rFonts w:cs="Arial"/>
          <w:sz w:val="24"/>
        </w:rPr>
        <w:t>those who have not completed and returned their survey or those who have not completed the questionnaire online to do so right away.</w:t>
      </w:r>
      <w:r w:rsidRPr="0046635E">
        <w:rPr>
          <w:rFonts w:cs="Arial"/>
          <w:sz w:val="24"/>
        </w:rPr>
        <w:t xml:space="preserve"> It will contain the NSCH toll-free number and e-mail address so that respondents can contact </w:t>
      </w:r>
      <w:r w:rsidR="004F7A2A">
        <w:rPr>
          <w:rFonts w:cs="Arial"/>
          <w:sz w:val="24"/>
        </w:rPr>
        <w:t xml:space="preserve">the </w:t>
      </w:r>
      <w:r w:rsidR="007406FD">
        <w:rPr>
          <w:rFonts w:cs="Arial"/>
          <w:sz w:val="24"/>
        </w:rPr>
        <w:t>Census</w:t>
      </w:r>
      <w:r w:rsidR="004F7A2A">
        <w:rPr>
          <w:rFonts w:cs="Arial"/>
          <w:sz w:val="24"/>
        </w:rPr>
        <w:t xml:space="preserve"> Bureau</w:t>
      </w:r>
      <w:r w:rsidRPr="0046635E">
        <w:rPr>
          <w:rFonts w:cs="Arial"/>
          <w:sz w:val="24"/>
        </w:rPr>
        <w:t xml:space="preserve"> with questio</w:t>
      </w:r>
      <w:r w:rsidR="007406FD">
        <w:rPr>
          <w:rFonts w:cs="Arial"/>
          <w:sz w:val="24"/>
        </w:rPr>
        <w:t>ns or if they need assistance.</w:t>
      </w:r>
    </w:p>
    <w:p w:rsidR="00FB0388" w:rsidRPr="0046635E" w:rsidRDefault="00FB0388" w:rsidP="00FB0388">
      <w:pPr>
        <w:tabs>
          <w:tab w:val="right" w:pos="9360"/>
        </w:tabs>
        <w:rPr>
          <w:rFonts w:cs="Arial"/>
          <w:b/>
          <w:i/>
          <w:color w:val="72A492"/>
          <w:sz w:val="24"/>
        </w:rPr>
      </w:pPr>
    </w:p>
    <w:p w:rsidR="005F11C1" w:rsidRPr="0046635E" w:rsidRDefault="005F11C1" w:rsidP="005F11C1">
      <w:pPr>
        <w:pStyle w:val="ListParagraph"/>
        <w:numPr>
          <w:ilvl w:val="0"/>
          <w:numId w:val="5"/>
        </w:numPr>
        <w:rPr>
          <w:rFonts w:cs="Arial"/>
          <w:sz w:val="24"/>
        </w:rPr>
      </w:pPr>
      <w:r w:rsidRPr="0046635E">
        <w:rPr>
          <w:rFonts w:cs="Arial"/>
          <w:i/>
          <w:sz w:val="24"/>
        </w:rPr>
        <w:t>Hardcopy questionnaire mailing.</w:t>
      </w:r>
      <w:r w:rsidRPr="0046635E">
        <w:rPr>
          <w:rFonts w:cs="Arial"/>
          <w:sz w:val="24"/>
        </w:rPr>
        <w:t xml:space="preserve"> </w:t>
      </w:r>
      <w:r w:rsidR="00F67142" w:rsidRPr="0046635E">
        <w:rPr>
          <w:rFonts w:cs="Arial"/>
          <w:sz w:val="24"/>
        </w:rPr>
        <w:t xml:space="preserve">For </w:t>
      </w:r>
      <w:r w:rsidR="004F7A2A">
        <w:rPr>
          <w:rFonts w:cs="Arial"/>
          <w:sz w:val="24"/>
        </w:rPr>
        <w:t>Mail</w:t>
      </w:r>
      <w:r w:rsidR="00F67142" w:rsidRPr="0046635E">
        <w:rPr>
          <w:rFonts w:cs="Arial"/>
          <w:sz w:val="24"/>
        </w:rPr>
        <w:t xml:space="preserve"> mode cases, t</w:t>
      </w:r>
      <w:r w:rsidRPr="0046635E">
        <w:rPr>
          <w:rFonts w:cs="Arial"/>
          <w:sz w:val="24"/>
        </w:rPr>
        <w:t xml:space="preserve">he </w:t>
      </w:r>
      <w:r w:rsidR="00F67142" w:rsidRPr="0046635E">
        <w:rPr>
          <w:rFonts w:cs="Arial"/>
          <w:sz w:val="24"/>
        </w:rPr>
        <w:t xml:space="preserve">topical </w:t>
      </w:r>
      <w:r w:rsidRPr="0046635E">
        <w:rPr>
          <w:rFonts w:cs="Arial"/>
          <w:sz w:val="24"/>
        </w:rPr>
        <w:t>question</w:t>
      </w:r>
      <w:r w:rsidR="000B74EB" w:rsidRPr="0046635E">
        <w:rPr>
          <w:rFonts w:cs="Arial"/>
          <w:sz w:val="24"/>
        </w:rPr>
        <w:t xml:space="preserve">naire and </w:t>
      </w:r>
      <w:r w:rsidR="00F67142" w:rsidRPr="0046635E">
        <w:rPr>
          <w:rFonts w:cs="Arial"/>
          <w:sz w:val="24"/>
        </w:rPr>
        <w:t xml:space="preserve">accompanying </w:t>
      </w:r>
      <w:r w:rsidR="000B74EB" w:rsidRPr="0046635E">
        <w:rPr>
          <w:rFonts w:cs="Arial"/>
          <w:sz w:val="24"/>
        </w:rPr>
        <w:t xml:space="preserve">cover letter will be </w:t>
      </w:r>
      <w:r w:rsidRPr="0046635E">
        <w:rPr>
          <w:rFonts w:cs="Arial"/>
          <w:sz w:val="24"/>
        </w:rPr>
        <w:t xml:space="preserve">personalized to fill in the sample child’s name and other identifying information to ensure that the survey is completed for the correct child. This level of personalization in the questionnaire improves data quality by reducing the opportunity for skip logic errors. It also results in a </w:t>
      </w:r>
      <w:r w:rsidR="007F3D5E">
        <w:rPr>
          <w:rFonts w:cs="Arial"/>
          <w:sz w:val="24"/>
        </w:rPr>
        <w:t>questionnaire</w:t>
      </w:r>
      <w:r w:rsidRPr="0046635E">
        <w:rPr>
          <w:rFonts w:cs="Arial"/>
          <w:sz w:val="24"/>
        </w:rPr>
        <w:t xml:space="preserve"> that is as short as possible for the selected child. The shorter the questionnaire, the more likely the respondent is to complete it.</w:t>
      </w:r>
    </w:p>
    <w:p w:rsidR="000B74EB" w:rsidRPr="0046635E" w:rsidRDefault="000B74EB" w:rsidP="000B74EB">
      <w:pPr>
        <w:pStyle w:val="ListParagraph"/>
        <w:rPr>
          <w:rFonts w:cs="Arial"/>
          <w:sz w:val="24"/>
        </w:rPr>
      </w:pPr>
    </w:p>
    <w:p w:rsidR="00AD1A2B" w:rsidRPr="00AD1A2B" w:rsidRDefault="005F11C1" w:rsidP="00AD1A2B">
      <w:pPr>
        <w:pStyle w:val="ListParagraph"/>
        <w:numPr>
          <w:ilvl w:val="0"/>
          <w:numId w:val="5"/>
        </w:numPr>
        <w:tabs>
          <w:tab w:val="right" w:pos="9360"/>
        </w:tabs>
        <w:rPr>
          <w:rFonts w:cs="Arial"/>
          <w:sz w:val="24"/>
        </w:rPr>
      </w:pPr>
      <w:r w:rsidRPr="0046635E">
        <w:rPr>
          <w:rFonts w:cs="Arial"/>
          <w:i/>
          <w:sz w:val="24"/>
        </w:rPr>
        <w:t>Replacement questionnaire</w:t>
      </w:r>
      <w:r w:rsidR="00FF72ED" w:rsidRPr="0046635E">
        <w:rPr>
          <w:rFonts w:cs="Arial"/>
          <w:i/>
          <w:sz w:val="24"/>
        </w:rPr>
        <w:t>/invitation letter</w:t>
      </w:r>
      <w:r w:rsidRPr="0046635E">
        <w:rPr>
          <w:rFonts w:cs="Arial"/>
          <w:i/>
          <w:sz w:val="24"/>
        </w:rPr>
        <w:t xml:space="preserve"> mailing</w:t>
      </w:r>
      <w:r w:rsidR="00AD1A2B">
        <w:rPr>
          <w:rFonts w:cs="Arial"/>
          <w:i/>
          <w:sz w:val="24"/>
        </w:rPr>
        <w:t>s</w:t>
      </w:r>
      <w:r w:rsidRPr="0046635E">
        <w:rPr>
          <w:rFonts w:cs="Arial"/>
          <w:i/>
          <w:sz w:val="24"/>
        </w:rPr>
        <w:t xml:space="preserve"> (</w:t>
      </w:r>
      <w:r w:rsidR="007F3D5E">
        <w:rPr>
          <w:rFonts w:cs="Arial"/>
          <w:i/>
          <w:sz w:val="24"/>
        </w:rPr>
        <w:t xml:space="preserve">and </w:t>
      </w:r>
      <w:r w:rsidRPr="0046635E">
        <w:rPr>
          <w:rFonts w:cs="Arial"/>
          <w:i/>
          <w:sz w:val="24"/>
        </w:rPr>
        <w:t xml:space="preserve">FedEx </w:t>
      </w:r>
      <w:r w:rsidR="004F7A2A">
        <w:rPr>
          <w:rFonts w:cs="Arial"/>
          <w:i/>
          <w:sz w:val="24"/>
        </w:rPr>
        <w:t>Mail</w:t>
      </w:r>
      <w:r w:rsidRPr="0046635E">
        <w:rPr>
          <w:rFonts w:cs="Arial"/>
          <w:i/>
          <w:sz w:val="24"/>
        </w:rPr>
        <w:t xml:space="preserve"> delivery). </w:t>
      </w:r>
      <w:r w:rsidR="00FF72ED" w:rsidRPr="0046635E">
        <w:rPr>
          <w:rFonts w:cs="Arial"/>
          <w:sz w:val="24"/>
        </w:rPr>
        <w:t>Subsequent to the</w:t>
      </w:r>
      <w:r w:rsidRPr="0046635E">
        <w:rPr>
          <w:rFonts w:cs="Arial"/>
          <w:sz w:val="24"/>
        </w:rPr>
        <w:t xml:space="preserve"> previous</w:t>
      </w:r>
      <w:r w:rsidR="00FF72ED" w:rsidRPr="0046635E">
        <w:rPr>
          <w:rFonts w:cs="Arial"/>
          <w:sz w:val="24"/>
        </w:rPr>
        <w:t xml:space="preserve"> reminder postcard</w:t>
      </w:r>
      <w:r w:rsidRPr="0046635E">
        <w:rPr>
          <w:rFonts w:cs="Arial"/>
          <w:sz w:val="24"/>
        </w:rPr>
        <w:t xml:space="preserve"> mailing, </w:t>
      </w:r>
      <w:r w:rsidR="004F7A2A">
        <w:rPr>
          <w:rFonts w:cs="Arial"/>
          <w:sz w:val="24"/>
        </w:rPr>
        <w:t xml:space="preserve">the </w:t>
      </w:r>
      <w:r w:rsidR="007F3D5E">
        <w:rPr>
          <w:rFonts w:cs="Arial"/>
          <w:sz w:val="24"/>
        </w:rPr>
        <w:t>Census</w:t>
      </w:r>
      <w:r w:rsidRPr="0046635E">
        <w:rPr>
          <w:rFonts w:cs="Arial"/>
          <w:sz w:val="24"/>
        </w:rPr>
        <w:t xml:space="preserve"> </w:t>
      </w:r>
      <w:r w:rsidR="004F7A2A">
        <w:rPr>
          <w:rFonts w:cs="Arial"/>
          <w:sz w:val="24"/>
        </w:rPr>
        <w:t xml:space="preserve">Bureau </w:t>
      </w:r>
      <w:r w:rsidRPr="0046635E">
        <w:rPr>
          <w:rFonts w:cs="Arial"/>
          <w:sz w:val="24"/>
        </w:rPr>
        <w:t xml:space="preserve">will send all remaining </w:t>
      </w:r>
      <w:r w:rsidR="004F7A2A">
        <w:rPr>
          <w:rFonts w:cs="Arial"/>
          <w:sz w:val="24"/>
        </w:rPr>
        <w:t>Mail</w:t>
      </w:r>
      <w:r w:rsidR="00FF72ED" w:rsidRPr="0046635E">
        <w:rPr>
          <w:rFonts w:cs="Arial"/>
          <w:sz w:val="24"/>
        </w:rPr>
        <w:t xml:space="preserve"> </w:t>
      </w:r>
      <w:r w:rsidR="004F7A2A">
        <w:rPr>
          <w:rFonts w:cs="Arial"/>
          <w:sz w:val="24"/>
        </w:rPr>
        <w:t>non</w:t>
      </w:r>
      <w:r w:rsidR="00A95CE7">
        <w:rPr>
          <w:rFonts w:cs="Arial"/>
          <w:sz w:val="24"/>
        </w:rPr>
        <w:t>respondent</w:t>
      </w:r>
      <w:r w:rsidRPr="0046635E">
        <w:rPr>
          <w:rFonts w:cs="Arial"/>
          <w:sz w:val="24"/>
        </w:rPr>
        <w:t xml:space="preserve">s a second hardcopy </w:t>
      </w:r>
      <w:r w:rsidR="00A95CE7">
        <w:rPr>
          <w:rFonts w:cs="Arial"/>
          <w:sz w:val="24"/>
        </w:rPr>
        <w:t xml:space="preserve">screener </w:t>
      </w:r>
      <w:r w:rsidRPr="0046635E">
        <w:rPr>
          <w:rFonts w:cs="Arial"/>
          <w:sz w:val="24"/>
        </w:rPr>
        <w:t>questionnaire</w:t>
      </w:r>
      <w:r w:rsidR="00A95CE7">
        <w:rPr>
          <w:rFonts w:cs="Arial"/>
          <w:sz w:val="24"/>
        </w:rPr>
        <w:t xml:space="preserve"> and all </w:t>
      </w:r>
      <w:r w:rsidR="004F7A2A">
        <w:rPr>
          <w:rFonts w:cs="Arial"/>
          <w:sz w:val="24"/>
        </w:rPr>
        <w:t>Web</w:t>
      </w:r>
      <w:r w:rsidR="00A95CE7">
        <w:rPr>
          <w:rFonts w:cs="Arial"/>
          <w:sz w:val="24"/>
        </w:rPr>
        <w:t xml:space="preserve"> nonrespondent</w:t>
      </w:r>
      <w:r w:rsidR="00FF72ED" w:rsidRPr="0046635E">
        <w:rPr>
          <w:rFonts w:cs="Arial"/>
          <w:sz w:val="24"/>
        </w:rPr>
        <w:t>s a second invitation letter</w:t>
      </w:r>
      <w:r w:rsidR="007F3D5E">
        <w:rPr>
          <w:rFonts w:cs="Arial"/>
          <w:sz w:val="24"/>
        </w:rPr>
        <w:t xml:space="preserve">. Following the second invitation mailing, all </w:t>
      </w:r>
      <w:r w:rsidR="004F7A2A">
        <w:rPr>
          <w:rFonts w:cs="Arial"/>
          <w:sz w:val="24"/>
        </w:rPr>
        <w:t>non</w:t>
      </w:r>
      <w:r w:rsidR="00A95CE7">
        <w:rPr>
          <w:rFonts w:cs="Arial"/>
          <w:sz w:val="24"/>
        </w:rPr>
        <w:t>respondents (</w:t>
      </w:r>
      <w:r w:rsidR="004F7A2A">
        <w:rPr>
          <w:rFonts w:cs="Arial"/>
          <w:sz w:val="24"/>
        </w:rPr>
        <w:t>Mail</w:t>
      </w:r>
      <w:r w:rsidR="00A95CE7">
        <w:rPr>
          <w:rFonts w:cs="Arial"/>
          <w:sz w:val="24"/>
        </w:rPr>
        <w:t xml:space="preserve"> and </w:t>
      </w:r>
      <w:r w:rsidR="004F7A2A">
        <w:rPr>
          <w:rFonts w:cs="Arial"/>
          <w:sz w:val="24"/>
        </w:rPr>
        <w:t>Web</w:t>
      </w:r>
      <w:r w:rsidR="00A95CE7">
        <w:rPr>
          <w:rFonts w:cs="Arial"/>
          <w:sz w:val="24"/>
        </w:rPr>
        <w:t>) will receive a</w:t>
      </w:r>
      <w:r w:rsidRPr="0046635E">
        <w:rPr>
          <w:rFonts w:cs="Arial"/>
          <w:sz w:val="24"/>
        </w:rPr>
        <w:t xml:space="preserve"> FedEx </w:t>
      </w:r>
      <w:r w:rsidR="004F7A2A">
        <w:rPr>
          <w:rFonts w:cs="Arial"/>
          <w:sz w:val="24"/>
        </w:rPr>
        <w:t>Mail</w:t>
      </w:r>
      <w:r w:rsidRPr="0046635E">
        <w:rPr>
          <w:rFonts w:cs="Arial"/>
          <w:sz w:val="24"/>
        </w:rPr>
        <w:t xml:space="preserve"> delivery. </w:t>
      </w:r>
      <w:r w:rsidR="00A3298C">
        <w:rPr>
          <w:rFonts w:cs="Arial"/>
          <w:sz w:val="24"/>
        </w:rPr>
        <w:t>T</w:t>
      </w:r>
      <w:r w:rsidRPr="0046635E">
        <w:rPr>
          <w:rFonts w:cs="Arial"/>
          <w:sz w:val="24"/>
        </w:rPr>
        <w:t xml:space="preserve">his package will contain a personalized letter that </w:t>
      </w:r>
      <w:r w:rsidR="00A95CE7">
        <w:rPr>
          <w:rFonts w:cs="Arial"/>
          <w:sz w:val="24"/>
        </w:rPr>
        <w:t xml:space="preserve">urges the household to respond as well as a paper screener questionnaire and return envelope. </w:t>
      </w:r>
      <w:r w:rsidRPr="0046635E">
        <w:rPr>
          <w:rFonts w:cs="Arial"/>
          <w:sz w:val="24"/>
        </w:rPr>
        <w:t>The packaging, mode of d</w:t>
      </w:r>
      <w:r w:rsidR="00AD1A2B">
        <w:rPr>
          <w:rFonts w:cs="Arial"/>
          <w:sz w:val="24"/>
        </w:rPr>
        <w:t>elivery</w:t>
      </w:r>
      <w:r w:rsidR="004F7A2A">
        <w:rPr>
          <w:rFonts w:cs="Arial"/>
          <w:sz w:val="24"/>
        </w:rPr>
        <w:t>,</w:t>
      </w:r>
      <w:r w:rsidR="00AD1A2B">
        <w:rPr>
          <w:rFonts w:cs="Arial"/>
          <w:sz w:val="24"/>
        </w:rPr>
        <w:t xml:space="preserve"> and speed by which it will be</w:t>
      </w:r>
      <w:r w:rsidRPr="0046635E">
        <w:rPr>
          <w:rFonts w:cs="Arial"/>
          <w:sz w:val="24"/>
        </w:rPr>
        <w:t xml:space="preserve"> delivered will further stress the importance and urgency for response.</w:t>
      </w:r>
      <w:r w:rsidR="00470B69">
        <w:rPr>
          <w:rFonts w:cs="Arial"/>
          <w:sz w:val="24"/>
        </w:rPr>
        <w:t xml:space="preserve"> Respondents will also receive a pre-recorded call via a phone tree a few days prior to the FedEx mailing to alert them of the </w:t>
      </w:r>
      <w:r w:rsidR="004F7A2A">
        <w:rPr>
          <w:rFonts w:cs="Arial"/>
          <w:sz w:val="24"/>
        </w:rPr>
        <w:t xml:space="preserve">arrival of the </w:t>
      </w:r>
      <w:r w:rsidR="00470B69">
        <w:rPr>
          <w:rFonts w:cs="Arial"/>
          <w:sz w:val="24"/>
        </w:rPr>
        <w:t>package. Finally, a fourth mailing will be sent to all nonrespondents containing one last</w:t>
      </w:r>
      <w:r w:rsidR="00AD1A2B">
        <w:rPr>
          <w:rFonts w:cs="Arial"/>
          <w:sz w:val="24"/>
        </w:rPr>
        <w:t xml:space="preserve"> invitation letter, </w:t>
      </w:r>
      <w:r w:rsidR="00AD1A2B" w:rsidRPr="0046635E">
        <w:rPr>
          <w:rFonts w:cs="Arial"/>
          <w:sz w:val="24"/>
        </w:rPr>
        <w:t xml:space="preserve">hardcopy </w:t>
      </w:r>
      <w:r w:rsidR="00AD1A2B">
        <w:rPr>
          <w:rFonts w:cs="Arial"/>
          <w:sz w:val="24"/>
        </w:rPr>
        <w:t xml:space="preserve">screener </w:t>
      </w:r>
      <w:r w:rsidR="00AD1A2B" w:rsidRPr="0046635E">
        <w:rPr>
          <w:rFonts w:cs="Arial"/>
          <w:sz w:val="24"/>
        </w:rPr>
        <w:t>questionnaire</w:t>
      </w:r>
      <w:r w:rsidR="00AD1A2B">
        <w:rPr>
          <w:rFonts w:cs="Arial"/>
          <w:sz w:val="24"/>
        </w:rPr>
        <w:t xml:space="preserve">, and return envelope. All </w:t>
      </w:r>
      <w:r w:rsidR="004F7A2A">
        <w:rPr>
          <w:rFonts w:cs="Arial"/>
          <w:sz w:val="24"/>
        </w:rPr>
        <w:t>Mail</w:t>
      </w:r>
      <w:r w:rsidR="00AD1A2B">
        <w:rPr>
          <w:rFonts w:cs="Arial"/>
          <w:sz w:val="24"/>
        </w:rPr>
        <w:t xml:space="preserve"> topical nonrespondents will </w:t>
      </w:r>
      <w:r w:rsidR="001643E0">
        <w:rPr>
          <w:rFonts w:cs="Arial"/>
          <w:sz w:val="24"/>
        </w:rPr>
        <w:t>receive</w:t>
      </w:r>
      <w:r w:rsidR="00AD1A2B">
        <w:rPr>
          <w:rFonts w:cs="Arial"/>
          <w:sz w:val="24"/>
        </w:rPr>
        <w:t xml:space="preserve"> a second, third, and fourth invitation letter along with a hardcopy topical questionnaire and return envelope.</w:t>
      </w:r>
    </w:p>
    <w:p w:rsidR="003F2B59" w:rsidRPr="0046635E" w:rsidRDefault="003F2B59" w:rsidP="0046635E">
      <w:pPr>
        <w:pStyle w:val="ListParagraph"/>
        <w:rPr>
          <w:rFonts w:cs="Arial"/>
          <w:sz w:val="24"/>
        </w:rPr>
      </w:pPr>
    </w:p>
    <w:p w:rsidR="003F2B59" w:rsidRPr="0046635E" w:rsidRDefault="00AD1A2B" w:rsidP="003F2B59">
      <w:pPr>
        <w:pStyle w:val="ListParagraph"/>
        <w:numPr>
          <w:ilvl w:val="0"/>
          <w:numId w:val="5"/>
        </w:numPr>
        <w:tabs>
          <w:tab w:val="right" w:pos="9360"/>
        </w:tabs>
        <w:rPr>
          <w:rFonts w:cs="Arial"/>
          <w:sz w:val="24"/>
        </w:rPr>
      </w:pPr>
      <w:r>
        <w:rPr>
          <w:rFonts w:cs="Arial"/>
          <w:i/>
          <w:sz w:val="24"/>
        </w:rPr>
        <w:t>Nonresponse Follow-Up</w:t>
      </w:r>
      <w:r w:rsidR="003F2B59" w:rsidRPr="0046635E">
        <w:rPr>
          <w:rFonts w:cs="Arial"/>
          <w:i/>
          <w:sz w:val="24"/>
        </w:rPr>
        <w:t>.</w:t>
      </w:r>
      <w:r w:rsidR="003F2B59">
        <w:rPr>
          <w:rFonts w:cs="Arial"/>
          <w:sz w:val="24"/>
        </w:rPr>
        <w:t xml:space="preserve">  </w:t>
      </w:r>
      <w:r>
        <w:rPr>
          <w:rFonts w:cs="Arial"/>
          <w:sz w:val="24"/>
        </w:rPr>
        <w:t>All nonrespondents who have not completed a screener after the fourth invitation mailing will be sent to Telephone Follow Up (TFU). These cases wi</w:t>
      </w:r>
      <w:r w:rsidR="00807B64">
        <w:rPr>
          <w:rFonts w:cs="Arial"/>
          <w:sz w:val="24"/>
        </w:rPr>
        <w:t xml:space="preserve">ll be called over a period of about a month in order to attempt to gain cooperation over the phone. Census </w:t>
      </w:r>
      <w:r w:rsidR="004F7A2A">
        <w:rPr>
          <w:rFonts w:cs="Arial"/>
          <w:sz w:val="24"/>
        </w:rPr>
        <w:t xml:space="preserve">Bureau </w:t>
      </w:r>
      <w:r w:rsidR="00807B64">
        <w:rPr>
          <w:rFonts w:cs="Arial"/>
          <w:sz w:val="24"/>
        </w:rPr>
        <w:t>call centers will track these calls in the WebCATI system and</w:t>
      </w:r>
      <w:r w:rsidR="004F7A2A">
        <w:rPr>
          <w:rFonts w:cs="Arial"/>
          <w:sz w:val="24"/>
        </w:rPr>
        <w:t>,</w:t>
      </w:r>
      <w:r w:rsidR="00807B64">
        <w:rPr>
          <w:rFonts w:cs="Arial"/>
          <w:sz w:val="24"/>
        </w:rPr>
        <w:t xml:space="preserve"> if requested, will collect the respondent’s answers over the phone.</w:t>
      </w:r>
    </w:p>
    <w:p w:rsidR="000B74EB" w:rsidRPr="0046635E" w:rsidRDefault="000B74EB" w:rsidP="000B74EB">
      <w:pPr>
        <w:tabs>
          <w:tab w:val="right" w:pos="9360"/>
        </w:tabs>
        <w:rPr>
          <w:rFonts w:cs="Arial"/>
          <w:sz w:val="24"/>
        </w:rPr>
      </w:pPr>
    </w:p>
    <w:p w:rsidR="00332526" w:rsidRDefault="005F11C1" w:rsidP="00530B32">
      <w:pPr>
        <w:rPr>
          <w:rFonts w:eastAsiaTheme="minorHAnsi" w:cs="Arial"/>
          <w:sz w:val="24"/>
        </w:rPr>
      </w:pPr>
      <w:r w:rsidRPr="0046635E">
        <w:rPr>
          <w:rFonts w:eastAsiaTheme="minorHAnsi" w:cs="Arial"/>
          <w:sz w:val="24"/>
        </w:rPr>
        <w:t xml:space="preserve">These operational strategies will both facilitate response rates and reduce the likelihood of differential non-response by mode, which may introduce substantial bias in the resulting estimates. </w:t>
      </w:r>
    </w:p>
    <w:p w:rsidR="00662F47" w:rsidRDefault="00662F47">
      <w:pPr>
        <w:widowControl/>
        <w:autoSpaceDE/>
        <w:autoSpaceDN/>
        <w:adjustRightInd/>
        <w:rPr>
          <w:rFonts w:eastAsiaTheme="minorHAnsi" w:cs="Arial"/>
          <w:sz w:val="24"/>
        </w:rPr>
      </w:pPr>
      <w:r>
        <w:rPr>
          <w:rFonts w:eastAsiaTheme="minorHAnsi" w:cs="Arial"/>
          <w:sz w:val="24"/>
        </w:rPr>
        <w:br w:type="page"/>
      </w:r>
    </w:p>
    <w:p w:rsidR="00530B32" w:rsidRDefault="00530B32" w:rsidP="00662F47">
      <w:pPr>
        <w:pStyle w:val="Heading2"/>
        <w:numPr>
          <w:ilvl w:val="0"/>
          <w:numId w:val="15"/>
        </w:numPr>
        <w:spacing w:before="120" w:after="120"/>
        <w:rPr>
          <w:rFonts w:ascii="Times New Roman" w:hAnsi="Times New Roman" w:cs="Times New Roman"/>
          <w:i w:val="0"/>
          <w:sz w:val="24"/>
          <w:szCs w:val="24"/>
        </w:rPr>
      </w:pPr>
      <w:r>
        <w:rPr>
          <w:rFonts w:ascii="Times New Roman" w:hAnsi="Times New Roman" w:cs="Times New Roman"/>
          <w:i w:val="0"/>
          <w:sz w:val="24"/>
          <w:szCs w:val="24"/>
        </w:rPr>
        <w:lastRenderedPageBreak/>
        <w:t>Individuals Responsible for Study Design and Performance</w:t>
      </w:r>
    </w:p>
    <w:p w:rsidR="00530B32" w:rsidRDefault="00530B32" w:rsidP="00530B32">
      <w:pPr>
        <w:spacing w:before="120" w:after="120"/>
        <w:rPr>
          <w:sz w:val="24"/>
        </w:rPr>
      </w:pPr>
      <w:r w:rsidRPr="00530B32">
        <w:rPr>
          <w:sz w:val="24"/>
        </w:rPr>
        <w:t xml:space="preserve">The </w:t>
      </w:r>
      <w:r>
        <w:rPr>
          <w:sz w:val="24"/>
        </w:rPr>
        <w:t>Census Bureau</w:t>
      </w:r>
      <w:r w:rsidRPr="00530B32">
        <w:rPr>
          <w:sz w:val="24"/>
        </w:rPr>
        <w:t xml:space="preserve"> will collect the information on behalf of MCHB.  </w:t>
      </w:r>
      <w:r>
        <w:rPr>
          <w:sz w:val="24"/>
        </w:rPr>
        <w:t>Contact information for the</w:t>
      </w:r>
      <w:r w:rsidR="00DB25FF">
        <w:rPr>
          <w:sz w:val="24"/>
        </w:rPr>
        <w:t xml:space="preserve"> </w:t>
      </w:r>
      <w:r>
        <w:rPr>
          <w:sz w:val="24"/>
        </w:rPr>
        <w:t>Census Bureau</w:t>
      </w:r>
      <w:r w:rsidRPr="00530B32">
        <w:rPr>
          <w:sz w:val="24"/>
        </w:rPr>
        <w:t xml:space="preserve">’s principal staff on the project </w:t>
      </w:r>
      <w:r w:rsidR="00E8230F">
        <w:rPr>
          <w:sz w:val="24"/>
        </w:rPr>
        <w:t>are</w:t>
      </w:r>
      <w:r w:rsidRPr="00530B32">
        <w:rPr>
          <w:sz w:val="24"/>
        </w:rPr>
        <w:t xml:space="preserve"> listed below:</w:t>
      </w:r>
    </w:p>
    <w:p w:rsidR="00530B32" w:rsidRPr="00662F47" w:rsidRDefault="00CD7864" w:rsidP="00530B32">
      <w:pPr>
        <w:rPr>
          <w:rFonts w:eastAsiaTheme="minorHAnsi" w:cs="Arial"/>
          <w:b/>
          <w:sz w:val="24"/>
        </w:rPr>
      </w:pPr>
      <w:r>
        <w:rPr>
          <w:rFonts w:eastAsiaTheme="minorHAnsi" w:cs="Arial"/>
          <w:b/>
          <w:sz w:val="24"/>
        </w:rPr>
        <w:t>Jason Fields</w:t>
      </w:r>
    </w:p>
    <w:p w:rsidR="00DB25FF" w:rsidRPr="00662F47" w:rsidRDefault="00DB25FF" w:rsidP="00530B32">
      <w:pPr>
        <w:rPr>
          <w:rFonts w:eastAsiaTheme="minorHAnsi" w:cs="Arial"/>
          <w:sz w:val="24"/>
        </w:rPr>
      </w:pPr>
      <w:r w:rsidRPr="00662F47">
        <w:rPr>
          <w:rFonts w:eastAsiaTheme="minorHAnsi" w:cs="Arial"/>
          <w:sz w:val="24"/>
        </w:rPr>
        <w:t>Survey Director</w:t>
      </w:r>
    </w:p>
    <w:p w:rsidR="00DB25FF" w:rsidRPr="00662F47" w:rsidRDefault="00DB25FF" w:rsidP="00530B32">
      <w:pPr>
        <w:rPr>
          <w:rFonts w:eastAsiaTheme="minorHAnsi" w:cs="Arial"/>
          <w:sz w:val="24"/>
        </w:rPr>
      </w:pPr>
      <w:r w:rsidRPr="00662F47">
        <w:rPr>
          <w:rFonts w:eastAsiaTheme="minorHAnsi" w:cs="Arial"/>
          <w:sz w:val="24"/>
        </w:rPr>
        <w:t>U.S. Census Bureau, ADDP</w:t>
      </w:r>
      <w:r w:rsidR="00E8230F" w:rsidRPr="00662F47">
        <w:rPr>
          <w:rFonts w:eastAsiaTheme="minorHAnsi" w:cs="Arial"/>
          <w:sz w:val="24"/>
        </w:rPr>
        <w:t xml:space="preserve">, </w:t>
      </w:r>
      <w:r w:rsidRPr="00662F47">
        <w:rPr>
          <w:rFonts w:eastAsiaTheme="minorHAnsi" w:cs="Arial"/>
          <w:sz w:val="24"/>
        </w:rPr>
        <w:t>HQ-</w:t>
      </w:r>
      <w:r w:rsidR="00CD7864">
        <w:rPr>
          <w:rFonts w:eastAsiaTheme="minorHAnsi" w:cs="Arial"/>
          <w:sz w:val="24"/>
        </w:rPr>
        <w:t>7H069</w:t>
      </w:r>
    </w:p>
    <w:p w:rsidR="00DB25FF" w:rsidRPr="00662F47" w:rsidRDefault="00DB25FF" w:rsidP="00530B32">
      <w:pPr>
        <w:rPr>
          <w:rFonts w:eastAsiaTheme="minorHAnsi" w:cs="Arial"/>
          <w:sz w:val="24"/>
        </w:rPr>
      </w:pPr>
      <w:r w:rsidRPr="00662F47">
        <w:rPr>
          <w:rFonts w:eastAsiaTheme="minorHAnsi" w:cs="Arial"/>
          <w:sz w:val="24"/>
        </w:rPr>
        <w:t>4600 Silver Hill Road</w:t>
      </w:r>
    </w:p>
    <w:p w:rsidR="00DB25FF" w:rsidRPr="00662F47" w:rsidRDefault="00DB25FF" w:rsidP="00530B32">
      <w:pPr>
        <w:rPr>
          <w:rFonts w:eastAsiaTheme="minorHAnsi" w:cs="Arial"/>
          <w:sz w:val="24"/>
        </w:rPr>
      </w:pPr>
      <w:r w:rsidRPr="00662F47">
        <w:rPr>
          <w:rFonts w:eastAsiaTheme="minorHAnsi" w:cs="Arial"/>
          <w:sz w:val="24"/>
        </w:rPr>
        <w:t>Washington, DC  20233-0001</w:t>
      </w:r>
    </w:p>
    <w:p w:rsidR="00DB25FF" w:rsidRPr="00662F47" w:rsidRDefault="00DB25FF" w:rsidP="00530B32">
      <w:pPr>
        <w:rPr>
          <w:rFonts w:eastAsiaTheme="minorHAnsi" w:cs="Arial"/>
          <w:sz w:val="24"/>
        </w:rPr>
      </w:pPr>
      <w:r w:rsidRPr="00662F47">
        <w:rPr>
          <w:rFonts w:eastAsiaTheme="minorHAnsi" w:cs="Arial"/>
          <w:sz w:val="24"/>
        </w:rPr>
        <w:t>Phone: (301) 763-</w:t>
      </w:r>
      <w:r w:rsidR="00CD7864">
        <w:rPr>
          <w:rFonts w:eastAsiaTheme="minorHAnsi" w:cs="Arial"/>
          <w:sz w:val="24"/>
        </w:rPr>
        <w:t>2465</w:t>
      </w:r>
    </w:p>
    <w:p w:rsidR="00DB25FF" w:rsidRPr="00662F47" w:rsidRDefault="00DB25FF" w:rsidP="00530B32">
      <w:pPr>
        <w:rPr>
          <w:rFonts w:eastAsiaTheme="minorHAnsi" w:cs="Arial"/>
          <w:sz w:val="24"/>
        </w:rPr>
      </w:pPr>
      <w:r w:rsidRPr="00662F47">
        <w:rPr>
          <w:rFonts w:eastAsiaTheme="minorHAnsi" w:cs="Arial"/>
          <w:sz w:val="24"/>
        </w:rPr>
        <w:t xml:space="preserve">Email: </w:t>
      </w:r>
      <w:r w:rsidR="00CD7864">
        <w:rPr>
          <w:rFonts w:eastAsiaTheme="minorHAnsi" w:cs="Arial"/>
          <w:sz w:val="24"/>
        </w:rPr>
        <w:t>jason.m.fields</w:t>
      </w:r>
      <w:r w:rsidRPr="00662F47">
        <w:rPr>
          <w:rFonts w:eastAsiaTheme="minorHAnsi" w:cs="Arial"/>
          <w:sz w:val="24"/>
        </w:rPr>
        <w:t>@census.gov</w:t>
      </w:r>
    </w:p>
    <w:p w:rsidR="00DB25FF" w:rsidRPr="00662F47" w:rsidRDefault="00DB25FF" w:rsidP="00DB25FF">
      <w:pPr>
        <w:rPr>
          <w:rFonts w:eastAsiaTheme="minorHAnsi" w:cs="Arial"/>
          <w:b/>
          <w:sz w:val="24"/>
        </w:rPr>
      </w:pPr>
    </w:p>
    <w:p w:rsidR="00DB25FF" w:rsidRPr="00662F47" w:rsidRDefault="00CD7864" w:rsidP="00DB25FF">
      <w:pPr>
        <w:rPr>
          <w:rFonts w:eastAsiaTheme="minorHAnsi" w:cs="Arial"/>
          <w:b/>
          <w:sz w:val="24"/>
        </w:rPr>
      </w:pPr>
      <w:r>
        <w:rPr>
          <w:rFonts w:eastAsiaTheme="minorHAnsi" w:cs="Arial"/>
          <w:b/>
          <w:sz w:val="24"/>
        </w:rPr>
        <w:t>Daniel Doyle</w:t>
      </w:r>
    </w:p>
    <w:p w:rsidR="00DB25FF" w:rsidRPr="00662F47" w:rsidRDefault="00DB25FF" w:rsidP="00DB25FF">
      <w:pPr>
        <w:rPr>
          <w:rFonts w:eastAsiaTheme="minorHAnsi" w:cs="Arial"/>
          <w:sz w:val="24"/>
        </w:rPr>
      </w:pPr>
      <w:r w:rsidRPr="00662F47">
        <w:rPr>
          <w:rFonts w:eastAsiaTheme="minorHAnsi" w:cs="Arial"/>
          <w:sz w:val="24"/>
        </w:rPr>
        <w:t>Assistant Survey Director</w:t>
      </w:r>
    </w:p>
    <w:p w:rsidR="00DB25FF" w:rsidRPr="00662F47" w:rsidRDefault="00DB25FF" w:rsidP="00DB25FF">
      <w:pPr>
        <w:rPr>
          <w:rFonts w:eastAsiaTheme="minorHAnsi" w:cs="Arial"/>
          <w:sz w:val="24"/>
        </w:rPr>
      </w:pPr>
      <w:r w:rsidRPr="00662F47">
        <w:rPr>
          <w:rFonts w:eastAsiaTheme="minorHAnsi" w:cs="Arial"/>
          <w:sz w:val="24"/>
        </w:rPr>
        <w:t>U.S. Census Bureau, ADDP</w:t>
      </w:r>
      <w:r w:rsidR="00E8230F" w:rsidRPr="00662F47">
        <w:rPr>
          <w:rFonts w:eastAsiaTheme="minorHAnsi" w:cs="Arial"/>
          <w:sz w:val="24"/>
        </w:rPr>
        <w:t xml:space="preserve">, </w:t>
      </w:r>
      <w:r w:rsidRPr="00662F47">
        <w:rPr>
          <w:rFonts w:eastAsiaTheme="minorHAnsi" w:cs="Arial"/>
          <w:sz w:val="24"/>
        </w:rPr>
        <w:t>HQ-</w:t>
      </w:r>
      <w:r w:rsidR="00F34318" w:rsidRPr="00F34318">
        <w:rPr>
          <w:rFonts w:eastAsiaTheme="minorHAnsi" w:cs="Arial"/>
          <w:sz w:val="24"/>
        </w:rPr>
        <w:t>6H242A</w:t>
      </w:r>
    </w:p>
    <w:p w:rsidR="00DB25FF" w:rsidRPr="00662F47" w:rsidRDefault="00DB25FF" w:rsidP="00DB25FF">
      <w:pPr>
        <w:rPr>
          <w:rFonts w:eastAsiaTheme="minorHAnsi" w:cs="Arial"/>
          <w:sz w:val="24"/>
        </w:rPr>
      </w:pPr>
      <w:r w:rsidRPr="00662F47">
        <w:rPr>
          <w:rFonts w:eastAsiaTheme="minorHAnsi" w:cs="Arial"/>
          <w:sz w:val="24"/>
        </w:rPr>
        <w:t>4600 Silver Hill Road</w:t>
      </w:r>
    </w:p>
    <w:p w:rsidR="00DB25FF" w:rsidRPr="00662F47" w:rsidRDefault="00DB25FF" w:rsidP="00DB25FF">
      <w:pPr>
        <w:rPr>
          <w:rFonts w:eastAsiaTheme="minorHAnsi" w:cs="Arial"/>
          <w:sz w:val="24"/>
        </w:rPr>
      </w:pPr>
      <w:r w:rsidRPr="00662F47">
        <w:rPr>
          <w:rFonts w:eastAsiaTheme="minorHAnsi" w:cs="Arial"/>
          <w:sz w:val="24"/>
        </w:rPr>
        <w:t>Washington, DC  20233-0001</w:t>
      </w:r>
    </w:p>
    <w:p w:rsidR="00530B32" w:rsidRPr="00662F47" w:rsidRDefault="00DB25FF" w:rsidP="00DB25FF">
      <w:pPr>
        <w:rPr>
          <w:rFonts w:eastAsiaTheme="minorHAnsi" w:cs="Arial"/>
          <w:sz w:val="24"/>
        </w:rPr>
      </w:pPr>
      <w:r w:rsidRPr="00662F47">
        <w:rPr>
          <w:rFonts w:eastAsiaTheme="minorHAnsi" w:cs="Arial"/>
          <w:sz w:val="24"/>
        </w:rPr>
        <w:t>Phone: (301) 763-</w:t>
      </w:r>
      <w:r w:rsidR="00F34318">
        <w:rPr>
          <w:rFonts w:eastAsiaTheme="minorHAnsi" w:cs="Arial"/>
          <w:sz w:val="24"/>
        </w:rPr>
        <w:t>5304</w:t>
      </w:r>
    </w:p>
    <w:p w:rsidR="00DB25FF" w:rsidRPr="00662F47" w:rsidRDefault="00DB25FF" w:rsidP="00DB25FF">
      <w:pPr>
        <w:rPr>
          <w:rFonts w:eastAsiaTheme="minorHAnsi" w:cs="Arial"/>
          <w:sz w:val="24"/>
        </w:rPr>
      </w:pPr>
      <w:r w:rsidRPr="00662F47">
        <w:rPr>
          <w:rFonts w:eastAsiaTheme="minorHAnsi" w:cs="Arial"/>
          <w:sz w:val="24"/>
        </w:rPr>
        <w:t xml:space="preserve">Email: </w:t>
      </w:r>
      <w:r w:rsidR="00F34318">
        <w:rPr>
          <w:rFonts w:eastAsiaTheme="minorHAnsi" w:cs="Arial"/>
          <w:sz w:val="24"/>
        </w:rPr>
        <w:t>daniel.p.doyle</w:t>
      </w:r>
      <w:r w:rsidRPr="00662F47">
        <w:rPr>
          <w:rFonts w:eastAsiaTheme="minorHAnsi" w:cs="Arial"/>
          <w:sz w:val="24"/>
        </w:rPr>
        <w:t>@census.gov</w:t>
      </w:r>
    </w:p>
    <w:p w:rsidR="00EA13ED" w:rsidRPr="00662F47" w:rsidRDefault="00EA13ED" w:rsidP="00EA13ED">
      <w:pPr>
        <w:rPr>
          <w:rFonts w:eastAsiaTheme="minorHAnsi" w:cs="Arial"/>
          <w:b/>
          <w:sz w:val="24"/>
        </w:rPr>
      </w:pPr>
    </w:p>
    <w:p w:rsidR="00EA13ED" w:rsidRPr="00662F47" w:rsidRDefault="00EA13ED" w:rsidP="00EA13ED">
      <w:pPr>
        <w:rPr>
          <w:rFonts w:eastAsiaTheme="minorHAnsi" w:cs="Arial"/>
          <w:b/>
          <w:sz w:val="24"/>
        </w:rPr>
      </w:pPr>
      <w:r w:rsidRPr="00662F47">
        <w:rPr>
          <w:rFonts w:eastAsiaTheme="minorHAnsi" w:cs="Arial"/>
          <w:b/>
          <w:sz w:val="24"/>
        </w:rPr>
        <w:t>Leah Meyer</w:t>
      </w:r>
    </w:p>
    <w:p w:rsidR="00EA13ED" w:rsidRPr="00662F47" w:rsidRDefault="00EA13ED" w:rsidP="00EA13ED">
      <w:pPr>
        <w:rPr>
          <w:rFonts w:eastAsiaTheme="minorHAnsi" w:cs="Arial"/>
          <w:sz w:val="24"/>
        </w:rPr>
      </w:pPr>
      <w:r w:rsidRPr="00662F47">
        <w:rPr>
          <w:rFonts w:eastAsiaTheme="minorHAnsi" w:cs="Arial"/>
          <w:sz w:val="24"/>
        </w:rPr>
        <w:t>Survey Team Member</w:t>
      </w:r>
    </w:p>
    <w:p w:rsidR="00EA13ED" w:rsidRPr="00662F47" w:rsidRDefault="00EA13ED" w:rsidP="00EA13ED">
      <w:pPr>
        <w:rPr>
          <w:rFonts w:eastAsiaTheme="minorHAnsi" w:cs="Arial"/>
          <w:sz w:val="24"/>
        </w:rPr>
      </w:pPr>
      <w:r w:rsidRPr="00662F47">
        <w:rPr>
          <w:rFonts w:eastAsiaTheme="minorHAnsi" w:cs="Arial"/>
          <w:sz w:val="24"/>
        </w:rPr>
        <w:t>U.S. Census Bureau, ADDP</w:t>
      </w:r>
      <w:r w:rsidR="00E8230F" w:rsidRPr="00662F47">
        <w:rPr>
          <w:rFonts w:eastAsiaTheme="minorHAnsi" w:cs="Arial"/>
          <w:sz w:val="24"/>
        </w:rPr>
        <w:t xml:space="preserve">, </w:t>
      </w:r>
      <w:r w:rsidRPr="00662F47">
        <w:rPr>
          <w:rFonts w:eastAsiaTheme="minorHAnsi" w:cs="Arial"/>
          <w:sz w:val="24"/>
        </w:rPr>
        <w:t>HQ-6H158A</w:t>
      </w:r>
    </w:p>
    <w:p w:rsidR="00EA13ED" w:rsidRPr="00662F47" w:rsidRDefault="00EA13ED" w:rsidP="00EA13ED">
      <w:pPr>
        <w:rPr>
          <w:rFonts w:eastAsiaTheme="minorHAnsi" w:cs="Arial"/>
          <w:sz w:val="24"/>
        </w:rPr>
      </w:pPr>
      <w:r w:rsidRPr="00662F47">
        <w:rPr>
          <w:rFonts w:eastAsiaTheme="minorHAnsi" w:cs="Arial"/>
          <w:sz w:val="24"/>
        </w:rPr>
        <w:t>4600 Silver Hill Road</w:t>
      </w:r>
    </w:p>
    <w:p w:rsidR="00EA13ED" w:rsidRPr="00662F47" w:rsidRDefault="00EA13ED" w:rsidP="00EA13ED">
      <w:pPr>
        <w:rPr>
          <w:rFonts w:eastAsiaTheme="minorHAnsi" w:cs="Arial"/>
          <w:sz w:val="24"/>
        </w:rPr>
      </w:pPr>
      <w:r w:rsidRPr="00662F47">
        <w:rPr>
          <w:rFonts w:eastAsiaTheme="minorHAnsi" w:cs="Arial"/>
          <w:sz w:val="24"/>
        </w:rPr>
        <w:t>Washington, DC  20233-0001</w:t>
      </w:r>
    </w:p>
    <w:p w:rsidR="00EA13ED" w:rsidRPr="00662F47" w:rsidRDefault="00EA13ED" w:rsidP="00EA13ED">
      <w:pPr>
        <w:rPr>
          <w:rFonts w:eastAsiaTheme="minorHAnsi" w:cs="Arial"/>
          <w:sz w:val="24"/>
        </w:rPr>
      </w:pPr>
      <w:r w:rsidRPr="00662F47">
        <w:rPr>
          <w:rFonts w:eastAsiaTheme="minorHAnsi" w:cs="Arial"/>
          <w:sz w:val="24"/>
        </w:rPr>
        <w:t>Phone: (301) 763-7174</w:t>
      </w:r>
    </w:p>
    <w:p w:rsidR="00631630" w:rsidRPr="00662F47" w:rsidRDefault="00EA13ED" w:rsidP="00E8230F">
      <w:pPr>
        <w:rPr>
          <w:sz w:val="40"/>
        </w:rPr>
      </w:pPr>
      <w:r w:rsidRPr="00662F47">
        <w:rPr>
          <w:rFonts w:eastAsiaTheme="minorHAnsi" w:cs="Arial"/>
          <w:sz w:val="24"/>
        </w:rPr>
        <w:t>Email: leah.meyer@census.gov</w:t>
      </w:r>
    </w:p>
    <w:sectPr w:rsidR="00631630" w:rsidRPr="00662F47" w:rsidSect="00BA1757">
      <w:footerReference w:type="default" r:id="rId12"/>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318" w:rsidRDefault="00F34318">
      <w:r>
        <w:separator/>
      </w:r>
    </w:p>
  </w:endnote>
  <w:endnote w:type="continuationSeparator" w:id="0">
    <w:p w:rsidR="00F34318" w:rsidRDefault="00F34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318" w:rsidRDefault="00F34318">
    <w:pPr>
      <w:spacing w:line="240" w:lineRule="exact"/>
    </w:pPr>
  </w:p>
  <w:p w:rsidR="00F34318" w:rsidRDefault="00F34318">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0B3F5E">
      <w:rPr>
        <w:noProof/>
        <w:sz w:val="24"/>
      </w:rPr>
      <w:t>1</w:t>
    </w:r>
    <w:r>
      <w:rPr>
        <w:sz w:val="24"/>
      </w:rPr>
      <w:fldChar w:fldCharType="end"/>
    </w:r>
  </w:p>
  <w:p w:rsidR="00F34318" w:rsidRDefault="00F34318">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318" w:rsidRDefault="00F34318">
      <w:r>
        <w:separator/>
      </w:r>
    </w:p>
  </w:footnote>
  <w:footnote w:type="continuationSeparator" w:id="0">
    <w:p w:rsidR="00F34318" w:rsidRDefault="00F34318">
      <w:r>
        <w:continuationSeparator/>
      </w:r>
    </w:p>
  </w:footnote>
  <w:footnote w:id="1">
    <w:p w:rsidR="00F34318" w:rsidRDefault="00F34318">
      <w:pPr>
        <w:pStyle w:val="FootnoteText"/>
      </w:pPr>
      <w:r>
        <w:rPr>
          <w:rStyle w:val="FootnoteReference"/>
        </w:rPr>
        <w:footnoteRef/>
      </w:r>
      <w:r>
        <w:t xml:space="preserve"> </w:t>
      </w:r>
      <w:r w:rsidRPr="003F08A4">
        <w:rPr>
          <w:rFonts w:eastAsiaTheme="minorHAnsi"/>
        </w:rPr>
        <w:t>These percentages will be analyzed and adjusted, as needed, for production.</w:t>
      </w:r>
    </w:p>
  </w:footnote>
  <w:footnote w:id="2">
    <w:p w:rsidR="00F34318" w:rsidRDefault="00F34318" w:rsidP="004B137A">
      <w:pPr>
        <w:pStyle w:val="FootnoteText"/>
      </w:pPr>
      <w:r>
        <w:rPr>
          <w:rStyle w:val="FootnoteReference"/>
        </w:rPr>
        <w:footnoteRef/>
      </w:r>
      <w:r>
        <w:t xml:space="preserve"> The 89% valid rate is based on NHES-12 results.</w:t>
      </w:r>
    </w:p>
  </w:footnote>
  <w:footnote w:id="3">
    <w:p w:rsidR="00F34318" w:rsidRDefault="00F34318" w:rsidP="004B137A">
      <w:pPr>
        <w:pStyle w:val="FootnoteText"/>
      </w:pPr>
      <w:r>
        <w:rPr>
          <w:rStyle w:val="FootnoteReference"/>
        </w:rPr>
        <w:footnoteRef/>
      </w:r>
      <w:r>
        <w:t xml:space="preserve"> For MSG addresses that indicated to have at least one child present, via their child identifiers, only 40 percent of the time did the NHES actually find a child.</w:t>
      </w:r>
    </w:p>
  </w:footnote>
  <w:footnote w:id="4">
    <w:p w:rsidR="00F34318" w:rsidRDefault="00F34318" w:rsidP="004B137A">
      <w:pPr>
        <w:pStyle w:val="FootnoteText"/>
      </w:pPr>
      <w:r>
        <w:rPr>
          <w:rStyle w:val="FootnoteReference"/>
        </w:rPr>
        <w:footnoteRef/>
      </w:r>
      <w:r>
        <w:t xml:space="preserve"> Since the web instrument is a combined screener and topical module, a web respondent would never be mailed any follow-up correspondence regarding the topical with a $0 incentive (unless they requested a paper version of the questionnaire); instead, they would complete the survey in its entirety.</w:t>
      </w:r>
    </w:p>
  </w:footnote>
  <w:footnote w:id="5">
    <w:p w:rsidR="00F34318" w:rsidRDefault="00F34318">
      <w:pPr>
        <w:pStyle w:val="FootnoteText"/>
      </w:pPr>
      <w:r>
        <w:rPr>
          <w:rStyle w:val="FootnoteReference"/>
        </w:rPr>
        <w:footnoteRef/>
      </w:r>
      <w:r>
        <w:t xml:space="preserve"> </w:t>
      </w:r>
      <w:r w:rsidRPr="004978F2">
        <w:t>Dillman, Don A., Jolene D. Smyth, and Leah Melani Christian. 2009. Internet, mail and mixed-mode surveys: The tailored design method, 3rd edition. Hoboken, NJ: John Wiley &amp; Sons.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8182D"/>
    <w:multiLevelType w:val="hybridMultilevel"/>
    <w:tmpl w:val="36B4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5D08EE"/>
    <w:multiLevelType w:val="multilevel"/>
    <w:tmpl w:val="8334C7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8E12A08"/>
    <w:multiLevelType w:val="multilevel"/>
    <w:tmpl w:val="F15C00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A026D10"/>
    <w:multiLevelType w:val="hybridMultilevel"/>
    <w:tmpl w:val="8FB2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F127D5"/>
    <w:multiLevelType w:val="multilevel"/>
    <w:tmpl w:val="E5408D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0F17B1A"/>
    <w:multiLevelType w:val="hybridMultilevel"/>
    <w:tmpl w:val="E5546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0F84515"/>
    <w:multiLevelType w:val="multilevel"/>
    <w:tmpl w:val="E92E27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37E276A"/>
    <w:multiLevelType w:val="hybridMultilevel"/>
    <w:tmpl w:val="889A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B7405F"/>
    <w:multiLevelType w:val="hybridMultilevel"/>
    <w:tmpl w:val="902C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0B131D"/>
    <w:multiLevelType w:val="hybridMultilevel"/>
    <w:tmpl w:val="34AACBA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ED4662"/>
    <w:multiLevelType w:val="multilevel"/>
    <w:tmpl w:val="DB085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CEE3E7F"/>
    <w:multiLevelType w:val="multilevel"/>
    <w:tmpl w:val="8334C7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71730A3A"/>
    <w:multiLevelType w:val="hybridMultilevel"/>
    <w:tmpl w:val="07CA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A26878"/>
    <w:multiLevelType w:val="hybridMultilevel"/>
    <w:tmpl w:val="2AA6A0A4"/>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6"/>
  </w:num>
  <w:num w:numId="2">
    <w:abstractNumId w:val="8"/>
  </w:num>
  <w:num w:numId="3">
    <w:abstractNumId w:val="2"/>
  </w:num>
  <w:num w:numId="4">
    <w:abstractNumId w:val="3"/>
  </w:num>
  <w:num w:numId="5">
    <w:abstractNumId w:val="9"/>
  </w:num>
  <w:num w:numId="6">
    <w:abstractNumId w:val="14"/>
  </w:num>
  <w:num w:numId="7">
    <w:abstractNumId w:val="0"/>
  </w:num>
  <w:num w:numId="8">
    <w:abstractNumId w:val="13"/>
  </w:num>
  <w:num w:numId="9">
    <w:abstractNumId w:val="7"/>
  </w:num>
  <w:num w:numId="10">
    <w:abstractNumId w:val="5"/>
  </w:num>
  <w:num w:numId="11">
    <w:abstractNumId w:val="4"/>
  </w:num>
  <w:num w:numId="12">
    <w:abstractNumId w:val="11"/>
  </w:num>
  <w:num w:numId="13">
    <w:abstractNumId w:val="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57"/>
    <w:rsid w:val="00003FFC"/>
    <w:rsid w:val="00005C42"/>
    <w:rsid w:val="0000765C"/>
    <w:rsid w:val="000076A2"/>
    <w:rsid w:val="00015FF7"/>
    <w:rsid w:val="00031341"/>
    <w:rsid w:val="000374C9"/>
    <w:rsid w:val="000410EE"/>
    <w:rsid w:val="00041969"/>
    <w:rsid w:val="0005679A"/>
    <w:rsid w:val="00060FBF"/>
    <w:rsid w:val="0008370D"/>
    <w:rsid w:val="00093C74"/>
    <w:rsid w:val="000A0B63"/>
    <w:rsid w:val="000B3F5E"/>
    <w:rsid w:val="000B74EB"/>
    <w:rsid w:val="000C1D0E"/>
    <w:rsid w:val="000C345F"/>
    <w:rsid w:val="000C5CC6"/>
    <w:rsid w:val="000C6913"/>
    <w:rsid w:val="000D0403"/>
    <w:rsid w:val="000D5CCF"/>
    <w:rsid w:val="000E1AD0"/>
    <w:rsid w:val="000E2E05"/>
    <w:rsid w:val="000E3D74"/>
    <w:rsid w:val="000F32C5"/>
    <w:rsid w:val="000F35F0"/>
    <w:rsid w:val="000F6B38"/>
    <w:rsid w:val="000F76AB"/>
    <w:rsid w:val="000F7B5C"/>
    <w:rsid w:val="0010438F"/>
    <w:rsid w:val="00105517"/>
    <w:rsid w:val="00106AE2"/>
    <w:rsid w:val="001127FC"/>
    <w:rsid w:val="001131FA"/>
    <w:rsid w:val="001145A4"/>
    <w:rsid w:val="001205A3"/>
    <w:rsid w:val="00131117"/>
    <w:rsid w:val="00141D0B"/>
    <w:rsid w:val="00142FEE"/>
    <w:rsid w:val="001568CA"/>
    <w:rsid w:val="001611AC"/>
    <w:rsid w:val="001643E0"/>
    <w:rsid w:val="00165140"/>
    <w:rsid w:val="0017106F"/>
    <w:rsid w:val="00174003"/>
    <w:rsid w:val="001746F8"/>
    <w:rsid w:val="0017502A"/>
    <w:rsid w:val="00177B05"/>
    <w:rsid w:val="0018694D"/>
    <w:rsid w:val="001931BA"/>
    <w:rsid w:val="001B548D"/>
    <w:rsid w:val="001B6119"/>
    <w:rsid w:val="001E765A"/>
    <w:rsid w:val="001F5C6F"/>
    <w:rsid w:val="00201694"/>
    <w:rsid w:val="00205B1C"/>
    <w:rsid w:val="00215666"/>
    <w:rsid w:val="00222414"/>
    <w:rsid w:val="00235444"/>
    <w:rsid w:val="0025389A"/>
    <w:rsid w:val="00265FF5"/>
    <w:rsid w:val="00272F8F"/>
    <w:rsid w:val="00274905"/>
    <w:rsid w:val="00285E37"/>
    <w:rsid w:val="00290C06"/>
    <w:rsid w:val="00294ECE"/>
    <w:rsid w:val="002A5813"/>
    <w:rsid w:val="002B0F0F"/>
    <w:rsid w:val="002B69AB"/>
    <w:rsid w:val="002C5F27"/>
    <w:rsid w:val="002E1C40"/>
    <w:rsid w:val="002E4134"/>
    <w:rsid w:val="002E4E41"/>
    <w:rsid w:val="00317FCD"/>
    <w:rsid w:val="003314C2"/>
    <w:rsid w:val="00332526"/>
    <w:rsid w:val="00336E66"/>
    <w:rsid w:val="00344365"/>
    <w:rsid w:val="00356934"/>
    <w:rsid w:val="003577F7"/>
    <w:rsid w:val="003613A3"/>
    <w:rsid w:val="00363B12"/>
    <w:rsid w:val="00366418"/>
    <w:rsid w:val="003675E7"/>
    <w:rsid w:val="00372656"/>
    <w:rsid w:val="00372C49"/>
    <w:rsid w:val="00373526"/>
    <w:rsid w:val="00387AA8"/>
    <w:rsid w:val="00397A59"/>
    <w:rsid w:val="00397DCD"/>
    <w:rsid w:val="003B6190"/>
    <w:rsid w:val="003C27AF"/>
    <w:rsid w:val="003C3D8D"/>
    <w:rsid w:val="003E23E6"/>
    <w:rsid w:val="003F2B59"/>
    <w:rsid w:val="0040408A"/>
    <w:rsid w:val="0041432C"/>
    <w:rsid w:val="00431407"/>
    <w:rsid w:val="00441509"/>
    <w:rsid w:val="00453875"/>
    <w:rsid w:val="00456797"/>
    <w:rsid w:val="0046635E"/>
    <w:rsid w:val="004666EF"/>
    <w:rsid w:val="004702EA"/>
    <w:rsid w:val="00470B69"/>
    <w:rsid w:val="004778EB"/>
    <w:rsid w:val="004815D5"/>
    <w:rsid w:val="00481614"/>
    <w:rsid w:val="004850B0"/>
    <w:rsid w:val="00487FA5"/>
    <w:rsid w:val="00490B70"/>
    <w:rsid w:val="004935C3"/>
    <w:rsid w:val="004978F2"/>
    <w:rsid w:val="004A42C3"/>
    <w:rsid w:val="004B137A"/>
    <w:rsid w:val="004B229D"/>
    <w:rsid w:val="004C5583"/>
    <w:rsid w:val="004C5C96"/>
    <w:rsid w:val="004D3ACD"/>
    <w:rsid w:val="004D40A7"/>
    <w:rsid w:val="004F7A2A"/>
    <w:rsid w:val="00530B32"/>
    <w:rsid w:val="00540738"/>
    <w:rsid w:val="00542A85"/>
    <w:rsid w:val="00544275"/>
    <w:rsid w:val="005511C4"/>
    <w:rsid w:val="0057242A"/>
    <w:rsid w:val="00575FCD"/>
    <w:rsid w:val="005955A6"/>
    <w:rsid w:val="00595A6D"/>
    <w:rsid w:val="005A2C6B"/>
    <w:rsid w:val="005A5667"/>
    <w:rsid w:val="005A6AAD"/>
    <w:rsid w:val="005B1A03"/>
    <w:rsid w:val="005B384C"/>
    <w:rsid w:val="005C74FE"/>
    <w:rsid w:val="005D750C"/>
    <w:rsid w:val="005E22EB"/>
    <w:rsid w:val="005E523B"/>
    <w:rsid w:val="005E5DFA"/>
    <w:rsid w:val="005F11C1"/>
    <w:rsid w:val="00605BA4"/>
    <w:rsid w:val="00610E36"/>
    <w:rsid w:val="00620554"/>
    <w:rsid w:val="006309FA"/>
    <w:rsid w:val="00631630"/>
    <w:rsid w:val="006465B9"/>
    <w:rsid w:val="00653514"/>
    <w:rsid w:val="006622C5"/>
    <w:rsid w:val="00662F47"/>
    <w:rsid w:val="00683EC5"/>
    <w:rsid w:val="0068536B"/>
    <w:rsid w:val="0069205E"/>
    <w:rsid w:val="006934CF"/>
    <w:rsid w:val="006963CA"/>
    <w:rsid w:val="006B1FCF"/>
    <w:rsid w:val="006B7A3A"/>
    <w:rsid w:val="006C68A7"/>
    <w:rsid w:val="006C6B1F"/>
    <w:rsid w:val="006C7FD2"/>
    <w:rsid w:val="006D0F82"/>
    <w:rsid w:val="006D15FF"/>
    <w:rsid w:val="006E1D60"/>
    <w:rsid w:val="006E20C9"/>
    <w:rsid w:val="006F0CD5"/>
    <w:rsid w:val="00735002"/>
    <w:rsid w:val="00737304"/>
    <w:rsid w:val="007406FD"/>
    <w:rsid w:val="00742150"/>
    <w:rsid w:val="007443C9"/>
    <w:rsid w:val="00751BE0"/>
    <w:rsid w:val="00754D69"/>
    <w:rsid w:val="007557BB"/>
    <w:rsid w:val="00776581"/>
    <w:rsid w:val="00781206"/>
    <w:rsid w:val="007A0CBB"/>
    <w:rsid w:val="007A1B79"/>
    <w:rsid w:val="007A3159"/>
    <w:rsid w:val="007B1778"/>
    <w:rsid w:val="007B248F"/>
    <w:rsid w:val="007D33F0"/>
    <w:rsid w:val="007F3D5E"/>
    <w:rsid w:val="00802387"/>
    <w:rsid w:val="00807B64"/>
    <w:rsid w:val="00824C3E"/>
    <w:rsid w:val="00826643"/>
    <w:rsid w:val="0084396C"/>
    <w:rsid w:val="00844607"/>
    <w:rsid w:val="00847585"/>
    <w:rsid w:val="0086126E"/>
    <w:rsid w:val="008719D4"/>
    <w:rsid w:val="00874317"/>
    <w:rsid w:val="008902AE"/>
    <w:rsid w:val="008C1434"/>
    <w:rsid w:val="008C1D7C"/>
    <w:rsid w:val="008C4E06"/>
    <w:rsid w:val="008D74A9"/>
    <w:rsid w:val="008E57EB"/>
    <w:rsid w:val="008F6A25"/>
    <w:rsid w:val="0091189F"/>
    <w:rsid w:val="0092268E"/>
    <w:rsid w:val="0092317A"/>
    <w:rsid w:val="009248CA"/>
    <w:rsid w:val="00946537"/>
    <w:rsid w:val="00961BCD"/>
    <w:rsid w:val="00964426"/>
    <w:rsid w:val="009731C4"/>
    <w:rsid w:val="0098639E"/>
    <w:rsid w:val="009A1202"/>
    <w:rsid w:val="009A2C24"/>
    <w:rsid w:val="009D3E7E"/>
    <w:rsid w:val="009D7F7A"/>
    <w:rsid w:val="009F7411"/>
    <w:rsid w:val="00A00408"/>
    <w:rsid w:val="00A13A8B"/>
    <w:rsid w:val="00A14706"/>
    <w:rsid w:val="00A23108"/>
    <w:rsid w:val="00A3298C"/>
    <w:rsid w:val="00A34D14"/>
    <w:rsid w:val="00A3524E"/>
    <w:rsid w:val="00A37135"/>
    <w:rsid w:val="00A50D7A"/>
    <w:rsid w:val="00A61EA2"/>
    <w:rsid w:val="00A743F9"/>
    <w:rsid w:val="00A75053"/>
    <w:rsid w:val="00A76D85"/>
    <w:rsid w:val="00A82015"/>
    <w:rsid w:val="00A83265"/>
    <w:rsid w:val="00A86192"/>
    <w:rsid w:val="00A90A02"/>
    <w:rsid w:val="00A9424D"/>
    <w:rsid w:val="00A95CE7"/>
    <w:rsid w:val="00AA736A"/>
    <w:rsid w:val="00AB1A58"/>
    <w:rsid w:val="00AB1ED1"/>
    <w:rsid w:val="00AB6ED7"/>
    <w:rsid w:val="00AD1A2B"/>
    <w:rsid w:val="00AD4F1A"/>
    <w:rsid w:val="00AE11CF"/>
    <w:rsid w:val="00AF15C3"/>
    <w:rsid w:val="00AF7B8D"/>
    <w:rsid w:val="00B055E2"/>
    <w:rsid w:val="00B14FE7"/>
    <w:rsid w:val="00B262EF"/>
    <w:rsid w:val="00B3463C"/>
    <w:rsid w:val="00B43781"/>
    <w:rsid w:val="00B63A4F"/>
    <w:rsid w:val="00B6552B"/>
    <w:rsid w:val="00B83C7D"/>
    <w:rsid w:val="00B87B61"/>
    <w:rsid w:val="00B932C5"/>
    <w:rsid w:val="00BA1757"/>
    <w:rsid w:val="00BA58CA"/>
    <w:rsid w:val="00BB3A59"/>
    <w:rsid w:val="00BD60E9"/>
    <w:rsid w:val="00BE07F8"/>
    <w:rsid w:val="00BE0AA5"/>
    <w:rsid w:val="00BF0C09"/>
    <w:rsid w:val="00BF4DB7"/>
    <w:rsid w:val="00C00F9A"/>
    <w:rsid w:val="00C13FF7"/>
    <w:rsid w:val="00C21950"/>
    <w:rsid w:val="00C40A14"/>
    <w:rsid w:val="00C41552"/>
    <w:rsid w:val="00C62710"/>
    <w:rsid w:val="00C6512E"/>
    <w:rsid w:val="00C73C8E"/>
    <w:rsid w:val="00CB5512"/>
    <w:rsid w:val="00CB6AD0"/>
    <w:rsid w:val="00CC4404"/>
    <w:rsid w:val="00CC5EC7"/>
    <w:rsid w:val="00CD30F8"/>
    <w:rsid w:val="00CD7864"/>
    <w:rsid w:val="00CF6B13"/>
    <w:rsid w:val="00D14542"/>
    <w:rsid w:val="00D52E37"/>
    <w:rsid w:val="00D572F2"/>
    <w:rsid w:val="00D57D49"/>
    <w:rsid w:val="00D7761A"/>
    <w:rsid w:val="00D87545"/>
    <w:rsid w:val="00DA4E3F"/>
    <w:rsid w:val="00DB25FF"/>
    <w:rsid w:val="00DB6AE1"/>
    <w:rsid w:val="00DC3162"/>
    <w:rsid w:val="00DD7678"/>
    <w:rsid w:val="00DF0780"/>
    <w:rsid w:val="00DF5482"/>
    <w:rsid w:val="00E01023"/>
    <w:rsid w:val="00E03D4A"/>
    <w:rsid w:val="00E059AC"/>
    <w:rsid w:val="00E13510"/>
    <w:rsid w:val="00E31CDF"/>
    <w:rsid w:val="00E32B7E"/>
    <w:rsid w:val="00E36A1D"/>
    <w:rsid w:val="00E47DF1"/>
    <w:rsid w:val="00E52A87"/>
    <w:rsid w:val="00E56983"/>
    <w:rsid w:val="00E60151"/>
    <w:rsid w:val="00E629A7"/>
    <w:rsid w:val="00E63A84"/>
    <w:rsid w:val="00E648F4"/>
    <w:rsid w:val="00E6519B"/>
    <w:rsid w:val="00E77B87"/>
    <w:rsid w:val="00E8230F"/>
    <w:rsid w:val="00E9243D"/>
    <w:rsid w:val="00EA13ED"/>
    <w:rsid w:val="00F00654"/>
    <w:rsid w:val="00F104A9"/>
    <w:rsid w:val="00F15844"/>
    <w:rsid w:val="00F22DC5"/>
    <w:rsid w:val="00F23882"/>
    <w:rsid w:val="00F251E1"/>
    <w:rsid w:val="00F326EA"/>
    <w:rsid w:val="00F34318"/>
    <w:rsid w:val="00F44A73"/>
    <w:rsid w:val="00F46EBF"/>
    <w:rsid w:val="00F5276E"/>
    <w:rsid w:val="00F54355"/>
    <w:rsid w:val="00F56242"/>
    <w:rsid w:val="00F67142"/>
    <w:rsid w:val="00F6774E"/>
    <w:rsid w:val="00F767FA"/>
    <w:rsid w:val="00F817B2"/>
    <w:rsid w:val="00F825A6"/>
    <w:rsid w:val="00F87C51"/>
    <w:rsid w:val="00F927DA"/>
    <w:rsid w:val="00FA0B30"/>
    <w:rsid w:val="00FB0388"/>
    <w:rsid w:val="00FE685C"/>
    <w:rsid w:val="00FF3E3D"/>
    <w:rsid w:val="00FF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link w:val="Heading2Char"/>
    <w:qFormat/>
    <w:rsid w:val="00844607"/>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customStyle="1" w:styleId="Heading2Char">
    <w:name w:val="Heading 2 Char"/>
    <w:basedOn w:val="DefaultParagraphFont"/>
    <w:link w:val="Heading2"/>
    <w:rsid w:val="00844607"/>
    <w:rPr>
      <w:rFonts w:ascii="Arial" w:hAnsi="Arial" w:cs="Arial"/>
      <w:b/>
      <w:bCs/>
      <w:i/>
      <w:iCs/>
      <w:sz w:val="28"/>
      <w:szCs w:val="28"/>
    </w:rPr>
  </w:style>
  <w:style w:type="character" w:styleId="CommentReference">
    <w:name w:val="annotation reference"/>
    <w:basedOn w:val="DefaultParagraphFont"/>
    <w:uiPriority w:val="99"/>
    <w:rsid w:val="00742150"/>
    <w:rPr>
      <w:sz w:val="16"/>
      <w:szCs w:val="16"/>
    </w:rPr>
  </w:style>
  <w:style w:type="paragraph" w:styleId="CommentText">
    <w:name w:val="annotation text"/>
    <w:basedOn w:val="Normal"/>
    <w:link w:val="CommentTextChar"/>
    <w:uiPriority w:val="99"/>
    <w:rsid w:val="00742150"/>
    <w:rPr>
      <w:szCs w:val="20"/>
    </w:rPr>
  </w:style>
  <w:style w:type="character" w:customStyle="1" w:styleId="CommentTextChar">
    <w:name w:val="Comment Text Char"/>
    <w:basedOn w:val="DefaultParagraphFont"/>
    <w:link w:val="CommentText"/>
    <w:uiPriority w:val="99"/>
    <w:rsid w:val="00742150"/>
  </w:style>
  <w:style w:type="paragraph" w:styleId="CommentSubject">
    <w:name w:val="annotation subject"/>
    <w:basedOn w:val="CommentText"/>
    <w:next w:val="CommentText"/>
    <w:link w:val="CommentSubjectChar"/>
    <w:rsid w:val="00742150"/>
    <w:rPr>
      <w:b/>
      <w:bCs/>
    </w:rPr>
  </w:style>
  <w:style w:type="character" w:customStyle="1" w:styleId="CommentSubjectChar">
    <w:name w:val="Comment Subject Char"/>
    <w:basedOn w:val="CommentTextChar"/>
    <w:link w:val="CommentSubject"/>
    <w:rsid w:val="00742150"/>
    <w:rPr>
      <w:b/>
      <w:bCs/>
    </w:rPr>
  </w:style>
  <w:style w:type="paragraph" w:styleId="FootnoteText">
    <w:name w:val="footnote text"/>
    <w:basedOn w:val="Normal"/>
    <w:link w:val="FootnoteTextChar"/>
    <w:uiPriority w:val="99"/>
    <w:unhideWhenUsed/>
    <w:rsid w:val="00776581"/>
    <w:pPr>
      <w:widowControl/>
      <w:autoSpaceDE/>
      <w:autoSpaceDN/>
      <w:adjustRightInd/>
    </w:pPr>
    <w:rPr>
      <w:szCs w:val="20"/>
    </w:rPr>
  </w:style>
  <w:style w:type="character" w:customStyle="1" w:styleId="FootnoteTextChar">
    <w:name w:val="Footnote Text Char"/>
    <w:basedOn w:val="DefaultParagraphFont"/>
    <w:link w:val="FootnoteText"/>
    <w:uiPriority w:val="99"/>
    <w:rsid w:val="00776581"/>
  </w:style>
  <w:style w:type="character" w:styleId="FootnoteReference">
    <w:name w:val="footnote reference"/>
    <w:basedOn w:val="DefaultParagraphFont"/>
    <w:uiPriority w:val="99"/>
    <w:unhideWhenUsed/>
    <w:rsid w:val="00776581"/>
    <w:rPr>
      <w:vertAlign w:val="superscript"/>
    </w:rPr>
  </w:style>
  <w:style w:type="paragraph" w:styleId="NormalWeb">
    <w:name w:val="Normal (Web)"/>
    <w:basedOn w:val="Normal"/>
    <w:rsid w:val="00215666"/>
    <w:pPr>
      <w:widowControl/>
      <w:autoSpaceDE/>
      <w:autoSpaceDN/>
      <w:adjustRightInd/>
      <w:spacing w:before="100" w:beforeAutospacing="1" w:after="100" w:afterAutospacing="1"/>
    </w:pPr>
    <w:rPr>
      <w:sz w:val="24"/>
    </w:rPr>
  </w:style>
  <w:style w:type="paragraph" w:styleId="ListParagraph">
    <w:name w:val="List Paragraph"/>
    <w:basedOn w:val="Normal"/>
    <w:uiPriority w:val="34"/>
    <w:qFormat/>
    <w:rsid w:val="00332526"/>
    <w:pPr>
      <w:ind w:left="720"/>
      <w:contextualSpacing/>
    </w:pPr>
  </w:style>
  <w:style w:type="paragraph" w:customStyle="1" w:styleId="a">
    <w:name w:val="_"/>
    <w:rsid w:val="004C5C96"/>
    <w:pPr>
      <w:widowControl w:val="0"/>
      <w:autoSpaceDE w:val="0"/>
      <w:autoSpaceDN w:val="0"/>
      <w:adjustRightInd w:val="0"/>
      <w:ind w:left="-1440"/>
      <w:jc w:val="both"/>
    </w:pPr>
    <w:rPr>
      <w:sz w:val="24"/>
      <w:szCs w:val="24"/>
    </w:rPr>
  </w:style>
  <w:style w:type="table" w:styleId="TableGrid">
    <w:name w:val="Table Grid"/>
    <w:basedOn w:val="TableNormal"/>
    <w:uiPriority w:val="59"/>
    <w:rsid w:val="00470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uiPriority w:val="99"/>
    <w:rsid w:val="009D7F7A"/>
    <w:pPr>
      <w:spacing w:line="360" w:lineRule="atLeast"/>
      <w:ind w:firstLine="1152"/>
      <w:jc w:val="both"/>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link w:val="Heading2Char"/>
    <w:qFormat/>
    <w:rsid w:val="00844607"/>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customStyle="1" w:styleId="Heading2Char">
    <w:name w:val="Heading 2 Char"/>
    <w:basedOn w:val="DefaultParagraphFont"/>
    <w:link w:val="Heading2"/>
    <w:rsid w:val="00844607"/>
    <w:rPr>
      <w:rFonts w:ascii="Arial" w:hAnsi="Arial" w:cs="Arial"/>
      <w:b/>
      <w:bCs/>
      <w:i/>
      <w:iCs/>
      <w:sz w:val="28"/>
      <w:szCs w:val="28"/>
    </w:rPr>
  </w:style>
  <w:style w:type="character" w:styleId="CommentReference">
    <w:name w:val="annotation reference"/>
    <w:basedOn w:val="DefaultParagraphFont"/>
    <w:uiPriority w:val="99"/>
    <w:rsid w:val="00742150"/>
    <w:rPr>
      <w:sz w:val="16"/>
      <w:szCs w:val="16"/>
    </w:rPr>
  </w:style>
  <w:style w:type="paragraph" w:styleId="CommentText">
    <w:name w:val="annotation text"/>
    <w:basedOn w:val="Normal"/>
    <w:link w:val="CommentTextChar"/>
    <w:uiPriority w:val="99"/>
    <w:rsid w:val="00742150"/>
    <w:rPr>
      <w:szCs w:val="20"/>
    </w:rPr>
  </w:style>
  <w:style w:type="character" w:customStyle="1" w:styleId="CommentTextChar">
    <w:name w:val="Comment Text Char"/>
    <w:basedOn w:val="DefaultParagraphFont"/>
    <w:link w:val="CommentText"/>
    <w:uiPriority w:val="99"/>
    <w:rsid w:val="00742150"/>
  </w:style>
  <w:style w:type="paragraph" w:styleId="CommentSubject">
    <w:name w:val="annotation subject"/>
    <w:basedOn w:val="CommentText"/>
    <w:next w:val="CommentText"/>
    <w:link w:val="CommentSubjectChar"/>
    <w:rsid w:val="00742150"/>
    <w:rPr>
      <w:b/>
      <w:bCs/>
    </w:rPr>
  </w:style>
  <w:style w:type="character" w:customStyle="1" w:styleId="CommentSubjectChar">
    <w:name w:val="Comment Subject Char"/>
    <w:basedOn w:val="CommentTextChar"/>
    <w:link w:val="CommentSubject"/>
    <w:rsid w:val="00742150"/>
    <w:rPr>
      <w:b/>
      <w:bCs/>
    </w:rPr>
  </w:style>
  <w:style w:type="paragraph" w:styleId="FootnoteText">
    <w:name w:val="footnote text"/>
    <w:basedOn w:val="Normal"/>
    <w:link w:val="FootnoteTextChar"/>
    <w:uiPriority w:val="99"/>
    <w:unhideWhenUsed/>
    <w:rsid w:val="00776581"/>
    <w:pPr>
      <w:widowControl/>
      <w:autoSpaceDE/>
      <w:autoSpaceDN/>
      <w:adjustRightInd/>
    </w:pPr>
    <w:rPr>
      <w:szCs w:val="20"/>
    </w:rPr>
  </w:style>
  <w:style w:type="character" w:customStyle="1" w:styleId="FootnoteTextChar">
    <w:name w:val="Footnote Text Char"/>
    <w:basedOn w:val="DefaultParagraphFont"/>
    <w:link w:val="FootnoteText"/>
    <w:uiPriority w:val="99"/>
    <w:rsid w:val="00776581"/>
  </w:style>
  <w:style w:type="character" w:styleId="FootnoteReference">
    <w:name w:val="footnote reference"/>
    <w:basedOn w:val="DefaultParagraphFont"/>
    <w:uiPriority w:val="99"/>
    <w:unhideWhenUsed/>
    <w:rsid w:val="00776581"/>
    <w:rPr>
      <w:vertAlign w:val="superscript"/>
    </w:rPr>
  </w:style>
  <w:style w:type="paragraph" w:styleId="NormalWeb">
    <w:name w:val="Normal (Web)"/>
    <w:basedOn w:val="Normal"/>
    <w:rsid w:val="00215666"/>
    <w:pPr>
      <w:widowControl/>
      <w:autoSpaceDE/>
      <w:autoSpaceDN/>
      <w:adjustRightInd/>
      <w:spacing w:before="100" w:beforeAutospacing="1" w:after="100" w:afterAutospacing="1"/>
    </w:pPr>
    <w:rPr>
      <w:sz w:val="24"/>
    </w:rPr>
  </w:style>
  <w:style w:type="paragraph" w:styleId="ListParagraph">
    <w:name w:val="List Paragraph"/>
    <w:basedOn w:val="Normal"/>
    <w:uiPriority w:val="34"/>
    <w:qFormat/>
    <w:rsid w:val="00332526"/>
    <w:pPr>
      <w:ind w:left="720"/>
      <w:contextualSpacing/>
    </w:pPr>
  </w:style>
  <w:style w:type="paragraph" w:customStyle="1" w:styleId="a">
    <w:name w:val="_"/>
    <w:rsid w:val="004C5C96"/>
    <w:pPr>
      <w:widowControl w:val="0"/>
      <w:autoSpaceDE w:val="0"/>
      <w:autoSpaceDN w:val="0"/>
      <w:adjustRightInd w:val="0"/>
      <w:ind w:left="-1440"/>
      <w:jc w:val="both"/>
    </w:pPr>
    <w:rPr>
      <w:sz w:val="24"/>
      <w:szCs w:val="24"/>
    </w:rPr>
  </w:style>
  <w:style w:type="table" w:styleId="TableGrid">
    <w:name w:val="Table Grid"/>
    <w:basedOn w:val="TableNormal"/>
    <w:uiPriority w:val="59"/>
    <w:rsid w:val="00470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uiPriority w:val="99"/>
    <w:rsid w:val="009D7F7A"/>
    <w:pPr>
      <w:spacing w:line="360" w:lineRule="atLeast"/>
      <w:ind w:firstLine="1152"/>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17326">
      <w:bodyDiv w:val="1"/>
      <w:marLeft w:val="0"/>
      <w:marRight w:val="0"/>
      <w:marTop w:val="0"/>
      <w:marBottom w:val="0"/>
      <w:divBdr>
        <w:top w:val="none" w:sz="0" w:space="0" w:color="auto"/>
        <w:left w:val="none" w:sz="0" w:space="0" w:color="auto"/>
        <w:bottom w:val="none" w:sz="0" w:space="0" w:color="auto"/>
        <w:right w:val="none" w:sz="0" w:space="0" w:color="auto"/>
      </w:divBdr>
      <w:divsChild>
        <w:div w:id="925504877">
          <w:marLeft w:val="0"/>
          <w:marRight w:val="0"/>
          <w:marTop w:val="0"/>
          <w:marBottom w:val="0"/>
          <w:divBdr>
            <w:top w:val="none" w:sz="0" w:space="0" w:color="auto"/>
            <w:left w:val="none" w:sz="0" w:space="0" w:color="auto"/>
            <w:bottom w:val="none" w:sz="0" w:space="0" w:color="auto"/>
            <w:right w:val="none" w:sz="0" w:space="0" w:color="auto"/>
          </w:divBdr>
          <w:divsChild>
            <w:div w:id="256448145">
              <w:marLeft w:val="0"/>
              <w:marRight w:val="0"/>
              <w:marTop w:val="0"/>
              <w:marBottom w:val="0"/>
              <w:divBdr>
                <w:top w:val="none" w:sz="0" w:space="0" w:color="auto"/>
                <w:left w:val="none" w:sz="0" w:space="0" w:color="auto"/>
                <w:bottom w:val="none" w:sz="0" w:space="0" w:color="auto"/>
                <w:right w:val="none" w:sz="0" w:space="0" w:color="auto"/>
              </w:divBdr>
              <w:divsChild>
                <w:div w:id="833034415">
                  <w:marLeft w:val="0"/>
                  <w:marRight w:val="0"/>
                  <w:marTop w:val="0"/>
                  <w:marBottom w:val="0"/>
                  <w:divBdr>
                    <w:top w:val="none" w:sz="0" w:space="0" w:color="auto"/>
                    <w:left w:val="none" w:sz="0" w:space="0" w:color="auto"/>
                    <w:bottom w:val="none" w:sz="0" w:space="0" w:color="auto"/>
                    <w:right w:val="none" w:sz="0" w:space="0" w:color="auto"/>
                  </w:divBdr>
                  <w:divsChild>
                    <w:div w:id="1499422875">
                      <w:marLeft w:val="0"/>
                      <w:marRight w:val="0"/>
                      <w:marTop w:val="0"/>
                      <w:marBottom w:val="0"/>
                      <w:divBdr>
                        <w:top w:val="none" w:sz="0" w:space="0" w:color="auto"/>
                        <w:left w:val="none" w:sz="0" w:space="0" w:color="auto"/>
                        <w:bottom w:val="none" w:sz="0" w:space="0" w:color="auto"/>
                        <w:right w:val="none" w:sz="0" w:space="0" w:color="auto"/>
                      </w:divBdr>
                      <w:divsChild>
                        <w:div w:id="564297008">
                          <w:marLeft w:val="0"/>
                          <w:marRight w:val="0"/>
                          <w:marTop w:val="0"/>
                          <w:marBottom w:val="0"/>
                          <w:divBdr>
                            <w:top w:val="none" w:sz="0" w:space="0" w:color="auto"/>
                            <w:left w:val="none" w:sz="0" w:space="0" w:color="auto"/>
                            <w:bottom w:val="none" w:sz="0" w:space="0" w:color="auto"/>
                            <w:right w:val="none" w:sz="0" w:space="0" w:color="auto"/>
                          </w:divBdr>
                          <w:divsChild>
                            <w:div w:id="893853062">
                              <w:marLeft w:val="0"/>
                              <w:marRight w:val="0"/>
                              <w:marTop w:val="0"/>
                              <w:marBottom w:val="0"/>
                              <w:divBdr>
                                <w:top w:val="none" w:sz="0" w:space="0" w:color="auto"/>
                                <w:left w:val="single" w:sz="6" w:space="0" w:color="E5E3E3"/>
                                <w:bottom w:val="none" w:sz="0" w:space="0" w:color="auto"/>
                                <w:right w:val="none" w:sz="0" w:space="0" w:color="auto"/>
                              </w:divBdr>
                              <w:divsChild>
                                <w:div w:id="1016420223">
                                  <w:marLeft w:val="0"/>
                                  <w:marRight w:val="0"/>
                                  <w:marTop w:val="0"/>
                                  <w:marBottom w:val="0"/>
                                  <w:divBdr>
                                    <w:top w:val="none" w:sz="0" w:space="0" w:color="auto"/>
                                    <w:left w:val="none" w:sz="0" w:space="0" w:color="auto"/>
                                    <w:bottom w:val="none" w:sz="0" w:space="0" w:color="auto"/>
                                    <w:right w:val="none" w:sz="0" w:space="0" w:color="auto"/>
                                  </w:divBdr>
                                  <w:divsChild>
                                    <w:div w:id="1158419255">
                                      <w:marLeft w:val="0"/>
                                      <w:marRight w:val="0"/>
                                      <w:marTop w:val="0"/>
                                      <w:marBottom w:val="0"/>
                                      <w:divBdr>
                                        <w:top w:val="none" w:sz="0" w:space="0" w:color="auto"/>
                                        <w:left w:val="none" w:sz="0" w:space="0" w:color="auto"/>
                                        <w:bottom w:val="none" w:sz="0" w:space="0" w:color="auto"/>
                                        <w:right w:val="none" w:sz="0" w:space="0" w:color="auto"/>
                                      </w:divBdr>
                                      <w:divsChild>
                                        <w:div w:id="1063791187">
                                          <w:marLeft w:val="0"/>
                                          <w:marRight w:val="0"/>
                                          <w:marTop w:val="0"/>
                                          <w:marBottom w:val="0"/>
                                          <w:divBdr>
                                            <w:top w:val="none" w:sz="0" w:space="0" w:color="auto"/>
                                            <w:left w:val="none" w:sz="0" w:space="0" w:color="auto"/>
                                            <w:bottom w:val="none" w:sz="0" w:space="0" w:color="auto"/>
                                            <w:right w:val="none" w:sz="0" w:space="0" w:color="auto"/>
                                          </w:divBdr>
                                          <w:divsChild>
                                            <w:div w:id="288821531">
                                              <w:marLeft w:val="0"/>
                                              <w:marRight w:val="0"/>
                                              <w:marTop w:val="0"/>
                                              <w:marBottom w:val="0"/>
                                              <w:divBdr>
                                                <w:top w:val="none" w:sz="0" w:space="0" w:color="auto"/>
                                                <w:left w:val="none" w:sz="0" w:space="0" w:color="auto"/>
                                                <w:bottom w:val="none" w:sz="0" w:space="0" w:color="auto"/>
                                                <w:right w:val="none" w:sz="0" w:space="0" w:color="auto"/>
                                              </w:divBdr>
                                              <w:divsChild>
                                                <w:div w:id="477964027">
                                                  <w:marLeft w:val="0"/>
                                                  <w:marRight w:val="0"/>
                                                  <w:marTop w:val="0"/>
                                                  <w:marBottom w:val="0"/>
                                                  <w:divBdr>
                                                    <w:top w:val="none" w:sz="0" w:space="0" w:color="auto"/>
                                                    <w:left w:val="none" w:sz="0" w:space="0" w:color="auto"/>
                                                    <w:bottom w:val="none" w:sz="0" w:space="0" w:color="auto"/>
                                                    <w:right w:val="none" w:sz="0" w:space="0" w:color="auto"/>
                                                  </w:divBdr>
                                                  <w:divsChild>
                                                    <w:div w:id="1726030477">
                                                      <w:marLeft w:val="0"/>
                                                      <w:marRight w:val="0"/>
                                                      <w:marTop w:val="0"/>
                                                      <w:marBottom w:val="0"/>
                                                      <w:divBdr>
                                                        <w:top w:val="none" w:sz="0" w:space="0" w:color="auto"/>
                                                        <w:left w:val="none" w:sz="0" w:space="0" w:color="auto"/>
                                                        <w:bottom w:val="none" w:sz="0" w:space="0" w:color="auto"/>
                                                        <w:right w:val="none" w:sz="0" w:space="0" w:color="auto"/>
                                                      </w:divBdr>
                                                      <w:divsChild>
                                                        <w:div w:id="1558738448">
                                                          <w:marLeft w:val="480"/>
                                                          <w:marRight w:val="0"/>
                                                          <w:marTop w:val="0"/>
                                                          <w:marBottom w:val="0"/>
                                                          <w:divBdr>
                                                            <w:top w:val="none" w:sz="0" w:space="0" w:color="auto"/>
                                                            <w:left w:val="none" w:sz="0" w:space="0" w:color="auto"/>
                                                            <w:bottom w:val="none" w:sz="0" w:space="0" w:color="auto"/>
                                                            <w:right w:val="none" w:sz="0" w:space="0" w:color="auto"/>
                                                          </w:divBdr>
                                                          <w:divsChild>
                                                            <w:div w:id="1976711454">
                                                              <w:marLeft w:val="0"/>
                                                              <w:marRight w:val="0"/>
                                                              <w:marTop w:val="0"/>
                                                              <w:marBottom w:val="0"/>
                                                              <w:divBdr>
                                                                <w:top w:val="none" w:sz="0" w:space="0" w:color="auto"/>
                                                                <w:left w:val="none" w:sz="0" w:space="0" w:color="auto"/>
                                                                <w:bottom w:val="none" w:sz="0" w:space="0" w:color="auto"/>
                                                                <w:right w:val="none" w:sz="0" w:space="0" w:color="auto"/>
                                                              </w:divBdr>
                                                              <w:divsChild>
                                                                <w:div w:id="90324969">
                                                                  <w:marLeft w:val="0"/>
                                                                  <w:marRight w:val="0"/>
                                                                  <w:marTop w:val="0"/>
                                                                  <w:marBottom w:val="0"/>
                                                                  <w:divBdr>
                                                                    <w:top w:val="none" w:sz="0" w:space="0" w:color="auto"/>
                                                                    <w:left w:val="none" w:sz="0" w:space="0" w:color="auto"/>
                                                                    <w:bottom w:val="none" w:sz="0" w:space="0" w:color="auto"/>
                                                                    <w:right w:val="none" w:sz="0" w:space="0" w:color="auto"/>
                                                                  </w:divBdr>
                                                                  <w:divsChild>
                                                                    <w:div w:id="246965185">
                                                                      <w:marLeft w:val="0"/>
                                                                      <w:marRight w:val="0"/>
                                                                      <w:marTop w:val="0"/>
                                                                      <w:marBottom w:val="0"/>
                                                                      <w:divBdr>
                                                                        <w:top w:val="none" w:sz="0" w:space="0" w:color="auto"/>
                                                                        <w:left w:val="none" w:sz="0" w:space="0" w:color="auto"/>
                                                                        <w:bottom w:val="none" w:sz="0" w:space="0" w:color="auto"/>
                                                                        <w:right w:val="none" w:sz="0" w:space="0" w:color="auto"/>
                                                                      </w:divBdr>
                                                                      <w:divsChild>
                                                                        <w:div w:id="1428041161">
                                                                          <w:marLeft w:val="0"/>
                                                                          <w:marRight w:val="0"/>
                                                                          <w:marTop w:val="0"/>
                                                                          <w:marBottom w:val="0"/>
                                                                          <w:divBdr>
                                                                            <w:top w:val="none" w:sz="0" w:space="0" w:color="auto"/>
                                                                            <w:left w:val="none" w:sz="0" w:space="0" w:color="auto"/>
                                                                            <w:bottom w:val="none" w:sz="0" w:space="0" w:color="auto"/>
                                                                            <w:right w:val="none" w:sz="0" w:space="0" w:color="auto"/>
                                                                          </w:divBdr>
                                                                          <w:divsChild>
                                                                            <w:div w:id="1599291559">
                                                                              <w:marLeft w:val="0"/>
                                                                              <w:marRight w:val="0"/>
                                                                              <w:marTop w:val="0"/>
                                                                              <w:marBottom w:val="0"/>
                                                                              <w:divBdr>
                                                                                <w:top w:val="none" w:sz="0" w:space="0" w:color="auto"/>
                                                                                <w:left w:val="none" w:sz="0" w:space="0" w:color="auto"/>
                                                                                <w:bottom w:val="none" w:sz="0" w:space="0" w:color="auto"/>
                                                                                <w:right w:val="none" w:sz="0" w:space="0" w:color="auto"/>
                                                                              </w:divBdr>
                                                                              <w:divsChild>
                                                                                <w:div w:id="1904750778">
                                                                                  <w:marLeft w:val="0"/>
                                                                                  <w:marRight w:val="0"/>
                                                                                  <w:marTop w:val="0"/>
                                                                                  <w:marBottom w:val="0"/>
                                                                                  <w:divBdr>
                                                                                    <w:top w:val="none" w:sz="0" w:space="0" w:color="auto"/>
                                                                                    <w:left w:val="none" w:sz="0" w:space="0" w:color="auto"/>
                                                                                    <w:bottom w:val="single" w:sz="6" w:space="23" w:color="auto"/>
                                                                                    <w:right w:val="none" w:sz="0" w:space="0" w:color="auto"/>
                                                                                  </w:divBdr>
                                                                                  <w:divsChild>
                                                                                    <w:div w:id="2145199480">
                                                                                      <w:marLeft w:val="0"/>
                                                                                      <w:marRight w:val="0"/>
                                                                                      <w:marTop w:val="0"/>
                                                                                      <w:marBottom w:val="0"/>
                                                                                      <w:divBdr>
                                                                                        <w:top w:val="none" w:sz="0" w:space="0" w:color="auto"/>
                                                                                        <w:left w:val="none" w:sz="0" w:space="0" w:color="auto"/>
                                                                                        <w:bottom w:val="none" w:sz="0" w:space="0" w:color="auto"/>
                                                                                        <w:right w:val="none" w:sz="0" w:space="0" w:color="auto"/>
                                                                                      </w:divBdr>
                                                                                      <w:divsChild>
                                                                                        <w:div w:id="868178003">
                                                                                          <w:marLeft w:val="0"/>
                                                                                          <w:marRight w:val="0"/>
                                                                                          <w:marTop w:val="0"/>
                                                                                          <w:marBottom w:val="0"/>
                                                                                          <w:divBdr>
                                                                                            <w:top w:val="none" w:sz="0" w:space="0" w:color="auto"/>
                                                                                            <w:left w:val="none" w:sz="0" w:space="0" w:color="auto"/>
                                                                                            <w:bottom w:val="none" w:sz="0" w:space="0" w:color="auto"/>
                                                                                            <w:right w:val="none" w:sz="0" w:space="0" w:color="auto"/>
                                                                                          </w:divBdr>
                                                                                          <w:divsChild>
                                                                                            <w:div w:id="1237665411">
                                                                                              <w:marLeft w:val="0"/>
                                                                                              <w:marRight w:val="150"/>
                                                                                              <w:marTop w:val="60"/>
                                                                                              <w:marBottom w:val="0"/>
                                                                                              <w:divBdr>
                                                                                                <w:top w:val="none" w:sz="0" w:space="0" w:color="auto"/>
                                                                                                <w:left w:val="none" w:sz="0" w:space="0" w:color="auto"/>
                                                                                                <w:bottom w:val="none" w:sz="0" w:space="0" w:color="auto"/>
                                                                                                <w:right w:val="none" w:sz="0" w:space="0" w:color="auto"/>
                                                                                              </w:divBdr>
                                                                                              <w:divsChild>
                                                                                                <w:div w:id="1018392736">
                                                                                                  <w:marLeft w:val="0"/>
                                                                                                  <w:marRight w:val="0"/>
                                                                                                  <w:marTop w:val="0"/>
                                                                                                  <w:marBottom w:val="0"/>
                                                                                                  <w:divBdr>
                                                                                                    <w:top w:val="none" w:sz="0" w:space="0" w:color="auto"/>
                                                                                                    <w:left w:val="none" w:sz="0" w:space="0" w:color="auto"/>
                                                                                                    <w:bottom w:val="none" w:sz="0" w:space="0" w:color="auto"/>
                                                                                                    <w:right w:val="none" w:sz="0" w:space="0" w:color="auto"/>
                                                                                                  </w:divBdr>
                                                                                                  <w:divsChild>
                                                                                                    <w:div w:id="216747462">
                                                                                                      <w:marLeft w:val="0"/>
                                                                                                      <w:marRight w:val="0"/>
                                                                                                      <w:marTop w:val="0"/>
                                                                                                      <w:marBottom w:val="0"/>
                                                                                                      <w:divBdr>
                                                                                                        <w:top w:val="none" w:sz="0" w:space="0" w:color="auto"/>
                                                                                                        <w:left w:val="none" w:sz="0" w:space="0" w:color="auto"/>
                                                                                                        <w:bottom w:val="none" w:sz="0" w:space="0" w:color="auto"/>
                                                                                                        <w:right w:val="none" w:sz="0" w:space="0" w:color="auto"/>
                                                                                                      </w:divBdr>
                                                                                                      <w:divsChild>
                                                                                                        <w:div w:id="1755976666">
                                                                                                          <w:marLeft w:val="0"/>
                                                                                                          <w:marRight w:val="0"/>
                                                                                                          <w:marTop w:val="0"/>
                                                                                                          <w:marBottom w:val="0"/>
                                                                                                          <w:divBdr>
                                                                                                            <w:top w:val="none" w:sz="0" w:space="0" w:color="auto"/>
                                                                                                            <w:left w:val="none" w:sz="0" w:space="0" w:color="auto"/>
                                                                                                            <w:bottom w:val="none" w:sz="0" w:space="0" w:color="auto"/>
                                                                                                            <w:right w:val="none" w:sz="0" w:space="0" w:color="auto"/>
                                                                                                          </w:divBdr>
                                                                                                          <w:divsChild>
                                                                                                            <w:div w:id="1258292674">
                                                                                                              <w:marLeft w:val="0"/>
                                                                                                              <w:marRight w:val="0"/>
                                                                                                              <w:marTop w:val="0"/>
                                                                                                              <w:marBottom w:val="0"/>
                                                                                                              <w:divBdr>
                                                                                                                <w:top w:val="none" w:sz="0" w:space="0" w:color="auto"/>
                                                                                                                <w:left w:val="none" w:sz="0" w:space="0" w:color="auto"/>
                                                                                                                <w:bottom w:val="none" w:sz="0" w:space="0" w:color="auto"/>
                                                                                                                <w:right w:val="none" w:sz="0" w:space="0" w:color="auto"/>
                                                                                                              </w:divBdr>
                                                                                                              <w:divsChild>
                                                                                                                <w:div w:id="736444095">
                                                                                                                  <w:marLeft w:val="0"/>
                                                                                                                  <w:marRight w:val="0"/>
                                                                                                                  <w:marTop w:val="0"/>
                                                                                                                  <w:marBottom w:val="0"/>
                                                                                                                  <w:divBdr>
                                                                                                                    <w:top w:val="none" w:sz="0" w:space="0" w:color="auto"/>
                                                                                                                    <w:left w:val="none" w:sz="0" w:space="0" w:color="auto"/>
                                                                                                                    <w:bottom w:val="none" w:sz="0" w:space="0" w:color="auto"/>
                                                                                                                    <w:right w:val="none" w:sz="0" w:space="0" w:color="auto"/>
                                                                                                                  </w:divBdr>
                                                                                                                  <w:divsChild>
                                                                                                                    <w:div w:id="1092047889">
                                                                                                                      <w:marLeft w:val="0"/>
                                                                                                                      <w:marRight w:val="0"/>
                                                                                                                      <w:marTop w:val="0"/>
                                                                                                                      <w:marBottom w:val="0"/>
                                                                                                                      <w:divBdr>
                                                                                                                        <w:top w:val="none" w:sz="0" w:space="0" w:color="auto"/>
                                                                                                                        <w:left w:val="none" w:sz="0" w:space="0" w:color="auto"/>
                                                                                                                        <w:bottom w:val="none" w:sz="0" w:space="0" w:color="auto"/>
                                                                                                                        <w:right w:val="none" w:sz="0" w:space="0" w:color="auto"/>
                                                                                                                      </w:divBdr>
                                                                                                                      <w:divsChild>
                                                                                                                        <w:div w:id="1319116090">
                                                                                                                          <w:marLeft w:val="0"/>
                                                                                                                          <w:marRight w:val="0"/>
                                                                                                                          <w:marTop w:val="0"/>
                                                                                                                          <w:marBottom w:val="0"/>
                                                                                                                          <w:divBdr>
                                                                                                                            <w:top w:val="none" w:sz="0" w:space="0" w:color="auto"/>
                                                                                                                            <w:left w:val="none" w:sz="0" w:space="0" w:color="auto"/>
                                                                                                                            <w:bottom w:val="none" w:sz="0" w:space="0" w:color="auto"/>
                                                                                                                            <w:right w:val="none" w:sz="0" w:space="0" w:color="auto"/>
                                                                                                                          </w:divBdr>
                                                                                                                          <w:divsChild>
                                                                                                                            <w:div w:id="1585066610">
                                                                                                                              <w:marLeft w:val="0"/>
                                                                                                                              <w:marRight w:val="0"/>
                                                                                                                              <w:marTop w:val="0"/>
                                                                                                                              <w:marBottom w:val="0"/>
                                                                                                                              <w:divBdr>
                                                                                                                                <w:top w:val="none" w:sz="0" w:space="0" w:color="auto"/>
                                                                                                                                <w:left w:val="none" w:sz="0" w:space="0" w:color="auto"/>
                                                                                                                                <w:bottom w:val="none" w:sz="0" w:space="0" w:color="auto"/>
                                                                                                                                <w:right w:val="none" w:sz="0" w:space="0" w:color="auto"/>
                                                                                                                              </w:divBdr>
                                                                                                                              <w:divsChild>
                                                                                                                                <w:div w:id="1702704868">
                                                                                                                                  <w:marLeft w:val="0"/>
                                                                                                                                  <w:marRight w:val="0"/>
                                                                                                                                  <w:marTop w:val="0"/>
                                                                                                                                  <w:marBottom w:val="0"/>
                                                                                                                                  <w:divBdr>
                                                                                                                                    <w:top w:val="none" w:sz="0" w:space="0" w:color="auto"/>
                                                                                                                                    <w:left w:val="none" w:sz="0" w:space="0" w:color="auto"/>
                                                                                                                                    <w:bottom w:val="none" w:sz="0" w:space="0" w:color="auto"/>
                                                                                                                                    <w:right w:val="none" w:sz="0" w:space="0" w:color="auto"/>
                                                                                                                                  </w:divBdr>
                                                                                                                                  <w:divsChild>
                                                                                                                                    <w:div w:id="1860729503">
                                                                                                                                      <w:marLeft w:val="0"/>
                                                                                                                                      <w:marRight w:val="0"/>
                                                                                                                                      <w:marTop w:val="0"/>
                                                                                                                                      <w:marBottom w:val="0"/>
                                                                                                                                      <w:divBdr>
                                                                                                                                        <w:top w:val="none" w:sz="0" w:space="0" w:color="auto"/>
                                                                                                                                        <w:left w:val="none" w:sz="0" w:space="0" w:color="auto"/>
                                                                                                                                        <w:bottom w:val="none" w:sz="0" w:space="0" w:color="auto"/>
                                                                                                                                        <w:right w:val="none" w:sz="0" w:space="0" w:color="auto"/>
                                                                                                                                      </w:divBdr>
                                                                                                                                      <w:divsChild>
                                                                                                                                        <w:div w:id="1329288391">
                                                                                                                                          <w:marLeft w:val="0"/>
                                                                                                                                          <w:marRight w:val="0"/>
                                                                                                                                          <w:marTop w:val="0"/>
                                                                                                                                          <w:marBottom w:val="0"/>
                                                                                                                                          <w:divBdr>
                                                                                                                                            <w:top w:val="none" w:sz="0" w:space="0" w:color="auto"/>
                                                                                                                                            <w:left w:val="none" w:sz="0" w:space="0" w:color="auto"/>
                                                                                                                                            <w:bottom w:val="none" w:sz="0" w:space="0" w:color="auto"/>
                                                                                                                                            <w:right w:val="none" w:sz="0" w:space="0" w:color="auto"/>
                                                                                                                                          </w:divBdr>
                                                                                                                                          <w:divsChild>
                                                                                                                                            <w:div w:id="1919753116">
                                                                                                                                              <w:marLeft w:val="0"/>
                                                                                                                                              <w:marRight w:val="0"/>
                                                                                                                                              <w:marTop w:val="0"/>
                                                                                                                                              <w:marBottom w:val="0"/>
                                                                                                                                              <w:divBdr>
                                                                                                                                                <w:top w:val="none" w:sz="0" w:space="0" w:color="auto"/>
                                                                                                                                                <w:left w:val="none" w:sz="0" w:space="0" w:color="auto"/>
                                                                                                                                                <w:bottom w:val="none" w:sz="0" w:space="0" w:color="auto"/>
                                                                                                                                                <w:right w:val="none" w:sz="0" w:space="0" w:color="auto"/>
                                                                                                                                              </w:divBdr>
                                                                                                                                              <w:divsChild>
                                                                                                                                                <w:div w:id="1149905782">
                                                                                                                                                  <w:marLeft w:val="0"/>
                                                                                                                                                  <w:marRight w:val="0"/>
                                                                                                                                                  <w:marTop w:val="0"/>
                                                                                                                                                  <w:marBottom w:val="0"/>
                                                                                                                                                  <w:divBdr>
                                                                                                                                                    <w:top w:val="none" w:sz="0" w:space="0" w:color="auto"/>
                                                                                                                                                    <w:left w:val="none" w:sz="0" w:space="0" w:color="auto"/>
                                                                                                                                                    <w:bottom w:val="none" w:sz="0" w:space="0" w:color="auto"/>
                                                                                                                                                    <w:right w:val="none" w:sz="0" w:space="0" w:color="auto"/>
                                                                                                                                                  </w:divBdr>
                                                                                                                                                  <w:divsChild>
                                                                                                                                                    <w:div w:id="1836336745">
                                                                                                                                                      <w:marLeft w:val="0"/>
                                                                                                                                                      <w:marRight w:val="0"/>
                                                                                                                                                      <w:marTop w:val="0"/>
                                                                                                                                                      <w:marBottom w:val="0"/>
                                                                                                                                                      <w:divBdr>
                                                                                                                                                        <w:top w:val="none" w:sz="0" w:space="0" w:color="auto"/>
                                                                                                                                                        <w:left w:val="none" w:sz="0" w:space="0" w:color="auto"/>
                                                                                                                                                        <w:bottom w:val="none" w:sz="0" w:space="0" w:color="auto"/>
                                                                                                                                                        <w:right w:val="none" w:sz="0" w:space="0" w:color="auto"/>
                                                                                                                                                      </w:divBdr>
                                                                                                                                                      <w:divsChild>
                                                                                                                                                        <w:div w:id="1811511264">
                                                                                                                                                          <w:marLeft w:val="0"/>
                                                                                                                                                          <w:marRight w:val="0"/>
                                                                                                                                                          <w:marTop w:val="0"/>
                                                                                                                                                          <w:marBottom w:val="0"/>
                                                                                                                                                          <w:divBdr>
                                                                                                                                                            <w:top w:val="none" w:sz="0" w:space="0" w:color="auto"/>
                                                                                                                                                            <w:left w:val="none" w:sz="0" w:space="0" w:color="auto"/>
                                                                                                                                                            <w:bottom w:val="none" w:sz="0" w:space="0" w:color="auto"/>
                                                                                                                                                            <w:right w:val="none" w:sz="0" w:space="0" w:color="auto"/>
                                                                                                                                                          </w:divBdr>
                                                                                                                                                          <w:divsChild>
                                                                                                                                                            <w:div w:id="1522819061">
                                                                                                                                                              <w:marLeft w:val="0"/>
                                                                                                                                                              <w:marRight w:val="0"/>
                                                                                                                                                              <w:marTop w:val="0"/>
                                                                                                                                                              <w:marBottom w:val="0"/>
                                                                                                                                                              <w:divBdr>
                                                                                                                                                                <w:top w:val="none" w:sz="0" w:space="0" w:color="auto"/>
                                                                                                                                                                <w:left w:val="none" w:sz="0" w:space="0" w:color="auto"/>
                                                                                                                                                                <w:bottom w:val="none" w:sz="0" w:space="0" w:color="auto"/>
                                                                                                                                                                <w:right w:val="none" w:sz="0" w:space="0" w:color="auto"/>
                                                                                                                                                              </w:divBdr>
                                                                                                                                                              <w:divsChild>
                                                                                                                                                                <w:div w:id="818614863">
                                                                                                                                                                  <w:marLeft w:val="0"/>
                                                                                                                                                                  <w:marRight w:val="0"/>
                                                                                                                                                                  <w:marTop w:val="0"/>
                                                                                                                                                                  <w:marBottom w:val="0"/>
                                                                                                                                                                  <w:divBdr>
                                                                                                                                                                    <w:top w:val="none" w:sz="0" w:space="0" w:color="auto"/>
                                                                                                                                                                    <w:left w:val="none" w:sz="0" w:space="0" w:color="auto"/>
                                                                                                                                                                    <w:bottom w:val="none" w:sz="0" w:space="0" w:color="auto"/>
                                                                                                                                                                    <w:right w:val="none" w:sz="0" w:space="0" w:color="auto"/>
                                                                                                                                                                  </w:divBdr>
                                                                                                                                                                </w:div>
                                                                                                                                                                <w:div w:id="21104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1726079">
      <w:bodyDiv w:val="1"/>
      <w:marLeft w:val="0"/>
      <w:marRight w:val="0"/>
      <w:marTop w:val="0"/>
      <w:marBottom w:val="0"/>
      <w:divBdr>
        <w:top w:val="none" w:sz="0" w:space="0" w:color="auto"/>
        <w:left w:val="none" w:sz="0" w:space="0" w:color="auto"/>
        <w:bottom w:val="none" w:sz="0" w:space="0" w:color="auto"/>
        <w:right w:val="none" w:sz="0" w:space="0" w:color="auto"/>
      </w:divBdr>
    </w:div>
    <w:div w:id="786892798">
      <w:bodyDiv w:val="1"/>
      <w:marLeft w:val="0"/>
      <w:marRight w:val="0"/>
      <w:marTop w:val="0"/>
      <w:marBottom w:val="0"/>
      <w:divBdr>
        <w:top w:val="none" w:sz="0" w:space="0" w:color="auto"/>
        <w:left w:val="none" w:sz="0" w:space="0" w:color="auto"/>
        <w:bottom w:val="none" w:sz="0" w:space="0" w:color="auto"/>
        <w:right w:val="none" w:sz="0" w:space="0" w:color="auto"/>
      </w:divBdr>
    </w:div>
    <w:div w:id="1156609664">
      <w:bodyDiv w:val="1"/>
      <w:marLeft w:val="0"/>
      <w:marRight w:val="0"/>
      <w:marTop w:val="0"/>
      <w:marBottom w:val="0"/>
      <w:divBdr>
        <w:top w:val="none" w:sz="0" w:space="0" w:color="auto"/>
        <w:left w:val="none" w:sz="0" w:space="0" w:color="auto"/>
        <w:bottom w:val="none" w:sz="0" w:space="0" w:color="auto"/>
        <w:right w:val="none" w:sz="0" w:space="0" w:color="auto"/>
      </w:divBdr>
      <w:divsChild>
        <w:div w:id="2012489319">
          <w:marLeft w:val="0"/>
          <w:marRight w:val="0"/>
          <w:marTop w:val="0"/>
          <w:marBottom w:val="0"/>
          <w:divBdr>
            <w:top w:val="none" w:sz="0" w:space="0" w:color="auto"/>
            <w:left w:val="none" w:sz="0" w:space="0" w:color="auto"/>
            <w:bottom w:val="none" w:sz="0" w:space="0" w:color="auto"/>
            <w:right w:val="none" w:sz="0" w:space="0" w:color="auto"/>
          </w:divBdr>
          <w:divsChild>
            <w:div w:id="277838526">
              <w:marLeft w:val="0"/>
              <w:marRight w:val="0"/>
              <w:marTop w:val="0"/>
              <w:marBottom w:val="0"/>
              <w:divBdr>
                <w:top w:val="none" w:sz="0" w:space="0" w:color="auto"/>
                <w:left w:val="none" w:sz="0" w:space="0" w:color="auto"/>
                <w:bottom w:val="none" w:sz="0" w:space="0" w:color="auto"/>
                <w:right w:val="none" w:sz="0" w:space="0" w:color="auto"/>
              </w:divBdr>
              <w:divsChild>
                <w:div w:id="19824593">
                  <w:marLeft w:val="0"/>
                  <w:marRight w:val="0"/>
                  <w:marTop w:val="0"/>
                  <w:marBottom w:val="0"/>
                  <w:divBdr>
                    <w:top w:val="none" w:sz="0" w:space="0" w:color="auto"/>
                    <w:left w:val="none" w:sz="0" w:space="0" w:color="auto"/>
                    <w:bottom w:val="none" w:sz="0" w:space="0" w:color="auto"/>
                    <w:right w:val="none" w:sz="0" w:space="0" w:color="auto"/>
                  </w:divBdr>
                  <w:divsChild>
                    <w:div w:id="1529097679">
                      <w:marLeft w:val="0"/>
                      <w:marRight w:val="0"/>
                      <w:marTop w:val="0"/>
                      <w:marBottom w:val="0"/>
                      <w:divBdr>
                        <w:top w:val="none" w:sz="0" w:space="0" w:color="auto"/>
                        <w:left w:val="none" w:sz="0" w:space="0" w:color="auto"/>
                        <w:bottom w:val="none" w:sz="0" w:space="0" w:color="auto"/>
                        <w:right w:val="none" w:sz="0" w:space="0" w:color="auto"/>
                      </w:divBdr>
                      <w:divsChild>
                        <w:div w:id="738668763">
                          <w:marLeft w:val="0"/>
                          <w:marRight w:val="0"/>
                          <w:marTop w:val="0"/>
                          <w:marBottom w:val="0"/>
                          <w:divBdr>
                            <w:top w:val="none" w:sz="0" w:space="0" w:color="auto"/>
                            <w:left w:val="none" w:sz="0" w:space="0" w:color="auto"/>
                            <w:bottom w:val="none" w:sz="0" w:space="0" w:color="auto"/>
                            <w:right w:val="none" w:sz="0" w:space="0" w:color="auto"/>
                          </w:divBdr>
                          <w:divsChild>
                            <w:div w:id="130026074">
                              <w:marLeft w:val="0"/>
                              <w:marRight w:val="0"/>
                              <w:marTop w:val="0"/>
                              <w:marBottom w:val="0"/>
                              <w:divBdr>
                                <w:top w:val="none" w:sz="0" w:space="0" w:color="auto"/>
                                <w:left w:val="single" w:sz="6" w:space="0" w:color="E5E3E3"/>
                                <w:bottom w:val="none" w:sz="0" w:space="0" w:color="auto"/>
                                <w:right w:val="none" w:sz="0" w:space="0" w:color="auto"/>
                              </w:divBdr>
                              <w:divsChild>
                                <w:div w:id="2128498300">
                                  <w:marLeft w:val="0"/>
                                  <w:marRight w:val="0"/>
                                  <w:marTop w:val="0"/>
                                  <w:marBottom w:val="0"/>
                                  <w:divBdr>
                                    <w:top w:val="none" w:sz="0" w:space="0" w:color="auto"/>
                                    <w:left w:val="none" w:sz="0" w:space="0" w:color="auto"/>
                                    <w:bottom w:val="none" w:sz="0" w:space="0" w:color="auto"/>
                                    <w:right w:val="none" w:sz="0" w:space="0" w:color="auto"/>
                                  </w:divBdr>
                                  <w:divsChild>
                                    <w:div w:id="549150947">
                                      <w:marLeft w:val="0"/>
                                      <w:marRight w:val="0"/>
                                      <w:marTop w:val="0"/>
                                      <w:marBottom w:val="0"/>
                                      <w:divBdr>
                                        <w:top w:val="none" w:sz="0" w:space="0" w:color="auto"/>
                                        <w:left w:val="none" w:sz="0" w:space="0" w:color="auto"/>
                                        <w:bottom w:val="none" w:sz="0" w:space="0" w:color="auto"/>
                                        <w:right w:val="none" w:sz="0" w:space="0" w:color="auto"/>
                                      </w:divBdr>
                                      <w:divsChild>
                                        <w:div w:id="1394348578">
                                          <w:marLeft w:val="0"/>
                                          <w:marRight w:val="0"/>
                                          <w:marTop w:val="0"/>
                                          <w:marBottom w:val="0"/>
                                          <w:divBdr>
                                            <w:top w:val="none" w:sz="0" w:space="0" w:color="auto"/>
                                            <w:left w:val="none" w:sz="0" w:space="0" w:color="auto"/>
                                            <w:bottom w:val="none" w:sz="0" w:space="0" w:color="auto"/>
                                            <w:right w:val="none" w:sz="0" w:space="0" w:color="auto"/>
                                          </w:divBdr>
                                          <w:divsChild>
                                            <w:div w:id="786318923">
                                              <w:marLeft w:val="0"/>
                                              <w:marRight w:val="0"/>
                                              <w:marTop w:val="0"/>
                                              <w:marBottom w:val="0"/>
                                              <w:divBdr>
                                                <w:top w:val="none" w:sz="0" w:space="0" w:color="auto"/>
                                                <w:left w:val="none" w:sz="0" w:space="0" w:color="auto"/>
                                                <w:bottom w:val="none" w:sz="0" w:space="0" w:color="auto"/>
                                                <w:right w:val="none" w:sz="0" w:space="0" w:color="auto"/>
                                              </w:divBdr>
                                              <w:divsChild>
                                                <w:div w:id="254099208">
                                                  <w:marLeft w:val="0"/>
                                                  <w:marRight w:val="0"/>
                                                  <w:marTop w:val="0"/>
                                                  <w:marBottom w:val="0"/>
                                                  <w:divBdr>
                                                    <w:top w:val="none" w:sz="0" w:space="0" w:color="auto"/>
                                                    <w:left w:val="none" w:sz="0" w:space="0" w:color="auto"/>
                                                    <w:bottom w:val="none" w:sz="0" w:space="0" w:color="auto"/>
                                                    <w:right w:val="none" w:sz="0" w:space="0" w:color="auto"/>
                                                  </w:divBdr>
                                                  <w:divsChild>
                                                    <w:div w:id="576213138">
                                                      <w:marLeft w:val="0"/>
                                                      <w:marRight w:val="0"/>
                                                      <w:marTop w:val="0"/>
                                                      <w:marBottom w:val="0"/>
                                                      <w:divBdr>
                                                        <w:top w:val="none" w:sz="0" w:space="0" w:color="auto"/>
                                                        <w:left w:val="none" w:sz="0" w:space="0" w:color="auto"/>
                                                        <w:bottom w:val="none" w:sz="0" w:space="0" w:color="auto"/>
                                                        <w:right w:val="none" w:sz="0" w:space="0" w:color="auto"/>
                                                      </w:divBdr>
                                                      <w:divsChild>
                                                        <w:div w:id="2125995134">
                                                          <w:marLeft w:val="480"/>
                                                          <w:marRight w:val="0"/>
                                                          <w:marTop w:val="0"/>
                                                          <w:marBottom w:val="0"/>
                                                          <w:divBdr>
                                                            <w:top w:val="none" w:sz="0" w:space="0" w:color="auto"/>
                                                            <w:left w:val="none" w:sz="0" w:space="0" w:color="auto"/>
                                                            <w:bottom w:val="none" w:sz="0" w:space="0" w:color="auto"/>
                                                            <w:right w:val="none" w:sz="0" w:space="0" w:color="auto"/>
                                                          </w:divBdr>
                                                          <w:divsChild>
                                                            <w:div w:id="2062904751">
                                                              <w:marLeft w:val="0"/>
                                                              <w:marRight w:val="0"/>
                                                              <w:marTop w:val="0"/>
                                                              <w:marBottom w:val="0"/>
                                                              <w:divBdr>
                                                                <w:top w:val="none" w:sz="0" w:space="0" w:color="auto"/>
                                                                <w:left w:val="none" w:sz="0" w:space="0" w:color="auto"/>
                                                                <w:bottom w:val="none" w:sz="0" w:space="0" w:color="auto"/>
                                                                <w:right w:val="none" w:sz="0" w:space="0" w:color="auto"/>
                                                              </w:divBdr>
                                                              <w:divsChild>
                                                                <w:div w:id="413167490">
                                                                  <w:marLeft w:val="0"/>
                                                                  <w:marRight w:val="0"/>
                                                                  <w:marTop w:val="0"/>
                                                                  <w:marBottom w:val="0"/>
                                                                  <w:divBdr>
                                                                    <w:top w:val="none" w:sz="0" w:space="0" w:color="auto"/>
                                                                    <w:left w:val="none" w:sz="0" w:space="0" w:color="auto"/>
                                                                    <w:bottom w:val="none" w:sz="0" w:space="0" w:color="auto"/>
                                                                    <w:right w:val="none" w:sz="0" w:space="0" w:color="auto"/>
                                                                  </w:divBdr>
                                                                  <w:divsChild>
                                                                    <w:div w:id="1379550103">
                                                                      <w:marLeft w:val="0"/>
                                                                      <w:marRight w:val="0"/>
                                                                      <w:marTop w:val="0"/>
                                                                      <w:marBottom w:val="0"/>
                                                                      <w:divBdr>
                                                                        <w:top w:val="none" w:sz="0" w:space="0" w:color="auto"/>
                                                                        <w:left w:val="none" w:sz="0" w:space="0" w:color="auto"/>
                                                                        <w:bottom w:val="none" w:sz="0" w:space="0" w:color="auto"/>
                                                                        <w:right w:val="none" w:sz="0" w:space="0" w:color="auto"/>
                                                                      </w:divBdr>
                                                                      <w:divsChild>
                                                                        <w:div w:id="1633245736">
                                                                          <w:marLeft w:val="0"/>
                                                                          <w:marRight w:val="0"/>
                                                                          <w:marTop w:val="0"/>
                                                                          <w:marBottom w:val="0"/>
                                                                          <w:divBdr>
                                                                            <w:top w:val="none" w:sz="0" w:space="0" w:color="auto"/>
                                                                            <w:left w:val="none" w:sz="0" w:space="0" w:color="auto"/>
                                                                            <w:bottom w:val="none" w:sz="0" w:space="0" w:color="auto"/>
                                                                            <w:right w:val="none" w:sz="0" w:space="0" w:color="auto"/>
                                                                          </w:divBdr>
                                                                          <w:divsChild>
                                                                            <w:div w:id="1928153502">
                                                                              <w:marLeft w:val="0"/>
                                                                              <w:marRight w:val="0"/>
                                                                              <w:marTop w:val="0"/>
                                                                              <w:marBottom w:val="0"/>
                                                                              <w:divBdr>
                                                                                <w:top w:val="none" w:sz="0" w:space="0" w:color="auto"/>
                                                                                <w:left w:val="none" w:sz="0" w:space="0" w:color="auto"/>
                                                                                <w:bottom w:val="none" w:sz="0" w:space="0" w:color="auto"/>
                                                                                <w:right w:val="none" w:sz="0" w:space="0" w:color="auto"/>
                                                                              </w:divBdr>
                                                                              <w:divsChild>
                                                                                <w:div w:id="228729588">
                                                                                  <w:marLeft w:val="0"/>
                                                                                  <w:marRight w:val="0"/>
                                                                                  <w:marTop w:val="0"/>
                                                                                  <w:marBottom w:val="0"/>
                                                                                  <w:divBdr>
                                                                                    <w:top w:val="none" w:sz="0" w:space="0" w:color="auto"/>
                                                                                    <w:left w:val="none" w:sz="0" w:space="0" w:color="auto"/>
                                                                                    <w:bottom w:val="single" w:sz="6" w:space="23" w:color="auto"/>
                                                                                    <w:right w:val="none" w:sz="0" w:space="0" w:color="auto"/>
                                                                                  </w:divBdr>
                                                                                  <w:divsChild>
                                                                                    <w:div w:id="1268855849">
                                                                                      <w:marLeft w:val="0"/>
                                                                                      <w:marRight w:val="0"/>
                                                                                      <w:marTop w:val="0"/>
                                                                                      <w:marBottom w:val="0"/>
                                                                                      <w:divBdr>
                                                                                        <w:top w:val="none" w:sz="0" w:space="0" w:color="auto"/>
                                                                                        <w:left w:val="none" w:sz="0" w:space="0" w:color="auto"/>
                                                                                        <w:bottom w:val="none" w:sz="0" w:space="0" w:color="auto"/>
                                                                                        <w:right w:val="none" w:sz="0" w:space="0" w:color="auto"/>
                                                                                      </w:divBdr>
                                                                                      <w:divsChild>
                                                                                        <w:div w:id="1171020952">
                                                                                          <w:marLeft w:val="0"/>
                                                                                          <w:marRight w:val="0"/>
                                                                                          <w:marTop w:val="0"/>
                                                                                          <w:marBottom w:val="0"/>
                                                                                          <w:divBdr>
                                                                                            <w:top w:val="none" w:sz="0" w:space="0" w:color="auto"/>
                                                                                            <w:left w:val="none" w:sz="0" w:space="0" w:color="auto"/>
                                                                                            <w:bottom w:val="none" w:sz="0" w:space="0" w:color="auto"/>
                                                                                            <w:right w:val="none" w:sz="0" w:space="0" w:color="auto"/>
                                                                                          </w:divBdr>
                                                                                          <w:divsChild>
                                                                                            <w:div w:id="1564441854">
                                                                                              <w:marLeft w:val="0"/>
                                                                                              <w:marRight w:val="150"/>
                                                                                              <w:marTop w:val="60"/>
                                                                                              <w:marBottom w:val="0"/>
                                                                                              <w:divBdr>
                                                                                                <w:top w:val="none" w:sz="0" w:space="0" w:color="auto"/>
                                                                                                <w:left w:val="none" w:sz="0" w:space="0" w:color="auto"/>
                                                                                                <w:bottom w:val="none" w:sz="0" w:space="0" w:color="auto"/>
                                                                                                <w:right w:val="none" w:sz="0" w:space="0" w:color="auto"/>
                                                                                              </w:divBdr>
                                                                                              <w:divsChild>
                                                                                                <w:div w:id="25763144">
                                                                                                  <w:marLeft w:val="0"/>
                                                                                                  <w:marRight w:val="0"/>
                                                                                                  <w:marTop w:val="0"/>
                                                                                                  <w:marBottom w:val="0"/>
                                                                                                  <w:divBdr>
                                                                                                    <w:top w:val="none" w:sz="0" w:space="0" w:color="auto"/>
                                                                                                    <w:left w:val="none" w:sz="0" w:space="0" w:color="auto"/>
                                                                                                    <w:bottom w:val="none" w:sz="0" w:space="0" w:color="auto"/>
                                                                                                    <w:right w:val="none" w:sz="0" w:space="0" w:color="auto"/>
                                                                                                  </w:divBdr>
                                                                                                  <w:divsChild>
                                                                                                    <w:div w:id="1754928943">
                                                                                                      <w:marLeft w:val="0"/>
                                                                                                      <w:marRight w:val="0"/>
                                                                                                      <w:marTop w:val="0"/>
                                                                                                      <w:marBottom w:val="0"/>
                                                                                                      <w:divBdr>
                                                                                                        <w:top w:val="none" w:sz="0" w:space="0" w:color="auto"/>
                                                                                                        <w:left w:val="none" w:sz="0" w:space="0" w:color="auto"/>
                                                                                                        <w:bottom w:val="none" w:sz="0" w:space="0" w:color="auto"/>
                                                                                                        <w:right w:val="none" w:sz="0" w:space="0" w:color="auto"/>
                                                                                                      </w:divBdr>
                                                                                                      <w:divsChild>
                                                                                                        <w:div w:id="1871720644">
                                                                                                          <w:marLeft w:val="0"/>
                                                                                                          <w:marRight w:val="0"/>
                                                                                                          <w:marTop w:val="0"/>
                                                                                                          <w:marBottom w:val="0"/>
                                                                                                          <w:divBdr>
                                                                                                            <w:top w:val="none" w:sz="0" w:space="0" w:color="auto"/>
                                                                                                            <w:left w:val="none" w:sz="0" w:space="0" w:color="auto"/>
                                                                                                            <w:bottom w:val="none" w:sz="0" w:space="0" w:color="auto"/>
                                                                                                            <w:right w:val="none" w:sz="0" w:space="0" w:color="auto"/>
                                                                                                          </w:divBdr>
                                                                                                          <w:divsChild>
                                                                                                            <w:div w:id="406923593">
                                                                                                              <w:marLeft w:val="0"/>
                                                                                                              <w:marRight w:val="0"/>
                                                                                                              <w:marTop w:val="0"/>
                                                                                                              <w:marBottom w:val="0"/>
                                                                                                              <w:divBdr>
                                                                                                                <w:top w:val="none" w:sz="0" w:space="0" w:color="auto"/>
                                                                                                                <w:left w:val="none" w:sz="0" w:space="0" w:color="auto"/>
                                                                                                                <w:bottom w:val="none" w:sz="0" w:space="0" w:color="auto"/>
                                                                                                                <w:right w:val="none" w:sz="0" w:space="0" w:color="auto"/>
                                                                                                              </w:divBdr>
                                                                                                              <w:divsChild>
                                                                                                                <w:div w:id="1061638694">
                                                                                                                  <w:marLeft w:val="0"/>
                                                                                                                  <w:marRight w:val="0"/>
                                                                                                                  <w:marTop w:val="0"/>
                                                                                                                  <w:marBottom w:val="0"/>
                                                                                                                  <w:divBdr>
                                                                                                                    <w:top w:val="none" w:sz="0" w:space="0" w:color="auto"/>
                                                                                                                    <w:left w:val="none" w:sz="0" w:space="0" w:color="auto"/>
                                                                                                                    <w:bottom w:val="none" w:sz="0" w:space="0" w:color="auto"/>
                                                                                                                    <w:right w:val="none" w:sz="0" w:space="0" w:color="auto"/>
                                                                                                                  </w:divBdr>
                                                                                                                  <w:divsChild>
                                                                                                                    <w:div w:id="171459951">
                                                                                                                      <w:marLeft w:val="0"/>
                                                                                                                      <w:marRight w:val="0"/>
                                                                                                                      <w:marTop w:val="0"/>
                                                                                                                      <w:marBottom w:val="0"/>
                                                                                                                      <w:divBdr>
                                                                                                                        <w:top w:val="none" w:sz="0" w:space="0" w:color="auto"/>
                                                                                                                        <w:left w:val="none" w:sz="0" w:space="0" w:color="auto"/>
                                                                                                                        <w:bottom w:val="none" w:sz="0" w:space="0" w:color="auto"/>
                                                                                                                        <w:right w:val="none" w:sz="0" w:space="0" w:color="auto"/>
                                                                                                                      </w:divBdr>
                                                                                                                      <w:divsChild>
                                                                                                                        <w:div w:id="1656372162">
                                                                                                                          <w:marLeft w:val="0"/>
                                                                                                                          <w:marRight w:val="0"/>
                                                                                                                          <w:marTop w:val="0"/>
                                                                                                                          <w:marBottom w:val="0"/>
                                                                                                                          <w:divBdr>
                                                                                                                            <w:top w:val="none" w:sz="0" w:space="0" w:color="auto"/>
                                                                                                                            <w:left w:val="none" w:sz="0" w:space="0" w:color="auto"/>
                                                                                                                            <w:bottom w:val="none" w:sz="0" w:space="0" w:color="auto"/>
                                                                                                                            <w:right w:val="none" w:sz="0" w:space="0" w:color="auto"/>
                                                                                                                          </w:divBdr>
                                                                                                                          <w:divsChild>
                                                                                                                            <w:div w:id="1527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893382">
      <w:bodyDiv w:val="1"/>
      <w:marLeft w:val="0"/>
      <w:marRight w:val="0"/>
      <w:marTop w:val="0"/>
      <w:marBottom w:val="0"/>
      <w:divBdr>
        <w:top w:val="none" w:sz="0" w:space="0" w:color="auto"/>
        <w:left w:val="none" w:sz="0" w:space="0" w:color="auto"/>
        <w:bottom w:val="none" w:sz="0" w:space="0" w:color="auto"/>
        <w:right w:val="none" w:sz="0" w:space="0" w:color="auto"/>
      </w:divBdr>
    </w:div>
    <w:div w:id="211937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3E92E35FF6E54CB12E422F8E95B093" ma:contentTypeVersion="0" ma:contentTypeDescription="Create a new document." ma:contentTypeScope="" ma:versionID="cb67c31659168c44ded859d1d624900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403CF-274A-4719-9722-89983B2DC81D}">
  <ds:schemaRefs>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9CAA64A0-F3AE-4C00-97A0-B3733D8324CF}">
  <ds:schemaRefs>
    <ds:schemaRef ds:uri="http://schemas.microsoft.com/sharepoint/v3/contenttype/forms"/>
  </ds:schemaRefs>
</ds:datastoreItem>
</file>

<file path=customXml/itemProps3.xml><?xml version="1.0" encoding="utf-8"?>
<ds:datastoreItem xmlns:ds="http://schemas.openxmlformats.org/officeDocument/2006/customXml" ds:itemID="{8216C5B4-567E-4B71-B3BE-EA04FBAAA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FA804A-734E-4B0F-B0D3-8FCC98BEB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3316</Words>
  <Characters>18903</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2015-05-20T17:58:00Z</dcterms:created>
  <dcterms:modified xsi:type="dcterms:W3CDTF">2015-05-20T17:58:00Z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0x010100323E92E35FF6E54CB12E422F8E95B093</vt:lpwstr>
  </property>
</Properties>
</file>