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4F" w:rsidRDefault="00DE08C8" w:rsidP="00DE08C8">
      <w:pPr>
        <w:tabs>
          <w:tab w:val="center" w:pos="4680"/>
        </w:tabs>
        <w:jc w:val="center"/>
        <w:rPr>
          <w:b/>
          <w:sz w:val="32"/>
          <w:szCs w:val="32"/>
        </w:rPr>
      </w:pPr>
      <w:bookmarkStart w:id="0" w:name="_GoBack"/>
      <w:bookmarkEnd w:id="0"/>
      <w:r>
        <w:rPr>
          <w:b/>
          <w:sz w:val="32"/>
          <w:szCs w:val="32"/>
        </w:rPr>
        <w:t xml:space="preserve">2015 </w:t>
      </w:r>
      <w:r w:rsidR="00BF5EB7" w:rsidRPr="00A3298C">
        <w:rPr>
          <w:b/>
          <w:sz w:val="32"/>
          <w:szCs w:val="32"/>
        </w:rPr>
        <w:t>National Survey of Children's Health</w:t>
      </w:r>
      <w:r>
        <w:rPr>
          <w:b/>
          <w:sz w:val="32"/>
          <w:szCs w:val="32"/>
        </w:rPr>
        <w:t xml:space="preserve"> Pretest: </w:t>
      </w:r>
    </w:p>
    <w:p w:rsidR="00073EE0" w:rsidRDefault="00073EE0" w:rsidP="00DE08C8">
      <w:pPr>
        <w:tabs>
          <w:tab w:val="center" w:pos="4680"/>
        </w:tabs>
        <w:jc w:val="center"/>
        <w:rPr>
          <w:b/>
          <w:sz w:val="32"/>
          <w:szCs w:val="32"/>
        </w:rPr>
      </w:pPr>
      <w:r>
        <w:rPr>
          <w:b/>
          <w:sz w:val="32"/>
          <w:szCs w:val="32"/>
        </w:rPr>
        <w:t>Request for OMB Review</w:t>
      </w:r>
    </w:p>
    <w:p w:rsidR="00073EE0" w:rsidRDefault="00073EE0" w:rsidP="00DE08C8">
      <w:pPr>
        <w:tabs>
          <w:tab w:val="center" w:pos="4680"/>
        </w:tabs>
        <w:jc w:val="center"/>
        <w:rPr>
          <w:b/>
          <w:sz w:val="32"/>
          <w:szCs w:val="32"/>
        </w:rPr>
      </w:pPr>
    </w:p>
    <w:p w:rsidR="00073EE0" w:rsidRDefault="00073EE0" w:rsidP="00073EE0">
      <w:pPr>
        <w:tabs>
          <w:tab w:val="center" w:pos="4680"/>
        </w:tabs>
        <w:spacing w:before="120"/>
        <w:jc w:val="center"/>
        <w:rPr>
          <w:b/>
          <w:bCs/>
          <w:sz w:val="32"/>
          <w:szCs w:val="32"/>
        </w:rPr>
      </w:pPr>
      <w:r>
        <w:rPr>
          <w:b/>
          <w:bCs/>
          <w:sz w:val="32"/>
          <w:szCs w:val="32"/>
        </w:rPr>
        <w:t>Supporting Statement A</w:t>
      </w:r>
    </w:p>
    <w:p w:rsidR="00073EE0" w:rsidRDefault="00073EE0" w:rsidP="00DE08C8">
      <w:pPr>
        <w:tabs>
          <w:tab w:val="center" w:pos="4680"/>
        </w:tabs>
        <w:jc w:val="center"/>
        <w:rPr>
          <w:b/>
          <w:sz w:val="32"/>
          <w:szCs w:val="32"/>
        </w:rPr>
      </w:pPr>
    </w:p>
    <w:p w:rsidR="00E416AD" w:rsidRDefault="00E416AD" w:rsidP="00DE08C8">
      <w:pPr>
        <w:tabs>
          <w:tab w:val="center" w:pos="4680"/>
        </w:tabs>
        <w:jc w:val="center"/>
        <w:rPr>
          <w:b/>
          <w:sz w:val="32"/>
          <w:szCs w:val="32"/>
        </w:rPr>
      </w:pPr>
    </w:p>
    <w:p w:rsidR="00E416AD" w:rsidRPr="00A3298C" w:rsidRDefault="00E416AD" w:rsidP="00DE08C8">
      <w:pPr>
        <w:tabs>
          <w:tab w:val="center" w:pos="4680"/>
        </w:tabs>
        <w:jc w:val="center"/>
        <w:rPr>
          <w:b/>
          <w:sz w:val="32"/>
          <w:szCs w:val="32"/>
        </w:rPr>
      </w:pPr>
      <w:r>
        <w:rPr>
          <w:b/>
          <w:sz w:val="32"/>
          <w:szCs w:val="32"/>
        </w:rPr>
        <w:t>January 15, 2015</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w:t>
      </w:r>
      <w:r w:rsidRPr="00BF5EB7">
        <w:rPr>
          <w:b/>
          <w:bCs/>
          <w:sz w:val="32"/>
          <w:szCs w:val="32"/>
        </w:rPr>
        <w:t xml:space="preserve">. </w:t>
      </w:r>
      <w:r w:rsidR="00DE08C8" w:rsidRPr="00A14339">
        <w:rPr>
          <w:b/>
          <w:bCs/>
          <w:sz w:val="32"/>
          <w:szCs w:val="32"/>
        </w:rPr>
        <w:t>0607-XXXX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CE5AA9">
        <w:rPr>
          <w:b/>
          <w:sz w:val="24"/>
        </w:rPr>
        <w:t>None</w:t>
      </w:r>
      <w:r w:rsidR="00BA1A0C" w:rsidRPr="00CE5AA9">
        <w:rPr>
          <w:b/>
          <w:sz w:val="24"/>
        </w:rPr>
        <w:t xml:space="preserve"> </w:t>
      </w:r>
    </w:p>
    <w:p w:rsidR="009B3794" w:rsidRPr="00306436" w:rsidRDefault="009B3794" w:rsidP="00306436">
      <w:pPr>
        <w:pStyle w:val="ListParagraph"/>
        <w:numPr>
          <w:ilvl w:val="0"/>
          <w:numId w:val="6"/>
        </w:numPr>
        <w:spacing w:before="120"/>
        <w:ind w:left="360"/>
        <w:rPr>
          <w:b/>
          <w:bCs/>
          <w:sz w:val="24"/>
        </w:rPr>
      </w:pPr>
      <w:r w:rsidRPr="00306436">
        <w:rPr>
          <w:b/>
          <w:bCs/>
          <w:sz w:val="24"/>
        </w:rPr>
        <w:t>Justification</w:t>
      </w:r>
    </w:p>
    <w:p w:rsidR="00286CD0" w:rsidRPr="00F51B2D" w:rsidRDefault="009B3794" w:rsidP="00726ABF">
      <w:pPr>
        <w:numPr>
          <w:ilvl w:val="0"/>
          <w:numId w:val="1"/>
        </w:numPr>
        <w:tabs>
          <w:tab w:val="clear" w:pos="1080"/>
          <w:tab w:val="num" w:pos="360"/>
        </w:tabs>
        <w:spacing w:before="240"/>
        <w:ind w:left="360"/>
        <w:rPr>
          <w:b/>
          <w:sz w:val="24"/>
        </w:rPr>
      </w:pPr>
      <w:r>
        <w:rPr>
          <w:b/>
          <w:sz w:val="24"/>
          <w:u w:val="single"/>
        </w:rPr>
        <w:t>Circumstances Making the Collection of Information Necessary</w:t>
      </w:r>
    </w:p>
    <w:p w:rsidR="0035365B" w:rsidRDefault="0035365B" w:rsidP="0035365B">
      <w:pPr>
        <w:spacing w:before="240"/>
        <w:rPr>
          <w:sz w:val="24"/>
        </w:rPr>
      </w:pPr>
      <w:r>
        <w:rPr>
          <w:sz w:val="24"/>
        </w:rPr>
        <w:t xml:space="preserve">Sponsored by the U.S. Department of Health and Human Services’ </w:t>
      </w:r>
      <w:r w:rsidR="00B53D75">
        <w:rPr>
          <w:sz w:val="24"/>
        </w:rPr>
        <w:t xml:space="preserve">(HHS’) </w:t>
      </w:r>
      <w:r>
        <w:rPr>
          <w:sz w:val="24"/>
        </w:rPr>
        <w:t>Health Re</w:t>
      </w:r>
      <w:r w:rsidR="009F24A6">
        <w:rPr>
          <w:sz w:val="24"/>
        </w:rPr>
        <w:t>sources Services Administration/</w:t>
      </w:r>
      <w:r>
        <w:rPr>
          <w:sz w:val="24"/>
        </w:rPr>
        <w:t>Maternal and Child Health Bureau (</w:t>
      </w:r>
      <w:r w:rsidR="009F24A6">
        <w:rPr>
          <w:sz w:val="24"/>
        </w:rPr>
        <w:t>HRSA/</w:t>
      </w:r>
      <w:r>
        <w:rPr>
          <w:sz w:val="24"/>
        </w:rPr>
        <w:t xml:space="preserve">MCHB), the National Survey of Children’s Health (NSCH) is designed to produce data on the </w:t>
      </w:r>
      <w:r w:rsidRPr="0035365B">
        <w:rPr>
          <w:sz w:val="24"/>
        </w:rPr>
        <w:t xml:space="preserve">physical and emotional health of American children ages 0-17 years of age. Data collected from the NSCH informs on factors that relate to the well-being of children, including </w:t>
      </w:r>
      <w:r>
        <w:rPr>
          <w:sz w:val="24"/>
        </w:rPr>
        <w:t xml:space="preserve">access to care, </w:t>
      </w:r>
      <w:r w:rsidRPr="0035365B">
        <w:rPr>
          <w:sz w:val="24"/>
        </w:rPr>
        <w:t>medical home, family interactions, parental health, school and after-school experiences, and safe neighborhoods. In 2011-2012, questions also asked about uninsured children from some households to assess parents' awareness of, experience with, and interest in enrolling in Medicaid and the State Children's Health Insurance Program (CHIP).</w:t>
      </w:r>
      <w:r>
        <w:rPr>
          <w:sz w:val="24"/>
        </w:rPr>
        <w:t xml:space="preserve"> </w:t>
      </w:r>
    </w:p>
    <w:p w:rsidR="00E62916" w:rsidRDefault="00286CD0" w:rsidP="00F51B2D">
      <w:pPr>
        <w:spacing w:before="240"/>
        <w:rPr>
          <w:sz w:val="24"/>
        </w:rPr>
      </w:pPr>
      <w:r w:rsidRPr="004D492E">
        <w:rPr>
          <w:sz w:val="24"/>
        </w:rPr>
        <w:t>The Maternal and Child Health Bureau (MCHB) is redesign</w:t>
      </w:r>
      <w:r w:rsidR="00045B26" w:rsidRPr="004D492E">
        <w:rPr>
          <w:sz w:val="24"/>
        </w:rPr>
        <w:t>ing</w:t>
      </w:r>
      <w:r w:rsidRPr="004D492E">
        <w:rPr>
          <w:sz w:val="24"/>
        </w:rPr>
        <w:t xml:space="preserve"> the NSCH and </w:t>
      </w:r>
      <w:r w:rsidR="00A35B1E">
        <w:rPr>
          <w:sz w:val="24"/>
        </w:rPr>
        <w:t xml:space="preserve">its companion survey, the </w:t>
      </w:r>
      <w:r w:rsidRPr="004D492E">
        <w:rPr>
          <w:sz w:val="24"/>
        </w:rPr>
        <w:t>National Survey of Children with Special Health Care Needs (NS-CSHCN) into a single combined survey</w:t>
      </w:r>
      <w:r w:rsidR="004D492E">
        <w:rPr>
          <w:sz w:val="24"/>
        </w:rPr>
        <w:t xml:space="preserve"> that will utilize </w:t>
      </w:r>
      <w:r w:rsidR="00306436">
        <w:rPr>
          <w:sz w:val="24"/>
        </w:rPr>
        <w:t>an Address-</w:t>
      </w:r>
      <w:r w:rsidR="004D492E" w:rsidRPr="004D492E">
        <w:rPr>
          <w:sz w:val="24"/>
        </w:rPr>
        <w:t>Based Sampling (ABS) frame</w:t>
      </w:r>
      <w:r w:rsidR="004D492E">
        <w:rPr>
          <w:sz w:val="24"/>
        </w:rPr>
        <w:t xml:space="preserve">. </w:t>
      </w:r>
      <w:r w:rsidR="00E62916">
        <w:rPr>
          <w:sz w:val="24"/>
        </w:rPr>
        <w:t>This new</w:t>
      </w:r>
      <w:r w:rsidR="00B322BE">
        <w:rPr>
          <w:sz w:val="24"/>
        </w:rPr>
        <w:t>ly consolidated</w:t>
      </w:r>
      <w:r w:rsidR="00E62916">
        <w:rPr>
          <w:sz w:val="24"/>
        </w:rPr>
        <w:t xml:space="preserve"> survey, which will incorporate questions from both </w:t>
      </w:r>
      <w:r w:rsidR="00A35B1E">
        <w:rPr>
          <w:sz w:val="24"/>
        </w:rPr>
        <w:t>of these surveys</w:t>
      </w:r>
      <w:r w:rsidR="00E62916">
        <w:rPr>
          <w:sz w:val="24"/>
        </w:rPr>
        <w:t xml:space="preserve">, will </w:t>
      </w:r>
      <w:r w:rsidR="00B322BE">
        <w:rPr>
          <w:sz w:val="24"/>
        </w:rPr>
        <w:t xml:space="preserve">retain the name </w:t>
      </w:r>
      <w:r w:rsidR="00E62916">
        <w:rPr>
          <w:sz w:val="24"/>
        </w:rPr>
        <w:t xml:space="preserve">the National Survey of Children’s Health (NSCH).  </w:t>
      </w:r>
    </w:p>
    <w:p w:rsidR="00045B26" w:rsidRPr="004D492E" w:rsidRDefault="00B322BE" w:rsidP="00F51B2D">
      <w:pPr>
        <w:spacing w:before="240"/>
        <w:rPr>
          <w:sz w:val="24"/>
        </w:rPr>
      </w:pPr>
      <w:r>
        <w:rPr>
          <w:sz w:val="24"/>
        </w:rPr>
        <w:t>T</w:t>
      </w:r>
      <w:r w:rsidR="00124C02">
        <w:rPr>
          <w:sz w:val="24"/>
        </w:rPr>
        <w:t>he</w:t>
      </w:r>
      <w:r w:rsidR="00E62916">
        <w:rPr>
          <w:sz w:val="24"/>
        </w:rPr>
        <w:t xml:space="preserve"> </w:t>
      </w:r>
      <w:r>
        <w:rPr>
          <w:sz w:val="24"/>
        </w:rPr>
        <w:t xml:space="preserve">former </w:t>
      </w:r>
      <w:r w:rsidR="00E62916">
        <w:rPr>
          <w:sz w:val="24"/>
        </w:rPr>
        <w:t xml:space="preserve">NSCH and the NS-CSHCN </w:t>
      </w:r>
      <w:r w:rsidR="004D492E">
        <w:rPr>
          <w:sz w:val="24"/>
        </w:rPr>
        <w:t>utilized</w:t>
      </w:r>
      <w:r w:rsidR="00045B26" w:rsidRPr="004D492E">
        <w:rPr>
          <w:sz w:val="24"/>
        </w:rPr>
        <w:t xml:space="preserve"> the State and Local Area Integrated Telephone Survey (SLAITS)</w:t>
      </w:r>
      <w:r w:rsidR="00E62916">
        <w:rPr>
          <w:sz w:val="24"/>
        </w:rPr>
        <w:t xml:space="preserve"> </w:t>
      </w:r>
      <w:r w:rsidR="00045B26" w:rsidRPr="004D492E">
        <w:rPr>
          <w:sz w:val="24"/>
        </w:rPr>
        <w:t>mechanism</w:t>
      </w:r>
      <w:r w:rsidR="00E62916">
        <w:rPr>
          <w:sz w:val="24"/>
        </w:rPr>
        <w:t>. M</w:t>
      </w:r>
      <w:r w:rsidR="002E06A7">
        <w:rPr>
          <w:sz w:val="24"/>
        </w:rPr>
        <w:t>anaged by the National Center for Health Statistics</w:t>
      </w:r>
      <w:r>
        <w:rPr>
          <w:sz w:val="24"/>
        </w:rPr>
        <w:t xml:space="preserve"> (NCHS)</w:t>
      </w:r>
      <w:r w:rsidR="00E62916">
        <w:rPr>
          <w:sz w:val="24"/>
        </w:rPr>
        <w:t xml:space="preserve">, SLAITS </w:t>
      </w:r>
      <w:r w:rsidR="00045B26" w:rsidRPr="004D492E">
        <w:rPr>
          <w:sz w:val="24"/>
        </w:rPr>
        <w:t>conduct</w:t>
      </w:r>
      <w:r w:rsidR="006447AD">
        <w:rPr>
          <w:sz w:val="24"/>
        </w:rPr>
        <w:t>s</w:t>
      </w:r>
      <w:r w:rsidR="00045B26" w:rsidRPr="004D492E">
        <w:rPr>
          <w:sz w:val="24"/>
        </w:rPr>
        <w:t xml:space="preserve"> surveys </w:t>
      </w:r>
      <w:r w:rsidR="00E62916">
        <w:rPr>
          <w:sz w:val="24"/>
        </w:rPr>
        <w:t xml:space="preserve">using </w:t>
      </w:r>
      <w:r w:rsidR="00045B26" w:rsidRPr="004D492E">
        <w:rPr>
          <w:sz w:val="24"/>
        </w:rPr>
        <w:t>the same sampling frame as the National Immunization Survey</w:t>
      </w:r>
      <w:r w:rsidR="002E06A7">
        <w:rPr>
          <w:sz w:val="24"/>
        </w:rPr>
        <w:t xml:space="preserve"> (NIS)</w:t>
      </w:r>
      <w:r w:rsidR="00045B26" w:rsidRPr="004D492E">
        <w:rPr>
          <w:sz w:val="24"/>
        </w:rPr>
        <w:t xml:space="preserve">.  This </w:t>
      </w:r>
      <w:r w:rsidR="002E06A7">
        <w:rPr>
          <w:sz w:val="24"/>
        </w:rPr>
        <w:t xml:space="preserve">sampling </w:t>
      </w:r>
      <w:r w:rsidR="00045B26" w:rsidRPr="004D492E">
        <w:rPr>
          <w:sz w:val="24"/>
        </w:rPr>
        <w:t>frame consist</w:t>
      </w:r>
      <w:r w:rsidR="002E06A7">
        <w:rPr>
          <w:sz w:val="24"/>
        </w:rPr>
        <w:t>s</w:t>
      </w:r>
      <w:r w:rsidR="00045B26" w:rsidRPr="004D492E">
        <w:rPr>
          <w:sz w:val="24"/>
        </w:rPr>
        <w:t xml:space="preserve"> primarily of telephone landline numbers, with some cell telephone supplementation, and utilize</w:t>
      </w:r>
      <w:r w:rsidR="002E06A7">
        <w:rPr>
          <w:sz w:val="24"/>
        </w:rPr>
        <w:t>s</w:t>
      </w:r>
      <w:r w:rsidR="00045B26" w:rsidRPr="004D492E">
        <w:rPr>
          <w:sz w:val="24"/>
        </w:rPr>
        <w:t xml:space="preserve"> Random Digit Dialing (RDD) sampling techniques. </w:t>
      </w:r>
      <w:r w:rsidR="006447AD">
        <w:rPr>
          <w:sz w:val="24"/>
        </w:rPr>
        <w:t xml:space="preserve">SLAITS surveys are </w:t>
      </w:r>
      <w:r w:rsidR="00045B26" w:rsidRPr="004D492E">
        <w:rPr>
          <w:sz w:val="24"/>
        </w:rPr>
        <w:t xml:space="preserve">conducted </w:t>
      </w:r>
      <w:r>
        <w:rPr>
          <w:sz w:val="24"/>
        </w:rPr>
        <w:t>subsequent to</w:t>
      </w:r>
      <w:r w:rsidR="002E06A7">
        <w:rPr>
          <w:sz w:val="24"/>
        </w:rPr>
        <w:t xml:space="preserve"> the NIS</w:t>
      </w:r>
      <w:r>
        <w:rPr>
          <w:sz w:val="24"/>
        </w:rPr>
        <w:t xml:space="preserve"> interview</w:t>
      </w:r>
      <w:r w:rsidR="006447AD">
        <w:rPr>
          <w:sz w:val="24"/>
        </w:rPr>
        <w:t xml:space="preserve">, </w:t>
      </w:r>
      <w:r w:rsidR="00306436">
        <w:rPr>
          <w:sz w:val="24"/>
        </w:rPr>
        <w:t>using Computer-</w:t>
      </w:r>
      <w:r w:rsidR="00045B26" w:rsidRPr="004D492E">
        <w:rPr>
          <w:sz w:val="24"/>
        </w:rPr>
        <w:t xml:space="preserve">Assisted </w:t>
      </w:r>
      <w:r w:rsidR="00045B26" w:rsidRPr="004D492E">
        <w:rPr>
          <w:sz w:val="24"/>
        </w:rPr>
        <w:lastRenderedPageBreak/>
        <w:t>Telephone Interview (CATI) software to collect data from households</w:t>
      </w:r>
      <w:r>
        <w:rPr>
          <w:sz w:val="24"/>
        </w:rPr>
        <w:t xml:space="preserve">:  once households complete </w:t>
      </w:r>
      <w:r w:rsidR="002E06A7">
        <w:rPr>
          <w:sz w:val="24"/>
        </w:rPr>
        <w:t xml:space="preserve">the NIS interview, they </w:t>
      </w:r>
      <w:r>
        <w:rPr>
          <w:sz w:val="24"/>
        </w:rPr>
        <w:t xml:space="preserve">are </w:t>
      </w:r>
      <w:r w:rsidR="002E06A7">
        <w:rPr>
          <w:sz w:val="24"/>
        </w:rPr>
        <w:t>screened to determine eligibility for the SLAITS surveys.</w:t>
      </w:r>
      <w:r>
        <w:rPr>
          <w:sz w:val="24"/>
        </w:rPr>
        <w:t xml:space="preserve"> Interviews are administered for eligible households.</w:t>
      </w:r>
      <w:r w:rsidR="002E06A7">
        <w:rPr>
          <w:sz w:val="24"/>
        </w:rPr>
        <w:t xml:space="preserve">  </w:t>
      </w:r>
    </w:p>
    <w:p w:rsidR="00045B26" w:rsidRPr="004D492E" w:rsidRDefault="00045B26" w:rsidP="004D492E">
      <w:pPr>
        <w:rPr>
          <w:sz w:val="24"/>
        </w:rPr>
      </w:pPr>
    </w:p>
    <w:p w:rsidR="00045B26" w:rsidRPr="004D492E" w:rsidRDefault="00045B26" w:rsidP="004D492E">
      <w:pPr>
        <w:rPr>
          <w:sz w:val="24"/>
        </w:rPr>
      </w:pPr>
      <w:r w:rsidRPr="004D492E">
        <w:rPr>
          <w:sz w:val="24"/>
        </w:rPr>
        <w:t xml:space="preserve">The telephone interview </w:t>
      </w:r>
      <w:r w:rsidR="00E62916">
        <w:rPr>
          <w:sz w:val="24"/>
        </w:rPr>
        <w:t>methodology</w:t>
      </w:r>
      <w:r w:rsidR="00E62916" w:rsidRPr="004D492E">
        <w:rPr>
          <w:sz w:val="24"/>
        </w:rPr>
        <w:t xml:space="preserve"> </w:t>
      </w:r>
      <w:r w:rsidRPr="004D492E">
        <w:rPr>
          <w:sz w:val="24"/>
        </w:rPr>
        <w:t xml:space="preserve">utilized for these surveys allowed for a complex questionnaire as it ensured that skip patterns were properly followed. Furthermore, it protected against data entry error through preprogrammed range and logic checks on responses.  Interviewers were able to address respondent questions and concerns as they arose, helping reduce response error.  </w:t>
      </w:r>
      <w:r w:rsidR="002E06A7">
        <w:rPr>
          <w:sz w:val="24"/>
        </w:rPr>
        <w:t>However, i</w:t>
      </w:r>
      <w:r w:rsidRPr="004D492E">
        <w:rPr>
          <w:sz w:val="24"/>
        </w:rPr>
        <w:t xml:space="preserve">n recent years declining willingness of the public to participate in surveys and changes in household telephone use has resulted in declining response rates </w:t>
      </w:r>
      <w:r w:rsidR="00E62916">
        <w:rPr>
          <w:sz w:val="24"/>
        </w:rPr>
        <w:t xml:space="preserve">for CATI </w:t>
      </w:r>
      <w:r w:rsidRPr="004D492E">
        <w:rPr>
          <w:sz w:val="24"/>
        </w:rPr>
        <w:t xml:space="preserve">surveys.  Of particular concern is the increasing prevalence of households that have substituted wireless service </w:t>
      </w:r>
      <w:r w:rsidR="00306436">
        <w:rPr>
          <w:sz w:val="24"/>
        </w:rPr>
        <w:t xml:space="preserve">for their landline </w:t>
      </w:r>
      <w:r w:rsidR="00226A1C">
        <w:rPr>
          <w:sz w:val="24"/>
        </w:rPr>
        <w:t>telephone</w:t>
      </w:r>
      <w:r w:rsidR="00226A1C" w:rsidRPr="004D492E">
        <w:rPr>
          <w:sz w:val="24"/>
        </w:rPr>
        <w:t>. Efforts</w:t>
      </w:r>
      <w:r w:rsidRPr="004D492E">
        <w:rPr>
          <w:sz w:val="24"/>
        </w:rPr>
        <w:t xml:space="preserve"> to include these non-landline households within the telephone sampling frames for the </w:t>
      </w:r>
      <w:r w:rsidR="0056188F">
        <w:rPr>
          <w:sz w:val="24"/>
        </w:rPr>
        <w:t xml:space="preserve">former </w:t>
      </w:r>
      <w:r w:rsidRPr="004D492E">
        <w:rPr>
          <w:sz w:val="24"/>
        </w:rPr>
        <w:t xml:space="preserve">NSCH and NS-CSHCN have resulted in both an increase in costs and a substantial decline in response rates. </w:t>
      </w:r>
      <w:r w:rsidR="006447AD">
        <w:rPr>
          <w:sz w:val="24"/>
        </w:rPr>
        <w:t xml:space="preserve">Furthermore, because </w:t>
      </w:r>
      <w:r w:rsidR="0056188F">
        <w:rPr>
          <w:sz w:val="24"/>
        </w:rPr>
        <w:t xml:space="preserve">the former </w:t>
      </w:r>
      <w:r w:rsidR="006447AD">
        <w:rPr>
          <w:sz w:val="24"/>
        </w:rPr>
        <w:t>NSCH and NS-CSHCN were administered using the NIS sampling frame and f</w:t>
      </w:r>
      <w:r w:rsidR="0056188F">
        <w:rPr>
          <w:sz w:val="24"/>
        </w:rPr>
        <w:t>ollowed behind the NIS interview</w:t>
      </w:r>
      <w:r w:rsidR="006447AD">
        <w:rPr>
          <w:sz w:val="24"/>
        </w:rPr>
        <w:t xml:space="preserve">, they </w:t>
      </w:r>
      <w:r w:rsidR="00AB23BB">
        <w:rPr>
          <w:sz w:val="24"/>
        </w:rPr>
        <w:t>experienced additional impacts in response rates</w:t>
      </w:r>
      <w:r w:rsidR="0056188F">
        <w:rPr>
          <w:sz w:val="24"/>
        </w:rPr>
        <w:t xml:space="preserve"> when cases failed to move through the NIS itself.</w:t>
      </w:r>
    </w:p>
    <w:p w:rsidR="00045B26" w:rsidRPr="004D492E" w:rsidRDefault="00045B26" w:rsidP="004D492E">
      <w:pPr>
        <w:rPr>
          <w:sz w:val="24"/>
        </w:rPr>
      </w:pPr>
    </w:p>
    <w:p w:rsidR="00A5264F" w:rsidRDefault="0056188F" w:rsidP="0077283F">
      <w:pPr>
        <w:rPr>
          <w:sz w:val="24"/>
        </w:rPr>
      </w:pPr>
      <w:r>
        <w:rPr>
          <w:sz w:val="24"/>
        </w:rPr>
        <w:t xml:space="preserve">This </w:t>
      </w:r>
      <w:r w:rsidR="00045B26" w:rsidRPr="004D492E">
        <w:rPr>
          <w:sz w:val="24"/>
        </w:rPr>
        <w:t>decline in response rates and the increase in costs are no longer sustainable. Considerable work has been done to determine how to address these concerns, and a decision has been reached to utilize a two-phase multimode data collection design for</w:t>
      </w:r>
      <w:r w:rsidR="004D492E">
        <w:rPr>
          <w:sz w:val="24"/>
        </w:rPr>
        <w:t xml:space="preserve"> a</w:t>
      </w:r>
      <w:r w:rsidR="00045B26" w:rsidRPr="004D492E">
        <w:rPr>
          <w:sz w:val="24"/>
        </w:rPr>
        <w:t xml:space="preserve"> combined </w:t>
      </w:r>
      <w:r>
        <w:rPr>
          <w:sz w:val="24"/>
        </w:rPr>
        <w:t xml:space="preserve">NSCH/NS-CSHCN </w:t>
      </w:r>
      <w:r w:rsidR="00045B26" w:rsidRPr="004D492E">
        <w:rPr>
          <w:sz w:val="24"/>
        </w:rPr>
        <w:t xml:space="preserve">survey, henceforth known as the NSCH. The NSCH will consist of two questionnaires: </w:t>
      </w:r>
      <w:r w:rsidR="00306436">
        <w:rPr>
          <w:sz w:val="24"/>
        </w:rPr>
        <w:t>(</w:t>
      </w:r>
      <w:r w:rsidR="00045B26" w:rsidRPr="004D492E">
        <w:rPr>
          <w:sz w:val="24"/>
        </w:rPr>
        <w:t xml:space="preserve">1) an initial household screener to assess the presence of children in the home and facilitate the selection of a target child </w:t>
      </w:r>
      <w:r w:rsidR="0015297A">
        <w:rPr>
          <w:sz w:val="24"/>
        </w:rPr>
        <w:t>within</w:t>
      </w:r>
      <w:r w:rsidR="00045B26" w:rsidRPr="004D492E">
        <w:rPr>
          <w:sz w:val="24"/>
        </w:rPr>
        <w:t xml:space="preserve"> the household (with oversampling of children with special health care needs), and </w:t>
      </w:r>
      <w:r w:rsidR="00306436">
        <w:rPr>
          <w:sz w:val="24"/>
        </w:rPr>
        <w:t>(</w:t>
      </w:r>
      <w:r w:rsidR="00045B26" w:rsidRPr="004D492E">
        <w:rPr>
          <w:sz w:val="24"/>
        </w:rPr>
        <w:t xml:space="preserve">2) a substantive topical questionnaire that combines selected content from the </w:t>
      </w:r>
      <w:r>
        <w:rPr>
          <w:sz w:val="24"/>
        </w:rPr>
        <w:t xml:space="preserve">former </w:t>
      </w:r>
      <w:r w:rsidR="00045B26" w:rsidRPr="004D492E">
        <w:rPr>
          <w:sz w:val="24"/>
        </w:rPr>
        <w:t>NSCH and NS-CSHCN questionnaires along with some newly relevant content.  Mail is anticipated to be the primar</w:t>
      </w:r>
      <w:r w:rsidR="00BB5875">
        <w:rPr>
          <w:sz w:val="24"/>
        </w:rPr>
        <w:t>y mode of data collection, but web-based</w:t>
      </w:r>
      <w:r w:rsidR="00045B26" w:rsidRPr="004D492E">
        <w:rPr>
          <w:sz w:val="24"/>
        </w:rPr>
        <w:t xml:space="preserve"> </w:t>
      </w:r>
      <w:r w:rsidR="00DE08C8">
        <w:rPr>
          <w:sz w:val="24"/>
        </w:rPr>
        <w:t>administration will also be tested</w:t>
      </w:r>
      <w:r w:rsidR="00045B26" w:rsidRPr="004D492E">
        <w:rPr>
          <w:sz w:val="24"/>
        </w:rPr>
        <w:t xml:space="preserve"> in a “web first” design</w:t>
      </w:r>
      <w:r w:rsidR="004D492E" w:rsidRPr="004D492E">
        <w:rPr>
          <w:sz w:val="24"/>
        </w:rPr>
        <w:t>.</w:t>
      </w:r>
      <w:r w:rsidR="004D492E">
        <w:rPr>
          <w:sz w:val="24"/>
        </w:rPr>
        <w:t xml:space="preserve"> </w:t>
      </w:r>
      <w:r w:rsidR="0015297A">
        <w:rPr>
          <w:sz w:val="24"/>
        </w:rPr>
        <w:t xml:space="preserve">This change </w:t>
      </w:r>
      <w:r w:rsidR="00E56730">
        <w:rPr>
          <w:sz w:val="24"/>
        </w:rPr>
        <w:t>in the mode of data collection, as well as revisions to the survey’s content, require</w:t>
      </w:r>
      <w:r w:rsidR="0015297A">
        <w:rPr>
          <w:sz w:val="24"/>
        </w:rPr>
        <w:t>s</w:t>
      </w:r>
      <w:r w:rsidR="00E56730">
        <w:rPr>
          <w:sz w:val="24"/>
        </w:rPr>
        <w:t xml:space="preserve"> a redesign of both the initial household screener and topical questionnaires. </w:t>
      </w:r>
    </w:p>
    <w:p w:rsidR="00A5264F" w:rsidRDefault="00A5264F" w:rsidP="0077283F">
      <w:pPr>
        <w:rPr>
          <w:sz w:val="24"/>
        </w:rPr>
      </w:pPr>
    </w:p>
    <w:p w:rsidR="0077283F" w:rsidRDefault="00FD61EC" w:rsidP="0077283F">
      <w:pPr>
        <w:rPr>
          <w:sz w:val="24"/>
        </w:rPr>
      </w:pPr>
      <w:r w:rsidRPr="003B2586">
        <w:rPr>
          <w:bCs/>
          <w:sz w:val="24"/>
        </w:rPr>
        <w:t xml:space="preserve">This submission requests approval for </w:t>
      </w:r>
      <w:r w:rsidR="00B84091" w:rsidRPr="00B84091">
        <w:rPr>
          <w:bCs/>
          <w:sz w:val="24"/>
        </w:rPr>
        <w:t>a small-scale (N = 16,000 addresses) national pretest</w:t>
      </w:r>
      <w:r w:rsidR="00FF3BC1">
        <w:rPr>
          <w:bCs/>
          <w:sz w:val="24"/>
        </w:rPr>
        <w:t xml:space="preserve"> prior to fielding the first year production NSCH. This pretest</w:t>
      </w:r>
      <w:r w:rsidR="00B84091" w:rsidRPr="00B84091">
        <w:rPr>
          <w:bCs/>
          <w:sz w:val="24"/>
        </w:rPr>
        <w:t xml:space="preserve"> will be planned and conducted to assess survey methodology, evaluate the survey instrument, and test operati</w:t>
      </w:r>
      <w:r w:rsidR="00242F15">
        <w:rPr>
          <w:bCs/>
          <w:sz w:val="24"/>
        </w:rPr>
        <w:t xml:space="preserve">onal procedures and processes. </w:t>
      </w:r>
      <w:r w:rsidR="00B84091" w:rsidRPr="00B84091">
        <w:rPr>
          <w:bCs/>
          <w:sz w:val="24"/>
        </w:rPr>
        <w:t xml:space="preserve">The pretest sample will consist of several panels to assess data collection mode preferences (Mail or Web) of respondents, amount of respondent incentives </w:t>
      </w:r>
      <w:r w:rsidR="00306436">
        <w:rPr>
          <w:bCs/>
          <w:sz w:val="24"/>
        </w:rPr>
        <w:t xml:space="preserve">needed </w:t>
      </w:r>
      <w:r w:rsidR="00B84091" w:rsidRPr="00B84091">
        <w:rPr>
          <w:bCs/>
          <w:sz w:val="24"/>
        </w:rPr>
        <w:t>to gain cooperation and participation in the survey, and telephone as a method of nonresponse follow-up</w:t>
      </w:r>
      <w:r w:rsidR="00242F15">
        <w:rPr>
          <w:bCs/>
          <w:sz w:val="24"/>
        </w:rPr>
        <w:t xml:space="preserve">. </w:t>
      </w:r>
    </w:p>
    <w:p w:rsidR="0077283F" w:rsidRDefault="0077283F" w:rsidP="0077283F">
      <w:pPr>
        <w:rPr>
          <w:sz w:val="24"/>
        </w:rPr>
      </w:pPr>
    </w:p>
    <w:p w:rsidR="00242F15" w:rsidRDefault="00242F15" w:rsidP="0077283F">
      <w:pPr>
        <w:rPr>
          <w:bCs/>
          <w:sz w:val="24"/>
        </w:rPr>
      </w:pPr>
      <w:r w:rsidRPr="00242F15">
        <w:rPr>
          <w:bCs/>
          <w:sz w:val="24"/>
        </w:rPr>
        <w:t>Plans for pretest data</w:t>
      </w:r>
      <w:r>
        <w:rPr>
          <w:bCs/>
          <w:sz w:val="24"/>
        </w:rPr>
        <w:t xml:space="preserve"> collection include two modes: </w:t>
      </w:r>
    </w:p>
    <w:p w:rsidR="00B06D26" w:rsidRPr="0077283F" w:rsidRDefault="00B06D26" w:rsidP="0077283F">
      <w:pPr>
        <w:rPr>
          <w:sz w:val="24"/>
        </w:rPr>
      </w:pPr>
    </w:p>
    <w:p w:rsidR="00242F15" w:rsidRDefault="00242F15" w:rsidP="00726ABF">
      <w:pPr>
        <w:pStyle w:val="ListParagraph"/>
        <w:numPr>
          <w:ilvl w:val="0"/>
          <w:numId w:val="2"/>
        </w:numPr>
        <w:rPr>
          <w:bCs/>
          <w:sz w:val="24"/>
        </w:rPr>
      </w:pPr>
      <w:r>
        <w:rPr>
          <w:bCs/>
          <w:sz w:val="24"/>
        </w:rPr>
        <w:t>M</w:t>
      </w:r>
      <w:r w:rsidRPr="0077283F">
        <w:rPr>
          <w:bCs/>
          <w:sz w:val="24"/>
        </w:rPr>
        <w:t>ailout/mailback of a self-administered paper-and-pencil interviewing (PAPI) screener instrument followed by a separate mailout/mailback of a PAPI age</w:t>
      </w:r>
      <w:r w:rsidRPr="00242F15">
        <w:rPr>
          <w:bCs/>
          <w:sz w:val="24"/>
        </w:rPr>
        <w:t>-based topical instrument</w:t>
      </w:r>
    </w:p>
    <w:p w:rsidR="00C06081" w:rsidRDefault="00C06081" w:rsidP="00C06081">
      <w:pPr>
        <w:pStyle w:val="ListParagraph"/>
        <w:ind w:left="1080"/>
        <w:rPr>
          <w:bCs/>
          <w:sz w:val="24"/>
        </w:rPr>
      </w:pPr>
    </w:p>
    <w:p w:rsidR="00C23B25" w:rsidRDefault="00242F15" w:rsidP="00726ABF">
      <w:pPr>
        <w:pStyle w:val="ListParagraph"/>
        <w:numPr>
          <w:ilvl w:val="0"/>
          <w:numId w:val="2"/>
        </w:numPr>
        <w:rPr>
          <w:bCs/>
          <w:sz w:val="24"/>
        </w:rPr>
      </w:pPr>
      <w:r>
        <w:rPr>
          <w:bCs/>
          <w:sz w:val="24"/>
        </w:rPr>
        <w:lastRenderedPageBreak/>
        <w:t xml:space="preserve">A </w:t>
      </w:r>
      <w:r w:rsidRPr="0077283F">
        <w:rPr>
          <w:bCs/>
          <w:sz w:val="24"/>
        </w:rPr>
        <w:t xml:space="preserve">Web survey (Web Push + Mail) that contains the screener and topical instruments.  The Web Push + Mail panels will take the respondent through the Web screener instrument and if the household screens into the study they would be </w:t>
      </w:r>
      <w:r w:rsidR="0077283F">
        <w:rPr>
          <w:bCs/>
          <w:sz w:val="24"/>
        </w:rPr>
        <w:t xml:space="preserve">taken </w:t>
      </w:r>
      <w:r w:rsidRPr="0077283F">
        <w:rPr>
          <w:bCs/>
          <w:sz w:val="24"/>
        </w:rPr>
        <w:t>direct</w:t>
      </w:r>
      <w:r w:rsidR="0077283F">
        <w:rPr>
          <w:bCs/>
          <w:sz w:val="24"/>
        </w:rPr>
        <w:t>ly</w:t>
      </w:r>
      <w:r w:rsidRPr="0077283F">
        <w:rPr>
          <w:bCs/>
          <w:sz w:val="24"/>
        </w:rPr>
        <w:t xml:space="preserve"> into one of the three age-based topical instruments. </w:t>
      </w:r>
    </w:p>
    <w:p w:rsidR="00F51B2D" w:rsidRDefault="00242F15" w:rsidP="00F51B2D">
      <w:pPr>
        <w:spacing w:before="240"/>
        <w:rPr>
          <w:bCs/>
          <w:sz w:val="24"/>
        </w:rPr>
      </w:pPr>
      <w:r w:rsidRPr="0077283F">
        <w:rPr>
          <w:bCs/>
          <w:sz w:val="24"/>
        </w:rPr>
        <w:t>The target overall response rate for the pretest is 70 percent for the screener and 80 percent for the topical questionnaire.</w:t>
      </w:r>
    </w:p>
    <w:p w:rsidR="00B40B27" w:rsidRDefault="00B40B27" w:rsidP="00F51B2D">
      <w:pPr>
        <w:spacing w:before="240"/>
        <w:rPr>
          <w:bCs/>
          <w:sz w:val="24"/>
        </w:rPr>
      </w:pPr>
      <w:r w:rsidRPr="001E1D43">
        <w:rPr>
          <w:bCs/>
          <w:sz w:val="24"/>
        </w:rPr>
        <w:t>The U.S. Census Bureau is conducting the National Survey of Children’s Health on the behalf of the Department of Health and Human Services (HHS) under Title 13, United States Code, Section 8(b), which allows the Census Bureau to conduct surveys on behalf of other agencies</w:t>
      </w:r>
      <w:r w:rsidR="00B53D75" w:rsidRPr="001E1D43">
        <w:rPr>
          <w:bCs/>
          <w:sz w:val="24"/>
        </w:rPr>
        <w:t xml:space="preserve">.  </w:t>
      </w:r>
      <w:r w:rsidR="005C68BA">
        <w:rPr>
          <w:bCs/>
          <w:sz w:val="24"/>
        </w:rPr>
        <w:t xml:space="preserve">Title </w:t>
      </w:r>
      <w:r w:rsidR="004E6B07">
        <w:rPr>
          <w:bCs/>
          <w:sz w:val="24"/>
        </w:rPr>
        <w:t>42 U.S.C. Section 701(a)(2)</w:t>
      </w:r>
      <w:r w:rsidR="005C68BA">
        <w:rPr>
          <w:bCs/>
          <w:sz w:val="24"/>
        </w:rPr>
        <w:t xml:space="preserve"> </w:t>
      </w:r>
      <w:r w:rsidR="00C73D99">
        <w:rPr>
          <w:bCs/>
          <w:sz w:val="24"/>
        </w:rPr>
        <w:t>allows HHS</w:t>
      </w:r>
      <w:r w:rsidR="00C73D99" w:rsidRPr="008055B6">
        <w:rPr>
          <w:bCs/>
          <w:sz w:val="24"/>
        </w:rPr>
        <w:t xml:space="preserve"> </w:t>
      </w:r>
      <w:r w:rsidRPr="001E1D43">
        <w:rPr>
          <w:bCs/>
          <w:sz w:val="24"/>
        </w:rPr>
        <w:t>to collect information for the purpose of understanding the health and well-being of children in the United States.</w:t>
      </w:r>
    </w:p>
    <w:p w:rsidR="009B3794" w:rsidRPr="00756DA3" w:rsidRDefault="009B3794" w:rsidP="00726ABF">
      <w:pPr>
        <w:numPr>
          <w:ilvl w:val="0"/>
          <w:numId w:val="1"/>
        </w:numPr>
        <w:tabs>
          <w:tab w:val="clear" w:pos="1080"/>
          <w:tab w:val="num" w:pos="360"/>
        </w:tabs>
        <w:spacing w:before="240"/>
        <w:ind w:left="360"/>
        <w:rPr>
          <w:b/>
          <w:sz w:val="24"/>
        </w:rPr>
      </w:pPr>
      <w:r>
        <w:rPr>
          <w:b/>
          <w:sz w:val="24"/>
          <w:u w:val="single"/>
        </w:rPr>
        <w:t>Purpose and Use of Information Collection</w:t>
      </w:r>
    </w:p>
    <w:p w:rsidR="00F51B2D" w:rsidRDefault="00A11CBE" w:rsidP="00F51B2D">
      <w:pPr>
        <w:spacing w:before="240"/>
        <w:rPr>
          <w:sz w:val="24"/>
        </w:rPr>
      </w:pPr>
      <w:r>
        <w:rPr>
          <w:sz w:val="24"/>
        </w:rPr>
        <w:t>Data from the NSCH are used to measure progress on national performance and</w:t>
      </w:r>
      <w:r w:rsidR="009A1CB6">
        <w:rPr>
          <w:sz w:val="24"/>
        </w:rPr>
        <w:t xml:space="preserve"> outcome measures under </w:t>
      </w:r>
      <w:r w:rsidR="009A1CB6" w:rsidRPr="003C767D">
        <w:rPr>
          <w:sz w:val="24"/>
        </w:rPr>
        <w:t>Title V M</w:t>
      </w:r>
      <w:r w:rsidR="00306436">
        <w:rPr>
          <w:sz w:val="24"/>
        </w:rPr>
        <w:t xml:space="preserve">aternal and </w:t>
      </w:r>
      <w:r w:rsidR="009A1CB6" w:rsidRPr="003C767D">
        <w:rPr>
          <w:sz w:val="24"/>
        </w:rPr>
        <w:t>C</w:t>
      </w:r>
      <w:r w:rsidR="00306436">
        <w:rPr>
          <w:sz w:val="24"/>
        </w:rPr>
        <w:t xml:space="preserve">hild </w:t>
      </w:r>
      <w:r w:rsidR="009A1CB6" w:rsidRPr="003C767D">
        <w:rPr>
          <w:sz w:val="24"/>
        </w:rPr>
        <w:t>H</w:t>
      </w:r>
      <w:r w:rsidR="00306436">
        <w:rPr>
          <w:sz w:val="24"/>
        </w:rPr>
        <w:t>ealth</w:t>
      </w:r>
      <w:r w:rsidR="009A1CB6" w:rsidRPr="003C767D">
        <w:rPr>
          <w:sz w:val="24"/>
        </w:rPr>
        <w:t xml:space="preserve"> Services Block Grant</w:t>
      </w:r>
      <w:r w:rsidR="009A1CB6">
        <w:rPr>
          <w:sz w:val="24"/>
        </w:rPr>
        <w:t xml:space="preserve">. 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0A1C5A">
        <w:rPr>
          <w:sz w:val="24"/>
        </w:rPr>
        <w:t xml:space="preserve">performs a pretest to </w:t>
      </w:r>
      <w:r w:rsidR="009A1CB6">
        <w:rPr>
          <w:sz w:val="24"/>
        </w:rPr>
        <w:t xml:space="preserve">assess </w:t>
      </w:r>
      <w:r w:rsidR="00F714CC">
        <w:rPr>
          <w:sz w:val="24"/>
        </w:rPr>
        <w:t>the data collection methodolog</w:t>
      </w:r>
      <w:r w:rsidR="002D2431">
        <w:rPr>
          <w:sz w:val="24"/>
        </w:rPr>
        <w:t xml:space="preserve">ies and mode preferences while </w:t>
      </w:r>
      <w:r w:rsidR="00F51B2D">
        <w:rPr>
          <w:sz w:val="24"/>
        </w:rPr>
        <w:t>evaluating the survey ins</w:t>
      </w:r>
      <w:r w:rsidR="0099793A">
        <w:rPr>
          <w:sz w:val="24"/>
        </w:rPr>
        <w:t>trument, operational procedures</w:t>
      </w:r>
      <w:r w:rsidR="00213AD3">
        <w:rPr>
          <w:sz w:val="24"/>
        </w:rPr>
        <w:t>,</w:t>
      </w:r>
      <w:r w:rsidR="00F51B2D">
        <w:rPr>
          <w:sz w:val="24"/>
        </w:rPr>
        <w:t xml:space="preserve"> and pr</w:t>
      </w:r>
      <w:r w:rsidR="00C06081">
        <w:rPr>
          <w:sz w:val="24"/>
        </w:rPr>
        <w:t xml:space="preserve">ocesses prior to running a full-scale </w:t>
      </w:r>
      <w:r w:rsidR="00F51B2D">
        <w:rPr>
          <w:sz w:val="24"/>
        </w:rPr>
        <w:t>production survey.</w:t>
      </w:r>
      <w:r w:rsidR="002D2431">
        <w:rPr>
          <w:sz w:val="24"/>
        </w:rPr>
        <w:t xml:space="preserve">  </w:t>
      </w:r>
    </w:p>
    <w:p w:rsidR="003077C1" w:rsidRDefault="003077C1" w:rsidP="00F51B2D">
      <w:pPr>
        <w:spacing w:before="24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A5146C" w:rsidRPr="00C13221" w:rsidRDefault="009B3794" w:rsidP="00726ABF">
      <w:pPr>
        <w:numPr>
          <w:ilvl w:val="0"/>
          <w:numId w:val="1"/>
        </w:numPr>
        <w:tabs>
          <w:tab w:val="clear" w:pos="1080"/>
          <w:tab w:val="num" w:pos="360"/>
        </w:tabs>
        <w:spacing w:before="240"/>
        <w:ind w:left="360"/>
        <w:rPr>
          <w:sz w:val="24"/>
        </w:rPr>
      </w:pPr>
      <w:r>
        <w:rPr>
          <w:b/>
          <w:sz w:val="24"/>
          <w:u w:val="single"/>
        </w:rPr>
        <w:t>Use of Improved Information Technology and Burden Reduction</w:t>
      </w:r>
    </w:p>
    <w:p w:rsidR="00A5146C" w:rsidRDefault="00A5146C" w:rsidP="00C13221">
      <w:pPr>
        <w:pStyle w:val="P1-StandPara"/>
        <w:spacing w:before="240" w:line="240" w:lineRule="auto"/>
        <w:ind w:firstLine="0"/>
        <w:jc w:val="left"/>
        <w:rPr>
          <w:sz w:val="24"/>
        </w:rPr>
      </w:pPr>
      <w:r>
        <w:rPr>
          <w:sz w:val="24"/>
        </w:rPr>
        <w:t>The NSCH Pretest</w:t>
      </w:r>
      <w:r w:rsidRPr="00A5146C">
        <w:rPr>
          <w:sz w:val="24"/>
        </w:rPr>
        <w:t xml:space="preserve"> will be conducted for </w:t>
      </w:r>
      <w:r>
        <w:rPr>
          <w:sz w:val="24"/>
        </w:rPr>
        <w:t>MCHB</w:t>
      </w:r>
      <w:r w:rsidRPr="00A5146C">
        <w:rPr>
          <w:sz w:val="24"/>
        </w:rPr>
        <w:t xml:space="preserve"> by the </w:t>
      </w:r>
      <w:r>
        <w:rPr>
          <w:sz w:val="24"/>
        </w:rPr>
        <w:t>Census Bureau</w:t>
      </w:r>
      <w:r w:rsidR="00516D71">
        <w:rPr>
          <w:sz w:val="24"/>
        </w:rPr>
        <w:t xml:space="preserve"> using three </w:t>
      </w:r>
      <w:r w:rsidRPr="00A5146C">
        <w:rPr>
          <w:sz w:val="24"/>
        </w:rPr>
        <w:t xml:space="preserve">complementary survey systems </w:t>
      </w:r>
      <w:r w:rsidR="00A55BCB">
        <w:rPr>
          <w:sz w:val="24"/>
        </w:rPr>
        <w:t xml:space="preserve">- </w:t>
      </w:r>
      <w:r w:rsidRPr="00A5146C">
        <w:rPr>
          <w:sz w:val="24"/>
        </w:rPr>
        <w:t>(1) Amgraf One Form Plus, (2) Docuprint</w:t>
      </w:r>
      <w:r w:rsidR="00516D71">
        <w:rPr>
          <w:sz w:val="24"/>
        </w:rPr>
        <w:t>, and (3) integrated Computer-</w:t>
      </w:r>
      <w:r w:rsidRPr="00A5146C">
        <w:rPr>
          <w:sz w:val="24"/>
        </w:rPr>
        <w:t>Assisted Data Entry (iCADE).</w:t>
      </w:r>
      <w:r w:rsidR="00A55BCB">
        <w:rPr>
          <w:sz w:val="24"/>
        </w:rPr>
        <w:t xml:space="preserve"> These survey systems along with the introduction of a Centurion Web instrument allowing online reporting </w:t>
      </w:r>
      <w:r w:rsidR="00A55BCB" w:rsidRPr="00A5146C">
        <w:rPr>
          <w:sz w:val="24"/>
        </w:rPr>
        <w:t>will improve the efficiency and accuracy of the data collection process</w:t>
      </w:r>
      <w:r w:rsidR="00A55BCB">
        <w:rPr>
          <w:sz w:val="24"/>
        </w:rPr>
        <w:t>.</w:t>
      </w:r>
    </w:p>
    <w:p w:rsidR="00A55BCB" w:rsidRPr="00A5146C" w:rsidRDefault="00A55BCB" w:rsidP="00C13221">
      <w:pPr>
        <w:pStyle w:val="P1-StandPara"/>
        <w:spacing w:line="240" w:lineRule="auto"/>
        <w:ind w:firstLine="0"/>
        <w:jc w:val="left"/>
        <w:rPr>
          <w:sz w:val="24"/>
        </w:rPr>
      </w:pPr>
    </w:p>
    <w:p w:rsidR="0006040C" w:rsidRPr="00516D71" w:rsidRDefault="00A5146C" w:rsidP="00516D71">
      <w:pPr>
        <w:pStyle w:val="P1-StandPara"/>
        <w:numPr>
          <w:ilvl w:val="0"/>
          <w:numId w:val="4"/>
        </w:numPr>
        <w:spacing w:line="240" w:lineRule="auto"/>
        <w:jc w:val="left"/>
        <w:rPr>
          <w:sz w:val="24"/>
        </w:rPr>
      </w:pPr>
      <w:r w:rsidRPr="00A5146C">
        <w:rPr>
          <w:b/>
          <w:sz w:val="24"/>
        </w:rPr>
        <w:t>Forms Design.</w:t>
      </w:r>
      <w:r w:rsidRPr="00A5146C">
        <w:rPr>
          <w:sz w:val="24"/>
        </w:rPr>
        <w:t xml:space="preserve"> Questionnaires will be created using Amgraf One Form Plus.   Completed hardcopy forms can be processed by iCADE to capture responses through optical mark recognition (OMR) and keying from image (KFI). </w:t>
      </w:r>
      <w:r w:rsidRPr="00516D71">
        <w:rPr>
          <w:sz w:val="24"/>
        </w:rPr>
        <w:t>Questionnaires will be printed, trimmed</w:t>
      </w:r>
      <w:r w:rsidR="00516D71">
        <w:rPr>
          <w:sz w:val="24"/>
        </w:rPr>
        <w:t>,</w:t>
      </w:r>
      <w:r w:rsidRPr="00516D71">
        <w:rPr>
          <w:sz w:val="24"/>
        </w:rPr>
        <w:t xml:space="preserve"> and stitched through an in-house print on-demand process using a Docuprint system which allows personalization and the ability to tailor items to each specific respondent.</w:t>
      </w:r>
    </w:p>
    <w:p w:rsidR="00A5146C" w:rsidRPr="00A5146C" w:rsidRDefault="00A5146C" w:rsidP="00C13221">
      <w:pPr>
        <w:pStyle w:val="P1-StandPara"/>
        <w:spacing w:line="240" w:lineRule="auto"/>
        <w:ind w:left="825" w:firstLine="0"/>
        <w:jc w:val="left"/>
        <w:rPr>
          <w:sz w:val="24"/>
        </w:rPr>
      </w:pPr>
      <w:r w:rsidRPr="00A5146C">
        <w:rPr>
          <w:sz w:val="24"/>
        </w:rPr>
        <w:t xml:space="preserve"> </w:t>
      </w:r>
    </w:p>
    <w:p w:rsidR="00A5146C" w:rsidRDefault="00A5146C" w:rsidP="00C13221">
      <w:pPr>
        <w:pStyle w:val="P1-StandPara"/>
        <w:spacing w:line="240" w:lineRule="auto"/>
        <w:ind w:left="825" w:firstLine="0"/>
        <w:jc w:val="left"/>
        <w:rPr>
          <w:sz w:val="24"/>
        </w:rPr>
      </w:pPr>
      <w:r w:rsidRPr="00A5146C">
        <w:rPr>
          <w:sz w:val="24"/>
        </w:rPr>
        <w:lastRenderedPageBreak/>
        <w:t>The data from the questionnaires will be captured by the iCADE technology/software, which automatically extracts all check box entries (</w:t>
      </w:r>
      <w:r w:rsidR="001526A6" w:rsidRPr="00A5146C">
        <w:rPr>
          <w:sz w:val="24"/>
        </w:rPr>
        <w:t>OMR), captures,</w:t>
      </w:r>
      <w:r w:rsidRPr="00A5146C">
        <w:rPr>
          <w:sz w:val="24"/>
        </w:rPr>
        <w:t xml:space="preserve"> and displays an image of all other entries to an operator for KFI. </w:t>
      </w:r>
    </w:p>
    <w:p w:rsidR="0006040C" w:rsidRPr="00A5146C" w:rsidRDefault="0006040C" w:rsidP="00C13221">
      <w:pPr>
        <w:pStyle w:val="P1-StandPara"/>
        <w:spacing w:line="240" w:lineRule="auto"/>
        <w:ind w:left="825" w:firstLine="0"/>
        <w:jc w:val="left"/>
        <w:rPr>
          <w:sz w:val="24"/>
        </w:rPr>
      </w:pPr>
    </w:p>
    <w:p w:rsidR="00A5146C" w:rsidRDefault="00A5146C" w:rsidP="00726ABF">
      <w:pPr>
        <w:pStyle w:val="P1-StandPara"/>
        <w:numPr>
          <w:ilvl w:val="0"/>
          <w:numId w:val="4"/>
        </w:numPr>
        <w:spacing w:line="240" w:lineRule="auto"/>
        <w:jc w:val="left"/>
        <w:rPr>
          <w:sz w:val="24"/>
        </w:rPr>
      </w:pPr>
      <w:r w:rsidRPr="00A5146C">
        <w:rPr>
          <w:b/>
          <w:sz w:val="24"/>
        </w:rPr>
        <w:t>Image Preprocessing.</w:t>
      </w:r>
      <w:r w:rsidRPr="00A5146C">
        <w:rPr>
          <w:sz w:val="24"/>
        </w:rPr>
        <w:t xml:space="preserve"> iCADE applies image preprocessing to the forms in their image format in order to correct any skewing at the time of scanning, and the iCADE software performs registration to align the individual questionnaire page template with the appropriate scanned image. The scanner despeckles the image to remove unwanted pixels. </w:t>
      </w:r>
    </w:p>
    <w:p w:rsidR="0006040C" w:rsidRPr="00A5146C" w:rsidRDefault="0006040C" w:rsidP="00C13221">
      <w:pPr>
        <w:pStyle w:val="P1-StandPara"/>
        <w:spacing w:line="240" w:lineRule="auto"/>
        <w:ind w:left="825" w:firstLine="0"/>
        <w:jc w:val="left"/>
        <w:rPr>
          <w:sz w:val="24"/>
        </w:rPr>
      </w:pPr>
    </w:p>
    <w:p w:rsidR="00A5146C" w:rsidRDefault="00A5146C" w:rsidP="00726ABF">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the presence of data, processes all check box fields through OMR and presents an image of the handwritten fields to an operator for KFI. </w:t>
      </w:r>
    </w:p>
    <w:p w:rsidR="0006040C" w:rsidRPr="00A5146C" w:rsidRDefault="0006040C" w:rsidP="00C13221">
      <w:pPr>
        <w:pStyle w:val="P1-StandPara"/>
        <w:spacing w:line="240" w:lineRule="auto"/>
        <w:ind w:firstLine="0"/>
        <w:jc w:val="left"/>
        <w:rPr>
          <w:sz w:val="24"/>
        </w:rPr>
      </w:pPr>
    </w:p>
    <w:p w:rsidR="00A5146C" w:rsidRDefault="00A5146C" w:rsidP="00726AB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 is flagged for review by verifiers who interactively review the images and the corresponding extracted data, and resolve validation errors. </w:t>
      </w:r>
    </w:p>
    <w:p w:rsidR="00516D71" w:rsidRPr="00A5146C" w:rsidRDefault="00516D71" w:rsidP="00516D71">
      <w:pPr>
        <w:pStyle w:val="P1-StandPara"/>
        <w:spacing w:line="240" w:lineRule="auto"/>
        <w:ind w:firstLine="0"/>
        <w:jc w:val="left"/>
        <w:rPr>
          <w:sz w:val="24"/>
        </w:rPr>
      </w:pPr>
    </w:p>
    <w:p w:rsidR="00A5146C" w:rsidRDefault="00A5146C" w:rsidP="00726ABF">
      <w:pPr>
        <w:pStyle w:val="N2-2ndBullet"/>
        <w:numPr>
          <w:ilvl w:val="0"/>
          <w:numId w:val="4"/>
        </w:numPr>
        <w:tabs>
          <w:tab w:val="clear" w:pos="1728"/>
        </w:tabs>
        <w:spacing w:after="0" w:line="240" w:lineRule="auto"/>
        <w:jc w:val="left"/>
        <w:rPr>
          <w:sz w:val="24"/>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rsidR="00A90F7E" w:rsidRDefault="00A90F7E" w:rsidP="00C13221">
      <w:pPr>
        <w:pStyle w:val="N2-2ndBullet"/>
        <w:numPr>
          <w:ilvl w:val="0"/>
          <w:numId w:val="0"/>
        </w:numPr>
        <w:tabs>
          <w:tab w:val="clear" w:pos="1728"/>
        </w:tabs>
        <w:spacing w:after="0" w:line="240" w:lineRule="auto"/>
        <w:ind w:left="825"/>
        <w:jc w:val="left"/>
        <w:rPr>
          <w:sz w:val="24"/>
        </w:rPr>
      </w:pPr>
    </w:p>
    <w:p w:rsidR="00CE44A5" w:rsidRPr="00A772C9" w:rsidRDefault="00CE44A5" w:rsidP="00A772C9">
      <w:pPr>
        <w:pStyle w:val="N2-2ndBullet"/>
        <w:numPr>
          <w:ilvl w:val="0"/>
          <w:numId w:val="4"/>
        </w:numPr>
        <w:spacing w:after="0" w:line="240" w:lineRule="auto"/>
        <w:jc w:val="left"/>
        <w:rPr>
          <w:sz w:val="24"/>
        </w:rPr>
      </w:pPr>
      <w:r>
        <w:rPr>
          <w:b/>
          <w:sz w:val="24"/>
        </w:rPr>
        <w:t>O</w:t>
      </w:r>
      <w:r w:rsidR="00A90F7E" w:rsidRPr="00CE44A5">
        <w:rPr>
          <w:b/>
          <w:sz w:val="24"/>
        </w:rPr>
        <w:t>nline Reporting.</w:t>
      </w:r>
      <w:r w:rsidR="0099793A" w:rsidRPr="00CE44A5">
        <w:rPr>
          <w:b/>
          <w:sz w:val="24"/>
        </w:rPr>
        <w:t xml:space="preserve"> </w:t>
      </w:r>
      <w:r w:rsidR="0029483C" w:rsidRPr="00CE44A5">
        <w:rPr>
          <w:sz w:val="24"/>
        </w:rPr>
        <w:t>Th</w:t>
      </w:r>
      <w:r>
        <w:rPr>
          <w:sz w:val="24"/>
        </w:rPr>
        <w:t>e NSCH Pretest</w:t>
      </w:r>
      <w:r w:rsidR="0029483C" w:rsidRPr="00CE44A5">
        <w:rPr>
          <w:sz w:val="24"/>
        </w:rPr>
        <w:t xml:space="preserve"> will assess the feasibility of</w:t>
      </w:r>
      <w:r w:rsidR="00C04B5D">
        <w:rPr>
          <w:sz w:val="24"/>
        </w:rPr>
        <w:t xml:space="preserve"> a W</w:t>
      </w:r>
      <w:r w:rsidR="003F0975" w:rsidRPr="00CE44A5">
        <w:rPr>
          <w:sz w:val="24"/>
        </w:rPr>
        <w:t>eb-based version of the questionnaire</w:t>
      </w:r>
      <w:r w:rsidR="00E3684A" w:rsidRPr="00CE44A5">
        <w:rPr>
          <w:sz w:val="24"/>
        </w:rPr>
        <w:t xml:space="preserve">, a data </w:t>
      </w:r>
      <w:r w:rsidR="00E17EA1" w:rsidRPr="00CE44A5">
        <w:rPr>
          <w:sz w:val="24"/>
        </w:rPr>
        <w:t>collection mod</w:t>
      </w:r>
      <w:r w:rsidR="00E3684A" w:rsidRPr="00CE44A5">
        <w:rPr>
          <w:sz w:val="24"/>
        </w:rPr>
        <w:t>e that</w:t>
      </w:r>
      <w:r w:rsidR="003F0975" w:rsidRPr="00CE44A5">
        <w:rPr>
          <w:sz w:val="24"/>
        </w:rPr>
        <w:t xml:space="preserve"> allows for features that will </w:t>
      </w:r>
      <w:r w:rsidRPr="00CE44A5">
        <w:rPr>
          <w:sz w:val="24"/>
        </w:rPr>
        <w:t>r</w:t>
      </w:r>
      <w:r w:rsidR="003F0975" w:rsidRPr="00CE44A5">
        <w:rPr>
          <w:sz w:val="24"/>
        </w:rPr>
        <w:t>educe</w:t>
      </w:r>
      <w:r w:rsidR="001A1799" w:rsidRPr="00CE44A5">
        <w:rPr>
          <w:sz w:val="24"/>
        </w:rPr>
        <w:t xml:space="preserv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w:t>
      </w:r>
      <w:r w:rsidR="001A1799" w:rsidRPr="00CE44A5">
        <w:rPr>
          <w:sz w:val="24"/>
        </w:rPr>
        <w:t>.  In general</w:t>
      </w:r>
      <w:r w:rsidR="003F0975" w:rsidRPr="00CE44A5">
        <w:rPr>
          <w:sz w:val="24"/>
        </w:rPr>
        <w:t>, respondents find it less taxing to provide sensitive information about their children in self-administered survey</w:t>
      </w:r>
      <w:r w:rsidR="001A1799" w:rsidRPr="00CE44A5">
        <w:rPr>
          <w:sz w:val="24"/>
        </w:rPr>
        <w:t>s; h</w:t>
      </w:r>
      <w:r w:rsidR="003F0975" w:rsidRPr="00CE44A5">
        <w:rPr>
          <w:sz w:val="24"/>
        </w:rPr>
        <w:t>owever, because of the significant number of filter questions, paper</w:t>
      </w:r>
      <w:r w:rsidR="00C04B5D">
        <w:rPr>
          <w:sz w:val="24"/>
        </w:rPr>
        <w:t>-</w:t>
      </w:r>
      <w:r w:rsidR="003F0975" w:rsidRPr="00CE44A5">
        <w:rPr>
          <w:sz w:val="24"/>
        </w:rPr>
        <w:t>and</w:t>
      </w:r>
      <w:r w:rsidR="00C04B5D">
        <w:rPr>
          <w:sz w:val="24"/>
        </w:rPr>
        <w:t>-</w:t>
      </w:r>
      <w:r w:rsidR="003F0975" w:rsidRPr="00CE44A5">
        <w:rPr>
          <w:sz w:val="24"/>
        </w:rPr>
        <w:t>pencil versions of the sur</w:t>
      </w:r>
      <w:r w:rsidR="00C04B5D">
        <w:rPr>
          <w:sz w:val="24"/>
        </w:rPr>
        <w:t>vey appear quite lengthy.  The W</w:t>
      </w:r>
      <w:r w:rsidR="003F0975" w:rsidRPr="00CE44A5">
        <w:rPr>
          <w:sz w:val="24"/>
        </w:rPr>
        <w:t xml:space="preserve">eb-based survey allows for the programming of skip patterns similar to </w:t>
      </w:r>
      <w:r w:rsidR="00A5146C" w:rsidRPr="00CE44A5">
        <w:rPr>
          <w:sz w:val="24"/>
        </w:rPr>
        <w:t xml:space="preserve">the original </w:t>
      </w:r>
      <w:r w:rsidR="003F0975" w:rsidRPr="00CE44A5">
        <w:rPr>
          <w:sz w:val="24"/>
        </w:rPr>
        <w:t>telephone interview ver</w:t>
      </w:r>
      <w:r w:rsidR="00C04B5D">
        <w:rPr>
          <w:sz w:val="24"/>
        </w:rPr>
        <w:t>sion of the survey.  Thus, the W</w:t>
      </w:r>
      <w:r w:rsidR="003F0975" w:rsidRPr="00CE44A5">
        <w:rPr>
          <w:sz w:val="24"/>
        </w:rPr>
        <w:t xml:space="preserve">eb-based format allows for the comfort of self-administration with the ease of seeing and subsequently answering only questions relevant to a particular respondent.  </w:t>
      </w:r>
    </w:p>
    <w:p w:rsidR="00DF21E0" w:rsidRPr="00C13221" w:rsidRDefault="009B3794" w:rsidP="00726ABF">
      <w:pPr>
        <w:numPr>
          <w:ilvl w:val="0"/>
          <w:numId w:val="1"/>
        </w:numPr>
        <w:tabs>
          <w:tab w:val="clear" w:pos="1080"/>
          <w:tab w:val="num" w:pos="360"/>
        </w:tabs>
        <w:spacing w:before="240"/>
        <w:ind w:left="360"/>
        <w:rPr>
          <w:b/>
          <w:sz w:val="24"/>
        </w:rPr>
      </w:pPr>
      <w:r>
        <w:rPr>
          <w:b/>
          <w:sz w:val="24"/>
          <w:u w:val="single"/>
        </w:rPr>
        <w:t>Efforts to  Identify Duplication and Use of Similar Information</w:t>
      </w:r>
    </w:p>
    <w:p w:rsidR="00770656" w:rsidRDefault="00E20105" w:rsidP="00C13221">
      <w:pPr>
        <w:spacing w:before="240"/>
        <w:rPr>
          <w:sz w:val="24"/>
        </w:rPr>
      </w:pPr>
      <w:r>
        <w:rPr>
          <w:sz w:val="24"/>
        </w:rPr>
        <w:t xml:space="preserve">The </w:t>
      </w:r>
      <w:r w:rsidR="00FE0224">
        <w:rPr>
          <w:sz w:val="24"/>
        </w:rPr>
        <w:t xml:space="preserve">NSCH </w:t>
      </w:r>
      <w:r>
        <w:rPr>
          <w:sz w:val="24"/>
        </w:rPr>
        <w:t>has been conducted since 2003 under the auspices of the National Center for Health Statistics</w:t>
      </w:r>
      <w:r w:rsidR="00FE0224">
        <w:rPr>
          <w:sz w:val="24"/>
        </w:rPr>
        <w:t xml:space="preserve"> on behalf of the Maternal and Child Health Bureau</w:t>
      </w:r>
      <w:r>
        <w:rPr>
          <w:sz w:val="24"/>
        </w:rPr>
        <w:t xml:space="preserve">. In companion with the National Survey of Children with Special Health Care Needs,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r:id="rId9" w:history="1">
        <w:r w:rsidR="00FF1EA8" w:rsidRPr="006C3424">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rsidR="00DF21E0" w:rsidRDefault="00770656" w:rsidP="00DF21E0">
      <w:pPr>
        <w:spacing w:before="240"/>
        <w:rPr>
          <w:sz w:val="24"/>
        </w:rPr>
      </w:pPr>
      <w:r>
        <w:rPr>
          <w:sz w:val="24"/>
        </w:rPr>
        <w:t xml:space="preserve">Perhaps the most significant source of duplication was between the NSCH and the NS-CSHCN.  </w:t>
      </w:r>
      <w:r w:rsidR="00FE0224">
        <w:rPr>
          <w:sz w:val="24"/>
        </w:rPr>
        <w:t xml:space="preserve">A key objective </w:t>
      </w:r>
      <w:r w:rsidR="00EC532E">
        <w:rPr>
          <w:sz w:val="24"/>
        </w:rPr>
        <w:t xml:space="preserve">in </w:t>
      </w:r>
      <w:r w:rsidR="00FE0224">
        <w:rPr>
          <w:sz w:val="24"/>
        </w:rPr>
        <w:t xml:space="preserve">developing this “new” NSCH instrument </w:t>
      </w:r>
      <w:r>
        <w:rPr>
          <w:sz w:val="24"/>
        </w:rPr>
        <w:t xml:space="preserve">is </w:t>
      </w:r>
      <w:r w:rsidR="00FE0224">
        <w:rPr>
          <w:sz w:val="24"/>
        </w:rPr>
        <w:t xml:space="preserve">to consolidate the “old” NSCH and the NS-CSHCN into one survey, reducing redundancy </w:t>
      </w:r>
      <w:r w:rsidR="00EC532E">
        <w:rPr>
          <w:sz w:val="24"/>
        </w:rPr>
        <w:t xml:space="preserve">in the collection of data </w:t>
      </w:r>
      <w:r w:rsidR="00FE0224">
        <w:rPr>
          <w:sz w:val="24"/>
        </w:rPr>
        <w:t xml:space="preserve">and </w:t>
      </w:r>
      <w:r w:rsidR="00EC532E">
        <w:rPr>
          <w:sz w:val="24"/>
        </w:rPr>
        <w:t xml:space="preserve">the </w:t>
      </w:r>
      <w:r w:rsidR="00EC532E">
        <w:rPr>
          <w:sz w:val="24"/>
        </w:rPr>
        <w:lastRenderedPageBreak/>
        <w:t xml:space="preserve">burden on </w:t>
      </w:r>
      <w:r w:rsidR="00FE0224">
        <w:rPr>
          <w:sz w:val="24"/>
        </w:rPr>
        <w:t>household</w:t>
      </w:r>
      <w:r w:rsidR="00EC532E">
        <w:rPr>
          <w:sz w:val="24"/>
        </w:rPr>
        <w:t xml:space="preserve">s that accompanied the administration of two </w:t>
      </w:r>
      <w:r w:rsidR="00A118AA">
        <w:rPr>
          <w:sz w:val="24"/>
        </w:rPr>
        <w:t xml:space="preserve">separate </w:t>
      </w:r>
      <w:r w:rsidR="00EC532E">
        <w:rPr>
          <w:sz w:val="24"/>
        </w:rPr>
        <w:t xml:space="preserve">surveys.  This pretest will support MCHB and the Census Bureau in evaluating the feasibility of conducting </w:t>
      </w:r>
      <w:r w:rsidR="00A118AA">
        <w:rPr>
          <w:sz w:val="24"/>
        </w:rPr>
        <w:t>the</w:t>
      </w:r>
      <w:r w:rsidR="00EC532E">
        <w:rPr>
          <w:sz w:val="24"/>
        </w:rPr>
        <w:t xml:space="preserve"> </w:t>
      </w:r>
      <w:r w:rsidR="00FF1EA8">
        <w:rPr>
          <w:sz w:val="24"/>
        </w:rPr>
        <w:t xml:space="preserve">new, condensed </w:t>
      </w:r>
      <w:r w:rsidR="00A118AA">
        <w:rPr>
          <w:sz w:val="24"/>
        </w:rPr>
        <w:t xml:space="preserve">NSCH </w:t>
      </w:r>
      <w:r w:rsidR="00EC532E">
        <w:rPr>
          <w:sz w:val="24"/>
        </w:rPr>
        <w:t xml:space="preserve">using </w:t>
      </w:r>
      <w:r w:rsidR="00A118AA">
        <w:rPr>
          <w:sz w:val="24"/>
        </w:rPr>
        <w:t xml:space="preserve">web and mail as </w:t>
      </w:r>
      <w:r w:rsidR="00EC532E">
        <w:rPr>
          <w:sz w:val="24"/>
        </w:rPr>
        <w:t>new modes of administration</w:t>
      </w:r>
      <w:r w:rsidR="00FF1EA8">
        <w:rPr>
          <w:sz w:val="24"/>
        </w:rPr>
        <w:t xml:space="preserve">.  </w:t>
      </w:r>
    </w:p>
    <w:p w:rsidR="00892D61" w:rsidRPr="00E027E1" w:rsidRDefault="00892D61" w:rsidP="00E027E1">
      <w:pPr>
        <w:spacing w:before="240"/>
        <w:rPr>
          <w:sz w:val="24"/>
        </w:rPr>
      </w:pPr>
      <w:r w:rsidRPr="00E027E1">
        <w:rPr>
          <w:sz w:val="24"/>
        </w:rPr>
        <w:t xml:space="preserve">In the process of redesigning these two surveys into one survey </w:t>
      </w:r>
      <w:r w:rsidR="007A7CF0">
        <w:rPr>
          <w:sz w:val="24"/>
        </w:rPr>
        <w:t>and eliminate redundancies in questionnaire items</w:t>
      </w:r>
      <w:r w:rsidRPr="00E027E1">
        <w:rPr>
          <w:sz w:val="24"/>
        </w:rPr>
        <w:t xml:space="preserve">, the new NSCH </w:t>
      </w:r>
      <w:r w:rsidR="007A7CF0">
        <w:rPr>
          <w:sz w:val="24"/>
        </w:rPr>
        <w:t xml:space="preserve">also </w:t>
      </w:r>
      <w:r w:rsidRPr="00E027E1">
        <w:rPr>
          <w:sz w:val="24"/>
        </w:rPr>
        <w:t>will pretest new content on the following topics</w:t>
      </w:r>
      <w:r w:rsidR="007A7CF0">
        <w:rPr>
          <w:sz w:val="24"/>
        </w:rPr>
        <w:t xml:space="preserve"> to determine their effectiveness in supporting programs and policies related to children’s health and children with special health care needs</w:t>
      </w:r>
      <w:r w:rsidRPr="00E027E1">
        <w:rPr>
          <w:sz w:val="24"/>
        </w:rPr>
        <w:t xml:space="preserve">:  </w:t>
      </w:r>
    </w:p>
    <w:p w:rsidR="00E027E1" w:rsidRPr="007A7CF0" w:rsidRDefault="00E027E1" w:rsidP="007A7CF0">
      <w:pPr>
        <w:pStyle w:val="ListParagraph"/>
        <w:numPr>
          <w:ilvl w:val="0"/>
          <w:numId w:val="7"/>
        </w:numPr>
        <w:spacing w:before="240"/>
        <w:rPr>
          <w:sz w:val="24"/>
        </w:rPr>
      </w:pPr>
      <w:r w:rsidRPr="007A7CF0">
        <w:rPr>
          <w:sz w:val="24"/>
        </w:rPr>
        <w:t>Items on s</w:t>
      </w:r>
      <w:r w:rsidR="00892D61" w:rsidRPr="007A7CF0">
        <w:rPr>
          <w:sz w:val="24"/>
        </w:rPr>
        <w:t xml:space="preserve">chool readiness </w:t>
      </w:r>
      <w:r w:rsidRPr="007A7CF0">
        <w:rPr>
          <w:sz w:val="24"/>
        </w:rPr>
        <w:t xml:space="preserve">to </w:t>
      </w:r>
      <w:r w:rsidR="00892D61" w:rsidRPr="007A7CF0">
        <w:rPr>
          <w:sz w:val="24"/>
        </w:rPr>
        <w:t xml:space="preserve">be asked of households with </w:t>
      </w:r>
      <w:r w:rsidRPr="007A7CF0">
        <w:rPr>
          <w:sz w:val="24"/>
        </w:rPr>
        <w:t xml:space="preserve">sampled </w:t>
      </w:r>
      <w:r w:rsidR="00892D61" w:rsidRPr="007A7CF0">
        <w:rPr>
          <w:sz w:val="24"/>
        </w:rPr>
        <w:t xml:space="preserve">children </w:t>
      </w:r>
      <w:r w:rsidRPr="007A7CF0">
        <w:rPr>
          <w:sz w:val="24"/>
        </w:rPr>
        <w:t xml:space="preserve">between </w:t>
      </w:r>
      <w:r w:rsidR="00892D61" w:rsidRPr="007A7CF0">
        <w:rPr>
          <w:sz w:val="24"/>
        </w:rPr>
        <w:t xml:space="preserve">0-5 years of age </w:t>
      </w:r>
      <w:r w:rsidRPr="007A7CF0">
        <w:rPr>
          <w:sz w:val="24"/>
        </w:rPr>
        <w:t xml:space="preserve">to </w:t>
      </w:r>
      <w:r w:rsidR="00892D61" w:rsidRPr="007A7CF0">
        <w:rPr>
          <w:sz w:val="24"/>
        </w:rPr>
        <w:t xml:space="preserve">support data needs </w:t>
      </w:r>
      <w:r w:rsidRPr="007A7CF0">
        <w:rPr>
          <w:sz w:val="24"/>
        </w:rPr>
        <w:t xml:space="preserve">related to </w:t>
      </w:r>
      <w:r w:rsidR="00892D61" w:rsidRPr="007A7CF0">
        <w:rPr>
          <w:sz w:val="24"/>
        </w:rPr>
        <w:t>Title V Maternal and Child Health Services Block Grant</w:t>
      </w:r>
      <w:r w:rsidRPr="007A7CF0">
        <w:rPr>
          <w:sz w:val="24"/>
        </w:rPr>
        <w:t>s;</w:t>
      </w:r>
    </w:p>
    <w:p w:rsidR="00E027E1" w:rsidRPr="007A7CF0" w:rsidRDefault="00E027E1" w:rsidP="007A7CF0">
      <w:pPr>
        <w:pStyle w:val="ListParagraph"/>
        <w:numPr>
          <w:ilvl w:val="0"/>
          <w:numId w:val="7"/>
        </w:numPr>
        <w:spacing w:before="240"/>
        <w:rPr>
          <w:sz w:val="24"/>
        </w:rPr>
      </w:pPr>
      <w:r w:rsidRPr="007A7CF0">
        <w:rPr>
          <w:sz w:val="24"/>
        </w:rPr>
        <w:t>One item on food sufficiency, to support congressionally mandated requirements for USDA to measure food sufficiency among children with disabilities;</w:t>
      </w:r>
    </w:p>
    <w:p w:rsidR="00892D61" w:rsidRPr="007A7CF0" w:rsidRDefault="00E027E1" w:rsidP="007A7CF0">
      <w:pPr>
        <w:pStyle w:val="ListParagraph"/>
        <w:numPr>
          <w:ilvl w:val="0"/>
          <w:numId w:val="7"/>
        </w:numPr>
        <w:spacing w:before="240"/>
        <w:rPr>
          <w:sz w:val="24"/>
        </w:rPr>
      </w:pPr>
      <w:r w:rsidRPr="007A7CF0">
        <w:rPr>
          <w:sz w:val="24"/>
        </w:rPr>
        <w:t xml:space="preserve">One item </w:t>
      </w:r>
      <w:r w:rsidRPr="004D4E86">
        <w:rPr>
          <w:sz w:val="24"/>
        </w:rPr>
        <w:t xml:space="preserve">on </w:t>
      </w:r>
      <w:r w:rsidR="00892D61" w:rsidRPr="004D4E86">
        <w:rPr>
          <w:sz w:val="24"/>
        </w:rPr>
        <w:t xml:space="preserve">behavioral treatment for </w:t>
      </w:r>
      <w:r w:rsidR="004D4E86" w:rsidRPr="004D4E86">
        <w:rPr>
          <w:sz w:val="24"/>
        </w:rPr>
        <w:t xml:space="preserve">Attention Deficit Disorder and Attention Deficit Hyperactivity Disorder </w:t>
      </w:r>
      <w:r w:rsidR="004D4E86">
        <w:rPr>
          <w:sz w:val="24"/>
        </w:rPr>
        <w:t>(</w:t>
      </w:r>
      <w:r w:rsidR="00892D61" w:rsidRPr="004D4E86">
        <w:rPr>
          <w:sz w:val="24"/>
        </w:rPr>
        <w:t>ADD/ADHD</w:t>
      </w:r>
      <w:r w:rsidR="004D4E86">
        <w:rPr>
          <w:sz w:val="24"/>
        </w:rPr>
        <w:t>)</w:t>
      </w:r>
      <w:r w:rsidR="00892D61" w:rsidRPr="004D4E86">
        <w:rPr>
          <w:sz w:val="24"/>
        </w:rPr>
        <w:t xml:space="preserve"> to support</w:t>
      </w:r>
      <w:r w:rsidR="00892D61" w:rsidRPr="007A7CF0">
        <w:rPr>
          <w:sz w:val="24"/>
        </w:rPr>
        <w:t xml:space="preserve"> </w:t>
      </w:r>
      <w:r w:rsidRPr="007A7CF0">
        <w:rPr>
          <w:sz w:val="24"/>
        </w:rPr>
        <w:t xml:space="preserve">CDC programs </w:t>
      </w:r>
      <w:r w:rsidR="00892D61" w:rsidRPr="007A7CF0">
        <w:rPr>
          <w:sz w:val="24"/>
        </w:rPr>
        <w:t>designed to increase the use of behavioral treatment for this condition among children as it is the standard of care.</w:t>
      </w:r>
    </w:p>
    <w:p w:rsidR="00E027E1" w:rsidRPr="007A7CF0" w:rsidRDefault="00892D61" w:rsidP="007A7CF0">
      <w:pPr>
        <w:pStyle w:val="ListParagraph"/>
        <w:numPr>
          <w:ilvl w:val="0"/>
          <w:numId w:val="7"/>
        </w:numPr>
        <w:spacing w:before="240"/>
        <w:rPr>
          <w:sz w:val="24"/>
        </w:rPr>
      </w:pPr>
      <w:r w:rsidRPr="007A7CF0">
        <w:rPr>
          <w:sz w:val="24"/>
        </w:rPr>
        <w:t xml:space="preserve">Items on shared decision making added </w:t>
      </w:r>
      <w:r w:rsidR="00E027E1" w:rsidRPr="007A7CF0">
        <w:rPr>
          <w:sz w:val="24"/>
        </w:rPr>
        <w:t>to inform on support provided to children with special health care needs and their families.</w:t>
      </w:r>
    </w:p>
    <w:p w:rsidR="00892D61" w:rsidRPr="007A7CF0" w:rsidRDefault="00E027E1" w:rsidP="007A7CF0">
      <w:pPr>
        <w:pStyle w:val="ListParagraph"/>
        <w:numPr>
          <w:ilvl w:val="0"/>
          <w:numId w:val="7"/>
        </w:numPr>
        <w:spacing w:before="240"/>
        <w:rPr>
          <w:sz w:val="24"/>
        </w:rPr>
      </w:pPr>
      <w:r w:rsidRPr="007A7CF0">
        <w:rPr>
          <w:sz w:val="24"/>
        </w:rPr>
        <w:t xml:space="preserve">One item on </w:t>
      </w:r>
      <w:r w:rsidR="00892D61" w:rsidRPr="007A7CF0">
        <w:rPr>
          <w:sz w:val="24"/>
        </w:rPr>
        <w:t>the length of time a doctor spent with child during last well-child visit</w:t>
      </w:r>
      <w:r w:rsidRPr="007A7CF0">
        <w:rPr>
          <w:sz w:val="24"/>
        </w:rPr>
        <w:t xml:space="preserve">, to evaluate </w:t>
      </w:r>
      <w:r w:rsidR="007A7CF0" w:rsidRPr="007A7CF0">
        <w:rPr>
          <w:sz w:val="24"/>
        </w:rPr>
        <w:t xml:space="preserve">how the impact </w:t>
      </w:r>
      <w:r w:rsidR="00892D61" w:rsidRPr="007A7CF0">
        <w:rPr>
          <w:sz w:val="24"/>
        </w:rPr>
        <w:t>length of time spent with a physician is associated with receipt of anticipatory guidance.</w:t>
      </w:r>
    </w:p>
    <w:p w:rsidR="009B3794" w:rsidRDefault="009B3794" w:rsidP="00726ABF">
      <w:pPr>
        <w:numPr>
          <w:ilvl w:val="0"/>
          <w:numId w:val="1"/>
        </w:numPr>
        <w:tabs>
          <w:tab w:val="clear" w:pos="1080"/>
          <w:tab w:val="num" w:pos="360"/>
        </w:tabs>
        <w:spacing w:before="240"/>
        <w:ind w:left="360"/>
        <w:rPr>
          <w:color w:val="000000"/>
          <w:sz w:val="24"/>
        </w:rPr>
      </w:pPr>
      <w:r>
        <w:rPr>
          <w:b/>
          <w:sz w:val="24"/>
          <w:u w:val="single"/>
        </w:rPr>
        <w:t>Impact on Small Businesses or Other Small Entities</w:t>
      </w:r>
    </w:p>
    <w:p w:rsidR="00295D80" w:rsidRPr="00A772C9" w:rsidRDefault="00295D80" w:rsidP="00295D80">
      <w:pPr>
        <w:spacing w:before="240"/>
        <w:rPr>
          <w:sz w:val="24"/>
        </w:rPr>
      </w:pPr>
      <w:r>
        <w:rPr>
          <w:sz w:val="24"/>
        </w:rPr>
        <w:t>Not applicable.</w:t>
      </w:r>
    </w:p>
    <w:p w:rsidR="00C13221" w:rsidRPr="00C13221" w:rsidRDefault="009B3794" w:rsidP="00726ABF">
      <w:pPr>
        <w:numPr>
          <w:ilvl w:val="0"/>
          <w:numId w:val="1"/>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rsidR="00277DBC" w:rsidRPr="00A772C9" w:rsidRDefault="00295D80" w:rsidP="00A772C9">
      <w:pPr>
        <w:widowControl/>
        <w:spacing w:before="240" w:after="120"/>
      </w:pPr>
      <w:r>
        <w:rPr>
          <w:sz w:val="24"/>
        </w:rPr>
        <w:t>The NSCH Pretest</w:t>
      </w:r>
      <w:r w:rsidR="00210418">
        <w:rPr>
          <w:sz w:val="24"/>
        </w:rPr>
        <w:t xml:space="preserve"> is a </w:t>
      </w:r>
      <w:r w:rsidR="006D1999">
        <w:rPr>
          <w:sz w:val="24"/>
        </w:rPr>
        <w:t>one-time</w:t>
      </w:r>
      <w:r w:rsidR="00210418">
        <w:rPr>
          <w:sz w:val="24"/>
        </w:rPr>
        <w:t xml:space="preserve"> </w:t>
      </w:r>
      <w:r w:rsidR="00201A5B">
        <w:rPr>
          <w:sz w:val="24"/>
        </w:rPr>
        <w:t xml:space="preserve">national data collection </w:t>
      </w:r>
      <w:r w:rsidR="006D1999">
        <w:rPr>
          <w:sz w:val="24"/>
        </w:rPr>
        <w:t>activity</w:t>
      </w:r>
      <w:r w:rsidR="00201A5B">
        <w:rPr>
          <w:sz w:val="24"/>
        </w:rPr>
        <w:t xml:space="preserve"> used to plan for and assess survey methodology, evaluation of the survey instrument, and testing of operational procedures and processes prior to </w:t>
      </w:r>
      <w:r w:rsidR="00C13221">
        <w:rPr>
          <w:sz w:val="24"/>
        </w:rPr>
        <w:t>conducting the first year production survey</w:t>
      </w:r>
      <w:r w:rsidR="006D1999">
        <w:rPr>
          <w:sz w:val="24"/>
        </w:rPr>
        <w:t xml:space="preserve">. </w:t>
      </w:r>
      <w:r w:rsidR="00CF3111">
        <w:rPr>
          <w:sz w:val="24"/>
        </w:rPr>
        <w:t>As this is a o</w:t>
      </w:r>
      <w:r w:rsidR="006D1999">
        <w:rPr>
          <w:sz w:val="24"/>
        </w:rPr>
        <w:t>ne-</w:t>
      </w:r>
      <w:r w:rsidR="00210418" w:rsidRPr="003B2586">
        <w:rPr>
          <w:sz w:val="24"/>
        </w:rPr>
        <w:t xml:space="preserve">time </w:t>
      </w:r>
      <w:r w:rsidR="00CF3111">
        <w:rPr>
          <w:sz w:val="24"/>
        </w:rPr>
        <w:t>activity, t</w:t>
      </w:r>
      <w:r w:rsidR="00BF5EB7" w:rsidRPr="00BF5EB7">
        <w:rPr>
          <w:sz w:val="24"/>
        </w:rPr>
        <w:t xml:space="preserve">he consequences of doing this </w:t>
      </w:r>
      <w:r w:rsidR="00BF5EB7">
        <w:rPr>
          <w:sz w:val="24"/>
        </w:rPr>
        <w:t xml:space="preserve">activity </w:t>
      </w:r>
      <w:r w:rsidR="00BF5EB7" w:rsidRPr="00BF5EB7">
        <w:rPr>
          <w:sz w:val="24"/>
        </w:rPr>
        <w:t xml:space="preserve">less frequently would be not </w:t>
      </w:r>
      <w:r w:rsidR="00C04B5D">
        <w:rPr>
          <w:sz w:val="24"/>
        </w:rPr>
        <w:t>p</w:t>
      </w:r>
      <w:r w:rsidR="00C13221">
        <w:rPr>
          <w:sz w:val="24"/>
        </w:rPr>
        <w:t>e</w:t>
      </w:r>
      <w:r w:rsidR="00C04B5D">
        <w:rPr>
          <w:sz w:val="24"/>
        </w:rPr>
        <w:t>r</w:t>
      </w:r>
      <w:r w:rsidR="00CF3111">
        <w:rPr>
          <w:sz w:val="24"/>
        </w:rPr>
        <w:t>form</w:t>
      </w:r>
      <w:r w:rsidR="00C13221">
        <w:rPr>
          <w:sz w:val="24"/>
        </w:rPr>
        <w:t xml:space="preserve"> research prior to </w:t>
      </w:r>
      <w:r w:rsidR="00CF3111">
        <w:rPr>
          <w:sz w:val="24"/>
        </w:rPr>
        <w:t>production</w:t>
      </w:r>
      <w:r w:rsidR="00BF5EB7" w:rsidRPr="00BF5EB7">
        <w:rPr>
          <w:sz w:val="24"/>
        </w:rPr>
        <w:t>.</w:t>
      </w:r>
      <w:r w:rsidR="00BF5EB7">
        <w:t xml:space="preserve">  </w:t>
      </w:r>
    </w:p>
    <w:p w:rsidR="00416E98" w:rsidRDefault="00416E98" w:rsidP="00726ABF">
      <w:pPr>
        <w:numPr>
          <w:ilvl w:val="0"/>
          <w:numId w:val="1"/>
        </w:numPr>
        <w:tabs>
          <w:tab w:val="clear" w:pos="1080"/>
          <w:tab w:val="num" w:pos="360"/>
        </w:tabs>
        <w:spacing w:before="240"/>
        <w:ind w:left="360"/>
        <w:rPr>
          <w:b/>
          <w:sz w:val="24"/>
        </w:rPr>
      </w:pPr>
      <w:r>
        <w:rPr>
          <w:b/>
          <w:sz w:val="24"/>
          <w:u w:val="single"/>
        </w:rPr>
        <w:t>Special Circumstances Relating to the Guidelines of 5 CFR 1320.5</w:t>
      </w:r>
    </w:p>
    <w:p w:rsidR="00C04B5D" w:rsidRDefault="00C04B5D" w:rsidP="00C04B5D">
      <w:pPr>
        <w:rPr>
          <w:sz w:val="24"/>
        </w:rPr>
      </w:pPr>
    </w:p>
    <w:p w:rsidR="00C04B5D" w:rsidRDefault="00416E98" w:rsidP="00C04B5D">
      <w:pPr>
        <w:rPr>
          <w:sz w:val="24"/>
        </w:rPr>
      </w:pPr>
      <w:r>
        <w:rPr>
          <w:sz w:val="24"/>
        </w:rPr>
        <w:t>This data collection</w:t>
      </w:r>
      <w:r w:rsidRPr="00416E98">
        <w:rPr>
          <w:sz w:val="24"/>
        </w:rPr>
        <w:t xml:space="preserve"> will be consistent with the general information collection guidelines of </w:t>
      </w:r>
    </w:p>
    <w:p w:rsidR="00277DBC" w:rsidRPr="00480B55" w:rsidRDefault="00C04B5D" w:rsidP="00480B55">
      <w:pPr>
        <w:rPr>
          <w:sz w:val="24"/>
        </w:rPr>
      </w:pPr>
      <w:r>
        <w:rPr>
          <w:sz w:val="24"/>
        </w:rPr>
        <w:t xml:space="preserve">5 </w:t>
      </w:r>
      <w:r w:rsidR="00416E98" w:rsidRPr="00416E98">
        <w:rPr>
          <w:sz w:val="24"/>
        </w:rPr>
        <w:t>CFR 1320.5.  No special circumstances apply.</w:t>
      </w:r>
    </w:p>
    <w:p w:rsidR="009B3794" w:rsidRDefault="009B3794" w:rsidP="00726ABF">
      <w:pPr>
        <w:numPr>
          <w:ilvl w:val="0"/>
          <w:numId w:val="1"/>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A35B1E" w:rsidRDefault="00A35B1E" w:rsidP="00480B55">
      <w:pPr>
        <w:widowControl/>
        <w:autoSpaceDE/>
        <w:autoSpaceDN/>
        <w:adjustRightInd/>
        <w:rPr>
          <w:sz w:val="24"/>
        </w:rPr>
      </w:pPr>
    </w:p>
    <w:p w:rsidR="00997F55" w:rsidRDefault="00F923CA" w:rsidP="00480B55">
      <w:pPr>
        <w:widowControl/>
        <w:autoSpaceDE/>
        <w:autoSpaceDN/>
        <w:adjustRightInd/>
        <w:rPr>
          <w:b/>
          <w:sz w:val="24"/>
          <w:u w:val="single"/>
        </w:rPr>
      </w:pPr>
      <w:r>
        <w:rPr>
          <w:sz w:val="24"/>
        </w:rPr>
        <w:lastRenderedPageBreak/>
        <w:t>The</w:t>
      </w:r>
      <w:r w:rsidR="00C534E6" w:rsidRPr="00C534E6">
        <w:rPr>
          <w:sz w:val="24"/>
        </w:rPr>
        <w:t xml:space="preserve"> 60-day Federal Register Notice was published in the </w:t>
      </w:r>
      <w:r w:rsidR="00C534E6" w:rsidRPr="00C534E6">
        <w:rPr>
          <w:i/>
          <w:iCs/>
          <w:sz w:val="24"/>
        </w:rPr>
        <w:t xml:space="preserve">Federal Register </w:t>
      </w:r>
      <w:r>
        <w:rPr>
          <w:sz w:val="24"/>
        </w:rPr>
        <w:t>on January 22, 2015</w:t>
      </w:r>
      <w:r w:rsidR="00C534E6" w:rsidRPr="00C534E6">
        <w:rPr>
          <w:sz w:val="24"/>
        </w:rPr>
        <w:t xml:space="preserve"> </w:t>
      </w:r>
      <w:r>
        <w:rPr>
          <w:sz w:val="24"/>
        </w:rPr>
        <w:t>(80 FR, N</w:t>
      </w:r>
      <w:r w:rsidR="00C534E6" w:rsidRPr="00C534E6">
        <w:rPr>
          <w:sz w:val="24"/>
        </w:rPr>
        <w:t xml:space="preserve">o. </w:t>
      </w:r>
      <w:r w:rsidR="00B2596B" w:rsidRPr="00B2596B">
        <w:rPr>
          <w:sz w:val="24"/>
        </w:rPr>
        <w:t>1000</w:t>
      </w:r>
      <w:r w:rsidR="00997F55">
        <w:rPr>
          <w:sz w:val="24"/>
        </w:rPr>
        <w:t>; p. 3215-3216</w:t>
      </w:r>
      <w:r w:rsidR="00B2596B">
        <w:rPr>
          <w:sz w:val="24"/>
        </w:rPr>
        <w:t>)</w:t>
      </w:r>
      <w:r w:rsidR="00C534E6" w:rsidRPr="00C534E6">
        <w:rPr>
          <w:sz w:val="24"/>
        </w:rPr>
        <w:t>. No substantive comments were received.</w:t>
      </w:r>
    </w:p>
    <w:p w:rsidR="002826DE" w:rsidRDefault="002826DE" w:rsidP="002826DE">
      <w:pPr>
        <w:widowControl/>
        <w:autoSpaceDE/>
        <w:autoSpaceDN/>
        <w:adjustRightInd/>
        <w:rPr>
          <w:b/>
          <w:sz w:val="24"/>
          <w:u w:val="single"/>
        </w:rPr>
      </w:pPr>
    </w:p>
    <w:p w:rsidR="009B3794" w:rsidRDefault="009B3794" w:rsidP="00480B55">
      <w:pPr>
        <w:numPr>
          <w:ilvl w:val="0"/>
          <w:numId w:val="1"/>
        </w:numPr>
        <w:tabs>
          <w:tab w:val="clear" w:pos="1080"/>
          <w:tab w:val="num" w:pos="360"/>
        </w:tabs>
        <w:ind w:left="360"/>
        <w:rPr>
          <w:b/>
          <w:sz w:val="24"/>
        </w:rPr>
      </w:pPr>
      <w:r>
        <w:rPr>
          <w:b/>
          <w:sz w:val="24"/>
          <w:u w:val="single"/>
        </w:rPr>
        <w:t>Explanation of any Payment/Gift to Respondents</w:t>
      </w:r>
    </w:p>
    <w:p w:rsidR="00FB6A85" w:rsidRDefault="00FB6A85" w:rsidP="00FB6A85"/>
    <w:p w:rsidR="00341388" w:rsidRDefault="00F939C9" w:rsidP="003F0975">
      <w:pPr>
        <w:rPr>
          <w:sz w:val="24"/>
        </w:rPr>
      </w:pPr>
      <w:r>
        <w:rPr>
          <w:sz w:val="24"/>
        </w:rPr>
        <w:t xml:space="preserve">One objective of the NSCH Pretest is to determine the incentive amount necessary to gain respondent cooperation and survey participation. By evaluating the response rates among the four treatment groups, it will help decide which mode and incentive amount will be used for the first year production survey. Each of the 16,000 sampled households were pre-assigned to one of the following treatment groups, explained in Table 9A below. </w:t>
      </w:r>
      <w:r w:rsidR="00A35B1E">
        <w:rPr>
          <w:sz w:val="24"/>
        </w:rPr>
        <w:t xml:space="preserve">The offer of a cash incentive to NSCH respondents is </w:t>
      </w:r>
      <w:r w:rsidR="00DB0CA8">
        <w:rPr>
          <w:sz w:val="24"/>
        </w:rPr>
        <w:t xml:space="preserve">a </w:t>
      </w:r>
      <w:r w:rsidR="00A35B1E">
        <w:rPr>
          <w:sz w:val="24"/>
        </w:rPr>
        <w:t>well-established</w:t>
      </w:r>
      <w:r w:rsidR="00DB0CA8">
        <w:rPr>
          <w:sz w:val="24"/>
        </w:rPr>
        <w:t xml:space="preserve"> practice</w:t>
      </w:r>
      <w:r w:rsidR="00B920CB">
        <w:rPr>
          <w:sz w:val="24"/>
        </w:rPr>
        <w:t xml:space="preserve">, and NCHS sponsored multiple incentive experiments over the last ten years. </w:t>
      </w:r>
      <w:r w:rsidR="00A118AA">
        <w:rPr>
          <w:sz w:val="24"/>
        </w:rPr>
        <w:t>H</w:t>
      </w:r>
      <w:r w:rsidR="00DB0CA8">
        <w:rPr>
          <w:sz w:val="24"/>
        </w:rPr>
        <w:t>istorically</w:t>
      </w:r>
      <w:r w:rsidR="000D37CC">
        <w:rPr>
          <w:sz w:val="24"/>
        </w:rPr>
        <w:t xml:space="preserve">, NSCH </w:t>
      </w:r>
      <w:r w:rsidR="00A35B1E">
        <w:rPr>
          <w:sz w:val="24"/>
        </w:rPr>
        <w:t xml:space="preserve">respondents received a $5 incentive </w:t>
      </w:r>
      <w:r w:rsidR="00DB0CA8">
        <w:rPr>
          <w:sz w:val="24"/>
        </w:rPr>
        <w:t xml:space="preserve">to </w:t>
      </w:r>
      <w:r w:rsidR="00A118AA">
        <w:rPr>
          <w:sz w:val="24"/>
        </w:rPr>
        <w:t xml:space="preserve">communicate </w:t>
      </w:r>
      <w:r w:rsidR="00DB0CA8">
        <w:rPr>
          <w:sz w:val="24"/>
        </w:rPr>
        <w:t xml:space="preserve">the </w:t>
      </w:r>
      <w:r w:rsidR="00A118AA">
        <w:rPr>
          <w:sz w:val="24"/>
        </w:rPr>
        <w:t xml:space="preserve">importance </w:t>
      </w:r>
      <w:r w:rsidR="00DB0CA8">
        <w:rPr>
          <w:sz w:val="24"/>
        </w:rPr>
        <w:t xml:space="preserve">of their participation; an additional $10 was offered as a token of appreciation for the respondent’s time upon completion of the interview. </w:t>
      </w:r>
    </w:p>
    <w:p w:rsidR="00A118AA" w:rsidRDefault="00A118AA">
      <w:pPr>
        <w:widowControl/>
        <w:autoSpaceDE/>
        <w:autoSpaceDN/>
        <w:adjustRightInd/>
        <w:rPr>
          <w:b/>
          <w:sz w:val="24"/>
        </w:rPr>
      </w:pPr>
      <w:r>
        <w:rPr>
          <w:b/>
          <w:sz w:val="24"/>
        </w:rPr>
        <w:br w:type="page"/>
      </w:r>
    </w:p>
    <w:p w:rsidR="00F31E3B" w:rsidRDefault="00341388" w:rsidP="003F0975">
      <w:pPr>
        <w:rPr>
          <w:b/>
          <w:sz w:val="24"/>
        </w:rPr>
      </w:pPr>
      <w:r w:rsidRPr="00FD7755">
        <w:rPr>
          <w:b/>
          <w:sz w:val="24"/>
        </w:rPr>
        <w:lastRenderedPageBreak/>
        <w:t>Table 9A. Treatment Group by Mode and Incentive Amount</w:t>
      </w:r>
    </w:p>
    <w:p w:rsidR="00F939C9" w:rsidRPr="00FD7755" w:rsidRDefault="00F939C9" w:rsidP="003F0975">
      <w:pPr>
        <w:rPr>
          <w:b/>
          <w:sz w:val="24"/>
        </w:rPr>
      </w:pPr>
    </w:p>
    <w:tbl>
      <w:tblPr>
        <w:tblStyle w:val="TableGrid"/>
        <w:tblW w:w="0" w:type="auto"/>
        <w:tblInd w:w="558"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309"/>
        <w:gridCol w:w="2955"/>
        <w:gridCol w:w="2340"/>
        <w:gridCol w:w="2250"/>
      </w:tblGrid>
      <w:tr w:rsidR="006F17B7" w:rsidRPr="00C80EB8" w:rsidTr="00FD7755">
        <w:tc>
          <w:tcPr>
            <w:tcW w:w="1309" w:type="dxa"/>
            <w:shd w:val="clear" w:color="auto" w:fill="C6D9F1" w:themeFill="text2" w:themeFillTint="33"/>
          </w:tcPr>
          <w:p w:rsidR="006F17B7" w:rsidRPr="00FD7755" w:rsidRDefault="006F17B7" w:rsidP="006F17B7">
            <w:pPr>
              <w:jc w:val="center"/>
              <w:rPr>
                <w:b/>
                <w:sz w:val="24"/>
                <w:szCs w:val="22"/>
              </w:rPr>
            </w:pPr>
            <w:r w:rsidRPr="00FD7755">
              <w:rPr>
                <w:b/>
                <w:sz w:val="24"/>
                <w:szCs w:val="22"/>
              </w:rPr>
              <w:t>Treatment Group</w:t>
            </w:r>
          </w:p>
        </w:tc>
        <w:tc>
          <w:tcPr>
            <w:tcW w:w="2955" w:type="dxa"/>
            <w:shd w:val="clear" w:color="auto" w:fill="C6D9F1" w:themeFill="text2" w:themeFillTint="33"/>
            <w:vAlign w:val="center"/>
          </w:tcPr>
          <w:p w:rsidR="006F17B7" w:rsidRPr="00FD7755" w:rsidRDefault="006F17B7" w:rsidP="006F17B7">
            <w:pPr>
              <w:jc w:val="center"/>
              <w:rPr>
                <w:b/>
                <w:sz w:val="24"/>
                <w:szCs w:val="22"/>
              </w:rPr>
            </w:pPr>
            <w:r w:rsidRPr="00FD7755">
              <w:rPr>
                <w:b/>
                <w:sz w:val="24"/>
                <w:szCs w:val="22"/>
              </w:rPr>
              <w:t>Mode</w:t>
            </w:r>
          </w:p>
        </w:tc>
        <w:tc>
          <w:tcPr>
            <w:tcW w:w="2340" w:type="dxa"/>
            <w:shd w:val="clear" w:color="auto" w:fill="C6D9F1" w:themeFill="text2" w:themeFillTint="33"/>
            <w:vAlign w:val="center"/>
          </w:tcPr>
          <w:p w:rsidR="006F17B7" w:rsidRPr="00FD7755" w:rsidRDefault="006F17B7" w:rsidP="006F17B7">
            <w:pPr>
              <w:jc w:val="center"/>
              <w:rPr>
                <w:b/>
                <w:sz w:val="24"/>
                <w:szCs w:val="22"/>
              </w:rPr>
            </w:pPr>
            <w:r w:rsidRPr="00FD7755">
              <w:rPr>
                <w:b/>
                <w:sz w:val="24"/>
                <w:szCs w:val="22"/>
              </w:rPr>
              <w:t>Screener Incentive</w:t>
            </w:r>
          </w:p>
        </w:tc>
        <w:tc>
          <w:tcPr>
            <w:tcW w:w="2250" w:type="dxa"/>
            <w:shd w:val="clear" w:color="auto" w:fill="C6D9F1" w:themeFill="text2" w:themeFillTint="33"/>
            <w:vAlign w:val="center"/>
          </w:tcPr>
          <w:p w:rsidR="006F17B7" w:rsidRPr="00FD7755" w:rsidRDefault="006F17B7" w:rsidP="006F17B7">
            <w:pPr>
              <w:jc w:val="center"/>
              <w:rPr>
                <w:b/>
                <w:sz w:val="24"/>
                <w:szCs w:val="22"/>
              </w:rPr>
            </w:pPr>
            <w:r w:rsidRPr="00FD7755">
              <w:rPr>
                <w:b/>
                <w:sz w:val="24"/>
                <w:szCs w:val="22"/>
              </w:rPr>
              <w:t>Topical Incentive</w:t>
            </w:r>
            <w:r w:rsidRPr="00FD7755">
              <w:rPr>
                <w:rStyle w:val="FootnoteReference"/>
                <w:b/>
                <w:sz w:val="24"/>
                <w:szCs w:val="22"/>
                <w:vertAlign w:val="superscript"/>
              </w:rPr>
              <w:footnoteReference w:id="1"/>
            </w:r>
          </w:p>
        </w:tc>
      </w:tr>
      <w:tr w:rsidR="006F17B7" w:rsidRPr="00C80EB8" w:rsidTr="00FD7755">
        <w:trPr>
          <w:trHeight w:val="348"/>
        </w:trPr>
        <w:tc>
          <w:tcPr>
            <w:tcW w:w="1309" w:type="dxa"/>
            <w:shd w:val="clear" w:color="auto" w:fill="C6D9F1" w:themeFill="text2" w:themeFillTint="33"/>
            <w:vAlign w:val="center"/>
          </w:tcPr>
          <w:p w:rsidR="006F17B7" w:rsidRPr="00FD7755" w:rsidRDefault="006F17B7" w:rsidP="006F17B7">
            <w:pPr>
              <w:jc w:val="center"/>
              <w:rPr>
                <w:b/>
                <w:sz w:val="24"/>
                <w:szCs w:val="22"/>
              </w:rPr>
            </w:pPr>
            <w:r w:rsidRPr="00FD7755">
              <w:rPr>
                <w:b/>
                <w:sz w:val="24"/>
                <w:szCs w:val="22"/>
              </w:rPr>
              <w:t>1</w:t>
            </w:r>
          </w:p>
        </w:tc>
        <w:tc>
          <w:tcPr>
            <w:tcW w:w="2955" w:type="dxa"/>
            <w:vAlign w:val="center"/>
          </w:tcPr>
          <w:p w:rsidR="006F17B7" w:rsidRPr="008634E6" w:rsidRDefault="006F17B7" w:rsidP="006F17B7">
            <w:pPr>
              <w:jc w:val="center"/>
              <w:rPr>
                <w:sz w:val="24"/>
                <w:szCs w:val="22"/>
              </w:rPr>
            </w:pPr>
            <w:r w:rsidRPr="008634E6">
              <w:rPr>
                <w:sz w:val="24"/>
                <w:szCs w:val="22"/>
              </w:rPr>
              <w:t>Mail</w:t>
            </w:r>
          </w:p>
        </w:tc>
        <w:tc>
          <w:tcPr>
            <w:tcW w:w="2340" w:type="dxa"/>
            <w:vAlign w:val="center"/>
          </w:tcPr>
          <w:p w:rsidR="006F17B7" w:rsidRPr="008634E6" w:rsidRDefault="006F17B7" w:rsidP="006F17B7">
            <w:pPr>
              <w:jc w:val="center"/>
              <w:rPr>
                <w:sz w:val="24"/>
                <w:szCs w:val="22"/>
              </w:rPr>
            </w:pPr>
            <w:r w:rsidRPr="008634E6">
              <w:rPr>
                <w:sz w:val="24"/>
                <w:szCs w:val="22"/>
              </w:rPr>
              <w:t>$5</w:t>
            </w:r>
          </w:p>
        </w:tc>
        <w:tc>
          <w:tcPr>
            <w:tcW w:w="2250" w:type="dxa"/>
            <w:vAlign w:val="center"/>
          </w:tcPr>
          <w:p w:rsidR="006F17B7" w:rsidRPr="008634E6" w:rsidRDefault="006F17B7" w:rsidP="006F17B7">
            <w:pPr>
              <w:jc w:val="center"/>
              <w:rPr>
                <w:sz w:val="24"/>
                <w:szCs w:val="22"/>
              </w:rPr>
            </w:pPr>
            <w:r w:rsidRPr="008634E6">
              <w:rPr>
                <w:sz w:val="24"/>
                <w:szCs w:val="22"/>
              </w:rPr>
              <w:t>$5</w:t>
            </w:r>
          </w:p>
        </w:tc>
      </w:tr>
      <w:tr w:rsidR="006F17B7" w:rsidRPr="00C80EB8" w:rsidTr="00FD7755">
        <w:trPr>
          <w:trHeight w:val="350"/>
        </w:trPr>
        <w:tc>
          <w:tcPr>
            <w:tcW w:w="1309" w:type="dxa"/>
            <w:shd w:val="clear" w:color="auto" w:fill="C6D9F1" w:themeFill="text2" w:themeFillTint="33"/>
            <w:vAlign w:val="center"/>
          </w:tcPr>
          <w:p w:rsidR="006F17B7" w:rsidRPr="00FD7755" w:rsidRDefault="00F939C9" w:rsidP="00F939C9">
            <w:pPr>
              <w:jc w:val="center"/>
              <w:rPr>
                <w:b/>
                <w:sz w:val="24"/>
                <w:szCs w:val="22"/>
              </w:rPr>
            </w:pPr>
            <w:r>
              <w:rPr>
                <w:b/>
                <w:sz w:val="24"/>
                <w:szCs w:val="22"/>
              </w:rPr>
              <w:t>2</w:t>
            </w:r>
          </w:p>
        </w:tc>
        <w:tc>
          <w:tcPr>
            <w:tcW w:w="2955" w:type="dxa"/>
            <w:vAlign w:val="center"/>
          </w:tcPr>
          <w:p w:rsidR="006F17B7" w:rsidRPr="008634E6" w:rsidRDefault="006F17B7" w:rsidP="006F17B7">
            <w:pPr>
              <w:jc w:val="center"/>
              <w:rPr>
                <w:sz w:val="24"/>
                <w:szCs w:val="22"/>
              </w:rPr>
            </w:pPr>
            <w:r w:rsidRPr="008634E6">
              <w:rPr>
                <w:sz w:val="24"/>
                <w:szCs w:val="22"/>
              </w:rPr>
              <w:t>Web Push</w:t>
            </w:r>
            <w:r w:rsidR="008563D3">
              <w:rPr>
                <w:sz w:val="24"/>
                <w:szCs w:val="22"/>
              </w:rPr>
              <w:t xml:space="preserve"> </w:t>
            </w:r>
            <w:r w:rsidRPr="008634E6">
              <w:rPr>
                <w:sz w:val="24"/>
                <w:szCs w:val="22"/>
              </w:rPr>
              <w:t>+</w:t>
            </w:r>
            <w:r w:rsidR="008563D3">
              <w:rPr>
                <w:sz w:val="24"/>
                <w:szCs w:val="22"/>
              </w:rPr>
              <w:t xml:space="preserve"> </w:t>
            </w:r>
            <w:r w:rsidRPr="008634E6">
              <w:rPr>
                <w:sz w:val="24"/>
                <w:szCs w:val="22"/>
              </w:rPr>
              <w:t>Mail</w:t>
            </w:r>
          </w:p>
        </w:tc>
        <w:tc>
          <w:tcPr>
            <w:tcW w:w="2340" w:type="dxa"/>
            <w:vAlign w:val="center"/>
          </w:tcPr>
          <w:p w:rsidR="006F17B7" w:rsidRPr="008634E6" w:rsidRDefault="006F17B7" w:rsidP="006F17B7">
            <w:pPr>
              <w:jc w:val="center"/>
              <w:rPr>
                <w:sz w:val="24"/>
                <w:szCs w:val="22"/>
              </w:rPr>
            </w:pPr>
            <w:r w:rsidRPr="008634E6">
              <w:rPr>
                <w:sz w:val="24"/>
                <w:szCs w:val="22"/>
              </w:rPr>
              <w:t>$5</w:t>
            </w:r>
          </w:p>
        </w:tc>
        <w:tc>
          <w:tcPr>
            <w:tcW w:w="2250" w:type="dxa"/>
            <w:vAlign w:val="center"/>
          </w:tcPr>
          <w:p w:rsidR="006F17B7" w:rsidRPr="008634E6" w:rsidRDefault="00ED2307" w:rsidP="006F17B7">
            <w:pPr>
              <w:jc w:val="center"/>
              <w:rPr>
                <w:sz w:val="24"/>
                <w:szCs w:val="22"/>
              </w:rPr>
            </w:pPr>
            <w:r>
              <w:rPr>
                <w:sz w:val="24"/>
                <w:szCs w:val="22"/>
              </w:rPr>
              <w:t>n/a</w:t>
            </w:r>
          </w:p>
        </w:tc>
      </w:tr>
      <w:tr w:rsidR="006F17B7" w:rsidRPr="00C80EB8" w:rsidTr="00FD7755">
        <w:trPr>
          <w:trHeight w:val="350"/>
        </w:trPr>
        <w:tc>
          <w:tcPr>
            <w:tcW w:w="1309" w:type="dxa"/>
            <w:shd w:val="clear" w:color="auto" w:fill="C6D9F1" w:themeFill="text2" w:themeFillTint="33"/>
            <w:vAlign w:val="center"/>
          </w:tcPr>
          <w:p w:rsidR="006F17B7" w:rsidRPr="00FD7755" w:rsidRDefault="00F939C9" w:rsidP="006F17B7">
            <w:pPr>
              <w:jc w:val="center"/>
              <w:rPr>
                <w:b/>
                <w:sz w:val="24"/>
                <w:szCs w:val="22"/>
              </w:rPr>
            </w:pPr>
            <w:r>
              <w:rPr>
                <w:b/>
                <w:sz w:val="24"/>
                <w:szCs w:val="22"/>
              </w:rPr>
              <w:t>3</w:t>
            </w:r>
          </w:p>
        </w:tc>
        <w:tc>
          <w:tcPr>
            <w:tcW w:w="2955" w:type="dxa"/>
            <w:vAlign w:val="center"/>
          </w:tcPr>
          <w:p w:rsidR="006F17B7" w:rsidRPr="008634E6" w:rsidRDefault="006F17B7" w:rsidP="006F17B7">
            <w:pPr>
              <w:jc w:val="center"/>
              <w:rPr>
                <w:sz w:val="24"/>
                <w:szCs w:val="22"/>
              </w:rPr>
            </w:pPr>
            <w:r w:rsidRPr="008634E6">
              <w:rPr>
                <w:sz w:val="24"/>
                <w:szCs w:val="22"/>
              </w:rPr>
              <w:t>Web Push</w:t>
            </w:r>
            <w:r w:rsidR="008563D3">
              <w:rPr>
                <w:sz w:val="24"/>
                <w:szCs w:val="22"/>
              </w:rPr>
              <w:t xml:space="preserve"> </w:t>
            </w:r>
            <w:r w:rsidRPr="008634E6">
              <w:rPr>
                <w:sz w:val="24"/>
                <w:szCs w:val="22"/>
              </w:rPr>
              <w:t>+</w:t>
            </w:r>
            <w:r w:rsidR="008563D3">
              <w:rPr>
                <w:sz w:val="24"/>
                <w:szCs w:val="22"/>
              </w:rPr>
              <w:t xml:space="preserve"> </w:t>
            </w:r>
            <w:r w:rsidRPr="008634E6">
              <w:rPr>
                <w:sz w:val="24"/>
                <w:szCs w:val="22"/>
              </w:rPr>
              <w:t>Mail</w:t>
            </w:r>
          </w:p>
        </w:tc>
        <w:tc>
          <w:tcPr>
            <w:tcW w:w="2340" w:type="dxa"/>
            <w:vAlign w:val="center"/>
          </w:tcPr>
          <w:p w:rsidR="006F17B7" w:rsidRPr="008634E6" w:rsidRDefault="006F17B7" w:rsidP="006F17B7">
            <w:pPr>
              <w:jc w:val="center"/>
              <w:rPr>
                <w:sz w:val="24"/>
                <w:szCs w:val="22"/>
              </w:rPr>
            </w:pPr>
            <w:r w:rsidRPr="008634E6">
              <w:rPr>
                <w:sz w:val="24"/>
                <w:szCs w:val="22"/>
              </w:rPr>
              <w:t>$10</w:t>
            </w:r>
          </w:p>
        </w:tc>
        <w:tc>
          <w:tcPr>
            <w:tcW w:w="2250" w:type="dxa"/>
            <w:vAlign w:val="center"/>
          </w:tcPr>
          <w:p w:rsidR="006F17B7" w:rsidRPr="008634E6" w:rsidRDefault="0025671B" w:rsidP="006F17B7">
            <w:pPr>
              <w:jc w:val="center"/>
              <w:rPr>
                <w:sz w:val="24"/>
                <w:szCs w:val="22"/>
              </w:rPr>
            </w:pPr>
            <w:r>
              <w:rPr>
                <w:sz w:val="24"/>
                <w:szCs w:val="22"/>
              </w:rPr>
              <w:t>n/a</w:t>
            </w:r>
          </w:p>
        </w:tc>
      </w:tr>
    </w:tbl>
    <w:p w:rsidR="00F31E3B" w:rsidRPr="00341388" w:rsidRDefault="00F31E3B" w:rsidP="00341388">
      <w:pPr>
        <w:rPr>
          <w:sz w:val="24"/>
        </w:rPr>
      </w:pPr>
    </w:p>
    <w:p w:rsidR="00C04B5D" w:rsidRDefault="003F0975" w:rsidP="00C04B5D">
      <w:pPr>
        <w:pStyle w:val="a"/>
        <w:widowControl/>
        <w:numPr>
          <w:ilvl w:val="3"/>
          <w:numId w:val="1"/>
        </w:numPr>
        <w:tabs>
          <w:tab w:val="clear" w:pos="2880"/>
          <w:tab w:val="left" w:pos="0"/>
          <w:tab w:val="num" w:pos="720"/>
        </w:tabs>
        <w:ind w:left="720"/>
      </w:pPr>
      <w:r>
        <w:t>Survey research indicates that incentives are a necessary and cost-effective expense for achieving a response rate that minimizes non-response bias.</w:t>
      </w:r>
      <w:r w:rsidR="008B20D0" w:rsidRPr="008B20D0">
        <w:rPr>
          <w:rStyle w:val="FootnoteReference"/>
          <w:vertAlign w:val="superscript"/>
        </w:rPr>
        <w:footnoteReference w:id="2"/>
      </w:r>
      <w:r>
        <w:t xml:space="preserve">  Due to a preponderance of such research, incentives were used in all previous administrations of the NSCH and </w:t>
      </w:r>
    </w:p>
    <w:p w:rsidR="003F0975" w:rsidRDefault="00C04B5D" w:rsidP="00C04B5D">
      <w:pPr>
        <w:pStyle w:val="a"/>
        <w:widowControl/>
        <w:tabs>
          <w:tab w:val="left" w:pos="0"/>
        </w:tabs>
        <w:ind w:left="0" w:firstLine="0"/>
      </w:pPr>
      <w:r>
        <w:tab/>
        <w:t>NS-CSHCN</w:t>
      </w:r>
      <w:r w:rsidR="003F0975">
        <w:t xml:space="preserve">. </w:t>
      </w:r>
    </w:p>
    <w:p w:rsidR="0039241B" w:rsidRPr="00F16D33" w:rsidRDefault="003F0975" w:rsidP="0039241B">
      <w:pPr>
        <w:pStyle w:val="a"/>
        <w:widowControl/>
        <w:numPr>
          <w:ilvl w:val="3"/>
          <w:numId w:val="1"/>
        </w:numPr>
        <w:tabs>
          <w:tab w:val="clear" w:pos="2880"/>
          <w:tab w:val="left" w:pos="0"/>
          <w:tab w:val="num" w:pos="720"/>
        </w:tabs>
        <w:spacing w:before="120" w:after="120"/>
        <w:ind w:left="720"/>
      </w:pPr>
      <w:r>
        <w:rPr>
          <w:rFonts w:ascii="TimesNewRoman" w:hAnsi="TimesNewRoman"/>
        </w:rPr>
        <w:t>Recent experimentation within a</w:t>
      </w:r>
      <w:r w:rsidRPr="00D94706">
        <w:rPr>
          <w:rFonts w:ascii="TimesNewRoman" w:hAnsi="TimesNewRoman"/>
        </w:rPr>
        <w:t xml:space="preserve"> ge</w:t>
      </w:r>
      <w:r w:rsidR="00C04B5D">
        <w:rPr>
          <w:rFonts w:ascii="TimesNewRoman" w:hAnsi="TimesNewRoman"/>
        </w:rPr>
        <w:t>neral population mixed mode (Web and Mail) survey</w:t>
      </w:r>
      <w:r w:rsidRPr="00D94706">
        <w:rPr>
          <w:rFonts w:ascii="TimesNewRoman" w:hAnsi="TimesNewRoman"/>
        </w:rPr>
        <w:t xml:space="preserve"> </w:t>
      </w:r>
      <w:r>
        <w:rPr>
          <w:rFonts w:ascii="TimesNewRoman" w:hAnsi="TimesNewRoman"/>
        </w:rPr>
        <w:t xml:space="preserve">found that the use of a </w:t>
      </w:r>
      <w:r w:rsidRPr="00D94706">
        <w:rPr>
          <w:rFonts w:ascii="TimesNewRoman" w:hAnsi="TimesNewRoman"/>
        </w:rPr>
        <w:t>prepaid incenti</w:t>
      </w:r>
      <w:r>
        <w:rPr>
          <w:rFonts w:ascii="TimesNewRoman" w:hAnsi="TimesNewRoman"/>
        </w:rPr>
        <w:t xml:space="preserve">ve </w:t>
      </w:r>
      <w:r w:rsidR="00CF3111">
        <w:rPr>
          <w:rFonts w:ascii="TimesNewRoman" w:hAnsi="TimesNewRoman"/>
        </w:rPr>
        <w:t>more than</w:t>
      </w:r>
      <w:r w:rsidRPr="00D94706">
        <w:rPr>
          <w:rFonts w:ascii="TimesNewRoman" w:hAnsi="TimesNewRoman"/>
        </w:rPr>
        <w:t xml:space="preserve"> doubled the response</w:t>
      </w:r>
      <w:r>
        <w:rPr>
          <w:rFonts w:ascii="TimesNewRoman" w:hAnsi="TimesNewRoman"/>
        </w:rPr>
        <w:t xml:space="preserve"> rate within that population</w:t>
      </w:r>
      <w:r w:rsidRPr="00D94706">
        <w:rPr>
          <w:rFonts w:ascii="TimesNewRoman" w:hAnsi="TimesNewRoman"/>
        </w:rPr>
        <w:t xml:space="preserve"> from 25% (no incentive) to 56% (with incentive)</w:t>
      </w:r>
      <w:r>
        <w:rPr>
          <w:rFonts w:ascii="TimesNewRoman" w:hAnsi="TimesNewRoman"/>
        </w:rPr>
        <w:t xml:space="preserve"> (Messer and Dillman </w:t>
      </w:r>
      <w:r w:rsidRPr="00D94706">
        <w:rPr>
          <w:rFonts w:ascii="TimesNewRoman" w:hAnsi="TimesNewRoman"/>
        </w:rPr>
        <w:t>2011)</w:t>
      </w:r>
      <w:r>
        <w:rPr>
          <w:rFonts w:ascii="TimesNewRoman" w:hAnsi="TimesNewRoman"/>
        </w:rPr>
        <w:t>.</w:t>
      </w:r>
    </w:p>
    <w:p w:rsidR="00F16D33" w:rsidRPr="0051618C" w:rsidRDefault="00F16D33" w:rsidP="0039241B">
      <w:pPr>
        <w:pStyle w:val="a"/>
        <w:widowControl/>
        <w:numPr>
          <w:ilvl w:val="3"/>
          <w:numId w:val="1"/>
        </w:numPr>
        <w:tabs>
          <w:tab w:val="clear" w:pos="2880"/>
          <w:tab w:val="left" w:pos="0"/>
          <w:tab w:val="num" w:pos="720"/>
        </w:tabs>
        <w:spacing w:before="120" w:after="120"/>
        <w:ind w:left="720"/>
      </w:pPr>
      <w:r>
        <w:rPr>
          <w:rFonts w:ascii="TimesNewRoman" w:hAnsi="TimesNewRoman"/>
        </w:rPr>
        <w:t>Incentives are commonly used in other HHS-sponsored surveys including the National Health Interview Survey, the National Survey of Family Growth, the National Health and Nutrition Examination Survey, the National Survey on Drug Use and Health, and the Health Center Patient Survey.</w:t>
      </w:r>
    </w:p>
    <w:p w:rsidR="009B3794" w:rsidRPr="00132870" w:rsidRDefault="009B3794" w:rsidP="00726ABF">
      <w:pPr>
        <w:numPr>
          <w:ilvl w:val="0"/>
          <w:numId w:val="1"/>
        </w:numPr>
        <w:tabs>
          <w:tab w:val="clear" w:pos="1080"/>
          <w:tab w:val="num" w:pos="360"/>
        </w:tabs>
        <w:spacing w:before="240"/>
        <w:ind w:left="360"/>
        <w:rPr>
          <w:b/>
          <w:sz w:val="24"/>
        </w:rPr>
      </w:pPr>
      <w:r>
        <w:rPr>
          <w:b/>
          <w:sz w:val="24"/>
          <w:u w:val="single"/>
        </w:rPr>
        <w:t>Assurance of Confidentiality Provided to Respondents</w:t>
      </w:r>
    </w:p>
    <w:p w:rsidR="0095647D" w:rsidRDefault="00544208" w:rsidP="0095647D">
      <w:pPr>
        <w:spacing w:before="240" w:after="120"/>
        <w:rPr>
          <w:iCs/>
          <w:sz w:val="24"/>
          <w:shd w:val="clear" w:color="auto" w:fill="FFFFFF"/>
        </w:rPr>
      </w:pPr>
      <w:r w:rsidRPr="00544208">
        <w:rPr>
          <w:sz w:val="24"/>
        </w:rPr>
        <w:t xml:space="preserve">Data will be kept private </w:t>
      </w:r>
      <w:r w:rsidR="00CF3111">
        <w:rPr>
          <w:sz w:val="24"/>
        </w:rPr>
        <w:t>in accordance with applicable</w:t>
      </w:r>
      <w:r w:rsidRPr="00544208">
        <w:rPr>
          <w:sz w:val="24"/>
        </w:rPr>
        <w:t xml:space="preserve"> law. </w:t>
      </w:r>
      <w:r w:rsidR="002941ED">
        <w:rPr>
          <w:sz w:val="24"/>
        </w:rPr>
        <w:t>Respondents</w:t>
      </w:r>
      <w:r w:rsidRPr="00544208">
        <w:rPr>
          <w:sz w:val="24"/>
        </w:rPr>
        <w:t xml:space="preserve"> will be assured of the confidentiality of their replies </w:t>
      </w:r>
      <w:r w:rsidR="002941ED" w:rsidRPr="00465387">
        <w:rPr>
          <w:iCs/>
          <w:sz w:val="24"/>
          <w:shd w:val="clear" w:color="auto" w:fill="FFFFFF"/>
        </w:rPr>
        <w:t xml:space="preserve">in </w:t>
      </w:r>
      <w:r w:rsidR="002941ED" w:rsidRPr="0095647D">
        <w:rPr>
          <w:iCs/>
          <w:sz w:val="24"/>
          <w:shd w:val="clear" w:color="auto" w:fill="FFFFFF"/>
        </w:rPr>
        <w:t>accordance with the Confidential Information Protection and Statistical Efficiency Act (CIPSEA), 44 U.S.C. 3501 note</w:t>
      </w:r>
      <w:r w:rsidR="006E0A53" w:rsidRPr="0095647D">
        <w:rPr>
          <w:iCs/>
          <w:sz w:val="24"/>
          <w:shd w:val="clear" w:color="auto" w:fill="FFFFFF"/>
        </w:rPr>
        <w:t xml:space="preserve"> and the Privacy Act of 1974, 5 U.S.C. Section 552a</w:t>
      </w:r>
      <w:r w:rsidR="002941ED" w:rsidRPr="0095647D">
        <w:rPr>
          <w:iCs/>
          <w:sz w:val="24"/>
          <w:shd w:val="clear" w:color="auto" w:fill="FFFFFF"/>
        </w:rPr>
        <w:t xml:space="preserve">. </w:t>
      </w:r>
      <w:r w:rsidR="00C73D99" w:rsidRPr="0095647D">
        <w:rPr>
          <w:iCs/>
          <w:sz w:val="24"/>
          <w:shd w:val="clear" w:color="auto" w:fill="FFFFFF"/>
        </w:rPr>
        <w:t xml:space="preserve">These laws require the Census Bureau and </w:t>
      </w:r>
      <w:r w:rsidR="0095647D">
        <w:rPr>
          <w:iCs/>
          <w:sz w:val="24"/>
          <w:shd w:val="clear" w:color="auto" w:fill="FFFFFF"/>
        </w:rPr>
        <w:t>its</w:t>
      </w:r>
      <w:r w:rsidR="00C73D99" w:rsidRPr="0095647D">
        <w:rPr>
          <w:iCs/>
          <w:sz w:val="24"/>
          <w:shd w:val="clear" w:color="auto" w:fill="FFFFFF"/>
        </w:rPr>
        <w:t xml:space="preserve"> designated CIPSEA agents to keep all information about respondents and households strictly confidential,</w:t>
      </w:r>
      <w:r w:rsidR="0095647D" w:rsidRPr="0095647D">
        <w:rPr>
          <w:iCs/>
          <w:sz w:val="24"/>
          <w:shd w:val="clear" w:color="auto" w:fill="FFFFFF"/>
        </w:rPr>
        <w:t xml:space="preserve"> </w:t>
      </w:r>
      <w:r w:rsidR="00D53084" w:rsidRPr="0095647D">
        <w:rPr>
          <w:iCs/>
          <w:sz w:val="24"/>
          <w:shd w:val="clear" w:color="auto" w:fill="FFFFFF"/>
        </w:rPr>
        <w:t>and require</w:t>
      </w:r>
      <w:r w:rsidR="002941ED" w:rsidRPr="0095647D">
        <w:rPr>
          <w:iCs/>
          <w:sz w:val="24"/>
          <w:shd w:val="clear" w:color="auto" w:fill="FFFFFF"/>
        </w:rPr>
        <w:t xml:space="preserve"> that the information be used only for statistical purposes.</w:t>
      </w:r>
      <w:r w:rsidR="0001701B" w:rsidRPr="0095647D">
        <w:rPr>
          <w:iCs/>
          <w:sz w:val="24"/>
          <w:shd w:val="clear" w:color="auto" w:fill="FFFFFF"/>
        </w:rPr>
        <w:t xml:space="preserve"> In compliance with this law, all data released to the public are only in a statistical format.  No information that could personally identify a respondent or household </w:t>
      </w:r>
      <w:r w:rsidR="0095647D">
        <w:rPr>
          <w:iCs/>
          <w:sz w:val="24"/>
          <w:shd w:val="clear" w:color="auto" w:fill="FFFFFF"/>
        </w:rPr>
        <w:t xml:space="preserve">may be </w:t>
      </w:r>
      <w:r w:rsidR="0001701B" w:rsidRPr="0095647D">
        <w:rPr>
          <w:iCs/>
          <w:sz w:val="24"/>
          <w:shd w:val="clear" w:color="auto" w:fill="FFFFFF"/>
        </w:rPr>
        <w:t>released.</w:t>
      </w:r>
      <w:r w:rsidR="0095647D" w:rsidRPr="0095647D">
        <w:rPr>
          <w:iCs/>
          <w:sz w:val="24"/>
          <w:shd w:val="clear" w:color="auto" w:fill="FFFFFF"/>
        </w:rPr>
        <w:t xml:space="preserve"> The Census Bureau will ensure that all MCHB staff </w:t>
      </w:r>
      <w:r w:rsidR="0095647D">
        <w:rPr>
          <w:iCs/>
          <w:sz w:val="24"/>
          <w:shd w:val="clear" w:color="auto" w:fill="FFFFFF"/>
        </w:rPr>
        <w:t xml:space="preserve">are </w:t>
      </w:r>
      <w:r w:rsidR="0095647D" w:rsidRPr="0095647D">
        <w:rPr>
          <w:iCs/>
          <w:sz w:val="24"/>
          <w:shd w:val="clear" w:color="auto" w:fill="FFFFFF"/>
        </w:rPr>
        <w:t>made designated CIPSEA agents prior to receiving access to any confidential data.</w:t>
      </w:r>
    </w:p>
    <w:p w:rsidR="00132870" w:rsidRDefault="00132870" w:rsidP="008C1D4E">
      <w:pPr>
        <w:spacing w:before="240" w:after="120"/>
        <w:rPr>
          <w:iCs/>
          <w:sz w:val="24"/>
          <w:shd w:val="clear" w:color="auto" w:fill="FFFFFF"/>
        </w:rPr>
      </w:pPr>
    </w:p>
    <w:p w:rsidR="00A118AA" w:rsidRDefault="00A118AA" w:rsidP="008C1D4E">
      <w:pPr>
        <w:spacing w:before="240" w:after="120"/>
        <w:rPr>
          <w:iCs/>
          <w:sz w:val="24"/>
          <w:shd w:val="clear" w:color="auto" w:fill="FFFFFF"/>
        </w:rPr>
      </w:pPr>
    </w:p>
    <w:p w:rsidR="009B3794" w:rsidRDefault="009B3794" w:rsidP="00726ABF">
      <w:pPr>
        <w:numPr>
          <w:ilvl w:val="0"/>
          <w:numId w:val="1"/>
        </w:numPr>
        <w:tabs>
          <w:tab w:val="clear" w:pos="1080"/>
          <w:tab w:val="num" w:pos="360"/>
        </w:tabs>
        <w:spacing w:before="240"/>
        <w:ind w:left="360"/>
        <w:rPr>
          <w:b/>
          <w:sz w:val="24"/>
        </w:rPr>
      </w:pPr>
      <w:r>
        <w:rPr>
          <w:b/>
          <w:sz w:val="24"/>
          <w:u w:val="single"/>
        </w:rPr>
        <w:t>Justification for Sensitive Questions</w:t>
      </w:r>
    </w:p>
    <w:p w:rsidR="00ED7BB0" w:rsidRPr="00ED7BB0" w:rsidRDefault="00A43802" w:rsidP="0033644C">
      <w:pPr>
        <w:widowControl/>
        <w:tabs>
          <w:tab w:val="num" w:pos="360"/>
        </w:tabs>
        <w:spacing w:before="240"/>
        <w:rPr>
          <w:sz w:val="24"/>
        </w:rPr>
      </w:pPr>
      <w:r w:rsidRPr="00A43802">
        <w:rPr>
          <w:sz w:val="24"/>
        </w:rPr>
        <w:t>Sensitive questions are genera</w:t>
      </w:r>
      <w:r w:rsidR="00FB5CCB">
        <w:rPr>
          <w:sz w:val="24"/>
        </w:rPr>
        <w:t>lly not included on the NSCH</w:t>
      </w:r>
      <w:r w:rsidR="00ED7BB0">
        <w:rPr>
          <w:sz w:val="24"/>
        </w:rPr>
        <w:t xml:space="preserve"> Pretest</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 questionnaire</w:t>
      </w:r>
      <w:r w:rsidR="00320663">
        <w:rPr>
          <w:sz w:val="24"/>
        </w:rPr>
        <w:t xml:space="preserve"> and individuals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009B3794" w:rsidRPr="00A43802">
        <w:rPr>
          <w:sz w:val="24"/>
        </w:rPr>
        <w:t xml:space="preserve"> requires that race </w:t>
      </w:r>
      <w:r w:rsidR="0033644C" w:rsidRPr="0033644C">
        <w:rPr>
          <w:sz w:val="24"/>
        </w:rPr>
        <w:t>and</w:t>
      </w:r>
      <w:r w:rsidR="005B7225">
        <w:rPr>
          <w:sz w:val="24"/>
        </w:rPr>
        <w:t xml:space="preserve"> ethnicity be asked</w:t>
      </w:r>
      <w:r w:rsidR="009B3794" w:rsidRPr="00A43802">
        <w:rPr>
          <w:sz w:val="24"/>
        </w:rPr>
        <w:t xml:space="preserve"> </w:t>
      </w:r>
      <w:r w:rsidR="00472847" w:rsidRPr="00A43802">
        <w:rPr>
          <w:sz w:val="24"/>
        </w:rPr>
        <w:t xml:space="preserve">on </w:t>
      </w:r>
      <w:r w:rsidR="009B3794" w:rsidRPr="00A43802">
        <w:rPr>
          <w:sz w:val="24"/>
        </w:rPr>
        <w:t>all H</w:t>
      </w:r>
      <w:r w:rsidR="0033644C">
        <w:rPr>
          <w:sz w:val="24"/>
        </w:rPr>
        <w:t>HS data collection instruments and questions on both race and Hispanic origin appear on the NSCH Pretest. There is, however, no requirement that respondents answer these questions.</w:t>
      </w:r>
    </w:p>
    <w:p w:rsidR="009B3794" w:rsidRDefault="009B3794" w:rsidP="00726ABF">
      <w:pPr>
        <w:numPr>
          <w:ilvl w:val="0"/>
          <w:numId w:val="1"/>
        </w:numPr>
        <w:tabs>
          <w:tab w:val="clear" w:pos="1080"/>
          <w:tab w:val="num" w:pos="360"/>
        </w:tabs>
        <w:spacing w:before="240"/>
        <w:ind w:left="360"/>
        <w:rPr>
          <w:sz w:val="24"/>
        </w:rPr>
      </w:pPr>
      <w:r>
        <w:rPr>
          <w:b/>
          <w:sz w:val="24"/>
          <w:u w:val="single"/>
        </w:rPr>
        <w:t xml:space="preserve">Estimates of Annualized Hour and Cost Burden  </w:t>
      </w:r>
    </w:p>
    <w:p w:rsidR="00663BCE" w:rsidRDefault="00663BCE">
      <w:pPr>
        <w:widowControl/>
        <w:autoSpaceDE/>
        <w:autoSpaceDN/>
        <w:adjustRightInd/>
        <w:rPr>
          <w:i/>
          <w:color w:val="002060"/>
          <w:sz w:val="24"/>
        </w:rPr>
      </w:pPr>
    </w:p>
    <w:p w:rsidR="00663BCE" w:rsidRDefault="00663BCE" w:rsidP="00663BCE">
      <w:pPr>
        <w:rPr>
          <w:sz w:val="24"/>
        </w:rPr>
      </w:pPr>
      <w:r w:rsidRPr="00663BCE">
        <w:rPr>
          <w:sz w:val="24"/>
        </w:rPr>
        <w:t xml:space="preserve">Estimates of annualized hour burden and annualized cost to respondents are </w:t>
      </w:r>
      <w:r w:rsidR="00BE1812">
        <w:rPr>
          <w:sz w:val="24"/>
        </w:rPr>
        <w:t xml:space="preserve">listed </w:t>
      </w:r>
      <w:r w:rsidRPr="00663BCE">
        <w:rPr>
          <w:sz w:val="24"/>
        </w:rPr>
        <w:t xml:space="preserve">in Tables </w:t>
      </w:r>
      <w:r>
        <w:rPr>
          <w:sz w:val="24"/>
        </w:rPr>
        <w:t>12A</w:t>
      </w:r>
      <w:r w:rsidRPr="00663BCE">
        <w:rPr>
          <w:sz w:val="24"/>
        </w:rPr>
        <w:t xml:space="preserve"> and </w:t>
      </w:r>
      <w:r>
        <w:rPr>
          <w:sz w:val="24"/>
        </w:rPr>
        <w:t>12B</w:t>
      </w:r>
      <w:r w:rsidR="006A0A3F">
        <w:rPr>
          <w:sz w:val="24"/>
        </w:rPr>
        <w:t>, respectively.</w:t>
      </w:r>
      <w:r w:rsidRPr="00663BCE">
        <w:rPr>
          <w:sz w:val="24"/>
        </w:rPr>
        <w:t xml:space="preserve"> The total number of estimated respondents is </w:t>
      </w:r>
      <w:r w:rsidR="000378DB">
        <w:rPr>
          <w:sz w:val="24"/>
        </w:rPr>
        <w:t>12,534</w:t>
      </w:r>
      <w:r w:rsidR="007F5CEB">
        <w:rPr>
          <w:sz w:val="24"/>
        </w:rPr>
        <w:t xml:space="preserve"> annually (pretest)</w:t>
      </w:r>
      <w:r w:rsidRPr="00663BCE">
        <w:rPr>
          <w:sz w:val="24"/>
        </w:rPr>
        <w:t xml:space="preserve">.  The total number of annual burden hours is </w:t>
      </w:r>
      <w:r w:rsidR="000378DB">
        <w:rPr>
          <w:sz w:val="24"/>
        </w:rPr>
        <w:t>2,262</w:t>
      </w:r>
      <w:r w:rsidRPr="00663BCE">
        <w:rPr>
          <w:sz w:val="24"/>
        </w:rPr>
        <w:t xml:space="preserve">. The estimated total annual respondent cost is </w:t>
      </w:r>
      <w:r w:rsidR="00DE6DD8" w:rsidRPr="000378DB">
        <w:rPr>
          <w:sz w:val="24"/>
        </w:rPr>
        <w:t>$</w:t>
      </w:r>
      <w:r w:rsidR="000378DB">
        <w:rPr>
          <w:sz w:val="24"/>
        </w:rPr>
        <w:t>23,524.80</w:t>
      </w:r>
      <w:r w:rsidRPr="00DE6DD8">
        <w:rPr>
          <w:sz w:val="24"/>
        </w:rPr>
        <w:t>.</w:t>
      </w:r>
      <w:r w:rsidR="00236ED2">
        <w:rPr>
          <w:sz w:val="24"/>
        </w:rPr>
        <w:t xml:space="preserve"> Please note that the numbers here are different from those in the Federal Register Prenotice.  The figures here are the correct figures. The differences are the result of improved estimates of </w:t>
      </w:r>
      <w:r w:rsidR="001F4A91">
        <w:rPr>
          <w:sz w:val="24"/>
        </w:rPr>
        <w:t xml:space="preserve">(1) </w:t>
      </w:r>
      <w:r w:rsidR="00236ED2">
        <w:rPr>
          <w:sz w:val="24"/>
        </w:rPr>
        <w:t>the response rate</w:t>
      </w:r>
      <w:r w:rsidR="001F4A91">
        <w:rPr>
          <w:sz w:val="24"/>
        </w:rPr>
        <w:t>s for the screener and topical modules</w:t>
      </w:r>
      <w:r w:rsidR="00236ED2">
        <w:rPr>
          <w:sz w:val="24"/>
        </w:rPr>
        <w:t xml:space="preserve"> and </w:t>
      </w:r>
      <w:r w:rsidR="001F4A91">
        <w:rPr>
          <w:sz w:val="24"/>
        </w:rPr>
        <w:t xml:space="preserve">(2) the </w:t>
      </w:r>
      <w:r w:rsidR="00236ED2">
        <w:rPr>
          <w:sz w:val="24"/>
        </w:rPr>
        <w:t>average time to complete the survey instruments</w:t>
      </w:r>
      <w:r w:rsidR="001F4A91" w:rsidRPr="001F4A91">
        <w:rPr>
          <w:rStyle w:val="FootnoteReference"/>
          <w:sz w:val="24"/>
          <w:vertAlign w:val="superscript"/>
        </w:rPr>
        <w:footnoteReference w:id="3"/>
      </w:r>
      <w:r w:rsidR="00236ED2">
        <w:rPr>
          <w:sz w:val="24"/>
        </w:rPr>
        <w:t>.</w:t>
      </w:r>
      <w:r w:rsidR="001F4A91">
        <w:rPr>
          <w:sz w:val="24"/>
        </w:rPr>
        <w:t xml:space="preserve"> </w:t>
      </w:r>
    </w:p>
    <w:p w:rsidR="00704A6B" w:rsidRDefault="00704A6B" w:rsidP="00663BCE">
      <w:pPr>
        <w:rPr>
          <w:sz w:val="24"/>
        </w:rPr>
      </w:pPr>
    </w:p>
    <w:p w:rsidR="00236ED2" w:rsidRDefault="00704A6B" w:rsidP="00663BCE">
      <w:pPr>
        <w:rPr>
          <w:sz w:val="24"/>
        </w:rPr>
      </w:pPr>
      <w:r>
        <w:rPr>
          <w:sz w:val="24"/>
        </w:rPr>
        <w:t xml:space="preserve">For the </w:t>
      </w:r>
      <w:r w:rsidR="00211286">
        <w:rPr>
          <w:sz w:val="24"/>
        </w:rPr>
        <w:t>NSCH Pretest, 9,612</w:t>
      </w:r>
      <w:r>
        <w:rPr>
          <w:sz w:val="24"/>
        </w:rPr>
        <w:t xml:space="preserve"> respondents are expect</w:t>
      </w:r>
      <w:r w:rsidR="006A0A3F">
        <w:rPr>
          <w:sz w:val="24"/>
        </w:rPr>
        <w:t>ed to complete the screener and</w:t>
      </w:r>
      <w:r w:rsidR="00211286">
        <w:rPr>
          <w:sz w:val="24"/>
        </w:rPr>
        <w:t xml:space="preserve"> 2,921</w:t>
      </w:r>
      <w:r w:rsidR="00503D21">
        <w:rPr>
          <w:sz w:val="24"/>
        </w:rPr>
        <w:t xml:space="preserve"> </w:t>
      </w:r>
      <w:r>
        <w:rPr>
          <w:sz w:val="24"/>
        </w:rPr>
        <w:t>respondents</w:t>
      </w:r>
      <w:r w:rsidR="00503D21" w:rsidRPr="00503D21">
        <w:rPr>
          <w:rStyle w:val="FootnoteReference"/>
          <w:sz w:val="24"/>
          <w:vertAlign w:val="superscript"/>
        </w:rPr>
        <w:footnoteReference w:id="4"/>
      </w:r>
      <w:r w:rsidR="00503D21">
        <w:rPr>
          <w:sz w:val="24"/>
        </w:rPr>
        <w:t xml:space="preserve"> </w:t>
      </w:r>
      <w:r>
        <w:rPr>
          <w:sz w:val="24"/>
        </w:rPr>
        <w:t xml:space="preserve">are expected to complete </w:t>
      </w:r>
      <w:r w:rsidR="00211286">
        <w:rPr>
          <w:sz w:val="24"/>
        </w:rPr>
        <w:t xml:space="preserve">one of </w:t>
      </w:r>
      <w:r>
        <w:rPr>
          <w:sz w:val="24"/>
        </w:rPr>
        <w:t xml:space="preserve">the </w:t>
      </w:r>
      <w:r w:rsidR="006A0A3F">
        <w:rPr>
          <w:sz w:val="24"/>
        </w:rPr>
        <w:t xml:space="preserve">three </w:t>
      </w:r>
      <w:r w:rsidR="00211286">
        <w:rPr>
          <w:sz w:val="24"/>
        </w:rPr>
        <w:t>age-based t</w:t>
      </w:r>
      <w:r>
        <w:rPr>
          <w:sz w:val="24"/>
        </w:rPr>
        <w:t>opical questionnaire</w:t>
      </w:r>
      <w:r w:rsidR="006A0A3F">
        <w:rPr>
          <w:sz w:val="24"/>
        </w:rPr>
        <w:t>s</w:t>
      </w:r>
      <w:r>
        <w:rPr>
          <w:sz w:val="24"/>
        </w:rPr>
        <w:t>.</w:t>
      </w:r>
    </w:p>
    <w:p w:rsidR="00663BCE" w:rsidRDefault="00663BCE" w:rsidP="00663BCE">
      <w:pPr>
        <w:rPr>
          <w:sz w:val="24"/>
        </w:rPr>
      </w:pPr>
    </w:p>
    <w:p w:rsidR="00C6574C" w:rsidRDefault="00663BCE" w:rsidP="00663BCE">
      <w:pPr>
        <w:rPr>
          <w:sz w:val="24"/>
        </w:rPr>
      </w:pPr>
      <w:r w:rsidRPr="00663BCE">
        <w:rPr>
          <w:sz w:val="24"/>
        </w:rPr>
        <w:t xml:space="preserve">The frequency of response </w:t>
      </w:r>
      <w:r w:rsidR="00C6574C">
        <w:rPr>
          <w:sz w:val="24"/>
        </w:rPr>
        <w:t>is the same across data collection activities – each instrument requires one response per respondent.</w:t>
      </w:r>
    </w:p>
    <w:p w:rsidR="00C6574C" w:rsidRDefault="00C6574C" w:rsidP="00663BCE">
      <w:pPr>
        <w:rPr>
          <w:sz w:val="24"/>
        </w:rPr>
      </w:pPr>
    </w:p>
    <w:p w:rsidR="00663BCE" w:rsidRPr="00663BCE" w:rsidRDefault="00663BCE" w:rsidP="00C6574C">
      <w:pPr>
        <w:rPr>
          <w:sz w:val="24"/>
        </w:rPr>
      </w:pPr>
      <w:r w:rsidRPr="00663BCE">
        <w:rPr>
          <w:sz w:val="24"/>
        </w:rPr>
        <w:t xml:space="preserve">The average burden per response was determined by timing instruments </w:t>
      </w:r>
      <w:r w:rsidR="00C6574C">
        <w:rPr>
          <w:sz w:val="24"/>
        </w:rPr>
        <w:t>administration with 9 or fewer respondents</w:t>
      </w:r>
      <w:r w:rsidRPr="00663BCE">
        <w:rPr>
          <w:sz w:val="24"/>
        </w:rPr>
        <w:t xml:space="preserve">.  </w:t>
      </w:r>
    </w:p>
    <w:p w:rsidR="00C6574C" w:rsidRDefault="00C6574C" w:rsidP="00663BCE">
      <w:pPr>
        <w:rPr>
          <w:sz w:val="24"/>
        </w:rPr>
      </w:pPr>
    </w:p>
    <w:p w:rsidR="002372C1" w:rsidRPr="006A0A3F" w:rsidRDefault="00663BCE" w:rsidP="006A0A3F">
      <w:pPr>
        <w:rPr>
          <w:sz w:val="24"/>
        </w:rPr>
      </w:pPr>
      <w:r w:rsidRPr="00663BCE">
        <w:rPr>
          <w:sz w:val="24"/>
        </w:rPr>
        <w:t>Estimates of the total annual respondent cost for the collection of information use the appropriate wage rate categories.  For individuals, the wa</w:t>
      </w:r>
      <w:r w:rsidR="006A0A3F">
        <w:rPr>
          <w:sz w:val="24"/>
        </w:rPr>
        <w:t>ge rate is $10.4</w:t>
      </w:r>
      <w:r w:rsidRPr="00663BCE">
        <w:rPr>
          <w:sz w:val="24"/>
        </w:rPr>
        <w:t>0 per hour.</w:t>
      </w:r>
      <w:r w:rsidR="006B7361">
        <w:rPr>
          <w:sz w:val="24"/>
        </w:rPr>
        <w:t xml:space="preserve">  This is based on the average hourly earnings for employees as reported by the Bureau of Labor Statistics (</w:t>
      </w:r>
      <w:hyperlink r:id="rId10" w:history="1">
        <w:r w:rsidR="006B7361" w:rsidRPr="003B35BC">
          <w:rPr>
            <w:rStyle w:val="Hyperlink"/>
            <w:sz w:val="24"/>
          </w:rPr>
          <w:t>http://www.bls.gov/news.release/realer.t01.htm</w:t>
        </w:r>
      </w:hyperlink>
      <w:r w:rsidR="006B7361">
        <w:rPr>
          <w:sz w:val="24"/>
        </w:rPr>
        <w:t>).</w:t>
      </w:r>
      <w:r w:rsidR="002372C1">
        <w:rPr>
          <w:b/>
          <w:i/>
          <w:color w:val="002060"/>
          <w:sz w:val="24"/>
        </w:rPr>
        <w:br w:type="page"/>
      </w:r>
    </w:p>
    <w:p w:rsidR="000761DE" w:rsidRPr="00465A8E" w:rsidRDefault="008D09D0" w:rsidP="00DE6DD8">
      <w:pPr>
        <w:widowControl/>
        <w:tabs>
          <w:tab w:val="num" w:pos="720"/>
        </w:tabs>
        <w:rPr>
          <w:b/>
          <w:sz w:val="24"/>
          <w:u w:val="single"/>
        </w:rPr>
      </w:pPr>
      <w:r>
        <w:rPr>
          <w:b/>
          <w:sz w:val="24"/>
        </w:rPr>
        <w:lastRenderedPageBreak/>
        <w:t xml:space="preserve">12A. </w:t>
      </w:r>
      <w:r w:rsidR="009B3794" w:rsidRPr="000761DE">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49"/>
        <w:gridCol w:w="1485"/>
        <w:gridCol w:w="1662"/>
        <w:gridCol w:w="1623"/>
        <w:gridCol w:w="990"/>
      </w:tblGrid>
      <w:tr w:rsidR="000C65F2" w:rsidRPr="00465A8E" w:rsidTr="00CD546F">
        <w:trPr>
          <w:trHeight w:val="983"/>
        </w:trPr>
        <w:tc>
          <w:tcPr>
            <w:tcW w:w="1532" w:type="dxa"/>
            <w:shd w:val="clear" w:color="auto" w:fill="A6A6A6" w:themeFill="background1" w:themeFillShade="A6"/>
            <w:vAlign w:val="bottom"/>
          </w:tcPr>
          <w:p w:rsidR="00CA3DA6" w:rsidRPr="00465A8E" w:rsidRDefault="00CA3DA6" w:rsidP="00C411C7">
            <w:pPr>
              <w:widowControl/>
              <w:tabs>
                <w:tab w:val="num" w:pos="1080"/>
              </w:tabs>
              <w:jc w:val="center"/>
              <w:rPr>
                <w:b/>
                <w:bCs/>
                <w:sz w:val="22"/>
                <w:szCs w:val="22"/>
              </w:rPr>
            </w:pPr>
            <w:r w:rsidRPr="00465A8E">
              <w:rPr>
                <w:b/>
                <w:bCs/>
                <w:sz w:val="22"/>
                <w:szCs w:val="22"/>
              </w:rPr>
              <w:t>Type of</w:t>
            </w:r>
            <w:r w:rsidR="00DA372A">
              <w:rPr>
                <w:b/>
                <w:bCs/>
                <w:sz w:val="22"/>
                <w:szCs w:val="22"/>
              </w:rPr>
              <w:t xml:space="preserve"> </w:t>
            </w:r>
            <w:r w:rsidRPr="00465A8E">
              <w:rPr>
                <w:b/>
                <w:bCs/>
                <w:sz w:val="22"/>
                <w:szCs w:val="22"/>
              </w:rPr>
              <w:t>Respondent</w:t>
            </w:r>
          </w:p>
        </w:tc>
        <w:tc>
          <w:tcPr>
            <w:tcW w:w="1549" w:type="dxa"/>
            <w:shd w:val="clear" w:color="auto" w:fill="A6A6A6" w:themeFill="background1" w:themeFillShade="A6"/>
            <w:vAlign w:val="bottom"/>
          </w:tcPr>
          <w:p w:rsidR="00CA3DA6" w:rsidRPr="00465A8E" w:rsidRDefault="00DA372A" w:rsidP="00C411C7">
            <w:pPr>
              <w:widowControl/>
              <w:tabs>
                <w:tab w:val="num" w:pos="1080"/>
              </w:tabs>
              <w:jc w:val="center"/>
              <w:rPr>
                <w:b/>
                <w:bCs/>
                <w:sz w:val="22"/>
                <w:szCs w:val="22"/>
              </w:rPr>
            </w:pPr>
            <w:r>
              <w:rPr>
                <w:b/>
                <w:bCs/>
                <w:sz w:val="22"/>
                <w:szCs w:val="22"/>
              </w:rPr>
              <w:t xml:space="preserve">Questionnaire </w:t>
            </w:r>
            <w:r w:rsidR="00CA3DA6" w:rsidRPr="00465A8E">
              <w:rPr>
                <w:b/>
                <w:bCs/>
                <w:sz w:val="22"/>
                <w:szCs w:val="22"/>
              </w:rPr>
              <w:t>Name</w:t>
            </w:r>
          </w:p>
        </w:tc>
        <w:tc>
          <w:tcPr>
            <w:tcW w:w="1485" w:type="dxa"/>
            <w:shd w:val="clear" w:color="auto" w:fill="A6A6A6" w:themeFill="background1" w:themeFillShade="A6"/>
            <w:vAlign w:val="bottom"/>
          </w:tcPr>
          <w:p w:rsidR="00CA3DA6" w:rsidRPr="00465A8E" w:rsidRDefault="00C411C7" w:rsidP="00C411C7">
            <w:pPr>
              <w:widowControl/>
              <w:tabs>
                <w:tab w:val="num" w:pos="1080"/>
              </w:tabs>
              <w:rPr>
                <w:b/>
                <w:bCs/>
                <w:sz w:val="22"/>
                <w:szCs w:val="22"/>
              </w:rPr>
            </w:pPr>
            <w:r>
              <w:rPr>
                <w:b/>
                <w:bCs/>
                <w:sz w:val="22"/>
                <w:szCs w:val="22"/>
              </w:rPr>
              <w:t>Expected Number</w:t>
            </w:r>
            <w:r w:rsidR="00CA3DA6" w:rsidRPr="00465A8E">
              <w:rPr>
                <w:b/>
                <w:bCs/>
                <w:sz w:val="22"/>
                <w:szCs w:val="22"/>
              </w:rPr>
              <w:t xml:space="preserve"> of</w:t>
            </w:r>
            <w:r w:rsidR="00DA372A">
              <w:rPr>
                <w:b/>
                <w:bCs/>
                <w:sz w:val="22"/>
                <w:szCs w:val="22"/>
              </w:rPr>
              <w:t xml:space="preserve"> </w:t>
            </w:r>
            <w:r w:rsidR="00CA3DA6" w:rsidRPr="00465A8E">
              <w:rPr>
                <w:b/>
                <w:bCs/>
                <w:sz w:val="22"/>
                <w:szCs w:val="22"/>
              </w:rPr>
              <w:t>Respondents</w:t>
            </w:r>
            <w:r w:rsidR="008D09D0" w:rsidRPr="00DA372A">
              <w:rPr>
                <w:rStyle w:val="FootnoteReference"/>
                <w:rFonts w:ascii="Times New Roman Bold" w:hAnsi="Times New Roman Bold"/>
                <w:b/>
                <w:bCs/>
                <w:sz w:val="22"/>
                <w:szCs w:val="22"/>
                <w:vertAlign w:val="superscript"/>
              </w:rPr>
              <w:footnoteReference w:id="5"/>
            </w:r>
          </w:p>
        </w:tc>
        <w:tc>
          <w:tcPr>
            <w:tcW w:w="1662" w:type="dxa"/>
            <w:shd w:val="clear" w:color="auto" w:fill="A6A6A6" w:themeFill="background1" w:themeFillShade="A6"/>
            <w:vAlign w:val="bottom"/>
          </w:tcPr>
          <w:p w:rsidR="00CA3DA6" w:rsidRPr="00465A8E" w:rsidRDefault="00CA3DA6" w:rsidP="00C411C7">
            <w:pPr>
              <w:widowControl/>
              <w:tabs>
                <w:tab w:val="num" w:pos="1080"/>
              </w:tabs>
              <w:jc w:val="center"/>
              <w:rPr>
                <w:b/>
                <w:bCs/>
                <w:sz w:val="22"/>
                <w:szCs w:val="22"/>
              </w:rPr>
            </w:pPr>
            <w:r w:rsidRPr="00465A8E">
              <w:rPr>
                <w:b/>
                <w:bCs/>
                <w:sz w:val="22"/>
                <w:szCs w:val="22"/>
              </w:rPr>
              <w:t>N</w:t>
            </w:r>
            <w:r w:rsidR="00DA372A">
              <w:rPr>
                <w:b/>
                <w:bCs/>
                <w:sz w:val="22"/>
                <w:szCs w:val="22"/>
              </w:rPr>
              <w:t xml:space="preserve">umber of </w:t>
            </w:r>
            <w:r w:rsidRPr="00465A8E">
              <w:rPr>
                <w:b/>
                <w:bCs/>
                <w:sz w:val="22"/>
                <w:szCs w:val="22"/>
              </w:rPr>
              <w:t>Responses</w:t>
            </w:r>
            <w:r w:rsidR="00DA372A">
              <w:rPr>
                <w:b/>
                <w:bCs/>
                <w:sz w:val="22"/>
                <w:szCs w:val="22"/>
              </w:rPr>
              <w:t xml:space="preserve"> </w:t>
            </w:r>
            <w:r w:rsidRPr="00465A8E">
              <w:rPr>
                <w:b/>
                <w:bCs/>
                <w:sz w:val="22"/>
                <w:szCs w:val="22"/>
              </w:rPr>
              <w:t>per</w:t>
            </w:r>
            <w:r w:rsidR="00DA372A">
              <w:rPr>
                <w:b/>
                <w:bCs/>
                <w:sz w:val="22"/>
                <w:szCs w:val="22"/>
              </w:rPr>
              <w:t xml:space="preserve"> </w:t>
            </w:r>
            <w:r w:rsidRPr="00465A8E">
              <w:rPr>
                <w:b/>
                <w:bCs/>
                <w:sz w:val="22"/>
                <w:szCs w:val="22"/>
              </w:rPr>
              <w:t>Respondent</w:t>
            </w:r>
          </w:p>
        </w:tc>
        <w:tc>
          <w:tcPr>
            <w:tcW w:w="1623" w:type="dxa"/>
            <w:shd w:val="clear" w:color="auto" w:fill="A6A6A6" w:themeFill="background1" w:themeFillShade="A6"/>
            <w:vAlign w:val="bottom"/>
          </w:tcPr>
          <w:p w:rsidR="00DA372A" w:rsidRDefault="00CA3DA6" w:rsidP="00C411C7">
            <w:pPr>
              <w:widowControl/>
              <w:tabs>
                <w:tab w:val="num" w:pos="1080"/>
              </w:tabs>
              <w:jc w:val="center"/>
              <w:rPr>
                <w:b/>
                <w:bCs/>
                <w:sz w:val="22"/>
                <w:szCs w:val="22"/>
              </w:rPr>
            </w:pPr>
            <w:r w:rsidRPr="00465A8E">
              <w:rPr>
                <w:b/>
                <w:bCs/>
                <w:sz w:val="22"/>
                <w:szCs w:val="22"/>
              </w:rPr>
              <w:t>Average</w:t>
            </w:r>
            <w:r w:rsidR="00DA372A">
              <w:rPr>
                <w:b/>
                <w:bCs/>
                <w:sz w:val="22"/>
                <w:szCs w:val="22"/>
              </w:rPr>
              <w:t xml:space="preserve"> </w:t>
            </w:r>
            <w:r w:rsidRPr="00465A8E">
              <w:rPr>
                <w:b/>
                <w:bCs/>
                <w:sz w:val="22"/>
                <w:szCs w:val="22"/>
              </w:rPr>
              <w:t>Burden per</w:t>
            </w:r>
            <w:r w:rsidR="00DA372A">
              <w:rPr>
                <w:b/>
                <w:bCs/>
                <w:sz w:val="22"/>
                <w:szCs w:val="22"/>
              </w:rPr>
              <w:t xml:space="preserve"> </w:t>
            </w:r>
            <w:r w:rsidRPr="00465A8E">
              <w:rPr>
                <w:b/>
                <w:bCs/>
                <w:sz w:val="22"/>
                <w:szCs w:val="22"/>
              </w:rPr>
              <w:t>Response</w:t>
            </w:r>
          </w:p>
          <w:p w:rsidR="00CA3DA6" w:rsidRPr="00465A8E" w:rsidRDefault="00CA3DA6" w:rsidP="00C411C7">
            <w:pPr>
              <w:widowControl/>
              <w:tabs>
                <w:tab w:val="num" w:pos="1080"/>
              </w:tabs>
              <w:jc w:val="center"/>
              <w:rPr>
                <w:b/>
                <w:bCs/>
                <w:sz w:val="22"/>
                <w:szCs w:val="22"/>
              </w:rPr>
            </w:pPr>
            <w:r w:rsidRPr="00465A8E">
              <w:rPr>
                <w:b/>
                <w:bCs/>
                <w:sz w:val="22"/>
                <w:szCs w:val="22"/>
              </w:rPr>
              <w:t>(in hours)</w:t>
            </w:r>
          </w:p>
        </w:tc>
        <w:tc>
          <w:tcPr>
            <w:tcW w:w="990" w:type="dxa"/>
            <w:shd w:val="clear" w:color="auto" w:fill="A6A6A6" w:themeFill="background1" w:themeFillShade="A6"/>
            <w:vAlign w:val="bottom"/>
          </w:tcPr>
          <w:p w:rsidR="00CA3DA6" w:rsidRPr="00465A8E" w:rsidRDefault="00CA3DA6" w:rsidP="00C411C7">
            <w:pPr>
              <w:widowControl/>
              <w:tabs>
                <w:tab w:val="num" w:pos="1080"/>
              </w:tabs>
              <w:jc w:val="center"/>
              <w:rPr>
                <w:b/>
                <w:bCs/>
                <w:sz w:val="22"/>
                <w:szCs w:val="22"/>
              </w:rPr>
            </w:pPr>
            <w:r w:rsidRPr="00465A8E">
              <w:rPr>
                <w:b/>
                <w:bCs/>
                <w:sz w:val="22"/>
                <w:szCs w:val="22"/>
              </w:rPr>
              <w:t>Total Burden Hours</w:t>
            </w:r>
          </w:p>
        </w:tc>
      </w:tr>
      <w:tr w:rsidR="000C65F2" w:rsidRPr="00465A8E" w:rsidTr="00C411C7">
        <w:trPr>
          <w:trHeight w:val="63"/>
        </w:trPr>
        <w:tc>
          <w:tcPr>
            <w:tcW w:w="8841" w:type="dxa"/>
            <w:gridSpan w:val="6"/>
            <w:shd w:val="clear" w:color="auto" w:fill="000000" w:themeFill="text1"/>
            <w:vAlign w:val="center"/>
          </w:tcPr>
          <w:p w:rsidR="000C65F2" w:rsidRPr="00465A8E" w:rsidRDefault="006A0A3F" w:rsidP="00E12416">
            <w:pPr>
              <w:widowControl/>
              <w:tabs>
                <w:tab w:val="num" w:pos="1080"/>
              </w:tabs>
              <w:spacing w:before="120"/>
              <w:rPr>
                <w:b/>
                <w:sz w:val="22"/>
                <w:szCs w:val="22"/>
              </w:rPr>
            </w:pPr>
            <w:r>
              <w:rPr>
                <w:b/>
                <w:sz w:val="22"/>
                <w:szCs w:val="22"/>
              </w:rPr>
              <w:t>NSCH Pretest</w:t>
            </w:r>
          </w:p>
        </w:tc>
      </w:tr>
      <w:tr w:rsidR="00DD1696" w:rsidRPr="00465A8E" w:rsidTr="00C411C7">
        <w:trPr>
          <w:trHeight w:val="800"/>
        </w:trPr>
        <w:tc>
          <w:tcPr>
            <w:tcW w:w="1532" w:type="dxa"/>
            <w:vAlign w:val="center"/>
          </w:tcPr>
          <w:p w:rsidR="00DD1696" w:rsidRPr="00465A8E" w:rsidRDefault="00FD7755" w:rsidP="00FD7755">
            <w:pPr>
              <w:widowControl/>
              <w:tabs>
                <w:tab w:val="num" w:pos="1080"/>
              </w:tabs>
              <w:spacing w:before="120"/>
              <w:jc w:val="center"/>
              <w:rPr>
                <w:b/>
                <w:bCs/>
                <w:sz w:val="22"/>
                <w:szCs w:val="22"/>
              </w:rPr>
            </w:pPr>
            <w:r>
              <w:rPr>
                <w:b/>
                <w:bCs/>
                <w:sz w:val="22"/>
                <w:szCs w:val="22"/>
              </w:rPr>
              <w:t>Adult Parent or Caregiver</w:t>
            </w:r>
          </w:p>
        </w:tc>
        <w:tc>
          <w:tcPr>
            <w:tcW w:w="1549" w:type="dxa"/>
            <w:vAlign w:val="center"/>
          </w:tcPr>
          <w:p w:rsidR="00DD1696" w:rsidRPr="00465A8E" w:rsidRDefault="00DD1696" w:rsidP="00FD7755">
            <w:pPr>
              <w:widowControl/>
              <w:tabs>
                <w:tab w:val="num" w:pos="1080"/>
              </w:tabs>
              <w:spacing w:before="120"/>
              <w:jc w:val="center"/>
              <w:rPr>
                <w:b/>
                <w:bCs/>
                <w:sz w:val="22"/>
                <w:szCs w:val="22"/>
              </w:rPr>
            </w:pPr>
            <w:r w:rsidRPr="00465A8E">
              <w:rPr>
                <w:b/>
                <w:bCs/>
                <w:sz w:val="22"/>
                <w:szCs w:val="22"/>
              </w:rPr>
              <w:t>Screener</w:t>
            </w:r>
          </w:p>
        </w:tc>
        <w:tc>
          <w:tcPr>
            <w:tcW w:w="1485" w:type="dxa"/>
            <w:vAlign w:val="center"/>
          </w:tcPr>
          <w:p w:rsidR="00DD1696" w:rsidRPr="00697F5A" w:rsidRDefault="00697F5A" w:rsidP="00FD7755">
            <w:pPr>
              <w:jc w:val="center"/>
              <w:rPr>
                <w:sz w:val="22"/>
                <w:szCs w:val="22"/>
              </w:rPr>
            </w:pPr>
            <w:r>
              <w:rPr>
                <w:sz w:val="22"/>
                <w:szCs w:val="22"/>
              </w:rPr>
              <w:t>9,612</w:t>
            </w:r>
          </w:p>
        </w:tc>
        <w:tc>
          <w:tcPr>
            <w:tcW w:w="1662" w:type="dxa"/>
            <w:vAlign w:val="center"/>
          </w:tcPr>
          <w:p w:rsidR="00DD1696" w:rsidRPr="00697F5A" w:rsidRDefault="00DD1696" w:rsidP="00FD7755">
            <w:pPr>
              <w:widowControl/>
              <w:tabs>
                <w:tab w:val="num" w:pos="1080"/>
              </w:tabs>
              <w:spacing w:before="120"/>
              <w:jc w:val="center"/>
              <w:rPr>
                <w:sz w:val="22"/>
                <w:szCs w:val="22"/>
              </w:rPr>
            </w:pPr>
            <w:r w:rsidRPr="00697F5A">
              <w:rPr>
                <w:sz w:val="22"/>
                <w:szCs w:val="22"/>
              </w:rPr>
              <w:t>1</w:t>
            </w:r>
          </w:p>
        </w:tc>
        <w:tc>
          <w:tcPr>
            <w:tcW w:w="1623" w:type="dxa"/>
            <w:vAlign w:val="center"/>
          </w:tcPr>
          <w:p w:rsidR="00DD1696" w:rsidRPr="00697F5A" w:rsidRDefault="004A6531" w:rsidP="00FD7755">
            <w:pPr>
              <w:widowControl/>
              <w:tabs>
                <w:tab w:val="num" w:pos="1080"/>
              </w:tabs>
              <w:spacing w:before="120"/>
              <w:jc w:val="center"/>
              <w:rPr>
                <w:sz w:val="22"/>
                <w:szCs w:val="22"/>
              </w:rPr>
            </w:pPr>
            <w:r>
              <w:rPr>
                <w:sz w:val="22"/>
                <w:szCs w:val="22"/>
              </w:rPr>
              <w:t>5</w:t>
            </w:r>
            <w:r w:rsidR="00DD1696" w:rsidRPr="00697F5A">
              <w:rPr>
                <w:sz w:val="22"/>
                <w:szCs w:val="22"/>
              </w:rPr>
              <w:t>/60</w:t>
            </w:r>
          </w:p>
        </w:tc>
        <w:tc>
          <w:tcPr>
            <w:tcW w:w="990" w:type="dxa"/>
            <w:vAlign w:val="center"/>
          </w:tcPr>
          <w:p w:rsidR="00DD1696" w:rsidRPr="00697F5A" w:rsidRDefault="004A6531" w:rsidP="00FD7755">
            <w:pPr>
              <w:jc w:val="center"/>
              <w:rPr>
                <w:color w:val="000000"/>
                <w:sz w:val="22"/>
                <w:szCs w:val="22"/>
              </w:rPr>
            </w:pPr>
            <w:r>
              <w:rPr>
                <w:color w:val="000000"/>
                <w:sz w:val="22"/>
                <w:szCs w:val="22"/>
              </w:rPr>
              <w:t>80</w:t>
            </w:r>
            <w:r w:rsidR="00697F5A">
              <w:rPr>
                <w:color w:val="000000"/>
                <w:sz w:val="22"/>
                <w:szCs w:val="22"/>
              </w:rPr>
              <w:t>1</w:t>
            </w:r>
          </w:p>
        </w:tc>
      </w:tr>
      <w:tr w:rsidR="00FD7755" w:rsidRPr="00465A8E" w:rsidTr="00C411C7">
        <w:trPr>
          <w:trHeight w:val="800"/>
        </w:trPr>
        <w:tc>
          <w:tcPr>
            <w:tcW w:w="1532" w:type="dxa"/>
            <w:vAlign w:val="center"/>
          </w:tcPr>
          <w:p w:rsidR="00FD7755" w:rsidRDefault="00FD7755" w:rsidP="00FD7755">
            <w:pPr>
              <w:jc w:val="center"/>
            </w:pPr>
            <w:r w:rsidRPr="00D6314B">
              <w:rPr>
                <w:b/>
                <w:bCs/>
                <w:sz w:val="22"/>
                <w:szCs w:val="22"/>
              </w:rPr>
              <w:t>Adult Parent or Caregiver</w:t>
            </w:r>
          </w:p>
        </w:tc>
        <w:tc>
          <w:tcPr>
            <w:tcW w:w="1549" w:type="dxa"/>
            <w:vAlign w:val="center"/>
          </w:tcPr>
          <w:p w:rsidR="00FD7755" w:rsidRPr="00465A8E" w:rsidRDefault="00FD7755" w:rsidP="00697F5A">
            <w:pPr>
              <w:widowControl/>
              <w:tabs>
                <w:tab w:val="num" w:pos="1080"/>
              </w:tabs>
              <w:spacing w:before="120"/>
              <w:jc w:val="center"/>
              <w:rPr>
                <w:b/>
                <w:bCs/>
                <w:sz w:val="22"/>
                <w:szCs w:val="22"/>
              </w:rPr>
            </w:pPr>
            <w:r w:rsidRPr="00465A8E">
              <w:rPr>
                <w:b/>
                <w:bCs/>
                <w:sz w:val="22"/>
                <w:szCs w:val="22"/>
              </w:rPr>
              <w:t xml:space="preserve">0-5 </w:t>
            </w:r>
            <w:r w:rsidR="00697F5A">
              <w:rPr>
                <w:b/>
                <w:bCs/>
                <w:sz w:val="22"/>
                <w:szCs w:val="22"/>
              </w:rPr>
              <w:t xml:space="preserve">Topical </w:t>
            </w:r>
            <w:r w:rsidRPr="00465A8E">
              <w:rPr>
                <w:b/>
                <w:bCs/>
                <w:sz w:val="22"/>
                <w:szCs w:val="22"/>
              </w:rPr>
              <w:t>Instrument</w:t>
            </w:r>
          </w:p>
        </w:tc>
        <w:tc>
          <w:tcPr>
            <w:tcW w:w="1485" w:type="dxa"/>
            <w:vAlign w:val="center"/>
          </w:tcPr>
          <w:p w:rsidR="00FD7755" w:rsidRPr="00697F5A" w:rsidRDefault="00EA4DE7" w:rsidP="00FD7755">
            <w:pPr>
              <w:jc w:val="center"/>
              <w:rPr>
                <w:sz w:val="22"/>
                <w:szCs w:val="22"/>
              </w:rPr>
            </w:pPr>
            <w:r>
              <w:rPr>
                <w:sz w:val="22"/>
                <w:szCs w:val="22"/>
              </w:rPr>
              <w:t>97</w:t>
            </w:r>
            <w:r w:rsidR="004A6531">
              <w:rPr>
                <w:sz w:val="22"/>
                <w:szCs w:val="22"/>
              </w:rPr>
              <w:t>4</w:t>
            </w:r>
          </w:p>
        </w:tc>
        <w:tc>
          <w:tcPr>
            <w:tcW w:w="1662" w:type="dxa"/>
            <w:vAlign w:val="center"/>
          </w:tcPr>
          <w:p w:rsidR="00FD7755" w:rsidRPr="00697F5A" w:rsidRDefault="00FD7755" w:rsidP="00FD7755">
            <w:pPr>
              <w:widowControl/>
              <w:tabs>
                <w:tab w:val="num" w:pos="1080"/>
              </w:tabs>
              <w:spacing w:before="120"/>
              <w:jc w:val="center"/>
              <w:rPr>
                <w:sz w:val="22"/>
                <w:szCs w:val="22"/>
              </w:rPr>
            </w:pPr>
            <w:r w:rsidRPr="00697F5A">
              <w:rPr>
                <w:sz w:val="22"/>
                <w:szCs w:val="22"/>
              </w:rPr>
              <w:t>1</w:t>
            </w:r>
          </w:p>
        </w:tc>
        <w:tc>
          <w:tcPr>
            <w:tcW w:w="1623" w:type="dxa"/>
            <w:vAlign w:val="center"/>
          </w:tcPr>
          <w:p w:rsidR="00FD7755" w:rsidRPr="00697F5A" w:rsidRDefault="00FD7755" w:rsidP="00FD7755">
            <w:pPr>
              <w:widowControl/>
              <w:tabs>
                <w:tab w:val="num" w:pos="1080"/>
              </w:tabs>
              <w:spacing w:before="120"/>
              <w:jc w:val="center"/>
              <w:rPr>
                <w:sz w:val="22"/>
                <w:szCs w:val="22"/>
              </w:rPr>
            </w:pPr>
            <w:r w:rsidRPr="00697F5A">
              <w:rPr>
                <w:sz w:val="22"/>
                <w:szCs w:val="22"/>
              </w:rPr>
              <w:t>30/60</w:t>
            </w:r>
          </w:p>
        </w:tc>
        <w:tc>
          <w:tcPr>
            <w:tcW w:w="990" w:type="dxa"/>
            <w:vAlign w:val="center"/>
          </w:tcPr>
          <w:p w:rsidR="00FD7755" w:rsidRPr="00697F5A" w:rsidRDefault="008D09D0" w:rsidP="00FD7755">
            <w:pPr>
              <w:jc w:val="center"/>
              <w:rPr>
                <w:color w:val="000000"/>
                <w:sz w:val="22"/>
                <w:szCs w:val="22"/>
              </w:rPr>
            </w:pPr>
            <w:r>
              <w:rPr>
                <w:color w:val="000000"/>
                <w:sz w:val="22"/>
                <w:szCs w:val="22"/>
              </w:rPr>
              <w:t>487</w:t>
            </w:r>
          </w:p>
        </w:tc>
      </w:tr>
      <w:tr w:rsidR="00FD7755" w:rsidRPr="00465A8E" w:rsidTr="00C411C7">
        <w:trPr>
          <w:trHeight w:val="800"/>
        </w:trPr>
        <w:tc>
          <w:tcPr>
            <w:tcW w:w="1532" w:type="dxa"/>
            <w:vAlign w:val="center"/>
          </w:tcPr>
          <w:p w:rsidR="00FD7755" w:rsidRDefault="00FD7755" w:rsidP="00FD7755">
            <w:pPr>
              <w:jc w:val="center"/>
            </w:pPr>
            <w:r w:rsidRPr="00D6314B">
              <w:rPr>
                <w:b/>
                <w:bCs/>
                <w:sz w:val="22"/>
                <w:szCs w:val="22"/>
              </w:rPr>
              <w:t>Adult Parent or Caregiver</w:t>
            </w:r>
          </w:p>
        </w:tc>
        <w:tc>
          <w:tcPr>
            <w:tcW w:w="1549" w:type="dxa"/>
            <w:vAlign w:val="center"/>
          </w:tcPr>
          <w:p w:rsidR="00FD7755" w:rsidRPr="00465A8E" w:rsidRDefault="00FD7755" w:rsidP="00697F5A">
            <w:pPr>
              <w:widowControl/>
              <w:tabs>
                <w:tab w:val="num" w:pos="1080"/>
              </w:tabs>
              <w:spacing w:before="120"/>
              <w:jc w:val="center"/>
              <w:rPr>
                <w:b/>
                <w:bCs/>
                <w:sz w:val="22"/>
                <w:szCs w:val="22"/>
              </w:rPr>
            </w:pPr>
            <w:r w:rsidRPr="00465A8E">
              <w:rPr>
                <w:b/>
                <w:bCs/>
                <w:sz w:val="22"/>
                <w:szCs w:val="22"/>
              </w:rPr>
              <w:t xml:space="preserve">6-11 </w:t>
            </w:r>
            <w:r w:rsidR="00697F5A">
              <w:rPr>
                <w:b/>
                <w:bCs/>
                <w:sz w:val="22"/>
                <w:szCs w:val="22"/>
              </w:rPr>
              <w:t>Topical</w:t>
            </w:r>
            <w:r w:rsidRPr="00465A8E">
              <w:rPr>
                <w:b/>
                <w:bCs/>
                <w:sz w:val="22"/>
                <w:szCs w:val="22"/>
              </w:rPr>
              <w:t xml:space="preserve"> Instrument</w:t>
            </w:r>
          </w:p>
        </w:tc>
        <w:tc>
          <w:tcPr>
            <w:tcW w:w="1485" w:type="dxa"/>
            <w:vAlign w:val="center"/>
          </w:tcPr>
          <w:p w:rsidR="00FD7755" w:rsidRPr="00697F5A" w:rsidRDefault="008D09D0" w:rsidP="00FD7755">
            <w:pPr>
              <w:jc w:val="center"/>
              <w:rPr>
                <w:sz w:val="22"/>
                <w:szCs w:val="22"/>
              </w:rPr>
            </w:pPr>
            <w:r>
              <w:rPr>
                <w:sz w:val="22"/>
                <w:szCs w:val="22"/>
              </w:rPr>
              <w:t>97</w:t>
            </w:r>
            <w:r w:rsidR="00503D21">
              <w:rPr>
                <w:sz w:val="22"/>
                <w:szCs w:val="22"/>
              </w:rPr>
              <w:t>4</w:t>
            </w:r>
          </w:p>
        </w:tc>
        <w:tc>
          <w:tcPr>
            <w:tcW w:w="1662" w:type="dxa"/>
            <w:vAlign w:val="center"/>
          </w:tcPr>
          <w:p w:rsidR="00FD7755" w:rsidRPr="00697F5A" w:rsidRDefault="00FD7755" w:rsidP="00FD7755">
            <w:pPr>
              <w:widowControl/>
              <w:tabs>
                <w:tab w:val="num" w:pos="1080"/>
              </w:tabs>
              <w:spacing w:before="120"/>
              <w:jc w:val="center"/>
              <w:rPr>
                <w:sz w:val="22"/>
                <w:szCs w:val="22"/>
              </w:rPr>
            </w:pPr>
            <w:r w:rsidRPr="00697F5A">
              <w:rPr>
                <w:sz w:val="22"/>
                <w:szCs w:val="22"/>
              </w:rPr>
              <w:t>1</w:t>
            </w:r>
          </w:p>
        </w:tc>
        <w:tc>
          <w:tcPr>
            <w:tcW w:w="1623" w:type="dxa"/>
            <w:vAlign w:val="center"/>
          </w:tcPr>
          <w:p w:rsidR="00FD7755" w:rsidRPr="00697F5A" w:rsidRDefault="004A6531" w:rsidP="00FD7755">
            <w:pPr>
              <w:widowControl/>
              <w:tabs>
                <w:tab w:val="num" w:pos="1080"/>
              </w:tabs>
              <w:spacing w:before="120"/>
              <w:jc w:val="center"/>
              <w:rPr>
                <w:sz w:val="22"/>
                <w:szCs w:val="22"/>
              </w:rPr>
            </w:pPr>
            <w:r>
              <w:rPr>
                <w:sz w:val="22"/>
                <w:szCs w:val="22"/>
              </w:rPr>
              <w:t>30</w:t>
            </w:r>
            <w:r w:rsidR="00FD7755" w:rsidRPr="00697F5A">
              <w:rPr>
                <w:sz w:val="22"/>
                <w:szCs w:val="22"/>
              </w:rPr>
              <w:t>/60</w:t>
            </w:r>
          </w:p>
        </w:tc>
        <w:tc>
          <w:tcPr>
            <w:tcW w:w="990" w:type="dxa"/>
            <w:vAlign w:val="center"/>
          </w:tcPr>
          <w:p w:rsidR="00FD7755" w:rsidRPr="00697F5A" w:rsidRDefault="000378DB" w:rsidP="00FD7755">
            <w:pPr>
              <w:jc w:val="center"/>
              <w:rPr>
                <w:color w:val="000000"/>
                <w:sz w:val="22"/>
                <w:szCs w:val="22"/>
              </w:rPr>
            </w:pPr>
            <w:r>
              <w:rPr>
                <w:color w:val="000000"/>
                <w:sz w:val="22"/>
                <w:szCs w:val="22"/>
              </w:rPr>
              <w:t>487</w:t>
            </w:r>
          </w:p>
        </w:tc>
      </w:tr>
      <w:tr w:rsidR="00FD7755" w:rsidRPr="00465A8E" w:rsidTr="00C411C7">
        <w:trPr>
          <w:trHeight w:val="800"/>
        </w:trPr>
        <w:tc>
          <w:tcPr>
            <w:tcW w:w="1532" w:type="dxa"/>
            <w:vAlign w:val="center"/>
          </w:tcPr>
          <w:p w:rsidR="00FD7755" w:rsidRDefault="00FD7755" w:rsidP="00FD7755">
            <w:pPr>
              <w:jc w:val="center"/>
            </w:pPr>
            <w:r w:rsidRPr="00D6314B">
              <w:rPr>
                <w:b/>
                <w:bCs/>
                <w:sz w:val="22"/>
                <w:szCs w:val="22"/>
              </w:rPr>
              <w:t>Adult Parent or Caregiver</w:t>
            </w:r>
          </w:p>
        </w:tc>
        <w:tc>
          <w:tcPr>
            <w:tcW w:w="1549" w:type="dxa"/>
            <w:vAlign w:val="center"/>
          </w:tcPr>
          <w:p w:rsidR="00FD7755" w:rsidRPr="00465A8E" w:rsidRDefault="00FD7755" w:rsidP="00697F5A">
            <w:pPr>
              <w:widowControl/>
              <w:tabs>
                <w:tab w:val="num" w:pos="1080"/>
              </w:tabs>
              <w:spacing w:before="120"/>
              <w:jc w:val="center"/>
              <w:rPr>
                <w:b/>
                <w:bCs/>
                <w:sz w:val="22"/>
                <w:szCs w:val="22"/>
              </w:rPr>
            </w:pPr>
            <w:r w:rsidRPr="00465A8E">
              <w:rPr>
                <w:b/>
                <w:bCs/>
                <w:sz w:val="22"/>
                <w:szCs w:val="22"/>
              </w:rPr>
              <w:t xml:space="preserve">12-17 </w:t>
            </w:r>
            <w:r w:rsidR="00697F5A">
              <w:rPr>
                <w:b/>
                <w:bCs/>
                <w:sz w:val="22"/>
                <w:szCs w:val="22"/>
              </w:rPr>
              <w:t>Topical</w:t>
            </w:r>
            <w:r w:rsidRPr="00465A8E">
              <w:rPr>
                <w:b/>
                <w:bCs/>
                <w:sz w:val="22"/>
                <w:szCs w:val="22"/>
              </w:rPr>
              <w:t xml:space="preserve"> Instrument</w:t>
            </w:r>
          </w:p>
        </w:tc>
        <w:tc>
          <w:tcPr>
            <w:tcW w:w="1485" w:type="dxa"/>
            <w:vAlign w:val="center"/>
          </w:tcPr>
          <w:p w:rsidR="00FD7755" w:rsidRPr="00697F5A" w:rsidRDefault="008D09D0" w:rsidP="00FD7755">
            <w:pPr>
              <w:jc w:val="center"/>
              <w:rPr>
                <w:sz w:val="22"/>
                <w:szCs w:val="22"/>
              </w:rPr>
            </w:pPr>
            <w:r>
              <w:rPr>
                <w:sz w:val="22"/>
                <w:szCs w:val="22"/>
              </w:rPr>
              <w:t>97</w:t>
            </w:r>
            <w:r w:rsidR="00503D21">
              <w:rPr>
                <w:sz w:val="22"/>
                <w:szCs w:val="22"/>
              </w:rPr>
              <w:t>4</w:t>
            </w:r>
          </w:p>
        </w:tc>
        <w:tc>
          <w:tcPr>
            <w:tcW w:w="1662" w:type="dxa"/>
            <w:vAlign w:val="center"/>
          </w:tcPr>
          <w:p w:rsidR="00FD7755" w:rsidRPr="00697F5A" w:rsidRDefault="00FD7755" w:rsidP="00FD7755">
            <w:pPr>
              <w:widowControl/>
              <w:tabs>
                <w:tab w:val="num" w:pos="1080"/>
              </w:tabs>
              <w:spacing w:before="120"/>
              <w:jc w:val="center"/>
              <w:rPr>
                <w:sz w:val="22"/>
                <w:szCs w:val="22"/>
              </w:rPr>
            </w:pPr>
            <w:r w:rsidRPr="00697F5A">
              <w:rPr>
                <w:sz w:val="22"/>
                <w:szCs w:val="22"/>
              </w:rPr>
              <w:t>1</w:t>
            </w:r>
          </w:p>
        </w:tc>
        <w:tc>
          <w:tcPr>
            <w:tcW w:w="1623" w:type="dxa"/>
            <w:vAlign w:val="center"/>
          </w:tcPr>
          <w:p w:rsidR="00FD7755" w:rsidRPr="00697F5A" w:rsidRDefault="004A6531" w:rsidP="00FD7755">
            <w:pPr>
              <w:widowControl/>
              <w:tabs>
                <w:tab w:val="num" w:pos="1080"/>
              </w:tabs>
              <w:spacing w:before="120"/>
              <w:jc w:val="center"/>
              <w:rPr>
                <w:sz w:val="22"/>
                <w:szCs w:val="22"/>
              </w:rPr>
            </w:pPr>
            <w:r>
              <w:rPr>
                <w:sz w:val="22"/>
                <w:szCs w:val="22"/>
              </w:rPr>
              <w:t>30</w:t>
            </w:r>
            <w:r w:rsidR="00FD7755" w:rsidRPr="00697F5A">
              <w:rPr>
                <w:sz w:val="22"/>
                <w:szCs w:val="22"/>
              </w:rPr>
              <w:t>/60</w:t>
            </w:r>
          </w:p>
        </w:tc>
        <w:tc>
          <w:tcPr>
            <w:tcW w:w="990" w:type="dxa"/>
            <w:vAlign w:val="center"/>
          </w:tcPr>
          <w:p w:rsidR="00FD7755" w:rsidRPr="00697F5A" w:rsidRDefault="000378DB" w:rsidP="00FD7755">
            <w:pPr>
              <w:jc w:val="center"/>
              <w:rPr>
                <w:color w:val="000000"/>
                <w:sz w:val="22"/>
                <w:szCs w:val="22"/>
              </w:rPr>
            </w:pPr>
            <w:r>
              <w:rPr>
                <w:color w:val="000000"/>
                <w:sz w:val="22"/>
                <w:szCs w:val="22"/>
              </w:rPr>
              <w:t>487</w:t>
            </w:r>
          </w:p>
        </w:tc>
      </w:tr>
      <w:tr w:rsidR="00E12416" w:rsidRPr="00465A8E" w:rsidTr="00C411C7">
        <w:trPr>
          <w:trHeight w:val="815"/>
        </w:trPr>
        <w:tc>
          <w:tcPr>
            <w:tcW w:w="1532" w:type="dxa"/>
            <w:vAlign w:val="center"/>
          </w:tcPr>
          <w:p w:rsidR="00E12416" w:rsidRPr="00465A8E" w:rsidRDefault="00E12416" w:rsidP="00FD7755">
            <w:pPr>
              <w:widowControl/>
              <w:tabs>
                <w:tab w:val="num" w:pos="1080"/>
              </w:tabs>
              <w:spacing w:before="120"/>
              <w:jc w:val="center"/>
              <w:rPr>
                <w:b/>
                <w:bCs/>
                <w:sz w:val="22"/>
                <w:szCs w:val="22"/>
              </w:rPr>
            </w:pPr>
            <w:r w:rsidRPr="00465A8E">
              <w:rPr>
                <w:b/>
                <w:bCs/>
                <w:sz w:val="22"/>
                <w:szCs w:val="22"/>
              </w:rPr>
              <w:t>Total</w:t>
            </w:r>
          </w:p>
        </w:tc>
        <w:tc>
          <w:tcPr>
            <w:tcW w:w="1549" w:type="dxa"/>
            <w:vAlign w:val="center"/>
          </w:tcPr>
          <w:p w:rsidR="00E12416" w:rsidRPr="00465A8E" w:rsidRDefault="00E12416" w:rsidP="00FD7755">
            <w:pPr>
              <w:widowControl/>
              <w:tabs>
                <w:tab w:val="num" w:pos="1080"/>
              </w:tabs>
              <w:spacing w:before="120"/>
              <w:jc w:val="center"/>
              <w:rPr>
                <w:sz w:val="22"/>
                <w:szCs w:val="22"/>
              </w:rPr>
            </w:pPr>
          </w:p>
        </w:tc>
        <w:tc>
          <w:tcPr>
            <w:tcW w:w="1485" w:type="dxa"/>
            <w:vAlign w:val="center"/>
          </w:tcPr>
          <w:p w:rsidR="00E12416" w:rsidRPr="00465A8E" w:rsidRDefault="008D09D0" w:rsidP="00FD7755">
            <w:pPr>
              <w:widowControl/>
              <w:tabs>
                <w:tab w:val="num" w:pos="1080"/>
              </w:tabs>
              <w:spacing w:before="120"/>
              <w:jc w:val="center"/>
              <w:rPr>
                <w:b/>
                <w:sz w:val="22"/>
                <w:szCs w:val="22"/>
              </w:rPr>
            </w:pPr>
            <w:r>
              <w:rPr>
                <w:b/>
                <w:sz w:val="22"/>
                <w:szCs w:val="22"/>
              </w:rPr>
              <w:t>12</w:t>
            </w:r>
            <w:r w:rsidR="00E12416">
              <w:rPr>
                <w:b/>
                <w:sz w:val="22"/>
                <w:szCs w:val="22"/>
              </w:rPr>
              <w:t>,</w:t>
            </w:r>
            <w:r>
              <w:rPr>
                <w:b/>
                <w:sz w:val="22"/>
                <w:szCs w:val="22"/>
              </w:rPr>
              <w:t>53</w:t>
            </w:r>
            <w:r w:rsidR="000378DB">
              <w:rPr>
                <w:b/>
                <w:sz w:val="22"/>
                <w:szCs w:val="22"/>
              </w:rPr>
              <w:t>4</w:t>
            </w:r>
          </w:p>
        </w:tc>
        <w:tc>
          <w:tcPr>
            <w:tcW w:w="1662" w:type="dxa"/>
            <w:vAlign w:val="center"/>
          </w:tcPr>
          <w:p w:rsidR="00E12416" w:rsidRPr="00465A8E" w:rsidRDefault="00E12416" w:rsidP="00FD7755">
            <w:pPr>
              <w:widowControl/>
              <w:tabs>
                <w:tab w:val="num" w:pos="1080"/>
              </w:tabs>
              <w:spacing w:before="120"/>
              <w:jc w:val="center"/>
              <w:rPr>
                <w:sz w:val="22"/>
                <w:szCs w:val="22"/>
              </w:rPr>
            </w:pPr>
          </w:p>
        </w:tc>
        <w:tc>
          <w:tcPr>
            <w:tcW w:w="1623" w:type="dxa"/>
            <w:vAlign w:val="center"/>
          </w:tcPr>
          <w:p w:rsidR="00E12416" w:rsidRPr="00465A8E" w:rsidRDefault="00E12416" w:rsidP="00FD7755">
            <w:pPr>
              <w:widowControl/>
              <w:tabs>
                <w:tab w:val="num" w:pos="1080"/>
              </w:tabs>
              <w:spacing w:before="120"/>
              <w:jc w:val="center"/>
              <w:rPr>
                <w:sz w:val="22"/>
                <w:szCs w:val="22"/>
              </w:rPr>
            </w:pPr>
          </w:p>
        </w:tc>
        <w:tc>
          <w:tcPr>
            <w:tcW w:w="990" w:type="dxa"/>
            <w:vAlign w:val="center"/>
          </w:tcPr>
          <w:p w:rsidR="00E12416" w:rsidRPr="00465A8E" w:rsidRDefault="000378DB" w:rsidP="00FD7755">
            <w:pPr>
              <w:widowControl/>
              <w:tabs>
                <w:tab w:val="num" w:pos="1080"/>
              </w:tabs>
              <w:spacing w:before="120"/>
              <w:jc w:val="center"/>
              <w:rPr>
                <w:sz w:val="22"/>
                <w:szCs w:val="22"/>
              </w:rPr>
            </w:pPr>
            <w:r>
              <w:rPr>
                <w:b/>
                <w:bCs/>
                <w:sz w:val="22"/>
                <w:szCs w:val="22"/>
              </w:rPr>
              <w:t>2,262</w:t>
            </w:r>
          </w:p>
        </w:tc>
      </w:tr>
    </w:tbl>
    <w:p w:rsidR="00DA372A" w:rsidRPr="00BE1812" w:rsidRDefault="00DA372A" w:rsidP="00BE1812">
      <w:pPr>
        <w:widowControl/>
        <w:spacing w:before="120"/>
        <w:ind w:left="270"/>
        <w:rPr>
          <w:sz w:val="22"/>
        </w:rPr>
      </w:pPr>
      <w:r w:rsidRPr="00BE1812">
        <w:rPr>
          <w:sz w:val="22"/>
        </w:rPr>
        <w:t>Table 12A NOTE: Details may not sum to totals due to rounding of partial hours.</w:t>
      </w:r>
    </w:p>
    <w:p w:rsidR="00BE1812" w:rsidRPr="00CD546F" w:rsidRDefault="00BE1812" w:rsidP="00CD546F">
      <w:pPr>
        <w:widowControl/>
        <w:spacing w:before="120"/>
        <w:ind w:left="450"/>
        <w:rPr>
          <w:sz w:val="16"/>
        </w:rPr>
      </w:pPr>
    </w:p>
    <w:p w:rsidR="000761DE" w:rsidRDefault="00CD546F" w:rsidP="00C6574C">
      <w:pPr>
        <w:widowControl/>
        <w:spacing w:before="120"/>
        <w:rPr>
          <w:b/>
          <w:sz w:val="24"/>
        </w:rPr>
      </w:pPr>
      <w:r>
        <w:rPr>
          <w:b/>
          <w:sz w:val="24"/>
        </w:rPr>
        <w:t xml:space="preserve">12B. </w:t>
      </w:r>
      <w:r w:rsidR="009B3794" w:rsidRPr="00465A8E">
        <w:rPr>
          <w:b/>
          <w:sz w:val="24"/>
        </w:rPr>
        <w:t>Estimated Annualized Burden Costs</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90"/>
        <w:gridCol w:w="1800"/>
        <w:gridCol w:w="1980"/>
      </w:tblGrid>
      <w:tr w:rsidR="000761DE" w:rsidRPr="000761DE" w:rsidTr="00BE1812">
        <w:trPr>
          <w:trHeight w:val="602"/>
        </w:trPr>
        <w:tc>
          <w:tcPr>
            <w:tcW w:w="3150" w:type="dxa"/>
            <w:shd w:val="clear" w:color="auto" w:fill="A6A6A6" w:themeFill="background1" w:themeFillShade="A6"/>
            <w:vAlign w:val="bottom"/>
          </w:tcPr>
          <w:p w:rsidR="009B3794" w:rsidRPr="00CD546F" w:rsidRDefault="009B3794" w:rsidP="00CD546F">
            <w:pPr>
              <w:widowControl/>
              <w:jc w:val="center"/>
              <w:rPr>
                <w:b/>
                <w:bCs/>
                <w:sz w:val="22"/>
                <w:szCs w:val="22"/>
              </w:rPr>
            </w:pPr>
            <w:r w:rsidRPr="00CD546F">
              <w:rPr>
                <w:b/>
                <w:bCs/>
                <w:sz w:val="22"/>
                <w:szCs w:val="22"/>
              </w:rPr>
              <w:t>Type of</w:t>
            </w:r>
          </w:p>
          <w:p w:rsidR="009B3794" w:rsidRPr="00CD546F" w:rsidRDefault="009B3794" w:rsidP="00CD546F">
            <w:pPr>
              <w:widowControl/>
              <w:jc w:val="center"/>
              <w:rPr>
                <w:sz w:val="22"/>
                <w:szCs w:val="22"/>
              </w:rPr>
            </w:pPr>
            <w:r w:rsidRPr="00CD546F">
              <w:rPr>
                <w:b/>
                <w:bCs/>
                <w:sz w:val="22"/>
                <w:szCs w:val="22"/>
              </w:rPr>
              <w:t>Respondent</w:t>
            </w:r>
          </w:p>
        </w:tc>
        <w:tc>
          <w:tcPr>
            <w:tcW w:w="1890" w:type="dxa"/>
            <w:shd w:val="clear" w:color="auto" w:fill="A6A6A6" w:themeFill="background1" w:themeFillShade="A6"/>
            <w:vAlign w:val="bottom"/>
          </w:tcPr>
          <w:p w:rsidR="009B3794" w:rsidRPr="00CD546F" w:rsidRDefault="009B3794" w:rsidP="00CD546F">
            <w:pPr>
              <w:widowControl/>
              <w:jc w:val="center"/>
              <w:rPr>
                <w:b/>
                <w:bCs/>
                <w:sz w:val="22"/>
                <w:szCs w:val="22"/>
              </w:rPr>
            </w:pPr>
            <w:r w:rsidRPr="00CD546F">
              <w:rPr>
                <w:b/>
                <w:bCs/>
                <w:sz w:val="22"/>
                <w:szCs w:val="22"/>
              </w:rPr>
              <w:t>Total Burden</w:t>
            </w:r>
          </w:p>
          <w:p w:rsidR="009B3794" w:rsidRPr="00CD546F" w:rsidRDefault="009B3794" w:rsidP="00CD546F">
            <w:pPr>
              <w:widowControl/>
              <w:jc w:val="center"/>
              <w:rPr>
                <w:sz w:val="22"/>
                <w:szCs w:val="22"/>
              </w:rPr>
            </w:pPr>
            <w:r w:rsidRPr="00CD546F">
              <w:rPr>
                <w:b/>
                <w:bCs/>
                <w:sz w:val="22"/>
                <w:szCs w:val="22"/>
              </w:rPr>
              <w:t>Hour</w:t>
            </w:r>
            <w:r w:rsidR="000761DE" w:rsidRPr="00CD546F">
              <w:rPr>
                <w:b/>
                <w:bCs/>
                <w:sz w:val="22"/>
                <w:szCs w:val="22"/>
              </w:rPr>
              <w:t>s</w:t>
            </w:r>
          </w:p>
        </w:tc>
        <w:tc>
          <w:tcPr>
            <w:tcW w:w="1800" w:type="dxa"/>
            <w:shd w:val="clear" w:color="auto" w:fill="A6A6A6" w:themeFill="background1" w:themeFillShade="A6"/>
            <w:vAlign w:val="bottom"/>
          </w:tcPr>
          <w:p w:rsidR="009B3794" w:rsidRPr="00CD546F" w:rsidRDefault="009B3794" w:rsidP="00CD546F">
            <w:pPr>
              <w:widowControl/>
              <w:jc w:val="center"/>
              <w:rPr>
                <w:b/>
                <w:bCs/>
                <w:sz w:val="22"/>
                <w:szCs w:val="22"/>
              </w:rPr>
            </w:pPr>
            <w:r w:rsidRPr="00CD546F">
              <w:rPr>
                <w:b/>
                <w:bCs/>
                <w:sz w:val="22"/>
                <w:szCs w:val="22"/>
              </w:rPr>
              <w:t>Hourly</w:t>
            </w:r>
          </w:p>
          <w:p w:rsidR="009B3794" w:rsidRPr="00CD546F" w:rsidRDefault="009B3794" w:rsidP="00CD546F">
            <w:pPr>
              <w:widowControl/>
              <w:jc w:val="center"/>
              <w:rPr>
                <w:sz w:val="22"/>
                <w:szCs w:val="22"/>
              </w:rPr>
            </w:pPr>
            <w:r w:rsidRPr="00CD546F">
              <w:rPr>
                <w:b/>
                <w:bCs/>
                <w:sz w:val="22"/>
                <w:szCs w:val="22"/>
              </w:rPr>
              <w:t>Wage Rate</w:t>
            </w:r>
          </w:p>
        </w:tc>
        <w:tc>
          <w:tcPr>
            <w:tcW w:w="1980" w:type="dxa"/>
            <w:shd w:val="clear" w:color="auto" w:fill="A6A6A6" w:themeFill="background1" w:themeFillShade="A6"/>
            <w:vAlign w:val="bottom"/>
          </w:tcPr>
          <w:p w:rsidR="009B3794" w:rsidRPr="00CD546F" w:rsidRDefault="009B3794" w:rsidP="00CD546F">
            <w:pPr>
              <w:widowControl/>
              <w:jc w:val="center"/>
              <w:rPr>
                <w:sz w:val="22"/>
                <w:szCs w:val="22"/>
              </w:rPr>
            </w:pPr>
            <w:r w:rsidRPr="00CD546F">
              <w:rPr>
                <w:b/>
                <w:bCs/>
                <w:sz w:val="22"/>
                <w:szCs w:val="22"/>
              </w:rPr>
              <w:t>Total Respondent Costs</w:t>
            </w:r>
          </w:p>
        </w:tc>
      </w:tr>
      <w:tr w:rsidR="000761DE" w:rsidRPr="000761DE" w:rsidTr="00CD546F">
        <w:trPr>
          <w:trHeight w:val="440"/>
        </w:trPr>
        <w:tc>
          <w:tcPr>
            <w:tcW w:w="8820" w:type="dxa"/>
            <w:gridSpan w:val="4"/>
            <w:shd w:val="clear" w:color="auto" w:fill="000000" w:themeFill="text1"/>
            <w:vAlign w:val="center"/>
          </w:tcPr>
          <w:p w:rsidR="000761DE" w:rsidRPr="00CD546F" w:rsidRDefault="00CD546F" w:rsidP="005C1932">
            <w:pPr>
              <w:widowControl/>
              <w:spacing w:before="100" w:beforeAutospacing="1" w:after="100" w:afterAutospacing="1"/>
              <w:rPr>
                <w:sz w:val="22"/>
                <w:szCs w:val="22"/>
              </w:rPr>
            </w:pPr>
            <w:r w:rsidRPr="00CD546F">
              <w:rPr>
                <w:b/>
                <w:sz w:val="22"/>
                <w:szCs w:val="22"/>
              </w:rPr>
              <w:t>NSCH Pretest</w:t>
            </w:r>
          </w:p>
        </w:tc>
      </w:tr>
      <w:tr w:rsidR="00DD1696" w:rsidRPr="000761DE" w:rsidTr="00BE1812">
        <w:trPr>
          <w:trHeight w:val="440"/>
        </w:trPr>
        <w:tc>
          <w:tcPr>
            <w:tcW w:w="3150" w:type="dxa"/>
          </w:tcPr>
          <w:p w:rsidR="00DD1696" w:rsidRPr="007F5CEB" w:rsidRDefault="00DD1696" w:rsidP="00BE1812">
            <w:pPr>
              <w:widowControl/>
              <w:tabs>
                <w:tab w:val="num" w:pos="1080"/>
              </w:tabs>
              <w:spacing w:before="100" w:beforeAutospacing="1" w:after="100" w:afterAutospacing="1"/>
              <w:rPr>
                <w:b/>
                <w:bCs/>
                <w:sz w:val="22"/>
                <w:szCs w:val="22"/>
              </w:rPr>
            </w:pPr>
            <w:r w:rsidRPr="007F5CEB">
              <w:rPr>
                <w:b/>
                <w:bCs/>
                <w:sz w:val="22"/>
                <w:szCs w:val="22"/>
              </w:rPr>
              <w:t>Adult Parent</w:t>
            </w:r>
            <w:r w:rsidR="00BE1812" w:rsidRPr="007F5CEB">
              <w:rPr>
                <w:b/>
                <w:bCs/>
                <w:sz w:val="22"/>
                <w:szCs w:val="22"/>
              </w:rPr>
              <w:t xml:space="preserve"> or Caregiver (Screener)</w:t>
            </w:r>
          </w:p>
        </w:tc>
        <w:tc>
          <w:tcPr>
            <w:tcW w:w="1890" w:type="dxa"/>
            <w:vAlign w:val="center"/>
          </w:tcPr>
          <w:p w:rsidR="00DD1696" w:rsidRPr="007F5CEB" w:rsidRDefault="000378DB" w:rsidP="006B7361">
            <w:pPr>
              <w:spacing w:before="100" w:beforeAutospacing="1" w:after="100" w:afterAutospacing="1"/>
              <w:rPr>
                <w:color w:val="000000"/>
                <w:sz w:val="22"/>
                <w:szCs w:val="22"/>
              </w:rPr>
            </w:pPr>
            <w:r>
              <w:rPr>
                <w:color w:val="000000"/>
                <w:sz w:val="22"/>
                <w:szCs w:val="22"/>
              </w:rPr>
              <w:t>801</w:t>
            </w:r>
          </w:p>
        </w:tc>
        <w:tc>
          <w:tcPr>
            <w:tcW w:w="1800" w:type="dxa"/>
            <w:vAlign w:val="center"/>
          </w:tcPr>
          <w:p w:rsidR="00DD1696" w:rsidRPr="007F5CEB" w:rsidRDefault="00BE1812" w:rsidP="005C1932">
            <w:pPr>
              <w:widowControl/>
              <w:spacing w:before="100" w:beforeAutospacing="1" w:after="100" w:afterAutospacing="1"/>
              <w:jc w:val="right"/>
              <w:rPr>
                <w:sz w:val="22"/>
                <w:szCs w:val="22"/>
              </w:rPr>
            </w:pPr>
            <w:r w:rsidRPr="007F5CEB">
              <w:rPr>
                <w:sz w:val="22"/>
                <w:szCs w:val="22"/>
              </w:rPr>
              <w:t>$10.4</w:t>
            </w:r>
            <w:r w:rsidR="00DD1696" w:rsidRPr="007F5CEB">
              <w:rPr>
                <w:sz w:val="22"/>
                <w:szCs w:val="22"/>
              </w:rPr>
              <w:t>0</w:t>
            </w:r>
          </w:p>
        </w:tc>
        <w:tc>
          <w:tcPr>
            <w:tcW w:w="1980" w:type="dxa"/>
            <w:vAlign w:val="center"/>
          </w:tcPr>
          <w:p w:rsidR="00DD1696" w:rsidRPr="007F5CEB" w:rsidRDefault="00DD1696" w:rsidP="000378DB">
            <w:pPr>
              <w:spacing w:before="100" w:beforeAutospacing="1" w:after="100" w:afterAutospacing="1"/>
              <w:jc w:val="right"/>
              <w:rPr>
                <w:color w:val="000000"/>
                <w:sz w:val="22"/>
                <w:szCs w:val="22"/>
              </w:rPr>
            </w:pPr>
            <w:r w:rsidRPr="007F5CEB">
              <w:rPr>
                <w:color w:val="000000"/>
                <w:sz w:val="22"/>
                <w:szCs w:val="22"/>
              </w:rPr>
              <w:t>$</w:t>
            </w:r>
            <w:r w:rsidR="000378DB">
              <w:rPr>
                <w:color w:val="000000"/>
                <w:sz w:val="22"/>
                <w:szCs w:val="22"/>
              </w:rPr>
              <w:t>8,330</w:t>
            </w:r>
            <w:r w:rsidR="007F5CEB">
              <w:rPr>
                <w:color w:val="000000"/>
                <w:sz w:val="22"/>
                <w:szCs w:val="22"/>
              </w:rPr>
              <w:t>.40</w:t>
            </w:r>
          </w:p>
        </w:tc>
      </w:tr>
      <w:tr w:rsidR="00BE1812" w:rsidRPr="000761DE" w:rsidTr="00BE1812">
        <w:trPr>
          <w:trHeight w:val="440"/>
        </w:trPr>
        <w:tc>
          <w:tcPr>
            <w:tcW w:w="3150" w:type="dxa"/>
          </w:tcPr>
          <w:p w:rsidR="0051618C" w:rsidRDefault="00BE1812" w:rsidP="00BE1812">
            <w:pPr>
              <w:widowControl/>
              <w:tabs>
                <w:tab w:val="num" w:pos="1080"/>
              </w:tabs>
              <w:rPr>
                <w:b/>
                <w:bCs/>
                <w:sz w:val="22"/>
                <w:szCs w:val="22"/>
              </w:rPr>
            </w:pPr>
            <w:r w:rsidRPr="007F5CEB">
              <w:rPr>
                <w:b/>
                <w:bCs/>
                <w:sz w:val="22"/>
                <w:szCs w:val="22"/>
              </w:rPr>
              <w:t xml:space="preserve">Adult Parent or Caregiver </w:t>
            </w:r>
          </w:p>
          <w:p w:rsidR="00BE1812" w:rsidRPr="007F5CEB" w:rsidRDefault="00BE1812" w:rsidP="00BE1812">
            <w:pPr>
              <w:widowControl/>
              <w:tabs>
                <w:tab w:val="num" w:pos="1080"/>
              </w:tabs>
              <w:rPr>
                <w:b/>
                <w:bCs/>
                <w:sz w:val="22"/>
                <w:szCs w:val="22"/>
              </w:rPr>
            </w:pPr>
            <w:r w:rsidRPr="007F5CEB">
              <w:rPr>
                <w:b/>
                <w:bCs/>
                <w:sz w:val="22"/>
                <w:szCs w:val="22"/>
              </w:rPr>
              <w:t>(0-5 Topical Instrument)</w:t>
            </w:r>
          </w:p>
        </w:tc>
        <w:tc>
          <w:tcPr>
            <w:tcW w:w="1890" w:type="dxa"/>
            <w:vAlign w:val="center"/>
          </w:tcPr>
          <w:p w:rsidR="00BE1812" w:rsidRPr="007F5CEB" w:rsidRDefault="007F5CEB" w:rsidP="00BE1812">
            <w:pPr>
              <w:rPr>
                <w:color w:val="000000"/>
                <w:sz w:val="22"/>
                <w:szCs w:val="22"/>
              </w:rPr>
            </w:pPr>
            <w:r w:rsidRPr="007F5CEB">
              <w:rPr>
                <w:color w:val="000000"/>
                <w:sz w:val="22"/>
                <w:szCs w:val="22"/>
              </w:rPr>
              <w:t>487</w:t>
            </w:r>
          </w:p>
        </w:tc>
        <w:tc>
          <w:tcPr>
            <w:tcW w:w="1800" w:type="dxa"/>
            <w:vAlign w:val="center"/>
          </w:tcPr>
          <w:p w:rsidR="00BE1812" w:rsidRPr="007F5CEB" w:rsidRDefault="00BE1812" w:rsidP="00BE1812">
            <w:pPr>
              <w:jc w:val="right"/>
              <w:rPr>
                <w:sz w:val="22"/>
                <w:szCs w:val="22"/>
              </w:rPr>
            </w:pPr>
            <w:r w:rsidRPr="007F5CEB">
              <w:rPr>
                <w:sz w:val="22"/>
                <w:szCs w:val="22"/>
              </w:rPr>
              <w:t>$10.40</w:t>
            </w:r>
          </w:p>
        </w:tc>
        <w:tc>
          <w:tcPr>
            <w:tcW w:w="1980" w:type="dxa"/>
            <w:vAlign w:val="center"/>
          </w:tcPr>
          <w:p w:rsidR="00BE1812" w:rsidRPr="007F5CEB" w:rsidRDefault="007F5CEB" w:rsidP="007F5CEB">
            <w:pPr>
              <w:jc w:val="right"/>
              <w:rPr>
                <w:color w:val="000000"/>
                <w:sz w:val="22"/>
                <w:szCs w:val="22"/>
              </w:rPr>
            </w:pPr>
            <w:r>
              <w:rPr>
                <w:color w:val="000000"/>
                <w:sz w:val="22"/>
                <w:szCs w:val="22"/>
              </w:rPr>
              <w:t>$5,064.80</w:t>
            </w:r>
          </w:p>
        </w:tc>
      </w:tr>
      <w:tr w:rsidR="00BE1812" w:rsidRPr="000761DE" w:rsidTr="00BE1812">
        <w:trPr>
          <w:trHeight w:val="440"/>
        </w:trPr>
        <w:tc>
          <w:tcPr>
            <w:tcW w:w="3150" w:type="dxa"/>
          </w:tcPr>
          <w:p w:rsidR="0051618C" w:rsidRDefault="00BE1812" w:rsidP="00BE1812">
            <w:pPr>
              <w:tabs>
                <w:tab w:val="num" w:pos="1080"/>
              </w:tabs>
              <w:rPr>
                <w:b/>
                <w:bCs/>
                <w:sz w:val="22"/>
                <w:szCs w:val="22"/>
              </w:rPr>
            </w:pPr>
            <w:r w:rsidRPr="007F5CEB">
              <w:rPr>
                <w:b/>
                <w:bCs/>
                <w:sz w:val="22"/>
                <w:szCs w:val="22"/>
              </w:rPr>
              <w:t xml:space="preserve">Adult Parent or Caregiver </w:t>
            </w:r>
          </w:p>
          <w:p w:rsidR="00BE1812" w:rsidRPr="007F5CEB" w:rsidRDefault="00BE1812" w:rsidP="00BE1812">
            <w:pPr>
              <w:tabs>
                <w:tab w:val="num" w:pos="1080"/>
              </w:tabs>
              <w:rPr>
                <w:b/>
                <w:bCs/>
                <w:sz w:val="22"/>
                <w:szCs w:val="22"/>
              </w:rPr>
            </w:pPr>
            <w:r w:rsidRPr="007F5CEB">
              <w:rPr>
                <w:b/>
                <w:bCs/>
                <w:sz w:val="22"/>
                <w:szCs w:val="22"/>
              </w:rPr>
              <w:t>(6-11 Topical Instrument)</w:t>
            </w:r>
          </w:p>
        </w:tc>
        <w:tc>
          <w:tcPr>
            <w:tcW w:w="1890" w:type="dxa"/>
            <w:vAlign w:val="center"/>
          </w:tcPr>
          <w:p w:rsidR="00BE1812" w:rsidRPr="007F5CEB" w:rsidRDefault="000378DB" w:rsidP="005C1932">
            <w:pPr>
              <w:spacing w:before="100" w:beforeAutospacing="1" w:after="100" w:afterAutospacing="1"/>
              <w:rPr>
                <w:color w:val="000000"/>
                <w:sz w:val="22"/>
                <w:szCs w:val="22"/>
              </w:rPr>
            </w:pPr>
            <w:r>
              <w:rPr>
                <w:color w:val="000000"/>
                <w:sz w:val="22"/>
                <w:szCs w:val="22"/>
              </w:rPr>
              <w:t>487</w:t>
            </w:r>
          </w:p>
        </w:tc>
        <w:tc>
          <w:tcPr>
            <w:tcW w:w="1800" w:type="dxa"/>
            <w:vAlign w:val="center"/>
          </w:tcPr>
          <w:p w:rsidR="00BE1812" w:rsidRPr="007F5CEB" w:rsidRDefault="00BE1812" w:rsidP="00BE1812">
            <w:pPr>
              <w:jc w:val="right"/>
              <w:rPr>
                <w:sz w:val="22"/>
                <w:szCs w:val="22"/>
              </w:rPr>
            </w:pPr>
            <w:r w:rsidRPr="007F5CEB">
              <w:rPr>
                <w:sz w:val="22"/>
                <w:szCs w:val="22"/>
              </w:rPr>
              <w:t>$10.40</w:t>
            </w:r>
          </w:p>
        </w:tc>
        <w:tc>
          <w:tcPr>
            <w:tcW w:w="1980" w:type="dxa"/>
            <w:vAlign w:val="center"/>
          </w:tcPr>
          <w:p w:rsidR="00BE1812" w:rsidRPr="007F5CEB" w:rsidRDefault="007F5CEB" w:rsidP="007F5CEB">
            <w:pPr>
              <w:spacing w:before="100" w:beforeAutospacing="1" w:after="100" w:afterAutospacing="1"/>
              <w:jc w:val="right"/>
              <w:rPr>
                <w:color w:val="000000"/>
                <w:sz w:val="22"/>
                <w:szCs w:val="22"/>
              </w:rPr>
            </w:pPr>
            <w:r>
              <w:rPr>
                <w:color w:val="000000"/>
                <w:sz w:val="22"/>
                <w:szCs w:val="22"/>
              </w:rPr>
              <w:t>$</w:t>
            </w:r>
            <w:r w:rsidR="000378DB">
              <w:rPr>
                <w:color w:val="000000"/>
                <w:sz w:val="22"/>
                <w:szCs w:val="22"/>
              </w:rPr>
              <w:t>5,064.80</w:t>
            </w:r>
          </w:p>
        </w:tc>
      </w:tr>
      <w:tr w:rsidR="00BE1812" w:rsidRPr="000761DE" w:rsidTr="00BE1812">
        <w:trPr>
          <w:trHeight w:val="440"/>
        </w:trPr>
        <w:tc>
          <w:tcPr>
            <w:tcW w:w="3150" w:type="dxa"/>
          </w:tcPr>
          <w:p w:rsidR="0051618C" w:rsidRDefault="00BE1812" w:rsidP="00BE1812">
            <w:pPr>
              <w:rPr>
                <w:b/>
                <w:bCs/>
                <w:sz w:val="22"/>
                <w:szCs w:val="22"/>
              </w:rPr>
            </w:pPr>
            <w:r w:rsidRPr="007F5CEB">
              <w:rPr>
                <w:b/>
                <w:bCs/>
                <w:sz w:val="22"/>
                <w:szCs w:val="22"/>
              </w:rPr>
              <w:t xml:space="preserve">Adult Parent or Caregiver </w:t>
            </w:r>
          </w:p>
          <w:p w:rsidR="00BE1812" w:rsidRPr="007F5CEB" w:rsidRDefault="00BE1812" w:rsidP="00BE1812">
            <w:pPr>
              <w:rPr>
                <w:sz w:val="22"/>
                <w:szCs w:val="22"/>
              </w:rPr>
            </w:pPr>
            <w:r w:rsidRPr="007F5CEB">
              <w:rPr>
                <w:b/>
                <w:bCs/>
                <w:sz w:val="22"/>
                <w:szCs w:val="22"/>
              </w:rPr>
              <w:t>(12-17 Topical Instrument)</w:t>
            </w:r>
          </w:p>
        </w:tc>
        <w:tc>
          <w:tcPr>
            <w:tcW w:w="1890" w:type="dxa"/>
            <w:vAlign w:val="center"/>
          </w:tcPr>
          <w:p w:rsidR="00BE1812" w:rsidRPr="007F5CEB" w:rsidRDefault="007F5CEB" w:rsidP="005C1932">
            <w:pPr>
              <w:spacing w:before="100" w:beforeAutospacing="1" w:after="100" w:afterAutospacing="1"/>
              <w:rPr>
                <w:color w:val="000000"/>
                <w:sz w:val="22"/>
                <w:szCs w:val="22"/>
              </w:rPr>
            </w:pPr>
            <w:r w:rsidRPr="007F5CEB">
              <w:rPr>
                <w:color w:val="000000"/>
                <w:sz w:val="22"/>
                <w:szCs w:val="22"/>
              </w:rPr>
              <w:t>4</w:t>
            </w:r>
            <w:r w:rsidR="000378DB">
              <w:rPr>
                <w:color w:val="000000"/>
                <w:sz w:val="22"/>
                <w:szCs w:val="22"/>
              </w:rPr>
              <w:t>87</w:t>
            </w:r>
          </w:p>
        </w:tc>
        <w:tc>
          <w:tcPr>
            <w:tcW w:w="1800" w:type="dxa"/>
            <w:vAlign w:val="center"/>
          </w:tcPr>
          <w:p w:rsidR="00BE1812" w:rsidRPr="007F5CEB" w:rsidRDefault="00BE1812" w:rsidP="00BE1812">
            <w:pPr>
              <w:jc w:val="right"/>
              <w:rPr>
                <w:sz w:val="22"/>
                <w:szCs w:val="22"/>
              </w:rPr>
            </w:pPr>
            <w:r w:rsidRPr="007F5CEB">
              <w:rPr>
                <w:sz w:val="22"/>
                <w:szCs w:val="22"/>
              </w:rPr>
              <w:t>$10.40</w:t>
            </w:r>
          </w:p>
        </w:tc>
        <w:tc>
          <w:tcPr>
            <w:tcW w:w="1980" w:type="dxa"/>
            <w:vAlign w:val="center"/>
          </w:tcPr>
          <w:p w:rsidR="00BE1812" w:rsidRPr="007F5CEB" w:rsidRDefault="007F5CEB" w:rsidP="005C1932">
            <w:pPr>
              <w:spacing w:before="100" w:beforeAutospacing="1" w:after="100" w:afterAutospacing="1"/>
              <w:jc w:val="right"/>
              <w:rPr>
                <w:color w:val="000000"/>
                <w:sz w:val="22"/>
                <w:szCs w:val="22"/>
              </w:rPr>
            </w:pPr>
            <w:r>
              <w:rPr>
                <w:color w:val="000000"/>
                <w:sz w:val="22"/>
                <w:szCs w:val="22"/>
              </w:rPr>
              <w:t>$</w:t>
            </w:r>
            <w:r w:rsidR="000378DB">
              <w:rPr>
                <w:color w:val="000000"/>
                <w:sz w:val="22"/>
                <w:szCs w:val="22"/>
              </w:rPr>
              <w:t>5,064.80</w:t>
            </w:r>
          </w:p>
        </w:tc>
      </w:tr>
      <w:tr w:rsidR="00DD1696" w:rsidRPr="000761DE" w:rsidTr="00BE1812">
        <w:trPr>
          <w:trHeight w:val="287"/>
        </w:trPr>
        <w:tc>
          <w:tcPr>
            <w:tcW w:w="3150" w:type="dxa"/>
          </w:tcPr>
          <w:p w:rsidR="00DD1696" w:rsidRPr="007F5CEB" w:rsidRDefault="00DD1696" w:rsidP="005C1932">
            <w:pPr>
              <w:widowControl/>
              <w:tabs>
                <w:tab w:val="num" w:pos="1080"/>
              </w:tabs>
              <w:spacing w:before="100" w:beforeAutospacing="1" w:after="100" w:afterAutospacing="1"/>
              <w:rPr>
                <w:b/>
                <w:bCs/>
                <w:sz w:val="22"/>
                <w:szCs w:val="22"/>
              </w:rPr>
            </w:pPr>
            <w:r w:rsidRPr="007F5CEB">
              <w:rPr>
                <w:b/>
                <w:bCs/>
                <w:sz w:val="22"/>
                <w:szCs w:val="22"/>
              </w:rPr>
              <w:t>Total</w:t>
            </w:r>
          </w:p>
        </w:tc>
        <w:tc>
          <w:tcPr>
            <w:tcW w:w="1890" w:type="dxa"/>
          </w:tcPr>
          <w:p w:rsidR="00DD1696" w:rsidRPr="007F5CEB" w:rsidRDefault="007F5CEB" w:rsidP="007F5CEB">
            <w:pPr>
              <w:widowControl/>
              <w:spacing w:before="100" w:beforeAutospacing="1" w:after="100" w:afterAutospacing="1"/>
              <w:rPr>
                <w:b/>
                <w:sz w:val="22"/>
                <w:szCs w:val="22"/>
              </w:rPr>
            </w:pPr>
            <w:r w:rsidRPr="007F5CEB">
              <w:rPr>
                <w:b/>
                <w:sz w:val="22"/>
                <w:szCs w:val="22"/>
              </w:rPr>
              <w:t>2,</w:t>
            </w:r>
            <w:r w:rsidR="000378DB">
              <w:rPr>
                <w:b/>
                <w:sz w:val="22"/>
                <w:szCs w:val="22"/>
              </w:rPr>
              <w:t>262</w:t>
            </w:r>
          </w:p>
        </w:tc>
        <w:tc>
          <w:tcPr>
            <w:tcW w:w="1800" w:type="dxa"/>
            <w:vAlign w:val="center"/>
          </w:tcPr>
          <w:p w:rsidR="00DD1696" w:rsidRPr="007F5CEB" w:rsidRDefault="00DD1696" w:rsidP="005C1932">
            <w:pPr>
              <w:widowControl/>
              <w:spacing w:before="100" w:beforeAutospacing="1" w:after="100" w:afterAutospacing="1"/>
              <w:jc w:val="right"/>
              <w:rPr>
                <w:b/>
                <w:sz w:val="22"/>
                <w:szCs w:val="22"/>
              </w:rPr>
            </w:pPr>
          </w:p>
        </w:tc>
        <w:tc>
          <w:tcPr>
            <w:tcW w:w="1980" w:type="dxa"/>
          </w:tcPr>
          <w:p w:rsidR="00DD1696" w:rsidRPr="007F5CEB" w:rsidRDefault="00DD1696" w:rsidP="000378DB">
            <w:pPr>
              <w:spacing w:before="100" w:beforeAutospacing="1" w:after="100" w:afterAutospacing="1"/>
              <w:jc w:val="right"/>
              <w:rPr>
                <w:b/>
                <w:color w:val="000000"/>
                <w:sz w:val="22"/>
                <w:szCs w:val="22"/>
              </w:rPr>
            </w:pPr>
            <w:r w:rsidRPr="007F5CEB">
              <w:rPr>
                <w:b/>
                <w:color w:val="000000"/>
                <w:sz w:val="22"/>
                <w:szCs w:val="22"/>
              </w:rPr>
              <w:t>$</w:t>
            </w:r>
            <w:r w:rsidR="000378DB">
              <w:rPr>
                <w:b/>
                <w:color w:val="000000"/>
                <w:sz w:val="22"/>
                <w:szCs w:val="22"/>
              </w:rPr>
              <w:t>23,524.80</w:t>
            </w:r>
          </w:p>
        </w:tc>
      </w:tr>
    </w:tbl>
    <w:p w:rsidR="00063E1F" w:rsidRPr="005C1932" w:rsidRDefault="00063E1F" w:rsidP="005C1932"/>
    <w:p w:rsidR="009B3794" w:rsidRPr="00E57405" w:rsidRDefault="009B3794" w:rsidP="00726ABF">
      <w:pPr>
        <w:numPr>
          <w:ilvl w:val="0"/>
          <w:numId w:val="1"/>
        </w:numPr>
        <w:tabs>
          <w:tab w:val="clear" w:pos="1080"/>
          <w:tab w:val="num" w:pos="360"/>
        </w:tabs>
        <w:spacing w:before="240"/>
        <w:ind w:left="360"/>
        <w:rPr>
          <w:b/>
          <w:sz w:val="24"/>
        </w:rPr>
      </w:pPr>
      <w:r>
        <w:rPr>
          <w:b/>
          <w:sz w:val="24"/>
          <w:u w:val="single"/>
        </w:rPr>
        <w:t xml:space="preserve">Estimates of </w:t>
      </w:r>
      <w:r w:rsidR="00DC7841">
        <w:rPr>
          <w:b/>
          <w:sz w:val="24"/>
          <w:u w:val="single"/>
        </w:rPr>
        <w:t>O</w:t>
      </w:r>
      <w:r>
        <w:rPr>
          <w:b/>
          <w:sz w:val="24"/>
          <w:u w:val="single"/>
        </w:rPr>
        <w:t xml:space="preserve">ther Total Annual Cost Burden to Respondents </w:t>
      </w:r>
    </w:p>
    <w:p w:rsidR="00E57405" w:rsidRPr="00465323" w:rsidRDefault="00E57405" w:rsidP="00465323">
      <w:pPr>
        <w:pStyle w:val="BodyTextIndent"/>
        <w:spacing w:before="120"/>
        <w:ind w:left="0" w:firstLine="360"/>
        <w:rPr>
          <w:rFonts w:ascii="Times New Roman" w:hAnsi="Times New Roman"/>
        </w:rPr>
      </w:pPr>
      <w:r>
        <w:rPr>
          <w:rFonts w:ascii="Times New Roman" w:hAnsi="Times New Roman"/>
        </w:rPr>
        <w:t xml:space="preserve">There are no direct costs to respondents other than their time to participate in the study. </w:t>
      </w:r>
    </w:p>
    <w:p w:rsidR="009B3794" w:rsidRDefault="009B3794" w:rsidP="00726ABF">
      <w:pPr>
        <w:numPr>
          <w:ilvl w:val="0"/>
          <w:numId w:val="1"/>
        </w:numPr>
        <w:tabs>
          <w:tab w:val="clear" w:pos="1080"/>
          <w:tab w:val="num" w:pos="360"/>
        </w:tabs>
        <w:spacing w:before="240"/>
        <w:ind w:left="360"/>
        <w:rPr>
          <w:b/>
          <w:sz w:val="24"/>
        </w:rPr>
      </w:pPr>
      <w:r>
        <w:rPr>
          <w:b/>
          <w:sz w:val="24"/>
          <w:u w:val="single"/>
        </w:rPr>
        <w:lastRenderedPageBreak/>
        <w:t xml:space="preserve">Annualized Cost to </w:t>
      </w:r>
      <w:r w:rsidR="00FB5CCB">
        <w:rPr>
          <w:b/>
          <w:sz w:val="24"/>
          <w:u w:val="single"/>
        </w:rPr>
        <w:t xml:space="preserve">the </w:t>
      </w:r>
      <w:r>
        <w:rPr>
          <w:b/>
          <w:sz w:val="24"/>
          <w:u w:val="single"/>
        </w:rPr>
        <w:t>Federal Government</w:t>
      </w:r>
    </w:p>
    <w:p w:rsidR="00827FD3" w:rsidRPr="0083214E" w:rsidRDefault="00AD67A8" w:rsidP="0083214E">
      <w:pPr>
        <w:spacing w:before="120" w:after="120"/>
        <w:rPr>
          <w:sz w:val="24"/>
        </w:rPr>
      </w:pPr>
      <w:r>
        <w:rPr>
          <w:sz w:val="24"/>
        </w:rPr>
        <w:t>This data collection</w:t>
      </w:r>
      <w:r w:rsidRPr="00AD67A8">
        <w:rPr>
          <w:sz w:val="24"/>
        </w:rPr>
        <w:t xml:space="preserve"> </w:t>
      </w:r>
      <w:r>
        <w:rPr>
          <w:sz w:val="24"/>
        </w:rPr>
        <w:t xml:space="preserve">will be </w:t>
      </w:r>
      <w:r w:rsidRPr="00AD67A8">
        <w:rPr>
          <w:sz w:val="24"/>
        </w:rPr>
        <w:t xml:space="preserve">carried out under </w:t>
      </w:r>
      <w:r w:rsidR="00465323">
        <w:rPr>
          <w:sz w:val="24"/>
        </w:rPr>
        <w:t xml:space="preserve">a </w:t>
      </w:r>
      <w:r w:rsidRPr="00AD67A8">
        <w:rPr>
          <w:sz w:val="24"/>
        </w:rPr>
        <w:t>contract</w:t>
      </w:r>
      <w:r>
        <w:rPr>
          <w:sz w:val="24"/>
        </w:rPr>
        <w:t xml:space="preserve"> awarded to </w:t>
      </w:r>
      <w:r w:rsidR="0083214E">
        <w:rPr>
          <w:sz w:val="24"/>
        </w:rPr>
        <w:t xml:space="preserve">the </w:t>
      </w:r>
      <w:r w:rsidR="000A6823">
        <w:rPr>
          <w:sz w:val="24"/>
        </w:rPr>
        <w:t>Census</w:t>
      </w:r>
      <w:r w:rsidR="0083214E">
        <w:rPr>
          <w:sz w:val="24"/>
        </w:rPr>
        <w:t xml:space="preserve"> Bureau</w:t>
      </w:r>
      <w:r>
        <w:rPr>
          <w:sz w:val="24"/>
        </w:rPr>
        <w:t xml:space="preserve"> </w:t>
      </w:r>
      <w:r w:rsidR="001526A6">
        <w:rPr>
          <w:sz w:val="24"/>
        </w:rPr>
        <w:t>for</w:t>
      </w:r>
      <w:r>
        <w:rPr>
          <w:sz w:val="24"/>
        </w:rPr>
        <w:t xml:space="preserve"> $</w:t>
      </w:r>
      <w:r w:rsidR="000A6823">
        <w:rPr>
          <w:sz w:val="24"/>
        </w:rPr>
        <w:t>2,776,000</w:t>
      </w:r>
      <w:r w:rsidR="0079754F">
        <w:rPr>
          <w:sz w:val="24"/>
        </w:rPr>
        <w:t xml:space="preserve">. This contract spans a </w:t>
      </w:r>
      <w:r w:rsidR="001526A6">
        <w:rPr>
          <w:sz w:val="24"/>
        </w:rPr>
        <w:t>three-year</w:t>
      </w:r>
      <w:r w:rsidR="0079754F">
        <w:rPr>
          <w:sz w:val="24"/>
        </w:rPr>
        <w:t xml:space="preserve"> </w:t>
      </w:r>
      <w:r>
        <w:rPr>
          <w:sz w:val="24"/>
        </w:rPr>
        <w:t>project period</w:t>
      </w:r>
      <w:r w:rsidR="00965C61">
        <w:rPr>
          <w:sz w:val="24"/>
        </w:rPr>
        <w:t>.</w:t>
      </w:r>
      <w:r w:rsidR="00827FD3">
        <w:rPr>
          <w:sz w:val="24"/>
        </w:rPr>
        <w:t xml:space="preserve"> This includes all direct and indirect costs of the design, data collection, analysis, and reporting phases of the pretest, as well as delivery of the data sets to MCHB.</w:t>
      </w:r>
    </w:p>
    <w:p w:rsidR="009B3794" w:rsidRDefault="009B3794" w:rsidP="00726ABF">
      <w:pPr>
        <w:numPr>
          <w:ilvl w:val="0"/>
          <w:numId w:val="1"/>
        </w:numPr>
        <w:tabs>
          <w:tab w:val="clear" w:pos="1080"/>
          <w:tab w:val="num" w:pos="360"/>
        </w:tabs>
        <w:spacing w:before="240"/>
        <w:ind w:left="360"/>
        <w:rPr>
          <w:b/>
          <w:sz w:val="24"/>
        </w:rPr>
      </w:pPr>
      <w:r>
        <w:rPr>
          <w:b/>
          <w:sz w:val="24"/>
          <w:u w:val="single"/>
        </w:rPr>
        <w:t>Explanation for Program Changes or Adjustments</w:t>
      </w:r>
    </w:p>
    <w:p w:rsidR="00827FD3" w:rsidRDefault="00E57405" w:rsidP="00A772C9">
      <w:pPr>
        <w:pStyle w:val="BodyTextIndent"/>
        <w:spacing w:before="120"/>
        <w:ind w:left="0"/>
        <w:rPr>
          <w:rFonts w:ascii="Times New Roman" w:hAnsi="Times New Roman"/>
        </w:rPr>
      </w:pPr>
      <w:r>
        <w:rPr>
          <w:rFonts w:ascii="Times New Roman" w:hAnsi="Times New Roman"/>
        </w:rPr>
        <w:t>This is a new information collection.</w:t>
      </w:r>
    </w:p>
    <w:p w:rsidR="009322F6" w:rsidRPr="009322F6" w:rsidRDefault="009B3794" w:rsidP="00726ABF">
      <w:pPr>
        <w:numPr>
          <w:ilvl w:val="0"/>
          <w:numId w:val="1"/>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9322F6" w:rsidRPr="009322F6" w:rsidRDefault="003269D3" w:rsidP="00AC5655">
      <w:pPr>
        <w:spacing w:before="240"/>
        <w:rPr>
          <w:sz w:val="24"/>
        </w:rPr>
      </w:pPr>
      <w:r>
        <w:rPr>
          <w:sz w:val="24"/>
        </w:rPr>
        <w:t xml:space="preserve">The NSCH Pretest will produce datasets, statistics, and reports. </w:t>
      </w:r>
      <w:r w:rsidR="009322F6" w:rsidRPr="009322F6">
        <w:rPr>
          <w:sz w:val="24"/>
        </w:rPr>
        <w:t xml:space="preserve">Below </w:t>
      </w:r>
      <w:r>
        <w:rPr>
          <w:sz w:val="24"/>
        </w:rPr>
        <w:t>are the planned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7C1F4A">
        <w:rPr>
          <w:sz w:val="24"/>
        </w:rPr>
        <w:t>will provide M</w:t>
      </w:r>
      <w:r>
        <w:rPr>
          <w:sz w:val="24"/>
        </w:rPr>
        <w:t>CHB:</w:t>
      </w:r>
      <w:r w:rsidR="009322F6" w:rsidRPr="009322F6">
        <w:rPr>
          <w:sz w:val="24"/>
        </w:rPr>
        <w:t xml:space="preserve"> </w:t>
      </w:r>
    </w:p>
    <w:p w:rsidR="009322F6" w:rsidRPr="009322F6" w:rsidRDefault="003269D3" w:rsidP="009322F6">
      <w:pPr>
        <w:spacing w:before="240"/>
        <w:rPr>
          <w:i/>
          <w:sz w:val="24"/>
        </w:rPr>
      </w:pPr>
      <w:r>
        <w:rPr>
          <w:i/>
          <w:sz w:val="24"/>
        </w:rPr>
        <w:t xml:space="preserve">Datasets, Statistics, and </w:t>
      </w:r>
      <w:r w:rsidR="009322F6" w:rsidRPr="009322F6">
        <w:rPr>
          <w:i/>
          <w:sz w:val="24"/>
        </w:rPr>
        <w:t xml:space="preserve">Reports. </w:t>
      </w:r>
    </w:p>
    <w:p w:rsidR="009B3794" w:rsidRPr="0083214E" w:rsidRDefault="003269D3" w:rsidP="00726ABF">
      <w:pPr>
        <w:pStyle w:val="ListParagraph"/>
        <w:numPr>
          <w:ilvl w:val="0"/>
          <w:numId w:val="5"/>
        </w:numPr>
        <w:spacing w:before="240"/>
        <w:rPr>
          <w:sz w:val="24"/>
        </w:rPr>
      </w:pPr>
      <w:r w:rsidRPr="0083214E">
        <w:rPr>
          <w:sz w:val="24"/>
        </w:rPr>
        <w:t>A fully documented public use data set</w:t>
      </w:r>
      <w:r w:rsidR="009171D8" w:rsidRPr="0083214E">
        <w:rPr>
          <w:sz w:val="24"/>
        </w:rPr>
        <w:t xml:space="preserve"> including three different files:</w:t>
      </w:r>
    </w:p>
    <w:p w:rsidR="009171D8" w:rsidRPr="0083214E" w:rsidRDefault="009171D8" w:rsidP="00726ABF">
      <w:pPr>
        <w:pStyle w:val="ListParagraph"/>
        <w:numPr>
          <w:ilvl w:val="1"/>
          <w:numId w:val="5"/>
        </w:numPr>
        <w:spacing w:before="240"/>
        <w:rPr>
          <w:sz w:val="24"/>
        </w:rPr>
      </w:pPr>
      <w:r w:rsidRPr="0083214E">
        <w:rPr>
          <w:sz w:val="24"/>
        </w:rPr>
        <w:t>Household level file – This file will contain all of the data collected on the screener and any other variables (derived, flag, admin, etc.) requested by MCHB.</w:t>
      </w:r>
    </w:p>
    <w:p w:rsidR="009171D8" w:rsidRPr="0083214E" w:rsidRDefault="009171D8" w:rsidP="00726ABF">
      <w:pPr>
        <w:pStyle w:val="ListParagraph"/>
        <w:numPr>
          <w:ilvl w:val="1"/>
          <w:numId w:val="5"/>
        </w:numPr>
        <w:spacing w:before="240"/>
        <w:rPr>
          <w:sz w:val="24"/>
        </w:rPr>
      </w:pPr>
      <w:r w:rsidRPr="0083214E">
        <w:rPr>
          <w:sz w:val="24"/>
        </w:rPr>
        <w:t>Child level file – This file will contain all of the child data collected on the topical modules along with any other variables</w:t>
      </w:r>
      <w:r w:rsidR="00AC5655" w:rsidRPr="0083214E">
        <w:rPr>
          <w:sz w:val="24"/>
        </w:rPr>
        <w:t xml:space="preserve"> (derived, flag, admin, etc.) requested by MCHB.</w:t>
      </w:r>
    </w:p>
    <w:p w:rsidR="00AC5655" w:rsidRPr="0083214E" w:rsidRDefault="00AC5655" w:rsidP="00726ABF">
      <w:pPr>
        <w:pStyle w:val="ListParagraph"/>
        <w:numPr>
          <w:ilvl w:val="1"/>
          <w:numId w:val="5"/>
        </w:numPr>
        <w:spacing w:before="240"/>
        <w:rPr>
          <w:sz w:val="24"/>
        </w:rPr>
      </w:pPr>
      <w:r w:rsidRPr="0083214E">
        <w:rPr>
          <w:sz w:val="24"/>
        </w:rPr>
        <w:t>Operational level file – This file will contain all of the operational and administrative variables that indicate the status, resolution, and history of each case.</w:t>
      </w:r>
    </w:p>
    <w:p w:rsidR="003269D3" w:rsidRPr="0083214E" w:rsidRDefault="009171D8" w:rsidP="00726ABF">
      <w:pPr>
        <w:pStyle w:val="ListParagraph"/>
        <w:numPr>
          <w:ilvl w:val="0"/>
          <w:numId w:val="5"/>
        </w:numPr>
        <w:spacing w:before="240"/>
        <w:rPr>
          <w:sz w:val="24"/>
        </w:rPr>
      </w:pPr>
      <w:r w:rsidRPr="0083214E">
        <w:rPr>
          <w:sz w:val="24"/>
        </w:rPr>
        <w:t>A codebook with weighted and unweighted frequencies of all variables</w:t>
      </w:r>
      <w:r w:rsidR="00C22682" w:rsidRPr="0083214E">
        <w:rPr>
          <w:sz w:val="24"/>
        </w:rPr>
        <w:t xml:space="preserve"> for each of the different files mentioned above</w:t>
      </w:r>
    </w:p>
    <w:p w:rsidR="00AC5655" w:rsidRPr="0083214E" w:rsidRDefault="009171D8" w:rsidP="0083214E">
      <w:pPr>
        <w:pStyle w:val="ListParagraph"/>
        <w:numPr>
          <w:ilvl w:val="0"/>
          <w:numId w:val="5"/>
        </w:numPr>
        <w:spacing w:before="240"/>
        <w:rPr>
          <w:sz w:val="24"/>
        </w:rPr>
      </w:pPr>
      <w:r w:rsidRPr="0083214E">
        <w:rPr>
          <w:sz w:val="24"/>
        </w:rPr>
        <w:t xml:space="preserve">A </w:t>
      </w:r>
      <w:r w:rsidR="00D53084" w:rsidRPr="0083214E">
        <w:rPr>
          <w:sz w:val="24"/>
        </w:rPr>
        <w:t>user’s manual</w:t>
      </w:r>
      <w:r w:rsidR="00C22682" w:rsidRPr="0083214E">
        <w:rPr>
          <w:sz w:val="24"/>
        </w:rPr>
        <w:t xml:space="preserve"> and </w:t>
      </w:r>
      <w:r w:rsidRPr="0083214E">
        <w:rPr>
          <w:sz w:val="24"/>
        </w:rPr>
        <w:t xml:space="preserve">methodology report </w:t>
      </w:r>
      <w:r w:rsidR="00D564F2" w:rsidRPr="0083214E">
        <w:rPr>
          <w:sz w:val="24"/>
        </w:rPr>
        <w:t>created by the Demographic Statistical Methods Division (DSMD) staff</w:t>
      </w:r>
    </w:p>
    <w:p w:rsidR="009B3794" w:rsidRPr="00AC5655" w:rsidRDefault="009B3794" w:rsidP="00726ABF">
      <w:pPr>
        <w:numPr>
          <w:ilvl w:val="0"/>
          <w:numId w:val="1"/>
        </w:numPr>
        <w:tabs>
          <w:tab w:val="clear" w:pos="1080"/>
          <w:tab w:val="num" w:pos="360"/>
        </w:tabs>
        <w:spacing w:before="240"/>
        <w:ind w:left="360"/>
        <w:rPr>
          <w:b/>
          <w:sz w:val="24"/>
        </w:rPr>
      </w:pPr>
      <w:r w:rsidRPr="00AC5655">
        <w:rPr>
          <w:b/>
          <w:sz w:val="24"/>
          <w:u w:val="single"/>
        </w:rPr>
        <w:t>Reason(s) Display of OMB Expiration Date is Inappropriate</w:t>
      </w:r>
    </w:p>
    <w:p w:rsidR="00D564F2" w:rsidRPr="0083214E" w:rsidRDefault="00E57405" w:rsidP="00402E7E">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00FD61EC" w:rsidRPr="003B2586">
        <w:t>.</w:t>
      </w:r>
    </w:p>
    <w:p w:rsidR="009B3794" w:rsidRDefault="009B3794" w:rsidP="00726ABF">
      <w:pPr>
        <w:numPr>
          <w:ilvl w:val="0"/>
          <w:numId w:val="1"/>
        </w:numPr>
        <w:tabs>
          <w:tab w:val="clear" w:pos="1080"/>
          <w:tab w:val="num" w:pos="360"/>
        </w:tabs>
        <w:spacing w:before="240"/>
        <w:ind w:left="360"/>
        <w:rPr>
          <w:b/>
          <w:sz w:val="24"/>
        </w:rPr>
      </w:pPr>
      <w:r>
        <w:rPr>
          <w:b/>
          <w:sz w:val="24"/>
          <w:u w:val="single"/>
        </w:rPr>
        <w:t>Exceptions to Certification for Paperwork Reduction Act Submissions</w:t>
      </w:r>
    </w:p>
    <w:p w:rsidR="009B3794" w:rsidRDefault="00E57405" w:rsidP="00402E7E">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E2C75" w15:done="0"/>
  <w15:commentEx w15:paraId="574C5D11" w15:done="0"/>
  <w15:commentEx w15:paraId="279B49D7" w15:done="0"/>
  <w15:commentEx w15:paraId="0B6C8FD4" w15:done="0"/>
  <w15:commentEx w15:paraId="5ED67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E1" w:rsidRDefault="00E027E1">
      <w:r>
        <w:separator/>
      </w:r>
    </w:p>
  </w:endnote>
  <w:endnote w:type="continuationSeparator" w:id="0">
    <w:p w:rsidR="00E027E1" w:rsidRDefault="00E0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E1" w:rsidRDefault="00E027E1">
    <w:pPr>
      <w:spacing w:line="240" w:lineRule="exact"/>
    </w:pPr>
  </w:p>
  <w:p w:rsidR="00E027E1" w:rsidRDefault="00E027E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C0592">
      <w:rPr>
        <w:noProof/>
        <w:sz w:val="24"/>
      </w:rPr>
      <w:t>2</w:t>
    </w:r>
    <w:r>
      <w:rPr>
        <w:sz w:val="24"/>
      </w:rPr>
      <w:fldChar w:fldCharType="end"/>
    </w:r>
  </w:p>
  <w:p w:rsidR="00E027E1" w:rsidRDefault="00E027E1">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E1" w:rsidRDefault="00E027E1">
      <w:r>
        <w:separator/>
      </w:r>
    </w:p>
  </w:footnote>
  <w:footnote w:type="continuationSeparator" w:id="0">
    <w:p w:rsidR="00E027E1" w:rsidRDefault="00E027E1">
      <w:r>
        <w:continuationSeparator/>
      </w:r>
    </w:p>
  </w:footnote>
  <w:footnote w:id="1">
    <w:p w:rsidR="00E027E1" w:rsidRDefault="00E027E1">
      <w:pPr>
        <w:pStyle w:val="FootnoteText"/>
      </w:pPr>
      <w:r w:rsidRPr="006F17B7">
        <w:rPr>
          <w:rStyle w:val="FootnoteReference"/>
          <w:vertAlign w:val="superscript"/>
        </w:rPr>
        <w:footnoteRef/>
      </w:r>
      <w:r>
        <w:t xml:space="preserve"> The topical incentive is not applicable to the Web respondents, since the Centurion Web Instrument combines the screener and topical modules.  </w:t>
      </w:r>
    </w:p>
  </w:footnote>
  <w:footnote w:id="2">
    <w:p w:rsidR="00E027E1" w:rsidRPr="003671EB" w:rsidRDefault="00E027E1" w:rsidP="008B20D0">
      <w:pPr>
        <w:spacing w:after="120"/>
      </w:pPr>
      <w:r w:rsidRPr="0001701B">
        <w:rPr>
          <w:rStyle w:val="FootnoteReference"/>
          <w:vertAlign w:val="superscript"/>
        </w:rPr>
        <w:footnoteRef/>
      </w:r>
      <w:r>
        <w:t xml:space="preserve"> See </w:t>
      </w:r>
      <w:r w:rsidRPr="003671EB">
        <w:t xml:space="preserve">Brick, J. Michael, Douglas Williams, and Jill M. Montaquila. 2011. Address-based sampling for subpopulation surveys. </w:t>
      </w:r>
      <w:r w:rsidRPr="003671EB">
        <w:rPr>
          <w:i/>
        </w:rPr>
        <w:t>Public Opinion Quarterly</w:t>
      </w:r>
      <w:r>
        <w:t xml:space="preserve"> 75 (3): 409-28; </w:t>
      </w:r>
      <w:r w:rsidRPr="0013264B">
        <w:t xml:space="preserve">Foster, </w:t>
      </w:r>
      <w:r>
        <w:t>Erin B., Alicia M.</w:t>
      </w:r>
      <w:r w:rsidRPr="0013264B">
        <w:t xml:space="preserve"> Frasier, </w:t>
      </w:r>
      <w:r>
        <w:t>Heather M.</w:t>
      </w:r>
      <w:r w:rsidRPr="0013264B">
        <w:t xml:space="preserve"> Morrison, </w:t>
      </w:r>
      <w:r>
        <w:t xml:space="preserve">Kathleen S. </w:t>
      </w:r>
      <w:r w:rsidRPr="0013264B">
        <w:t xml:space="preserve">O’Connor, </w:t>
      </w:r>
      <w:r>
        <w:t>and S.J. Blumberg. 2010. All things incentive: Exploring the best combination of incentive c</w:t>
      </w:r>
      <w:r w:rsidRPr="0013264B">
        <w:t xml:space="preserve">onditions. </w:t>
      </w:r>
      <w:r>
        <w:t>Paper p</w:t>
      </w:r>
      <w:r w:rsidRPr="0013264B">
        <w:t xml:space="preserve">resented at the American Association for Public Opinion Research </w:t>
      </w:r>
      <w:r>
        <w:t>a</w:t>
      </w:r>
      <w:r w:rsidRPr="0013264B">
        <w:t xml:space="preserve">nnual </w:t>
      </w:r>
      <w:r>
        <w:t>c</w:t>
      </w:r>
      <w:r w:rsidRPr="0013264B">
        <w:t>onference, Ch</w:t>
      </w:r>
      <w:r>
        <w:t>icago, IL.</w:t>
      </w:r>
    </w:p>
    <w:p w:rsidR="00E027E1" w:rsidRPr="00B23B5C" w:rsidRDefault="00E027E1" w:rsidP="008B20D0">
      <w:pPr>
        <w:spacing w:after="120"/>
      </w:pPr>
    </w:p>
    <w:p w:rsidR="00E027E1" w:rsidRDefault="00E027E1">
      <w:pPr>
        <w:pStyle w:val="FootnoteText"/>
      </w:pPr>
    </w:p>
  </w:footnote>
  <w:footnote w:id="3">
    <w:p w:rsidR="00E027E1" w:rsidRDefault="00E027E1">
      <w:pPr>
        <w:pStyle w:val="FootnoteText"/>
      </w:pPr>
      <w:r w:rsidRPr="001F4A91">
        <w:rPr>
          <w:rStyle w:val="FootnoteReference"/>
          <w:vertAlign w:val="superscript"/>
        </w:rPr>
        <w:footnoteRef/>
      </w:r>
      <w:r>
        <w:t xml:space="preserve"> The initial estimates failed to take into account that most households would not receive the topical module because they do not contain children and would, therefore, screen out.</w:t>
      </w:r>
    </w:p>
  </w:footnote>
  <w:footnote w:id="4">
    <w:p w:rsidR="00E027E1" w:rsidRPr="00503D21" w:rsidRDefault="00E027E1" w:rsidP="00503D21">
      <w:pPr>
        <w:pStyle w:val="FootnoteText"/>
      </w:pPr>
      <w:r w:rsidRPr="00503D21">
        <w:rPr>
          <w:rStyle w:val="FootnoteReference"/>
          <w:vertAlign w:val="superscript"/>
        </w:rPr>
        <w:footnoteRef/>
      </w:r>
      <w:r w:rsidRPr="00503D21">
        <w:rPr>
          <w:vertAlign w:val="superscript"/>
        </w:rPr>
        <w:t xml:space="preserve"> </w:t>
      </w:r>
      <w:r>
        <w:t>Since 2,921 is not evenly divisible by 3, all three age-based topicals were estimated to have 974 respondents each.</w:t>
      </w:r>
    </w:p>
  </w:footnote>
  <w:footnote w:id="5">
    <w:p w:rsidR="00E027E1" w:rsidRDefault="00E027E1">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than the number of respondents that were mailed a screener or topical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DB1E6F"/>
    <w:multiLevelType w:val="hybridMultilevel"/>
    <w:tmpl w:val="A4FC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77F"/>
    <w:rsid w:val="00015505"/>
    <w:rsid w:val="0001701B"/>
    <w:rsid w:val="00036479"/>
    <w:rsid w:val="000378DB"/>
    <w:rsid w:val="00044AC9"/>
    <w:rsid w:val="00045B26"/>
    <w:rsid w:val="0005620B"/>
    <w:rsid w:val="0006040C"/>
    <w:rsid w:val="00063E1F"/>
    <w:rsid w:val="00070EC9"/>
    <w:rsid w:val="00073EE0"/>
    <w:rsid w:val="000761DE"/>
    <w:rsid w:val="000A1C5A"/>
    <w:rsid w:val="000A2E6A"/>
    <w:rsid w:val="000A6823"/>
    <w:rsid w:val="000C2026"/>
    <w:rsid w:val="000C65F2"/>
    <w:rsid w:val="000D0C09"/>
    <w:rsid w:val="000D37CC"/>
    <w:rsid w:val="000E31DE"/>
    <w:rsid w:val="000E3F27"/>
    <w:rsid w:val="000E500F"/>
    <w:rsid w:val="00105C85"/>
    <w:rsid w:val="001171D5"/>
    <w:rsid w:val="00124C02"/>
    <w:rsid w:val="001325B2"/>
    <w:rsid w:val="00132870"/>
    <w:rsid w:val="001474DC"/>
    <w:rsid w:val="001526A6"/>
    <w:rsid w:val="0015297A"/>
    <w:rsid w:val="001A1799"/>
    <w:rsid w:val="001B736E"/>
    <w:rsid w:val="001D4856"/>
    <w:rsid w:val="001D4DB6"/>
    <w:rsid w:val="001D7E3D"/>
    <w:rsid w:val="001E1D43"/>
    <w:rsid w:val="001E75EF"/>
    <w:rsid w:val="001F4A91"/>
    <w:rsid w:val="00201A5B"/>
    <w:rsid w:val="00210418"/>
    <w:rsid w:val="00211286"/>
    <w:rsid w:val="002118B4"/>
    <w:rsid w:val="00213AD3"/>
    <w:rsid w:val="002158C8"/>
    <w:rsid w:val="002229F7"/>
    <w:rsid w:val="00223FFA"/>
    <w:rsid w:val="00226A1C"/>
    <w:rsid w:val="00226C8C"/>
    <w:rsid w:val="00236ED2"/>
    <w:rsid w:val="002372C1"/>
    <w:rsid w:val="00242F15"/>
    <w:rsid w:val="0025671B"/>
    <w:rsid w:val="002575ED"/>
    <w:rsid w:val="00257E28"/>
    <w:rsid w:val="002640E7"/>
    <w:rsid w:val="0027782F"/>
    <w:rsid w:val="00277DBC"/>
    <w:rsid w:val="002826DE"/>
    <w:rsid w:val="00286CD0"/>
    <w:rsid w:val="002941ED"/>
    <w:rsid w:val="0029483C"/>
    <w:rsid w:val="00295D80"/>
    <w:rsid w:val="002D2431"/>
    <w:rsid w:val="002D53FB"/>
    <w:rsid w:val="002D6467"/>
    <w:rsid w:val="002E06A7"/>
    <w:rsid w:val="002F4ECC"/>
    <w:rsid w:val="00306436"/>
    <w:rsid w:val="003077C1"/>
    <w:rsid w:val="00320663"/>
    <w:rsid w:val="00320C68"/>
    <w:rsid w:val="00322313"/>
    <w:rsid w:val="003269D3"/>
    <w:rsid w:val="00330BA1"/>
    <w:rsid w:val="0033644C"/>
    <w:rsid w:val="00341388"/>
    <w:rsid w:val="0035365B"/>
    <w:rsid w:val="00370E0B"/>
    <w:rsid w:val="00375869"/>
    <w:rsid w:val="003844EC"/>
    <w:rsid w:val="00391E16"/>
    <w:rsid w:val="0039241B"/>
    <w:rsid w:val="003966BE"/>
    <w:rsid w:val="0039686E"/>
    <w:rsid w:val="003A364F"/>
    <w:rsid w:val="003A4E01"/>
    <w:rsid w:val="003C4DA6"/>
    <w:rsid w:val="003D0941"/>
    <w:rsid w:val="003D23B1"/>
    <w:rsid w:val="003F0975"/>
    <w:rsid w:val="00402E7E"/>
    <w:rsid w:val="00416E98"/>
    <w:rsid w:val="00444010"/>
    <w:rsid w:val="00465323"/>
    <w:rsid w:val="00465A8E"/>
    <w:rsid w:val="00472847"/>
    <w:rsid w:val="004746CA"/>
    <w:rsid w:val="00480B55"/>
    <w:rsid w:val="004855A0"/>
    <w:rsid w:val="00490720"/>
    <w:rsid w:val="004A6531"/>
    <w:rsid w:val="004B64B3"/>
    <w:rsid w:val="004D492E"/>
    <w:rsid w:val="004D4E86"/>
    <w:rsid w:val="004D7233"/>
    <w:rsid w:val="004E687D"/>
    <w:rsid w:val="004E6B07"/>
    <w:rsid w:val="00503BAB"/>
    <w:rsid w:val="00503D21"/>
    <w:rsid w:val="0051618C"/>
    <w:rsid w:val="00516D71"/>
    <w:rsid w:val="00544208"/>
    <w:rsid w:val="005566B8"/>
    <w:rsid w:val="0056188F"/>
    <w:rsid w:val="00572135"/>
    <w:rsid w:val="00575E10"/>
    <w:rsid w:val="005A0957"/>
    <w:rsid w:val="005B7225"/>
    <w:rsid w:val="005B79F4"/>
    <w:rsid w:val="005C1932"/>
    <w:rsid w:val="005C2430"/>
    <w:rsid w:val="005C68BA"/>
    <w:rsid w:val="005E1765"/>
    <w:rsid w:val="005E653B"/>
    <w:rsid w:val="00624019"/>
    <w:rsid w:val="00626435"/>
    <w:rsid w:val="006447AD"/>
    <w:rsid w:val="00661F5F"/>
    <w:rsid w:val="00663BCE"/>
    <w:rsid w:val="00680D76"/>
    <w:rsid w:val="00697F5A"/>
    <w:rsid w:val="006A0A3F"/>
    <w:rsid w:val="006B7361"/>
    <w:rsid w:val="006D1999"/>
    <w:rsid w:val="006E0A53"/>
    <w:rsid w:val="006E7846"/>
    <w:rsid w:val="006F17B7"/>
    <w:rsid w:val="00702AFE"/>
    <w:rsid w:val="00704A6B"/>
    <w:rsid w:val="00726ABF"/>
    <w:rsid w:val="00731314"/>
    <w:rsid w:val="00756DA3"/>
    <w:rsid w:val="00770656"/>
    <w:rsid w:val="0077283F"/>
    <w:rsid w:val="0079754F"/>
    <w:rsid w:val="007A534C"/>
    <w:rsid w:val="007A58FB"/>
    <w:rsid w:val="007A7CF0"/>
    <w:rsid w:val="007B16A2"/>
    <w:rsid w:val="007C1084"/>
    <w:rsid w:val="007C1F4A"/>
    <w:rsid w:val="007E043D"/>
    <w:rsid w:val="007E774F"/>
    <w:rsid w:val="007F047A"/>
    <w:rsid w:val="007F5CEB"/>
    <w:rsid w:val="0080299C"/>
    <w:rsid w:val="00827FD3"/>
    <w:rsid w:val="0083214E"/>
    <w:rsid w:val="0084274B"/>
    <w:rsid w:val="008537C2"/>
    <w:rsid w:val="008563D3"/>
    <w:rsid w:val="008577C0"/>
    <w:rsid w:val="008634E6"/>
    <w:rsid w:val="00892D61"/>
    <w:rsid w:val="008B20D0"/>
    <w:rsid w:val="008B28AF"/>
    <w:rsid w:val="008B383B"/>
    <w:rsid w:val="008C1D4E"/>
    <w:rsid w:val="008D09D0"/>
    <w:rsid w:val="008D2D67"/>
    <w:rsid w:val="008F5B89"/>
    <w:rsid w:val="0091186A"/>
    <w:rsid w:val="009171D8"/>
    <w:rsid w:val="009322F6"/>
    <w:rsid w:val="00943024"/>
    <w:rsid w:val="00944E2E"/>
    <w:rsid w:val="0095647D"/>
    <w:rsid w:val="00965C61"/>
    <w:rsid w:val="0096748F"/>
    <w:rsid w:val="009831F0"/>
    <w:rsid w:val="00985244"/>
    <w:rsid w:val="00996D5A"/>
    <w:rsid w:val="0099793A"/>
    <w:rsid w:val="00997F55"/>
    <w:rsid w:val="009A1CB6"/>
    <w:rsid w:val="009B3794"/>
    <w:rsid w:val="009B7E4D"/>
    <w:rsid w:val="009F24A6"/>
    <w:rsid w:val="00A118AA"/>
    <w:rsid w:val="00A11CBE"/>
    <w:rsid w:val="00A14339"/>
    <w:rsid w:val="00A14695"/>
    <w:rsid w:val="00A35B1E"/>
    <w:rsid w:val="00A36730"/>
    <w:rsid w:val="00A43802"/>
    <w:rsid w:val="00A47DA1"/>
    <w:rsid w:val="00A5146C"/>
    <w:rsid w:val="00A5264F"/>
    <w:rsid w:val="00A52C82"/>
    <w:rsid w:val="00A55BCB"/>
    <w:rsid w:val="00A62417"/>
    <w:rsid w:val="00A767A1"/>
    <w:rsid w:val="00A772C9"/>
    <w:rsid w:val="00A90F7E"/>
    <w:rsid w:val="00A92CAB"/>
    <w:rsid w:val="00AB23BB"/>
    <w:rsid w:val="00AC5655"/>
    <w:rsid w:val="00AD141C"/>
    <w:rsid w:val="00AD67A8"/>
    <w:rsid w:val="00AE7154"/>
    <w:rsid w:val="00AF6F27"/>
    <w:rsid w:val="00B02183"/>
    <w:rsid w:val="00B06D26"/>
    <w:rsid w:val="00B17E33"/>
    <w:rsid w:val="00B2596B"/>
    <w:rsid w:val="00B27ABA"/>
    <w:rsid w:val="00B30F78"/>
    <w:rsid w:val="00B322BE"/>
    <w:rsid w:val="00B40B27"/>
    <w:rsid w:val="00B472FB"/>
    <w:rsid w:val="00B50105"/>
    <w:rsid w:val="00B53D75"/>
    <w:rsid w:val="00B655C6"/>
    <w:rsid w:val="00B72BC1"/>
    <w:rsid w:val="00B7519A"/>
    <w:rsid w:val="00B82BCD"/>
    <w:rsid w:val="00B84091"/>
    <w:rsid w:val="00B91B1C"/>
    <w:rsid w:val="00B920CB"/>
    <w:rsid w:val="00BA15BE"/>
    <w:rsid w:val="00BA1A0C"/>
    <w:rsid w:val="00BB5875"/>
    <w:rsid w:val="00BC34FE"/>
    <w:rsid w:val="00BE1812"/>
    <w:rsid w:val="00BE3BB6"/>
    <w:rsid w:val="00BF5EB7"/>
    <w:rsid w:val="00C04B5D"/>
    <w:rsid w:val="00C06081"/>
    <w:rsid w:val="00C13221"/>
    <w:rsid w:val="00C13ADC"/>
    <w:rsid w:val="00C20983"/>
    <w:rsid w:val="00C22682"/>
    <w:rsid w:val="00C23B25"/>
    <w:rsid w:val="00C323A7"/>
    <w:rsid w:val="00C411C7"/>
    <w:rsid w:val="00C534E6"/>
    <w:rsid w:val="00C5375B"/>
    <w:rsid w:val="00C6574C"/>
    <w:rsid w:val="00C67D9E"/>
    <w:rsid w:val="00C710D4"/>
    <w:rsid w:val="00C724CC"/>
    <w:rsid w:val="00C73D99"/>
    <w:rsid w:val="00C74B86"/>
    <w:rsid w:val="00C77293"/>
    <w:rsid w:val="00CA3DA6"/>
    <w:rsid w:val="00CA63A4"/>
    <w:rsid w:val="00CC0592"/>
    <w:rsid w:val="00CC3EC7"/>
    <w:rsid w:val="00CC6B47"/>
    <w:rsid w:val="00CD36E7"/>
    <w:rsid w:val="00CD546F"/>
    <w:rsid w:val="00CE44A5"/>
    <w:rsid w:val="00CE51C3"/>
    <w:rsid w:val="00CE5AA9"/>
    <w:rsid w:val="00CF3111"/>
    <w:rsid w:val="00D237D8"/>
    <w:rsid w:val="00D31AB7"/>
    <w:rsid w:val="00D46313"/>
    <w:rsid w:val="00D52863"/>
    <w:rsid w:val="00D52B74"/>
    <w:rsid w:val="00D53084"/>
    <w:rsid w:val="00D564F2"/>
    <w:rsid w:val="00D74B86"/>
    <w:rsid w:val="00D74FB4"/>
    <w:rsid w:val="00D840E0"/>
    <w:rsid w:val="00D865E5"/>
    <w:rsid w:val="00D92E1D"/>
    <w:rsid w:val="00D930A6"/>
    <w:rsid w:val="00D94706"/>
    <w:rsid w:val="00DA372A"/>
    <w:rsid w:val="00DA6384"/>
    <w:rsid w:val="00DB0CA8"/>
    <w:rsid w:val="00DB7B3E"/>
    <w:rsid w:val="00DC7841"/>
    <w:rsid w:val="00DD1696"/>
    <w:rsid w:val="00DE08C8"/>
    <w:rsid w:val="00DE3A45"/>
    <w:rsid w:val="00DE6DD8"/>
    <w:rsid w:val="00DE7490"/>
    <w:rsid w:val="00DF21E0"/>
    <w:rsid w:val="00E027E1"/>
    <w:rsid w:val="00E12416"/>
    <w:rsid w:val="00E1500B"/>
    <w:rsid w:val="00E17EA1"/>
    <w:rsid w:val="00E20105"/>
    <w:rsid w:val="00E203FA"/>
    <w:rsid w:val="00E34A1F"/>
    <w:rsid w:val="00E3684A"/>
    <w:rsid w:val="00E416AD"/>
    <w:rsid w:val="00E46837"/>
    <w:rsid w:val="00E56730"/>
    <w:rsid w:val="00E57405"/>
    <w:rsid w:val="00E62916"/>
    <w:rsid w:val="00E962DB"/>
    <w:rsid w:val="00EA4DE7"/>
    <w:rsid w:val="00EC532E"/>
    <w:rsid w:val="00ED18EA"/>
    <w:rsid w:val="00ED2307"/>
    <w:rsid w:val="00ED7BB0"/>
    <w:rsid w:val="00EE529C"/>
    <w:rsid w:val="00EF6B51"/>
    <w:rsid w:val="00EF6FA0"/>
    <w:rsid w:val="00F16D33"/>
    <w:rsid w:val="00F31E3B"/>
    <w:rsid w:val="00F4221E"/>
    <w:rsid w:val="00F51B2D"/>
    <w:rsid w:val="00F714CC"/>
    <w:rsid w:val="00F72F0D"/>
    <w:rsid w:val="00F923CA"/>
    <w:rsid w:val="00F939C9"/>
    <w:rsid w:val="00FB5CCB"/>
    <w:rsid w:val="00FB6A85"/>
    <w:rsid w:val="00FD61EC"/>
    <w:rsid w:val="00FD7755"/>
    <w:rsid w:val="00FE0224"/>
    <w:rsid w:val="00FF1EA8"/>
    <w:rsid w:val="00FF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E57405"/>
    <w:rPr>
      <w:sz w:val="16"/>
      <w:szCs w:val="16"/>
    </w:rPr>
  </w:style>
  <w:style w:type="paragraph" w:styleId="CommentText">
    <w:name w:val="annotation text"/>
    <w:basedOn w:val="Normal"/>
    <w:link w:val="CommentTextChar"/>
    <w:rsid w:val="00E57405"/>
    <w:rPr>
      <w:szCs w:val="20"/>
    </w:rPr>
  </w:style>
  <w:style w:type="character" w:customStyle="1" w:styleId="CommentTextChar">
    <w:name w:val="Comment Text Char"/>
    <w:basedOn w:val="DefaultParagraphFont"/>
    <w:link w:val="CommentText"/>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E57405"/>
    <w:rPr>
      <w:sz w:val="16"/>
      <w:szCs w:val="16"/>
    </w:rPr>
  </w:style>
  <w:style w:type="paragraph" w:styleId="CommentText">
    <w:name w:val="annotation text"/>
    <w:basedOn w:val="Normal"/>
    <w:link w:val="CommentTextChar"/>
    <w:rsid w:val="00E57405"/>
    <w:rPr>
      <w:szCs w:val="20"/>
    </w:rPr>
  </w:style>
  <w:style w:type="character" w:customStyle="1" w:styleId="CommentTextChar">
    <w:name w:val="Comment Text Char"/>
    <w:basedOn w:val="DefaultParagraphFont"/>
    <w:link w:val="CommentText"/>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bls.gov/news.release/realer.t01.htm" TargetMode="External"/><Relationship Id="rId4" Type="http://schemas.microsoft.com/office/2007/relationships/stylesWithEffects" Target="stylesWithEffects.xml"/><Relationship Id="rId9" Type="http://schemas.openxmlformats.org/officeDocument/2006/relationships/hyperlink" Target="http://www.cdc.gov/nchs/slaits/slaits_produ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8430-5C98-4311-A14E-B5CD0BF7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3157</Words>
  <Characters>17981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21096</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2015-04-29T19:18:00Z</dcterms:created>
  <dcterms:modified xsi:type="dcterms:W3CDTF">2015-04-29T19:18:00Z</dcterms:modified>
</cp:coreProperties>
</file>